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drawing>
          <wp:inline xmlns:a="http://schemas.openxmlformats.org/drawingml/2006/main" xmlns:pic="http://schemas.openxmlformats.org/drawingml/2006/picture">
            <wp:extent cx="1871238" cy="576000"/>
            <wp:docPr id="1" name="Picture 1"/>
            <wp:cNvGraphicFramePr>
              <a:graphicFrameLocks noChangeAspect="1"/>
            </wp:cNvGraphicFramePr>
            <a:graphic>
              <a:graphicData uri="http://schemas.openxmlformats.org/drawingml/2006/picture">
                <pic:pic>
                  <pic:nvPicPr>
                    <pic:cNvPr id="0" name="iorta-logo.png"/>
                    <pic:cNvPicPr/>
                  </pic:nvPicPr>
                  <pic:blipFill>
                    <a:blip r:embed="rId11"/>
                    <a:stretch>
                      <a:fillRect/>
                    </a:stretch>
                  </pic:blipFill>
                  <pic:spPr>
                    <a:xfrm>
                      <a:off x="0" y="0"/>
                      <a:ext cx="1871238" cy="576000"/>
                    </a:xfrm>
                    <a:prstGeom prst="rect"/>
                  </pic:spPr>
                </pic:pic>
              </a:graphicData>
            </a:graphic>
          </wp:inline>
        </w:drawing>
      </w:r>
    </w:p>
    <w:p>
      <w:r>
        <w:drawing>
          <wp:inline xmlns:a="http://schemas.openxmlformats.org/drawingml/2006/main" xmlns:pic="http://schemas.openxmlformats.org/drawingml/2006/picture">
            <wp:extent cx="6120000" cy="214200"/>
            <wp:docPr id="2" name="Picture 2"/>
            <wp:cNvGraphicFramePr>
              <a:graphicFrameLocks noChangeAspect="1"/>
            </wp:cNvGraphicFramePr>
            <a:graphic>
              <a:graphicData uri="http://schemas.openxmlformats.org/drawingml/2006/picture">
                <pic:pic>
                  <pic:nvPicPr>
                    <pic:cNvPr id="0" name="cover-band.png"/>
                    <pic:cNvPicPr/>
                  </pic:nvPicPr>
                  <pic:blipFill>
                    <a:blip r:embed="rId12"/>
                    <a:stretch>
                      <a:fillRect/>
                    </a:stretch>
                  </pic:blipFill>
                  <pic:spPr>
                    <a:xfrm>
                      <a:off x="0" y="0"/>
                      <a:ext cx="6120000" cy="214200"/>
                    </a:xfrm>
                    <a:prstGeom prst="rect"/>
                  </pic:spPr>
                </pic:pic>
              </a:graphicData>
            </a:graphic>
          </wp:inline>
        </w:drawing>
      </w:r>
    </w:p>
    <w:p>
      <w:pPr>
        <w:spacing w:after="0" w:before="0"/>
      </w:pPr>
      <w:r>
        <w:rPr>
          <w:sz w:val="32"/>
        </w:rPr>
      </w:r>
    </w:p>
    <w:p>
      <w:pPr>
        <w:keepNext w:val="0"/>
        <w:spacing w:after="80"/>
      </w:pPr>
      <w:r>
        <w:rPr>
          <w:b/>
          <w:i w:val="0"/>
          <w:color w:val="F58220"/>
          <w:sz w:val="30"/>
        </w:rPr>
        <w:t>SalesVerse 2.0</w:t>
      </w:r>
    </w:p>
    <w:p>
      <w:pPr>
        <w:keepNext w:val="0"/>
        <w:spacing w:after="200"/>
      </w:pPr>
      <w:r>
        <w:rPr>
          <w:b/>
          <w:i w:val="0"/>
          <w:color w:val="E1058C"/>
          <w:sz w:val="56"/>
        </w:rPr>
        <w:t>Solution Architecture</w:t>
      </w:r>
    </w:p>
    <w:p>
      <w:pPr>
        <w:keepNext w:val="0"/>
        <w:spacing w:after="120"/>
      </w:pPr>
      <w:r>
        <w:rPr>
          <w:b w:val="0"/>
          <w:i w:val="0"/>
          <w:color w:val="333333"/>
          <w:sz w:val="26"/>
        </w:rPr>
        <w:t>Application, data, integration, security, deployment and infrastructure architecture</w:t>
      </w:r>
    </w:p>
    <w:p>
      <w:pPr>
        <w:keepNext w:val="0"/>
        <w:spacing w:after="680"/>
      </w:pPr>
      <w:r>
        <w:rPr>
          <w:b w:val="0"/>
          <w:i w:val="0"/>
          <w:color w:val="6B6B6B"/>
          <w:sz w:val="22"/>
        </w:rPr>
        <w:t>IIFT Agent/Banca Portal &amp; Back-office for Insurans Islam Family Takaful Sendirian Berhad</w:t>
      </w:r>
    </w:p>
    <w:tbl>
      <w:tblPr>
        <w:tblW w:type="dxa" w:w="9639"/>
        <w:jc w:val="left"/>
        <w:tblLayout w:type="fixed"/>
        <w:tblLook w:firstColumn="1" w:firstRow="1" w:lastColumn="0" w:lastRow="0" w:noHBand="0" w:noVBand="1" w:val="04A0"/>
        <w:tblLayout w:type="fixed"/>
      </w:tblPr>
      <w:tblGrid>
        <w:gridCol w:w="1927"/>
        <w:gridCol w:w="7711"/>
      </w:tblGrid>
      <w:tr>
        <w:tc>
          <w:tcPr>
            <w:tcW w:type="dxa" w:w="1928"/>
            <w:vAlign w:val="center"/>
          </w:tcPr>
          <w:p>
            <w:r>
              <w:drawing>
                <wp:inline xmlns:a="http://schemas.openxmlformats.org/drawingml/2006/main" xmlns:pic="http://schemas.openxmlformats.org/drawingml/2006/picture">
                  <wp:extent cx="584597" cy="1152000"/>
                  <wp:docPr id="3" name="Picture 3"/>
                  <wp:cNvGraphicFramePr>
                    <a:graphicFrameLocks noChangeAspect="1"/>
                  </wp:cNvGraphicFramePr>
                  <a:graphic>
                    <a:graphicData uri="http://schemas.openxmlformats.org/drawingml/2006/picture">
                      <pic:pic>
                        <pic:nvPicPr>
                          <pic:cNvPr id="0" name="iift-logo.png"/>
                          <pic:cNvPicPr/>
                        </pic:nvPicPr>
                        <pic:blipFill>
                          <a:blip r:embed="rId13"/>
                          <a:stretch>
                            <a:fillRect/>
                          </a:stretch>
                        </pic:blipFill>
                        <pic:spPr>
                          <a:xfrm>
                            <a:off x="0" y="0"/>
                            <a:ext cx="584597" cy="1152000"/>
                          </a:xfrm>
                          <a:prstGeom prst="rect"/>
                        </pic:spPr>
                      </pic:pic>
                    </a:graphicData>
                  </a:graphic>
                </wp:inline>
              </w:drawing>
            </w:r>
          </w:p>
        </w:tc>
        <w:tc>
          <w:tcPr>
            <w:tcW w:type="dxa" w:w="7710"/>
            <w:vAlign w:val="center"/>
          </w:tcPr>
          <w:p>
            <w:pPr>
              <w:spacing w:after="40"/>
            </w:pPr>
            <w:r>
              <w:rPr>
                <w:b/>
                <w:i w:val="0"/>
                <w:color w:val="F58220"/>
                <w:sz w:val="18"/>
              </w:rPr>
              <w:t>PREPARED FOR</w:t>
            </w:r>
          </w:p>
          <w:p>
            <w:pPr>
              <w:spacing w:after="40"/>
            </w:pPr>
            <w:r>
              <w:rPr>
                <w:b/>
                <w:i w:val="0"/>
                <w:color w:val="333333"/>
                <w:sz w:val="28"/>
              </w:rPr>
              <w:t>Insurans Islam Family Takaful Sendirian Berhad</w:t>
            </w:r>
          </w:p>
          <w:p>
            <w:pPr>
              <w:spacing w:after="40"/>
            </w:pPr>
            <w:r>
              <w:rPr>
                <w:b w:val="0"/>
                <w:i w:val="0"/>
                <w:color w:val="6B6B6B"/>
                <w:sz w:val="20"/>
              </w:rPr>
              <w:t>Bandar Seri Begawan, Brunei Darussalam</w:t>
            </w:r>
          </w:p>
          <w:p>
            <w:pPr>
              <w:spacing w:after="40" w:before="240"/>
            </w:pPr>
            <w:r>
              <w:rPr>
                <w:b/>
                <w:i w:val="0"/>
                <w:color w:val="F58220"/>
                <w:sz w:val="18"/>
              </w:rPr>
              <w:t>PREPARED BY</w:t>
            </w:r>
          </w:p>
          <w:p>
            <w:pPr>
              <w:spacing w:after="40"/>
            </w:pPr>
            <w:r>
              <w:rPr>
                <w:b/>
                <w:i w:val="0"/>
                <w:color w:val="333333"/>
                <w:sz w:val="28"/>
              </w:rPr>
              <w:t>iorta TechNXT</w:t>
            </w:r>
          </w:p>
          <w:p>
            <w:pPr>
              <w:spacing w:after="40"/>
            </w:pPr>
            <w:r>
              <w:rPr>
                <w:b w:val="0"/>
                <w:i w:val="0"/>
                <w:color w:val="6B6B6B"/>
                <w:sz w:val="20"/>
              </w:rPr>
              <w:t>https://iortatechnxt.com</w:t>
            </w:r>
          </w:p>
        </w:tc>
      </w:tr>
    </w:tbl>
    <w:p>
      <w:pPr>
        <w:spacing w:after="0" w:before="0"/>
      </w:pPr>
      <w:r>
        <w:rPr>
          <w:sz w:val="52"/>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Document reference</w:t>
            </w:r>
          </w:p>
        </w:tc>
        <w:tc>
          <w:tcPr>
            <w:tcW w:type="dxa" w:w="6803"/>
          </w:tcPr>
          <w:p>
            <w:pPr>
              <w:spacing w:after="20"/>
            </w:pPr>
            <w:r>
              <w:rPr>
                <w:b w:val="0"/>
                <w:i w:val="0"/>
                <w:sz w:val="18"/>
              </w:rPr>
              <w:t>IIFT-SV2-SAD</w:t>
            </w:r>
          </w:p>
        </w:tc>
      </w:tr>
      <w:tr>
        <w:trPr>
          <w:cantSplit/>
        </w:trPr>
        <w:tc>
          <w:tcPr>
            <w:tcW w:type="dxa" w:w="2835"/>
            <w:shd w:val="clear" w:color="auto" w:fill="FDF0F7"/>
          </w:tcPr>
          <w:p>
            <w:pPr>
              <w:spacing w:after="20"/>
            </w:pPr>
            <w:r>
              <w:rPr>
                <w:b/>
                <w:i w:val="0"/>
                <w:sz w:val="18"/>
              </w:rPr>
              <w:t>Version</w:t>
            </w:r>
          </w:p>
        </w:tc>
        <w:tc>
          <w:tcPr>
            <w:tcW w:type="dxa" w:w="6803"/>
          </w:tcPr>
          <w:p>
            <w:pPr>
              <w:spacing w:after="20"/>
            </w:pPr>
            <w:r>
              <w:rPr>
                <w:b w:val="0"/>
                <w:i w:val="0"/>
                <w:sz w:val="18"/>
              </w:rPr>
              <w:t>1.0</w:t>
            </w:r>
          </w:p>
        </w:tc>
      </w:tr>
      <w:tr>
        <w:trPr>
          <w:cantSplit/>
        </w:trPr>
        <w:tc>
          <w:tcPr>
            <w:tcW w:type="dxa" w:w="2835"/>
            <w:shd w:val="clear" w:color="auto" w:fill="FDF0F7"/>
          </w:tcPr>
          <w:p>
            <w:pPr>
              <w:spacing w:after="20"/>
            </w:pPr>
            <w:r>
              <w:rPr>
                <w:b/>
                <w:i w:val="0"/>
                <w:sz w:val="18"/>
              </w:rPr>
              <w:t>Date</w:t>
            </w:r>
          </w:p>
        </w:tc>
        <w:tc>
          <w:tcPr>
            <w:tcW w:type="dxa" w:w="6803"/>
          </w:tcPr>
          <w:p>
            <w:pPr>
              <w:spacing w:after="20"/>
            </w:pPr>
            <w:r>
              <w:rPr>
                <w:b w:val="0"/>
                <w:i w:val="0"/>
                <w:sz w:val="18"/>
              </w:rPr>
              <w:t>October 2026</w:t>
            </w:r>
          </w:p>
        </w:tc>
      </w:tr>
      <w:tr>
        <w:trPr>
          <w:cantSplit/>
        </w:trPr>
        <w:tc>
          <w:tcPr>
            <w:tcW w:type="dxa" w:w="2835"/>
            <w:shd w:val="clear" w:color="auto" w:fill="FDF0F7"/>
          </w:tcPr>
          <w:p>
            <w:pPr>
              <w:spacing w:after="20"/>
            </w:pPr>
            <w:r>
              <w:rPr>
                <w:b/>
                <w:i w:val="0"/>
                <w:sz w:val="18"/>
              </w:rPr>
              <w:t>RFP deliverable</w:t>
            </w:r>
          </w:p>
        </w:tc>
        <w:tc>
          <w:tcPr>
            <w:tcW w:type="dxa" w:w="6803"/>
          </w:tcPr>
          <w:p>
            <w:pPr>
              <w:spacing w:after="20"/>
            </w:pPr>
            <w:r>
              <w:rPr>
                <w:b w:val="0"/>
                <w:i w:val="0"/>
                <w:sz w:val="18"/>
              </w:rPr>
              <w:t>DEL-06 (Solution Architecture)</w:t>
            </w:r>
          </w:p>
        </w:tc>
      </w:tr>
      <w:tr>
        <w:trPr>
          <w:cantSplit/>
        </w:trPr>
        <w:tc>
          <w:tcPr>
            <w:tcW w:type="dxa" w:w="2835"/>
            <w:shd w:val="clear" w:color="auto" w:fill="FDF0F7"/>
          </w:tcPr>
          <w:p>
            <w:pPr>
              <w:spacing w:after="20"/>
            </w:pPr>
            <w:r>
              <w:rPr>
                <w:b/>
                <w:i w:val="0"/>
                <w:sz w:val="18"/>
              </w:rPr>
              <w:t>Status</w:t>
            </w:r>
          </w:p>
        </w:tc>
        <w:tc>
          <w:tcPr>
            <w:tcW w:type="dxa" w:w="6803"/>
          </w:tcPr>
          <w:p>
            <w:pPr>
              <w:spacing w:after="20"/>
            </w:pPr>
            <w:r>
              <w:rPr>
                <w:b w:val="0"/>
                <w:i w:val="0"/>
                <w:sz w:val="18"/>
              </w:rPr>
              <w:t>Issued with the proposal</w:t>
            </w:r>
          </w:p>
        </w:tc>
      </w:tr>
      <w:tr>
        <w:trPr>
          <w:cantSplit/>
        </w:trPr>
        <w:tc>
          <w:tcPr>
            <w:tcW w:type="dxa" w:w="2835"/>
            <w:shd w:val="clear" w:color="auto" w:fill="FDF0F7"/>
          </w:tcPr>
          <w:p>
            <w:pPr>
              <w:spacing w:after="20"/>
            </w:pPr>
            <w:r>
              <w:rPr>
                <w:b/>
                <w:i w:val="0"/>
                <w:sz w:val="18"/>
              </w:rPr>
              <w:t>Classification</w:t>
            </w:r>
          </w:p>
        </w:tc>
        <w:tc>
          <w:tcPr>
            <w:tcW w:type="dxa" w:w="6803"/>
          </w:tcPr>
          <w:p>
            <w:pPr>
              <w:spacing w:after="20"/>
            </w:pPr>
            <w:r>
              <w:rPr>
                <w:b w:val="0"/>
                <w:i w:val="0"/>
                <w:sz w:val="18"/>
              </w:rPr>
              <w:t>Commercial-in-Confidence</w:t>
            </w:r>
          </w:p>
        </w:tc>
      </w:tr>
    </w:tbl>
    <w:p>
      <w:pPr>
        <w:spacing w:after="0" w:before="0"/>
      </w:pPr>
      <w:r>
        <w:rPr>
          <w:sz w:val="8"/>
        </w:rPr>
      </w:r>
    </w:p>
    <w:p>
      <w:pPr>
        <w:spacing w:after="0" w:before="0"/>
      </w:pPr>
      <w:r>
        <w:rPr>
          <w:sz w:val="24"/>
        </w:rPr>
      </w:r>
    </w:p>
    <w:p>
      <w:pPr>
        <w:keepNext w:val="0"/>
      </w:pPr>
      <w:r>
        <w:rPr>
          <w:b w:val="0"/>
          <w:i/>
          <w:color w:val="6B6B6B"/>
          <w:sz w:val="16"/>
        </w:rPr>
        <w:t>Commercial-in-Confidence. Prepared by iorta TechNXT for Insurans Islam Family Takaful Sendirian Berhad as part of the response to IIFT's Request for Proposal for an Agent/Banca Portal and Back-office solution. Not to be disclosed to third parties without prior written consent.</w:t>
      </w:r>
    </w:p>
    <w:p>
      <w:pPr>
        <w:pStyle w:val="Heading1"/>
        <w:pageBreakBefore/>
        <w:pBdr>
          <w:bottom w:val="single" w:sz="12" w:space="4" w:color="F58220"/>
        </w:pBdr>
      </w:pPr>
      <w:r>
        <w:t>Document Control</w:t>
      </w:r>
    </w:p>
    <w:p>
      <w:pPr>
        <w:keepNext w:val="0"/>
      </w:pPr>
      <w:r>
        <w:rPr>
          <w:b w:val="0"/>
          <w:i w:val="0"/>
        </w:rPr>
        <w:t>This document is the Solution Architecture for SalesVerse 2.0 as configured for IIFT. It is maintained throughout the contract and updated after every material change (NFR-21, MNT-27).</w:t>
      </w:r>
    </w:p>
    <w:p>
      <w:pPr>
        <w:pStyle w:val="Heading3"/>
      </w:pPr>
      <w:r>
        <w:t>Version history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134"/>
        <w:gridCol w:w="1814"/>
        <w:gridCol w:w="2041"/>
        <w:gridCol w:w="4649"/>
      </w:tblGrid>
      <w:tr>
        <w:trPr>
          <w:cantSplit/>
          <w:tblHeader/>
        </w:trPr>
        <w:tc>
          <w:tcPr>
            <w:tcW w:type="dxa" w:w="1134"/>
            <w:shd w:val="clear" w:color="auto" w:fill="E1058C"/>
            <w:vAlign w:val="center"/>
          </w:tcPr>
          <w:p>
            <w:pPr>
              <w:spacing w:after="0"/>
            </w:pPr>
            <w:r>
              <w:rPr>
                <w:b/>
                <w:i w:val="0"/>
                <w:color w:val="FFFFFF"/>
                <w:sz w:val="17"/>
              </w:rPr>
              <w:t>Version</w:t>
            </w:r>
          </w:p>
        </w:tc>
        <w:tc>
          <w:tcPr>
            <w:tcW w:type="dxa" w:w="1814"/>
            <w:shd w:val="clear" w:color="auto" w:fill="E1058C"/>
            <w:vAlign w:val="center"/>
          </w:tcPr>
          <w:p>
            <w:pPr>
              <w:spacing w:after="0"/>
            </w:pPr>
            <w:r>
              <w:rPr>
                <w:b/>
                <w:i w:val="0"/>
                <w:color w:val="FFFFFF"/>
                <w:sz w:val="17"/>
              </w:rPr>
              <w:t>Date</w:t>
            </w:r>
          </w:p>
        </w:tc>
        <w:tc>
          <w:tcPr>
            <w:tcW w:type="dxa" w:w="2041"/>
            <w:shd w:val="clear" w:color="auto" w:fill="E1058C"/>
            <w:vAlign w:val="center"/>
          </w:tcPr>
          <w:p>
            <w:pPr>
              <w:spacing w:after="0"/>
            </w:pPr>
            <w:r>
              <w:rPr>
                <w:b/>
                <w:i w:val="0"/>
                <w:color w:val="FFFFFF"/>
                <w:sz w:val="17"/>
              </w:rPr>
              <w:t>Author</w:t>
            </w:r>
          </w:p>
        </w:tc>
        <w:tc>
          <w:tcPr>
            <w:tcW w:type="dxa" w:w="4649"/>
            <w:shd w:val="clear" w:color="auto" w:fill="E1058C"/>
            <w:vAlign w:val="center"/>
          </w:tcPr>
          <w:p>
            <w:pPr>
              <w:spacing w:after="0"/>
            </w:pPr>
            <w:r>
              <w:rPr>
                <w:b/>
                <w:i w:val="0"/>
                <w:color w:val="FFFFFF"/>
                <w:sz w:val="17"/>
              </w:rPr>
              <w:t>Description</w:t>
            </w:r>
          </w:p>
        </w:tc>
      </w:tr>
      <w:tr>
        <w:trPr>
          <w:cantSplit/>
        </w:trPr>
        <w:tc>
          <w:tcPr>
            <w:tcW w:type="dxa" w:w="1134"/>
            <w:vAlign w:val="top"/>
          </w:tcPr>
          <w:p>
            <w:pPr>
              <w:spacing w:after="20" w:line="252" w:lineRule="auto"/>
            </w:pPr>
            <w:r>
              <w:rPr>
                <w:b w:val="0"/>
                <w:i w:val="0"/>
                <w:sz w:val="17"/>
              </w:rPr>
              <w:t>0.9</w:t>
            </w:r>
          </w:p>
        </w:tc>
        <w:tc>
          <w:tcPr>
            <w:tcW w:type="dxa" w:w="1814"/>
            <w:vAlign w:val="top"/>
          </w:tcPr>
          <w:p>
            <w:pPr>
              <w:spacing w:after="20" w:line="252" w:lineRule="auto"/>
            </w:pPr>
            <w:r>
              <w:rPr>
                <w:b w:val="0"/>
                <w:i w:val="0"/>
                <w:sz w:val="17"/>
              </w:rPr>
              <w:t>September 2026</w:t>
            </w:r>
          </w:p>
        </w:tc>
        <w:tc>
          <w:tcPr>
            <w:tcW w:type="dxa" w:w="2041"/>
            <w:vAlign w:val="top"/>
          </w:tcPr>
          <w:p>
            <w:pPr>
              <w:spacing w:after="20" w:line="252" w:lineRule="auto"/>
            </w:pPr>
            <w:r>
              <w:rPr>
                <w:b w:val="0"/>
                <w:i w:val="0"/>
                <w:sz w:val="17"/>
              </w:rPr>
              <w:t>iorta TechNXT</w:t>
            </w:r>
          </w:p>
        </w:tc>
        <w:tc>
          <w:tcPr>
            <w:tcW w:type="dxa" w:w="4649"/>
            <w:vAlign w:val="top"/>
          </w:tcPr>
          <w:p>
            <w:pPr>
              <w:spacing w:after="20" w:line="252" w:lineRule="auto"/>
            </w:pPr>
            <w:r>
              <w:rPr>
                <w:b w:val="0"/>
                <w:i w:val="0"/>
                <w:sz w:val="17"/>
              </w:rPr>
              <w:t>Internal technical review</w:t>
            </w:r>
          </w:p>
        </w:tc>
      </w:tr>
      <w:tr>
        <w:trPr>
          <w:cantSplit/>
        </w:trPr>
        <w:tc>
          <w:tcPr>
            <w:tcW w:type="dxa" w:w="1134"/>
            <w:vAlign w:val="top"/>
            <w:shd w:val="clear" w:color="auto" w:fill="FDF0F7"/>
          </w:tcPr>
          <w:p>
            <w:pPr>
              <w:spacing w:after="20" w:line="252" w:lineRule="auto"/>
            </w:pPr>
            <w:r>
              <w:rPr>
                <w:b w:val="0"/>
                <w:i w:val="0"/>
                <w:sz w:val="17"/>
              </w:rPr>
              <w:t>1.0</w:t>
            </w:r>
          </w:p>
        </w:tc>
        <w:tc>
          <w:tcPr>
            <w:tcW w:type="dxa" w:w="1814"/>
            <w:vAlign w:val="top"/>
            <w:shd w:val="clear" w:color="auto" w:fill="FDF0F7"/>
          </w:tcPr>
          <w:p>
            <w:pPr>
              <w:spacing w:after="20" w:line="252" w:lineRule="auto"/>
            </w:pPr>
            <w:r>
              <w:rPr>
                <w:b w:val="0"/>
                <w:i w:val="0"/>
                <w:sz w:val="17"/>
              </w:rPr>
              <w:t>October 2026</w:t>
            </w:r>
          </w:p>
        </w:tc>
        <w:tc>
          <w:tcPr>
            <w:tcW w:type="dxa" w:w="2041"/>
            <w:vAlign w:val="top"/>
            <w:shd w:val="clear" w:color="auto" w:fill="FDF0F7"/>
          </w:tcPr>
          <w:p>
            <w:pPr>
              <w:spacing w:after="20" w:line="252" w:lineRule="auto"/>
            </w:pPr>
            <w:r>
              <w:rPr>
                <w:b w:val="0"/>
                <w:i w:val="0"/>
                <w:sz w:val="17"/>
              </w:rPr>
              <w:t>iorta TechNXT</w:t>
            </w:r>
          </w:p>
        </w:tc>
        <w:tc>
          <w:tcPr>
            <w:tcW w:type="dxa" w:w="4649"/>
            <w:vAlign w:val="top"/>
            <w:shd w:val="clear" w:color="auto" w:fill="FDF0F7"/>
          </w:tcPr>
          <w:p>
            <w:pPr>
              <w:spacing w:after="20" w:line="252" w:lineRule="auto"/>
            </w:pPr>
            <w:r>
              <w:rPr>
                <w:b w:val="0"/>
                <w:i w:val="0"/>
                <w:sz w:val="17"/>
              </w:rPr>
              <w:t>Issued with the tender proposal</w:t>
            </w:r>
          </w:p>
        </w:tc>
      </w:tr>
    </w:tbl>
    <w:p>
      <w:pPr>
        <w:spacing w:after="0" w:before="0"/>
      </w:pPr>
      <w:r>
        <w:rPr>
          <w:sz w:val="8"/>
        </w:rPr>
      </w:r>
    </w:p>
    <w:p>
      <w:pPr>
        <w:pStyle w:val="Heading3"/>
      </w:pPr>
      <w:r>
        <w:t>Review and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195"/>
        <w:gridCol w:w="2835"/>
        <w:gridCol w:w="2608"/>
      </w:tblGrid>
      <w:tr>
        <w:trPr>
          <w:cantSplit/>
          <w:tblHeader/>
        </w:trPr>
        <w:tc>
          <w:tcPr>
            <w:tcW w:type="dxa" w:w="4195"/>
            <w:shd w:val="clear" w:color="auto" w:fill="E1058C"/>
            <w:vAlign w:val="center"/>
          </w:tcPr>
          <w:p>
            <w:pPr>
              <w:spacing w:after="0"/>
            </w:pPr>
            <w:r>
              <w:rPr>
                <w:b/>
                <w:i w:val="0"/>
                <w:color w:val="FFFFFF"/>
                <w:sz w:val="17"/>
              </w:rPr>
              <w:t>Role</w:t>
            </w:r>
          </w:p>
        </w:tc>
        <w:tc>
          <w:tcPr>
            <w:tcW w:type="dxa" w:w="2835"/>
            <w:shd w:val="clear" w:color="auto" w:fill="E1058C"/>
            <w:vAlign w:val="center"/>
          </w:tcPr>
          <w:p>
            <w:pPr>
              <w:spacing w:after="0"/>
            </w:pPr>
            <w:r>
              <w:rPr>
                <w:b/>
                <w:i w:val="0"/>
                <w:color w:val="FFFFFF"/>
                <w:sz w:val="17"/>
              </w:rPr>
              <w:t>Name</w:t>
            </w:r>
          </w:p>
        </w:tc>
        <w:tc>
          <w:tcPr>
            <w:tcW w:type="dxa" w:w="2608"/>
            <w:shd w:val="clear" w:color="auto" w:fill="E1058C"/>
            <w:vAlign w:val="center"/>
          </w:tcPr>
          <w:p>
            <w:pPr>
              <w:spacing w:after="0"/>
            </w:pPr>
            <w:r>
              <w:rPr>
                <w:b/>
                <w:i w:val="0"/>
                <w:color w:val="FFFFFF"/>
                <w:sz w:val="17"/>
              </w:rPr>
              <w:t>Signature / date</w:t>
            </w:r>
          </w:p>
        </w:tc>
      </w:tr>
      <w:tr>
        <w:trPr>
          <w:cantSplit/>
        </w:trPr>
        <w:tc>
          <w:tcPr>
            <w:tcW w:type="dxa" w:w="4195"/>
            <w:vAlign w:val="top"/>
          </w:tcPr>
          <w:p>
            <w:pPr>
              <w:spacing w:after="20" w:line="252" w:lineRule="auto"/>
            </w:pPr>
            <w:r>
              <w:rPr>
                <w:b w:val="0"/>
                <w:i w:val="0"/>
                <w:sz w:val="17"/>
              </w:rPr>
              <w:t>Prepared by (Solution Architect,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Reviewed by (Engineering Lead, iorta TechNXT)</w:t>
            </w:r>
          </w:p>
        </w:tc>
        <w:tc>
          <w:tcPr>
            <w:tcW w:type="dxa" w:w="2835"/>
            <w:vAlign w:val="top"/>
            <w:shd w:val="clear" w:color="auto" w:fill="FDF0F7"/>
          </w:tcPr>
          <w:p>
            <w:pPr>
              <w:spacing w:after="20" w:line="252" w:lineRule="auto"/>
            </w:pPr>
            <w:r>
              <w:rPr>
                <w:b w:val="0"/>
                <w:i w:val="0"/>
                <w:sz w:val="17"/>
                <w:highlight w:val="yellow"/>
              </w:rPr>
              <w:t>[Name]</w:t>
            </w:r>
          </w:p>
        </w:tc>
        <w:tc>
          <w:tcPr>
            <w:tcW w:type="dxa" w:w="2608"/>
            <w:vAlign w:val="top"/>
            <w:shd w:val="clear" w:color="auto" w:fill="FDF0F7"/>
          </w:tcPr>
          <w:p>
            <w:pPr>
              <w:spacing w:after="20" w:line="252" w:lineRule="auto"/>
            </w:pPr>
          </w:p>
        </w:tc>
      </w:tr>
      <w:tr>
        <w:trPr>
          <w:cantSplit/>
        </w:trPr>
        <w:tc>
          <w:tcPr>
            <w:tcW w:type="dxa" w:w="4195"/>
            <w:vAlign w:val="top"/>
          </w:tcPr>
          <w:p>
            <w:pPr>
              <w:spacing w:after="20" w:line="252" w:lineRule="auto"/>
            </w:pPr>
            <w:r>
              <w:rPr>
                <w:b w:val="0"/>
                <w:i w:val="0"/>
                <w:sz w:val="17"/>
              </w:rPr>
              <w:t>Approved by (Project Director,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Accepted by (IIFT IT)</w:t>
            </w:r>
          </w:p>
        </w:tc>
        <w:tc>
          <w:tcPr>
            <w:tcW w:type="dxa" w:w="2835"/>
            <w:vAlign w:val="top"/>
            <w:shd w:val="clear" w:color="auto" w:fill="FDF0F7"/>
          </w:tcPr>
          <w:p>
            <w:pPr>
              <w:spacing w:after="20" w:line="252" w:lineRule="auto"/>
            </w:pPr>
            <w:r>
              <w:rPr>
                <w:b w:val="0"/>
                <w:i w:val="0"/>
                <w:sz w:val="17"/>
                <w:highlight w:val="yellow"/>
              </w:rPr>
              <w:t>[Name, designation]</w:t>
            </w:r>
          </w:p>
        </w:tc>
        <w:tc>
          <w:tcPr>
            <w:tcW w:type="dxa" w:w="2608"/>
            <w:vAlign w:val="top"/>
            <w:shd w:val="clear" w:color="auto" w:fill="FDF0F7"/>
          </w:tcPr>
          <w:p>
            <w:pPr>
              <w:spacing w:after="20" w:line="252" w:lineRule="auto"/>
            </w:pPr>
          </w:p>
        </w:tc>
      </w:tr>
    </w:tbl>
    <w:p>
      <w:pPr>
        <w:spacing w:after="0" w:before="0"/>
      </w:pPr>
      <w:r>
        <w:rPr>
          <w:sz w:val="8"/>
        </w:rPr>
      </w:r>
    </w:p>
    <w:p>
      <w:pPr>
        <w:pStyle w:val="Heading3"/>
      </w:pPr>
      <w:r>
        <w:t>Document pack</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4082"/>
        <w:gridCol w:w="2041"/>
        <w:gridCol w:w="1701"/>
      </w:tblGrid>
      <w:tr>
        <w:trPr>
          <w:cantSplit/>
          <w:tblHeader/>
        </w:trPr>
        <w:tc>
          <w:tcPr>
            <w:tcW w:type="dxa" w:w="1814"/>
            <w:shd w:val="clear" w:color="auto" w:fill="E1058C"/>
            <w:vAlign w:val="center"/>
          </w:tcPr>
          <w:p>
            <w:pPr>
              <w:spacing w:after="0"/>
            </w:pPr>
            <w:r>
              <w:rPr>
                <w:b/>
                <w:i w:val="0"/>
                <w:color w:val="FFFFFF"/>
                <w:sz w:val="17"/>
              </w:rPr>
              <w:t>Reference</w:t>
            </w:r>
          </w:p>
        </w:tc>
        <w:tc>
          <w:tcPr>
            <w:tcW w:type="dxa" w:w="4082"/>
            <w:shd w:val="clear" w:color="auto" w:fill="E1058C"/>
            <w:vAlign w:val="center"/>
          </w:tcPr>
          <w:p>
            <w:pPr>
              <w:spacing w:after="0"/>
            </w:pPr>
            <w:r>
              <w:rPr>
                <w:b/>
                <w:i w:val="0"/>
                <w:color w:val="FFFFFF"/>
                <w:sz w:val="17"/>
              </w:rPr>
              <w:t>Document</w:t>
            </w:r>
          </w:p>
        </w:tc>
        <w:tc>
          <w:tcPr>
            <w:tcW w:type="dxa" w:w="2041"/>
            <w:shd w:val="clear" w:color="auto" w:fill="E1058C"/>
            <w:vAlign w:val="center"/>
          </w:tcPr>
          <w:p>
            <w:pPr>
              <w:spacing w:after="0"/>
            </w:pPr>
            <w:r>
              <w:rPr>
                <w:b/>
                <w:i w:val="0"/>
                <w:color w:val="FFFFFF"/>
                <w:sz w:val="17"/>
              </w:rPr>
              <w:t>RFP deliverable</w:t>
            </w:r>
          </w:p>
        </w:tc>
        <w:tc>
          <w:tcPr>
            <w:tcW w:type="dxa" w:w="1701"/>
            <w:shd w:val="clear" w:color="auto" w:fill="E1058C"/>
            <w:vAlign w:val="center"/>
          </w:tcPr>
          <w:p>
            <w:pPr>
              <w:spacing w:after="0"/>
            </w:pPr>
            <w:r>
              <w:rPr>
                <w:b/>
                <w:i w:val="0"/>
                <w:color w:val="FFFFFF"/>
                <w:sz w:val="17"/>
              </w:rPr>
              <w:t>Status</w:t>
            </w:r>
          </w:p>
        </w:tc>
      </w:tr>
      <w:tr>
        <w:trPr>
          <w:cantSplit/>
        </w:trPr>
        <w:tc>
          <w:tcPr>
            <w:tcW w:type="dxa" w:w="1814"/>
            <w:vAlign w:val="top"/>
          </w:tcPr>
          <w:p>
            <w:pPr>
              <w:spacing w:after="20" w:line="252" w:lineRule="auto"/>
            </w:pPr>
            <w:r>
              <w:rPr>
                <w:b w:val="0"/>
                <w:i w:val="0"/>
                <w:sz w:val="17"/>
              </w:rPr>
              <w:t>IIFT-SV2-SAD</w:t>
            </w:r>
          </w:p>
        </w:tc>
        <w:tc>
          <w:tcPr>
            <w:tcW w:type="dxa" w:w="4082"/>
            <w:vAlign w:val="top"/>
          </w:tcPr>
          <w:p>
            <w:pPr>
              <w:spacing w:after="20" w:line="252" w:lineRule="auto"/>
            </w:pPr>
            <w:r>
              <w:rPr>
                <w:b w:val="0"/>
                <w:i w:val="0"/>
                <w:sz w:val="17"/>
              </w:rPr>
              <w:t>SalesVerse 2.0 Solution Architecture</w:t>
            </w:r>
          </w:p>
        </w:tc>
        <w:tc>
          <w:tcPr>
            <w:tcW w:type="dxa" w:w="2041"/>
            <w:vAlign w:val="top"/>
          </w:tcPr>
          <w:p>
            <w:pPr>
              <w:spacing w:after="20" w:line="252" w:lineRule="auto"/>
            </w:pPr>
            <w:r>
              <w:rPr>
                <w:b w:val="0"/>
                <w:i w:val="0"/>
                <w:sz w:val="17"/>
              </w:rPr>
              <w:t>DEL-06</w:t>
            </w:r>
          </w:p>
        </w:tc>
        <w:tc>
          <w:tcPr>
            <w:tcW w:type="dxa" w:w="1701"/>
            <w:vAlign w:val="top"/>
          </w:tcPr>
          <w:p>
            <w:pPr>
              <w:spacing w:after="20" w:line="252" w:lineRule="auto"/>
            </w:pPr>
            <w:r>
              <w:rPr>
                <w:b w:val="0"/>
                <w:i w:val="0"/>
                <w:sz w:val="17"/>
              </w:rPr>
              <w:t>This document</w:t>
            </w:r>
          </w:p>
        </w:tc>
      </w:tr>
      <w:tr>
        <w:trPr>
          <w:cantSplit/>
        </w:trPr>
        <w:tc>
          <w:tcPr>
            <w:tcW w:type="dxa" w:w="1814"/>
            <w:vAlign w:val="top"/>
            <w:shd w:val="clear" w:color="auto" w:fill="FDF0F7"/>
          </w:tcPr>
          <w:p>
            <w:pPr>
              <w:spacing w:after="20" w:line="252" w:lineRule="auto"/>
            </w:pPr>
            <w:r>
              <w:rPr>
                <w:b w:val="0"/>
                <w:i w:val="0"/>
                <w:sz w:val="17"/>
              </w:rPr>
              <w:t>IIFT-SV2-DD</w:t>
            </w:r>
          </w:p>
        </w:tc>
        <w:tc>
          <w:tcPr>
            <w:tcW w:type="dxa" w:w="4082"/>
            <w:vAlign w:val="top"/>
            <w:shd w:val="clear" w:color="auto" w:fill="FDF0F7"/>
          </w:tcPr>
          <w:p>
            <w:pPr>
              <w:spacing w:after="20" w:line="252" w:lineRule="auto"/>
            </w:pPr>
            <w:r>
              <w:rPr>
                <w:b w:val="0"/>
                <w:i w:val="0"/>
                <w:sz w:val="17"/>
              </w:rPr>
              <w:t>SalesVerse 2.0 Data Dictionary</w:t>
            </w:r>
          </w:p>
        </w:tc>
        <w:tc>
          <w:tcPr>
            <w:tcW w:type="dxa" w:w="2041"/>
            <w:vAlign w:val="top"/>
            <w:shd w:val="clear" w:color="auto" w:fill="FDF0F7"/>
          </w:tcPr>
          <w:p>
            <w:pPr>
              <w:spacing w:after="20" w:line="252" w:lineRule="auto"/>
            </w:pPr>
            <w:r>
              <w:rPr>
                <w:b w:val="0"/>
                <w:i w:val="0"/>
                <w:sz w:val="17"/>
              </w:rPr>
              <w:t>DEL-07</w:t>
            </w:r>
          </w:p>
        </w:tc>
        <w:tc>
          <w:tcPr>
            <w:tcW w:type="dxa" w:w="1701"/>
            <w:vAlign w:val="top"/>
            <w:shd w:val="clear" w:color="auto" w:fill="FDF0F7"/>
          </w:tcPr>
          <w:p>
            <w:pPr>
              <w:spacing w:after="20" w:line="252" w:lineRule="auto"/>
            </w:pPr>
            <w:r>
              <w:rPr>
                <w:b w:val="0"/>
                <w:i w:val="0"/>
                <w:sz w:val="17"/>
              </w:rPr>
              <w:t>Issued</w:t>
            </w:r>
          </w:p>
        </w:tc>
      </w:tr>
      <w:tr>
        <w:trPr>
          <w:cantSplit/>
        </w:trPr>
        <w:tc>
          <w:tcPr>
            <w:tcW w:type="dxa" w:w="1814"/>
            <w:vAlign w:val="top"/>
          </w:tcPr>
          <w:p>
            <w:pPr>
              <w:spacing w:after="20" w:line="252" w:lineRule="auto"/>
            </w:pPr>
            <w:r>
              <w:rPr>
                <w:b w:val="0"/>
                <w:i w:val="0"/>
                <w:sz w:val="17"/>
              </w:rPr>
              <w:t>IIFT-SV2-PSH</w:t>
            </w:r>
          </w:p>
        </w:tc>
        <w:tc>
          <w:tcPr>
            <w:tcW w:type="dxa" w:w="4082"/>
            <w:vAlign w:val="top"/>
          </w:tcPr>
          <w:p>
            <w:pPr>
              <w:spacing w:after="20" w:line="252" w:lineRule="auto"/>
            </w:pPr>
            <w:r>
              <w:rPr>
                <w:b w:val="0"/>
                <w:i w:val="0"/>
                <w:sz w:val="17"/>
              </w:rPr>
              <w:t>SalesVerse 2.0 Production Support Handover</w:t>
            </w:r>
          </w:p>
        </w:tc>
        <w:tc>
          <w:tcPr>
            <w:tcW w:type="dxa" w:w="2041"/>
            <w:vAlign w:val="top"/>
          </w:tcPr>
          <w:p>
            <w:pPr>
              <w:spacing w:after="20" w:line="252" w:lineRule="auto"/>
            </w:pPr>
            <w:r>
              <w:rPr>
                <w:b w:val="0"/>
                <w:i w:val="0"/>
                <w:sz w:val="17"/>
              </w:rPr>
              <w:t>DEL-26, DEL-27, MNT-28</w:t>
            </w:r>
          </w:p>
        </w:tc>
        <w:tc>
          <w:tcPr>
            <w:tcW w:type="dxa" w:w="1701"/>
            <w:vAlign w:val="top"/>
          </w:tcPr>
          <w:p>
            <w:pPr>
              <w:spacing w:after="20" w:line="252" w:lineRule="auto"/>
            </w:pPr>
            <w:r>
              <w:rPr>
                <w:b w:val="0"/>
                <w:i w:val="0"/>
                <w:sz w:val="17"/>
              </w:rPr>
              <w:t>Issued</w:t>
            </w:r>
          </w:p>
        </w:tc>
      </w:tr>
      <w:tr>
        <w:trPr>
          <w:cantSplit/>
        </w:trPr>
        <w:tc>
          <w:tcPr>
            <w:tcW w:type="dxa" w:w="1814"/>
            <w:vAlign w:val="top"/>
            <w:shd w:val="clear" w:color="auto" w:fill="FDF0F7"/>
          </w:tcPr>
          <w:p>
            <w:pPr>
              <w:spacing w:after="20" w:line="252" w:lineRule="auto"/>
            </w:pPr>
            <w:r>
              <w:rPr>
                <w:b w:val="0"/>
                <w:i w:val="0"/>
                <w:sz w:val="17"/>
              </w:rPr>
              <w:t>IIFT-SV2-CSQ</w:t>
            </w:r>
          </w:p>
        </w:tc>
        <w:tc>
          <w:tcPr>
            <w:tcW w:type="dxa" w:w="4082"/>
            <w:vAlign w:val="top"/>
            <w:shd w:val="clear" w:color="auto" w:fill="FDF0F7"/>
          </w:tcPr>
          <w:p>
            <w:pPr>
              <w:spacing w:after="20" w:line="252" w:lineRule="auto"/>
            </w:pPr>
            <w:r>
              <w:rPr>
                <w:b w:val="0"/>
                <w:i w:val="0"/>
                <w:sz w:val="17"/>
              </w:rPr>
              <w:t>SalesVerse 2.0 Code Standards &amp; Quality Report</w:t>
            </w:r>
          </w:p>
        </w:tc>
        <w:tc>
          <w:tcPr>
            <w:tcW w:type="dxa" w:w="2041"/>
            <w:vAlign w:val="top"/>
            <w:shd w:val="clear" w:color="auto" w:fill="FDF0F7"/>
          </w:tcPr>
          <w:p>
            <w:pPr>
              <w:spacing w:after="20" w:line="252" w:lineRule="auto"/>
            </w:pPr>
            <w:r>
              <w:rPr>
                <w:b w:val="0"/>
                <w:i w:val="0"/>
                <w:sz w:val="17"/>
              </w:rPr>
              <w:t>DEL-11, NFR-14</w:t>
            </w:r>
          </w:p>
        </w:tc>
        <w:tc>
          <w:tcPr>
            <w:tcW w:type="dxa" w:w="1701"/>
            <w:vAlign w:val="top"/>
            <w:shd w:val="clear" w:color="auto" w:fill="FDF0F7"/>
          </w:tcPr>
          <w:p>
            <w:pPr>
              <w:spacing w:after="20" w:line="252" w:lineRule="auto"/>
            </w:pPr>
            <w:r>
              <w:rPr>
                <w:b w:val="0"/>
                <w:i w:val="0"/>
                <w:sz w:val="17"/>
              </w:rPr>
              <w:t>Issued</w:t>
            </w:r>
          </w:p>
        </w:tc>
      </w:tr>
      <w:tr>
        <w:trPr>
          <w:cantSplit/>
        </w:trPr>
        <w:tc>
          <w:tcPr>
            <w:tcW w:type="dxa" w:w="1814"/>
            <w:vAlign w:val="top"/>
          </w:tcPr>
          <w:p>
            <w:pPr>
              <w:spacing w:after="20" w:line="252" w:lineRule="auto"/>
            </w:pPr>
            <w:r>
              <w:rPr>
                <w:b w:val="0"/>
                <w:i w:val="0"/>
                <w:sz w:val="17"/>
              </w:rPr>
              <w:t>IIFT-SV2-SAR</w:t>
            </w:r>
          </w:p>
        </w:tc>
        <w:tc>
          <w:tcPr>
            <w:tcW w:type="dxa" w:w="4082"/>
            <w:vAlign w:val="top"/>
          </w:tcPr>
          <w:p>
            <w:pPr>
              <w:spacing w:after="20" w:line="252" w:lineRule="auto"/>
            </w:pPr>
            <w:r>
              <w:rPr>
                <w:b w:val="0"/>
                <w:i w:val="0"/>
                <w:sz w:val="17"/>
              </w:rPr>
              <w:t>SalesVerse 2.0 Security Assessment Report</w:t>
            </w:r>
          </w:p>
        </w:tc>
        <w:tc>
          <w:tcPr>
            <w:tcW w:type="dxa" w:w="2041"/>
            <w:vAlign w:val="top"/>
          </w:tcPr>
          <w:p>
            <w:pPr>
              <w:spacing w:after="20" w:line="252" w:lineRule="auto"/>
            </w:pPr>
            <w:r>
              <w:rPr>
                <w:b w:val="0"/>
                <w:i w:val="0"/>
                <w:sz w:val="17"/>
              </w:rPr>
              <w:t>DEL-17, NFR-13</w:t>
            </w:r>
          </w:p>
        </w:tc>
        <w:tc>
          <w:tcPr>
            <w:tcW w:type="dxa" w:w="1701"/>
            <w:vAlign w:val="top"/>
          </w:tcPr>
          <w:p>
            <w:pPr>
              <w:spacing w:after="20" w:line="252" w:lineRule="auto"/>
            </w:pPr>
            <w:r>
              <w:rPr>
                <w:b w:val="0"/>
                <w:i w:val="0"/>
                <w:sz w:val="17"/>
              </w:rPr>
              <w:t>Issued</w:t>
            </w:r>
          </w:p>
        </w:tc>
      </w:tr>
    </w:tbl>
    <w:p>
      <w:pPr>
        <w:spacing w:after="0" w:before="0"/>
      </w:pPr>
      <w:r>
        <w:rPr>
          <w:sz w:val="8"/>
        </w:rPr>
      </w:r>
    </w:p>
    <w:p>
      <w:pPr>
        <w:pStyle w:val="Heading3"/>
      </w:pPr>
      <w:r>
        <w:t>Related material</w:t>
      </w:r>
    </w:p>
    <w:p>
      <w:pPr>
        <w:pStyle w:val="ListBullet"/>
      </w:pPr>
      <w:r>
        <w:rPr>
          <w:b w:val="0"/>
          <w:i w:val="0"/>
        </w:rPr>
        <w:t>SalesVerse-2.0-Data-Dictionary (.docx and .xlsx): every table and column.</w:t>
      </w:r>
    </w:p>
    <w:p>
      <w:pPr>
        <w:pStyle w:val="ListBullet"/>
      </w:pPr>
      <w:r>
        <w:rPr>
          <w:b w:val="0"/>
          <w:i w:val="0"/>
        </w:rPr>
        <w:t>SalesVerse-2.0-Production-Support-Handover: support model, runbooks and configuration reference.</w:t>
      </w:r>
    </w:p>
    <w:p>
      <w:pPr>
        <w:pStyle w:val="ListBullet"/>
      </w:pPr>
      <w:r>
        <w:rPr>
          <w:b w:val="0"/>
          <w:i w:val="0"/>
        </w:rPr>
        <w:t>docs/api/openapi.json: API description generated from the code.</w:t>
      </w:r>
    </w:p>
    <w:p>
      <w:pPr>
        <w:pStyle w:val="Heading3"/>
      </w:pPr>
      <w:r>
        <w:t>Conventions</w:t>
      </w:r>
    </w:p>
    <w:p>
      <w:pPr>
        <w:pStyle w:val="ListBullet"/>
      </w:pPr>
      <w:r>
        <w:rPr>
          <w:b w:val="0"/>
          <w:i w:val="0"/>
        </w:rPr>
        <w:t>Monetary amounts are in Brunei dollars (B$). Times are Brunei time (UTC+8) unless marked UTC.</w:t>
      </w:r>
    </w:p>
    <w:p>
      <w:pPr>
        <w:pStyle w:val="ListBullet"/>
      </w:pPr>
      <w:r>
        <w:rPr>
          <w:b w:val="0"/>
          <w:i w:val="0"/>
        </w:rPr>
        <w:t>RFP requirement identifiers (AP, BO, INT, COM, NFR, DEL, MNT) refer to IIFT's Request for Proposal. COM-01 to COM-10 in this pack are the shared platform requirements of RFP section 4.4.</w:t>
      </w:r>
    </w:p>
    <w:p>
      <w:pPr>
        <w:pStyle w:val="ListBullet"/>
      </w:pPr>
      <w:r>
        <w:rPr>
          <w:b w:val="0"/>
          <w:i w:val="0"/>
        </w:rPr>
        <w:t xml:space="preserve">Items marked </w:t>
      </w:r>
      <w:r>
        <w:rPr>
          <w:b/>
          <w:i w:val="0"/>
        </w:rPr>
        <w:t>delivered during implementation</w:t>
      </w:r>
      <w:r>
        <w:rPr>
          <w:b w:val="0"/>
          <w:i w:val="0"/>
        </w:rPr>
        <w:t xml:space="preserve"> are designed here but not yet present in the working application; everything else describes the application as it runs today.</w:t>
      </w:r>
    </w:p>
    <w:p>
      <w:pPr>
        <w:pStyle w:val="ListBullet"/>
      </w:pPr>
      <w:r>
        <w:rPr>
          <w:b w:val="0"/>
          <w:i w:val="0"/>
        </w:rPr>
        <w:t>Option A, B and C are the commercial options of the proposal: on-premise with a perpetual licence, subscription hosted and managed by iorta on cloud, and source code handover. Prices and commercial terms are in the proposal and its pricing workbook; this pack quotes a figure only where a technical statement depends on it, and reads it from the same source as the proposal.</w:t>
      </w:r>
    </w:p>
    <w:p>
      <w:pPr>
        <w:pStyle w:val="ListBullet"/>
      </w:pPr>
      <w:r>
        <w:rPr>
          <w:b w:val="0"/>
          <w:i w:val="0"/>
        </w:rPr>
        <w:t xml:space="preserve">Text in </w:t>
      </w:r>
      <w:r>
        <w:rPr>
          <w:b w:val="0"/>
          <w:i w:val="0"/>
          <w:highlight w:val="yellow"/>
        </w:rPr>
        <w:t>[square brackets]</w:t>
      </w:r>
      <w:r>
        <w:rPr>
          <w:b w:val="0"/>
          <w:i w:val="0"/>
        </w:rPr>
        <w:t xml:space="preserve"> is to be completed with IIFT during mobilisation.</w:t>
      </w:r>
    </w:p>
    <w:p>
      <w:pPr>
        <w:pStyle w:val="Heading1"/>
        <w:pageBreakBefore/>
        <w:pBdr>
          <w:bottom w:val="single" w:sz="12" w:space="4" w:color="F58220"/>
        </w:pBdr>
      </w:pPr>
      <w:r>
        <w:t>Contents</w:t>
      </w:r>
    </w:p>
    <w:p>
      <w:r>
        <w:rPr>
          <w:b w:val="0"/>
        </w:rPr>
        <w:fldChar w:fldCharType="begin" w:dirty="true"/>
      </w:r>
      <w:r>
        <w:rPr>
          <w:b w:val="0"/>
        </w:rPr>
        <w:instrText xml:space="preserve"> TOC \o "1-2" \h \z \u </w:instrText>
      </w:r>
      <w:r>
        <w:rPr>
          <w:b w:val="0"/>
        </w:rPr>
        <w:fldChar w:fldCharType="separate"/>
      </w:r>
      <w:r>
        <w:rPr>
          <w:b w:val="0"/>
        </w:rPr>
        <w:t>Right-click here and choose Update Field to build the table of contents.</w:t>
      </w:r>
      <w:r>
        <w:rPr>
          <w:b w:val="0"/>
        </w:rPr>
        <w:fldChar w:fldCharType="end"/>
      </w:r>
    </w:p>
    <w:p>
      <w:pPr>
        <w:pStyle w:val="Heading1"/>
        <w:pageBreakBefore/>
        <w:pBdr>
          <w:bottom w:val="single" w:sz="12" w:space="4" w:color="F58220"/>
        </w:pBdr>
      </w:pPr>
      <w:r>
        <w:t>1. Purpose and Scope</w:t>
      </w:r>
    </w:p>
    <w:p>
      <w:pPr>
        <w:pStyle w:val="Heading2"/>
      </w:pPr>
      <w:r>
        <w:t>1.1 Purpose</w:t>
      </w:r>
    </w:p>
    <w:p>
      <w:pPr>
        <w:keepNext w:val="0"/>
      </w:pPr>
      <w:r>
        <w:rPr>
          <w:b w:val="0"/>
          <w:i w:val="0"/>
        </w:rPr>
        <w:t>This document describes the solution architecture of SalesVerse 2.0 as configured for Insurans Islam Family Takaful Sendirian Berhad (IIFT) as the Agent/Banca Portal and Back-office. It explains how the solution is structured, how it handles data, integration and security, how it is deployed and sized, and why the main design decisions were taken. It is the Solution Architecture deliverable (DEL-06) and the reference for the Technical Design (DEL-07), the Interface Specification (DEL-09) and the deployment plan (DEL-20).</w:t>
      </w:r>
    </w:p>
    <w:p>
      <w:pPr>
        <w:pStyle w:val="Heading2"/>
      </w:pPr>
      <w:r>
        <w:t>1.2 Scope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819"/>
        <w:gridCol w:w="4819"/>
      </w:tblGrid>
      <w:tr>
        <w:trPr>
          <w:cantSplit/>
          <w:tblHeader/>
        </w:trPr>
        <w:tc>
          <w:tcPr>
            <w:tcW w:type="dxa" w:w="4819"/>
            <w:shd w:val="clear" w:color="auto" w:fill="E1058C"/>
            <w:vAlign w:val="center"/>
          </w:tcPr>
          <w:p>
            <w:pPr>
              <w:spacing w:after="0"/>
            </w:pPr>
            <w:r>
              <w:rPr>
                <w:b/>
                <w:i w:val="0"/>
                <w:color w:val="FFFFFF"/>
                <w:sz w:val="17"/>
              </w:rPr>
              <w:t>In scope</w:t>
            </w:r>
          </w:p>
        </w:tc>
        <w:tc>
          <w:tcPr>
            <w:tcW w:type="dxa" w:w="4819"/>
            <w:shd w:val="clear" w:color="auto" w:fill="E1058C"/>
            <w:vAlign w:val="center"/>
          </w:tcPr>
          <w:p>
            <w:pPr>
              <w:spacing w:after="0"/>
            </w:pPr>
            <w:r>
              <w:rPr>
                <w:b/>
                <w:i w:val="0"/>
                <w:color w:val="FFFFFF"/>
                <w:sz w:val="17"/>
              </w:rPr>
              <w:t>Out of scope</w:t>
            </w:r>
          </w:p>
        </w:tc>
      </w:tr>
      <w:tr>
        <w:trPr>
          <w:cantSplit/>
        </w:trPr>
        <w:tc>
          <w:tcPr>
            <w:tcW w:type="dxa" w:w="4819"/>
            <w:vAlign w:val="top"/>
          </w:tcPr>
          <w:p>
            <w:pPr>
              <w:spacing w:after="20" w:line="252" w:lineRule="auto"/>
            </w:pPr>
            <w:r>
              <w:rPr>
                <w:b w:val="0"/>
                <w:i w:val="0"/>
                <w:sz w:val="17"/>
              </w:rPr>
              <w:t>Agent/Banca Portal for agents, main agents and bank officers</w:t>
            </w:r>
          </w:p>
          <w:p>
            <w:pPr>
              <w:spacing w:after="20" w:line="252" w:lineRule="auto"/>
            </w:pPr>
            <w:r>
              <w:rPr>
                <w:b w:val="0"/>
                <w:i w:val="0"/>
                <w:sz w:val="17"/>
              </w:rPr>
              <w:t>Back-office for IIFT staff</w:t>
            </w:r>
          </w:p>
          <w:p>
            <w:pPr>
              <w:spacing w:after="20" w:line="252" w:lineRule="auto"/>
            </w:pPr>
            <w:r>
              <w:rPr>
                <w:b w:val="0"/>
                <w:i w:val="0"/>
                <w:sz w:val="17"/>
              </w:rPr>
              <w:t>Participant e-signature page</w:t>
            </w:r>
          </w:p>
          <w:p>
            <w:pPr>
              <w:spacing w:after="20" w:line="252" w:lineRule="auto"/>
            </w:pPr>
            <w:r>
              <w:rPr>
                <w:b w:val="0"/>
                <w:i w:val="0"/>
                <w:sz w:val="17"/>
              </w:rPr>
              <w:t>REST API, database, document store, scheduled jobs</w:t>
            </w:r>
          </w:p>
          <w:p>
            <w:pPr>
              <w:spacing w:after="20" w:line="252" w:lineRule="auto"/>
            </w:pPr>
            <w:r>
              <w:rPr>
                <w:b w:val="0"/>
                <w:i w:val="0"/>
                <w:sz w:val="17"/>
              </w:rPr>
              <w:t>Integration with Core, FIN, AML provider, SMTP, SMS and Active Directory</w:t>
            </w:r>
          </w:p>
          <w:p>
            <w:pPr>
              <w:spacing w:after="20" w:line="252" w:lineRule="auto"/>
            </w:pPr>
            <w:r>
              <w:rPr>
                <w:b w:val="0"/>
                <w:i w:val="0"/>
                <w:sz w:val="17"/>
              </w:rPr>
              <w:t>Deployment, sizing, security, monitoring and DR design</w:t>
            </w:r>
          </w:p>
        </w:tc>
        <w:tc>
          <w:tcPr>
            <w:tcW w:type="dxa" w:w="4819"/>
            <w:vAlign w:val="top"/>
          </w:tcPr>
          <w:p>
            <w:pPr>
              <w:spacing w:after="20" w:line="252" w:lineRule="auto"/>
            </w:pPr>
            <w:r>
              <w:rPr>
                <w:b w:val="0"/>
                <w:i w:val="0"/>
                <w:sz w:val="17"/>
              </w:rPr>
              <w:t>Changes inside IITH core and financial systems</w:t>
            </w:r>
          </w:p>
          <w:p>
            <w:pPr>
              <w:spacing w:after="20" w:line="252" w:lineRule="auto"/>
            </w:pPr>
            <w:r>
              <w:rPr>
                <w:b w:val="0"/>
                <w:i w:val="0"/>
                <w:sz w:val="17"/>
              </w:rPr>
              <w:t>Claims assessment and payment (core system)</w:t>
            </w:r>
          </w:p>
          <w:p>
            <w:pPr>
              <w:spacing w:after="20" w:line="252" w:lineRule="auto"/>
            </w:pPr>
            <w:r>
              <w:rPr>
                <w:b w:val="0"/>
                <w:i w:val="0"/>
                <w:sz w:val="17"/>
              </w:rPr>
              <w:t>Infrastructure procurement and data-centre operation under Option A (IIFT/IITH)</w:t>
            </w:r>
          </w:p>
          <w:p>
            <w:pPr>
              <w:spacing w:after="20" w:line="252" w:lineRule="auto"/>
            </w:pPr>
            <w:r>
              <w:rPr>
                <w:b w:val="0"/>
                <w:i w:val="0"/>
                <w:sz w:val="17"/>
              </w:rPr>
              <w:t>Commercial terms, prices and the choice between Options A, B and C (see the proposal)</w:t>
            </w:r>
          </w:p>
        </w:tc>
      </w:tr>
    </w:tbl>
    <w:p>
      <w:pPr>
        <w:spacing w:after="0" w:before="0"/>
      </w:pPr>
      <w:r>
        <w:rPr>
          <w:sz w:val="8"/>
        </w:rPr>
      </w:r>
    </w:p>
    <w:p>
      <w:pPr>
        <w:pStyle w:val="Heading2"/>
      </w:pPr>
      <w:r>
        <w:t>1.3 Audience</w:t>
      </w:r>
    </w:p>
    <w:p>
      <w:pPr>
        <w:keepNext w:val="0"/>
      </w:pPr>
      <w:r>
        <w:rPr>
          <w:b w:val="0"/>
          <w:i w:val="0"/>
        </w:rPr>
        <w:t>IIFT and IITH IT architecture, infrastructure, security and operations teams; the IIFT project team; iorta TechNXT engineering and support. Readers are assumed to know web applications and relational databases.</w:t>
      </w:r>
    </w:p>
    <w:p>
      <w:pPr>
        <w:pStyle w:val="Heading2"/>
      </w:pPr>
      <w:r>
        <w:t>1.4 Status of the solution</w:t>
      </w:r>
    </w:p>
    <w:p>
      <w:pPr>
        <w:keepNext w:val="0"/>
      </w:pPr>
      <w:r>
        <w:rPr>
          <w:b w:val="0"/>
          <w:i w:val="0"/>
        </w:rPr>
        <w:t>SalesVerse 2.0 is a working application. The table separates what runs in the current build from what is completed during implementation, so that every statement in this document can be checked against the source code.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762"/>
        <w:gridCol w:w="2041"/>
        <w:gridCol w:w="2835"/>
      </w:tblGrid>
      <w:tr>
        <w:trPr>
          <w:cantSplit/>
          <w:tblHeader/>
        </w:trPr>
        <w:tc>
          <w:tcPr>
            <w:tcW w:type="dxa" w:w="4762"/>
            <w:shd w:val="clear" w:color="auto" w:fill="E1058C"/>
            <w:vAlign w:val="center"/>
          </w:tcPr>
          <w:p>
            <w:pPr>
              <w:spacing w:after="0"/>
            </w:pPr>
            <w:r>
              <w:rPr>
                <w:b/>
                <w:i w:val="0"/>
                <w:color w:val="FFFFFF"/>
                <w:sz w:val="16"/>
              </w:rPr>
              <w:t>Capability</w:t>
            </w:r>
          </w:p>
        </w:tc>
        <w:tc>
          <w:tcPr>
            <w:tcW w:type="dxa" w:w="2041"/>
            <w:shd w:val="clear" w:color="auto" w:fill="E1058C"/>
            <w:vAlign w:val="center"/>
          </w:tcPr>
          <w:p>
            <w:pPr>
              <w:spacing w:after="0"/>
            </w:pPr>
            <w:r>
              <w:rPr>
                <w:b/>
                <w:i w:val="0"/>
                <w:color w:val="FFFFFF"/>
                <w:sz w:val="16"/>
              </w:rPr>
              <w:t>Today</w:t>
            </w:r>
          </w:p>
        </w:tc>
        <w:tc>
          <w:tcPr>
            <w:tcW w:type="dxa" w:w="2835"/>
            <w:shd w:val="clear" w:color="auto" w:fill="E1058C"/>
            <w:vAlign w:val="center"/>
          </w:tcPr>
          <w:p>
            <w:pPr>
              <w:spacing w:after="0"/>
            </w:pPr>
            <w:r>
              <w:rPr>
                <w:b/>
                <w:i w:val="0"/>
                <w:color w:val="FFFFFF"/>
                <w:sz w:val="16"/>
              </w:rPr>
              <w:t>Implementation work</w:t>
            </w:r>
          </w:p>
        </w:tc>
      </w:tr>
      <w:tr>
        <w:trPr>
          <w:cantSplit/>
        </w:trPr>
        <w:tc>
          <w:tcPr>
            <w:tcW w:type="dxa" w:w="4762"/>
            <w:vAlign w:val="top"/>
          </w:tcPr>
          <w:p>
            <w:pPr>
              <w:spacing w:after="20" w:line="252" w:lineRule="auto"/>
            </w:pPr>
            <w:r>
              <w:rPr>
                <w:b w:val="0"/>
                <w:i w:val="0"/>
                <w:sz w:val="16"/>
              </w:rPr>
              <w:t>Agent/Banca Portal and Back-office web application (React SPA)</w:t>
            </w:r>
          </w:p>
        </w:tc>
        <w:tc>
          <w:tcPr>
            <w:tcW w:type="dxa" w:w="2041"/>
            <w:vAlign w:val="top"/>
          </w:tcPr>
          <w:p>
            <w:pPr>
              <w:spacing w:after="20" w:line="252" w:lineRule="auto"/>
            </w:pPr>
            <w:r>
              <w:rPr>
                <w:b w:val="0"/>
                <w:i w:val="0"/>
                <w:sz w:val="16"/>
              </w:rPr>
              <w:t>Running</w:t>
            </w:r>
          </w:p>
        </w:tc>
        <w:tc>
          <w:tcPr>
            <w:tcW w:type="dxa" w:w="2835"/>
            <w:vAlign w:val="top"/>
          </w:tcPr>
          <w:p>
            <w:pPr>
              <w:spacing w:after="20" w:line="252" w:lineRule="auto"/>
            </w:pPr>
            <w:r>
              <w:rPr>
                <w:b w:val="0"/>
                <w:i w:val="0"/>
                <w:sz w:val="16"/>
              </w:rPr>
              <w:t>–</w:t>
            </w:r>
          </w:p>
        </w:tc>
      </w:tr>
      <w:tr>
        <w:trPr>
          <w:cantSplit/>
        </w:trPr>
        <w:tc>
          <w:tcPr>
            <w:tcW w:type="dxa" w:w="4762"/>
            <w:vAlign w:val="top"/>
            <w:shd w:val="clear" w:color="auto" w:fill="FDF0F7"/>
          </w:tcPr>
          <w:p>
            <w:pPr>
              <w:spacing w:after="20" w:line="252" w:lineRule="auto"/>
            </w:pPr>
            <w:r>
              <w:rPr>
                <w:b w:val="0"/>
                <w:i w:val="0"/>
                <w:sz w:val="16"/>
              </w:rPr>
              <w:t>REST API with all functional modules listed in chapter 4</w:t>
            </w:r>
          </w:p>
        </w:tc>
        <w:tc>
          <w:tcPr>
            <w:tcW w:type="dxa" w:w="2041"/>
            <w:vAlign w:val="top"/>
            <w:shd w:val="clear" w:color="auto" w:fill="FDF0F7"/>
          </w:tcPr>
          <w:p>
            <w:pPr>
              <w:spacing w:after="20" w:line="252" w:lineRule="auto"/>
            </w:pPr>
            <w:r>
              <w:rPr>
                <w:b w:val="0"/>
                <w:i w:val="0"/>
                <w:sz w:val="16"/>
              </w:rPr>
              <w:t>Running</w:t>
            </w:r>
          </w:p>
        </w:tc>
        <w:tc>
          <w:tcPr>
            <w:tcW w:type="dxa" w:w="2835"/>
            <w:vAlign w:val="top"/>
            <w:shd w:val="clear" w:color="auto" w:fill="FDF0F7"/>
          </w:tcPr>
          <w:p>
            <w:pPr>
              <w:spacing w:after="20" w:line="252" w:lineRule="auto"/>
            </w:pPr>
            <w:r>
              <w:rPr>
                <w:b w:val="0"/>
                <w:i w:val="0"/>
                <w:sz w:val="16"/>
              </w:rPr>
              <w:t>–</w:t>
            </w:r>
          </w:p>
        </w:tc>
      </w:tr>
      <w:tr>
        <w:trPr>
          <w:cantSplit/>
        </w:trPr>
        <w:tc>
          <w:tcPr>
            <w:tcW w:type="dxa" w:w="4762"/>
            <w:vAlign w:val="top"/>
          </w:tcPr>
          <w:p>
            <w:pPr>
              <w:spacing w:after="20" w:line="252" w:lineRule="auto"/>
            </w:pPr>
            <w:r>
              <w:rPr>
                <w:b w:val="0"/>
                <w:i w:val="0"/>
                <w:sz w:val="16"/>
              </w:rPr>
              <w:t>PostgreSQL schema, migrations, reference data and demonstration data</w:t>
            </w:r>
          </w:p>
        </w:tc>
        <w:tc>
          <w:tcPr>
            <w:tcW w:type="dxa" w:w="2041"/>
            <w:vAlign w:val="top"/>
          </w:tcPr>
          <w:p>
            <w:pPr>
              <w:spacing w:after="20" w:line="252" w:lineRule="auto"/>
            </w:pPr>
            <w:r>
              <w:rPr>
                <w:b w:val="0"/>
                <w:i w:val="0"/>
                <w:sz w:val="16"/>
              </w:rPr>
              <w:t>Running</w:t>
            </w:r>
          </w:p>
        </w:tc>
        <w:tc>
          <w:tcPr>
            <w:tcW w:type="dxa" w:w="2835"/>
            <w:vAlign w:val="top"/>
          </w:tcPr>
          <w:p>
            <w:pPr>
              <w:spacing w:after="20" w:line="252" w:lineRule="auto"/>
            </w:pPr>
            <w:r>
              <w:rPr>
                <w:b w:val="0"/>
                <w:i w:val="0"/>
                <w:sz w:val="16"/>
              </w:rPr>
              <w:t>–</w:t>
            </w:r>
          </w:p>
        </w:tc>
      </w:tr>
      <w:tr>
        <w:trPr>
          <w:cantSplit/>
        </w:trPr>
        <w:tc>
          <w:tcPr>
            <w:tcW w:type="dxa" w:w="4762"/>
            <w:vAlign w:val="top"/>
            <w:shd w:val="clear" w:color="auto" w:fill="FDF0F7"/>
          </w:tcPr>
          <w:p>
            <w:pPr>
              <w:spacing w:after="20" w:line="252" w:lineRule="auto"/>
            </w:pPr>
            <w:r>
              <w:rPr>
                <w:b w:val="0"/>
                <w:i w:val="0"/>
                <w:sz w:val="16"/>
              </w:rPr>
              <w:t>Sessions, CSRF, Argon2id, lockout, RBAC, data scoping, maker-checker</w:t>
            </w:r>
          </w:p>
        </w:tc>
        <w:tc>
          <w:tcPr>
            <w:tcW w:type="dxa" w:w="2041"/>
            <w:vAlign w:val="top"/>
            <w:shd w:val="clear" w:color="auto" w:fill="FDF0F7"/>
          </w:tcPr>
          <w:p>
            <w:pPr>
              <w:spacing w:after="20" w:line="252" w:lineRule="auto"/>
            </w:pPr>
            <w:r>
              <w:rPr>
                <w:b w:val="0"/>
                <w:i w:val="0"/>
                <w:sz w:val="16"/>
              </w:rPr>
              <w:t>Running</w:t>
            </w:r>
          </w:p>
        </w:tc>
        <w:tc>
          <w:tcPr>
            <w:tcW w:type="dxa" w:w="2835"/>
            <w:vAlign w:val="top"/>
            <w:shd w:val="clear" w:color="auto" w:fill="FDF0F7"/>
          </w:tcPr>
          <w:p>
            <w:pPr>
              <w:spacing w:after="20" w:line="252" w:lineRule="auto"/>
            </w:pPr>
            <w:r>
              <w:rPr>
                <w:b w:val="0"/>
                <w:i w:val="0"/>
                <w:sz w:val="16"/>
              </w:rPr>
              <w:t>–</w:t>
            </w:r>
          </w:p>
        </w:tc>
      </w:tr>
      <w:tr>
        <w:trPr>
          <w:cantSplit/>
        </w:trPr>
        <w:tc>
          <w:tcPr>
            <w:tcW w:type="dxa" w:w="4762"/>
            <w:vAlign w:val="top"/>
          </w:tcPr>
          <w:p>
            <w:pPr>
              <w:spacing w:after="20" w:line="252" w:lineRule="auto"/>
            </w:pPr>
            <w:r>
              <w:rPr>
                <w:b w:val="0"/>
                <w:i w:val="0"/>
                <w:sz w:val="16"/>
              </w:rPr>
              <w:t>Field-level and document encryption, append-only audit trigger</w:t>
            </w:r>
          </w:p>
        </w:tc>
        <w:tc>
          <w:tcPr>
            <w:tcW w:type="dxa" w:w="2041"/>
            <w:vAlign w:val="top"/>
          </w:tcPr>
          <w:p>
            <w:pPr>
              <w:spacing w:after="20" w:line="252" w:lineRule="auto"/>
            </w:pPr>
            <w:r>
              <w:rPr>
                <w:b w:val="0"/>
                <w:i w:val="0"/>
                <w:sz w:val="16"/>
              </w:rPr>
              <w:t>Running</w:t>
            </w:r>
          </w:p>
        </w:tc>
        <w:tc>
          <w:tcPr>
            <w:tcW w:type="dxa" w:w="2835"/>
            <w:vAlign w:val="top"/>
          </w:tcPr>
          <w:p>
            <w:pPr>
              <w:spacing w:after="20" w:line="252" w:lineRule="auto"/>
            </w:pPr>
            <w:r>
              <w:rPr>
                <w:b w:val="0"/>
                <w:i w:val="0"/>
                <w:sz w:val="16"/>
              </w:rPr>
              <w:t>–</w:t>
            </w:r>
          </w:p>
        </w:tc>
      </w:tr>
      <w:tr>
        <w:trPr>
          <w:cantSplit/>
        </w:trPr>
        <w:tc>
          <w:tcPr>
            <w:tcW w:type="dxa" w:w="4762"/>
            <w:vAlign w:val="top"/>
            <w:shd w:val="clear" w:color="auto" w:fill="FDF0F7"/>
          </w:tcPr>
          <w:p>
            <w:pPr>
              <w:spacing w:after="20" w:line="252" w:lineRule="auto"/>
            </w:pPr>
            <w:r>
              <w:rPr>
                <w:b w:val="0"/>
                <w:i w:val="0"/>
                <w:sz w:val="16"/>
              </w:rPr>
              <w:t>Transactional outbox, retry, dead-letter, integration monitor, reconciliation</w:t>
            </w:r>
          </w:p>
        </w:tc>
        <w:tc>
          <w:tcPr>
            <w:tcW w:type="dxa" w:w="2041"/>
            <w:vAlign w:val="top"/>
            <w:shd w:val="clear" w:color="auto" w:fill="FDF0F7"/>
          </w:tcPr>
          <w:p>
            <w:pPr>
              <w:spacing w:after="20" w:line="252" w:lineRule="auto"/>
            </w:pPr>
            <w:r>
              <w:rPr>
                <w:b w:val="0"/>
                <w:i w:val="0"/>
                <w:sz w:val="16"/>
              </w:rPr>
              <w:t>Running</w:t>
            </w:r>
          </w:p>
        </w:tc>
        <w:tc>
          <w:tcPr>
            <w:tcW w:type="dxa" w:w="2835"/>
            <w:vAlign w:val="top"/>
            <w:shd w:val="clear" w:color="auto" w:fill="FDF0F7"/>
          </w:tcPr>
          <w:p>
            <w:pPr>
              <w:spacing w:after="20" w:line="252" w:lineRule="auto"/>
            </w:pPr>
            <w:r>
              <w:rPr>
                <w:b w:val="0"/>
                <w:i w:val="0"/>
                <w:sz w:val="16"/>
              </w:rPr>
              <w:t>–</w:t>
            </w:r>
          </w:p>
        </w:tc>
      </w:tr>
      <w:tr>
        <w:trPr>
          <w:cantSplit/>
        </w:trPr>
        <w:tc>
          <w:tcPr>
            <w:tcW w:type="dxa" w:w="4762"/>
            <w:vAlign w:val="top"/>
          </w:tcPr>
          <w:p>
            <w:pPr>
              <w:spacing w:after="20" w:line="252" w:lineRule="auto"/>
            </w:pPr>
            <w:r>
              <w:rPr>
                <w:b w:val="0"/>
                <w:i w:val="0"/>
                <w:sz w:val="16"/>
              </w:rPr>
              <w:t>Core, FIN, AML, SMS, SMTP and LDAP adapters</w:t>
            </w:r>
          </w:p>
        </w:tc>
        <w:tc>
          <w:tcPr>
            <w:tcW w:type="dxa" w:w="2041"/>
            <w:vAlign w:val="top"/>
          </w:tcPr>
          <w:p>
            <w:pPr>
              <w:spacing w:after="20" w:line="252" w:lineRule="auto"/>
            </w:pPr>
            <w:r>
              <w:rPr>
                <w:b w:val="0"/>
                <w:i w:val="0"/>
                <w:sz w:val="16"/>
              </w:rPr>
              <w:t>Running in simulated mode</w:t>
            </w:r>
          </w:p>
        </w:tc>
        <w:tc>
          <w:tcPr>
            <w:tcW w:type="dxa" w:w="2835"/>
            <w:vAlign w:val="top"/>
          </w:tcPr>
          <w:p>
            <w:pPr>
              <w:spacing w:after="20" w:line="252" w:lineRule="auto"/>
            </w:pPr>
            <w:r>
              <w:rPr>
                <w:b w:val="0"/>
                <w:i w:val="0"/>
                <w:sz w:val="16"/>
              </w:rPr>
              <w:t>Endpoint mapping and payload formats agreed in the interface specification (DEL-09)</w:t>
            </w:r>
          </w:p>
        </w:tc>
      </w:tr>
      <w:tr>
        <w:trPr>
          <w:cantSplit/>
        </w:trPr>
        <w:tc>
          <w:tcPr>
            <w:tcW w:type="dxa" w:w="4762"/>
            <w:vAlign w:val="top"/>
            <w:shd w:val="clear" w:color="auto" w:fill="FDF0F7"/>
          </w:tcPr>
          <w:p>
            <w:pPr>
              <w:spacing w:after="20" w:line="252" w:lineRule="auto"/>
            </w:pPr>
            <w:r>
              <w:rPr>
                <w:b w:val="0"/>
                <w:i w:val="0"/>
                <w:sz w:val="16"/>
              </w:rPr>
              <w:t>Container images, nginx web tier, Docker Compose, CI pipeline with CodeQL, secret scan, dependency and image scans and SBOM</w:t>
            </w:r>
          </w:p>
        </w:tc>
        <w:tc>
          <w:tcPr>
            <w:tcW w:type="dxa" w:w="2041"/>
            <w:vAlign w:val="top"/>
            <w:shd w:val="clear" w:color="auto" w:fill="FDF0F7"/>
          </w:tcPr>
          <w:p>
            <w:pPr>
              <w:spacing w:after="20" w:line="252" w:lineRule="auto"/>
            </w:pPr>
            <w:r>
              <w:rPr>
                <w:b w:val="0"/>
                <w:i w:val="0"/>
                <w:sz w:val="16"/>
              </w:rPr>
              <w:t>Running</w:t>
            </w:r>
          </w:p>
        </w:tc>
        <w:tc>
          <w:tcPr>
            <w:tcW w:type="dxa" w:w="2835"/>
            <w:vAlign w:val="top"/>
            <w:shd w:val="clear" w:color="auto" w:fill="FDF0F7"/>
          </w:tcPr>
          <w:p>
            <w:pPr>
              <w:spacing w:after="20" w:line="252" w:lineRule="auto"/>
            </w:pPr>
            <w:r>
              <w:rPr>
                <w:b w:val="0"/>
                <w:i w:val="0"/>
                <w:sz w:val="16"/>
              </w:rPr>
              <w:t>Image signing, registry push and CD stages to SIT, UAT and PROD</w:t>
            </w:r>
          </w:p>
        </w:tc>
      </w:tr>
      <w:tr>
        <w:trPr>
          <w:cantSplit/>
        </w:trPr>
        <w:tc>
          <w:tcPr>
            <w:tcW w:type="dxa" w:w="4762"/>
            <w:vAlign w:val="top"/>
          </w:tcPr>
          <w:p>
            <w:pPr>
              <w:spacing w:after="20" w:line="252" w:lineRule="auto"/>
            </w:pPr>
            <w:r>
              <w:rPr>
                <w:b w:val="0"/>
                <w:i w:val="0"/>
                <w:sz w:val="16"/>
              </w:rPr>
              <w:t>Health endpoints and Prometheus metrics</w:t>
            </w:r>
          </w:p>
        </w:tc>
        <w:tc>
          <w:tcPr>
            <w:tcW w:type="dxa" w:w="2041"/>
            <w:vAlign w:val="top"/>
          </w:tcPr>
          <w:p>
            <w:pPr>
              <w:spacing w:after="20" w:line="252" w:lineRule="auto"/>
            </w:pPr>
            <w:r>
              <w:rPr>
                <w:b w:val="0"/>
                <w:i w:val="0"/>
                <w:sz w:val="16"/>
              </w:rPr>
              <w:t>Running</w:t>
            </w:r>
          </w:p>
        </w:tc>
        <w:tc>
          <w:tcPr>
            <w:tcW w:type="dxa" w:w="2835"/>
            <w:vAlign w:val="top"/>
          </w:tcPr>
          <w:p>
            <w:pPr>
              <w:spacing w:after="20" w:line="252" w:lineRule="auto"/>
            </w:pPr>
            <w:r>
              <w:rPr>
                <w:b w:val="0"/>
                <w:i w:val="0"/>
                <w:sz w:val="16"/>
              </w:rPr>
              <w:t>Dashboards, alert rules, log shipping and SIEM forwarding</w:t>
            </w:r>
          </w:p>
        </w:tc>
      </w:tr>
      <w:tr>
        <w:trPr>
          <w:cantSplit/>
        </w:trPr>
        <w:tc>
          <w:tcPr>
            <w:tcW w:type="dxa" w:w="4762"/>
            <w:vAlign w:val="top"/>
            <w:shd w:val="clear" w:color="auto" w:fill="FDF0F7"/>
          </w:tcPr>
          <w:p>
            <w:pPr>
              <w:spacing w:after="20" w:line="252" w:lineRule="auto"/>
            </w:pPr>
            <w:r>
              <w:rPr>
                <w:b w:val="0"/>
                <w:i w:val="0"/>
                <w:sz w:val="16"/>
              </w:rPr>
              <w:t>Multi-factor authentication for back-office users</w:t>
            </w:r>
          </w:p>
        </w:tc>
        <w:tc>
          <w:tcPr>
            <w:tcW w:type="dxa" w:w="2041"/>
            <w:vAlign w:val="top"/>
            <w:shd w:val="clear" w:color="auto" w:fill="FDF0F7"/>
          </w:tcPr>
          <w:p>
            <w:pPr>
              <w:spacing w:after="20" w:line="252" w:lineRule="auto"/>
            </w:pPr>
            <w:r>
              <w:rPr>
                <w:b w:val="0"/>
                <w:i w:val="0"/>
                <w:sz w:val="16"/>
              </w:rPr>
              <w:t>–</w:t>
            </w:r>
          </w:p>
        </w:tc>
        <w:tc>
          <w:tcPr>
            <w:tcW w:type="dxa" w:w="2835"/>
            <w:vAlign w:val="top"/>
            <w:shd w:val="clear" w:color="auto" w:fill="FDF0F7"/>
          </w:tcPr>
          <w:p>
            <w:pPr>
              <w:spacing w:after="20" w:line="252" w:lineRule="auto"/>
            </w:pPr>
            <w:r>
              <w:rPr>
                <w:b w:val="0"/>
                <w:i w:val="0"/>
                <w:sz w:val="16"/>
              </w:rPr>
              <w:t>Delivered during implementation</w:t>
            </w:r>
          </w:p>
        </w:tc>
      </w:tr>
      <w:tr>
        <w:trPr>
          <w:cantSplit/>
        </w:trPr>
        <w:tc>
          <w:tcPr>
            <w:tcW w:type="dxa" w:w="4762"/>
            <w:vAlign w:val="top"/>
          </w:tcPr>
          <w:p>
            <w:pPr>
              <w:spacing w:after="20" w:line="252" w:lineRule="auto"/>
            </w:pPr>
            <w:r>
              <w:rPr>
                <w:b w:val="0"/>
                <w:i w:val="0"/>
                <w:sz w:val="16"/>
              </w:rPr>
              <w:t>PostgreSQL streaming replication, pgBackRest backups, DR site</w:t>
            </w:r>
          </w:p>
        </w:tc>
        <w:tc>
          <w:tcPr>
            <w:tcW w:type="dxa" w:w="2041"/>
            <w:vAlign w:val="top"/>
          </w:tcPr>
          <w:p>
            <w:pPr>
              <w:spacing w:after="20" w:line="252" w:lineRule="auto"/>
            </w:pPr>
            <w:r>
              <w:rPr>
                <w:b w:val="0"/>
                <w:i w:val="0"/>
                <w:sz w:val="16"/>
              </w:rPr>
              <w:t>–</w:t>
            </w:r>
          </w:p>
        </w:tc>
        <w:tc>
          <w:tcPr>
            <w:tcW w:type="dxa" w:w="2835"/>
            <w:vAlign w:val="top"/>
          </w:tcPr>
          <w:p>
            <w:pPr>
              <w:spacing w:after="20" w:line="252" w:lineRule="auto"/>
            </w:pPr>
            <w:r>
              <w:rPr>
                <w:b w:val="0"/>
                <w:i w:val="0"/>
                <w:sz w:val="16"/>
              </w:rPr>
              <w:t>Delivered during implementation</w:t>
            </w:r>
          </w:p>
        </w:tc>
      </w:tr>
      <w:tr>
        <w:trPr>
          <w:cantSplit/>
        </w:trPr>
        <w:tc>
          <w:tcPr>
            <w:tcW w:type="dxa" w:w="4762"/>
            <w:vAlign w:val="top"/>
            <w:shd w:val="clear" w:color="auto" w:fill="FDF0F7"/>
          </w:tcPr>
          <w:p>
            <w:pPr>
              <w:spacing w:after="20" w:line="252" w:lineRule="auto"/>
            </w:pPr>
            <w:r>
              <w:rPr>
                <w:b w:val="0"/>
                <w:i w:val="0"/>
                <w:sz w:val="16"/>
              </w:rPr>
              <w:t>Data retention and archival job; key rotation tooling</w:t>
            </w:r>
          </w:p>
        </w:tc>
        <w:tc>
          <w:tcPr>
            <w:tcW w:type="dxa" w:w="2041"/>
            <w:vAlign w:val="top"/>
            <w:shd w:val="clear" w:color="auto" w:fill="FDF0F7"/>
          </w:tcPr>
          <w:p>
            <w:pPr>
              <w:spacing w:after="20" w:line="252" w:lineRule="auto"/>
            </w:pPr>
            <w:r>
              <w:rPr>
                <w:b w:val="0"/>
                <w:i w:val="0"/>
                <w:sz w:val="16"/>
              </w:rPr>
              <w:t>–</w:t>
            </w:r>
          </w:p>
        </w:tc>
        <w:tc>
          <w:tcPr>
            <w:tcW w:type="dxa" w:w="2835"/>
            <w:vAlign w:val="top"/>
            <w:shd w:val="clear" w:color="auto" w:fill="FDF0F7"/>
          </w:tcPr>
          <w:p>
            <w:pPr>
              <w:spacing w:after="20" w:line="252" w:lineRule="auto"/>
            </w:pPr>
            <w:r>
              <w:rPr>
                <w:b w:val="0"/>
                <w:i w:val="0"/>
                <w:sz w:val="16"/>
              </w:rPr>
              <w:t>Delivered during implementation</w:t>
            </w:r>
          </w:p>
        </w:tc>
      </w:tr>
      <w:tr>
        <w:trPr>
          <w:cantSplit/>
        </w:trPr>
        <w:tc>
          <w:tcPr>
            <w:tcW w:type="dxa" w:w="4762"/>
            <w:vAlign w:val="top"/>
          </w:tcPr>
          <w:p>
            <w:pPr>
              <w:spacing w:after="20" w:line="252" w:lineRule="auto"/>
            </w:pPr>
            <w:r>
              <w:rPr>
                <w:b w:val="0"/>
                <w:i w:val="0"/>
                <w:sz w:val="16"/>
              </w:rPr>
              <w:t>Maker-checker approval for product and rate changes</w:t>
            </w:r>
          </w:p>
        </w:tc>
        <w:tc>
          <w:tcPr>
            <w:tcW w:type="dxa" w:w="2041"/>
            <w:vAlign w:val="top"/>
          </w:tcPr>
          <w:p>
            <w:pPr>
              <w:spacing w:after="20" w:line="252" w:lineRule="auto"/>
            </w:pPr>
            <w:r>
              <w:rPr>
                <w:b w:val="0"/>
                <w:i w:val="0"/>
                <w:sz w:val="16"/>
              </w:rPr>
              <w:t>Two-person check (manual)</w:t>
            </w:r>
          </w:p>
        </w:tc>
        <w:tc>
          <w:tcPr>
            <w:tcW w:type="dxa" w:w="2835"/>
            <w:vAlign w:val="top"/>
          </w:tcPr>
          <w:p>
            <w:pPr>
              <w:spacing w:after="20" w:line="252" w:lineRule="auto"/>
            </w:pPr>
            <w:r>
              <w:rPr>
                <w:b w:val="0"/>
                <w:i w:val="0"/>
                <w:sz w:val="16"/>
              </w:rPr>
              <w:t>Delivered during implementation</w:t>
            </w:r>
          </w:p>
        </w:tc>
      </w:tr>
      <w:tr>
        <w:trPr>
          <w:cantSplit/>
        </w:trPr>
        <w:tc>
          <w:tcPr>
            <w:tcW w:type="dxa" w:w="4762"/>
            <w:vAlign w:val="top"/>
            <w:shd w:val="clear" w:color="auto" w:fill="FDF0F7"/>
          </w:tcPr>
          <w:p>
            <w:pPr>
              <w:spacing w:after="20" w:line="252" w:lineRule="auto"/>
            </w:pPr>
            <w:r>
              <w:rPr>
                <w:b w:val="0"/>
                <w:i w:val="0"/>
                <w:sz w:val="16"/>
              </w:rPr>
              <w:t>S3-compatible document storage adapter (only if object storage is chosen)</w:t>
            </w:r>
          </w:p>
        </w:tc>
        <w:tc>
          <w:tcPr>
            <w:tcW w:type="dxa" w:w="2041"/>
            <w:vAlign w:val="top"/>
            <w:shd w:val="clear" w:color="auto" w:fill="FDF0F7"/>
          </w:tcPr>
          <w:p>
            <w:pPr>
              <w:spacing w:after="20" w:line="252" w:lineRule="auto"/>
            </w:pPr>
            <w:r>
              <w:rPr>
                <w:b w:val="0"/>
                <w:i w:val="0"/>
                <w:sz w:val="16"/>
              </w:rPr>
              <w:t>–</w:t>
            </w:r>
          </w:p>
        </w:tc>
        <w:tc>
          <w:tcPr>
            <w:tcW w:type="dxa" w:w="2835"/>
            <w:vAlign w:val="top"/>
            <w:shd w:val="clear" w:color="auto" w:fill="FDF0F7"/>
          </w:tcPr>
          <w:p>
            <w:pPr>
              <w:spacing w:after="20" w:line="252" w:lineRule="auto"/>
            </w:pPr>
            <w:r>
              <w:rPr>
                <w:b w:val="0"/>
                <w:i w:val="0"/>
                <w:sz w:val="16"/>
              </w:rPr>
              <w:t>Delivered during implementation</w:t>
            </w:r>
          </w:p>
        </w:tc>
      </w:tr>
      <w:tr>
        <w:trPr>
          <w:cantSplit/>
        </w:trPr>
        <w:tc>
          <w:tcPr>
            <w:tcW w:type="dxa" w:w="4762"/>
            <w:vAlign w:val="top"/>
          </w:tcPr>
          <w:p>
            <w:pPr>
              <w:spacing w:after="20" w:line="252" w:lineRule="auto"/>
            </w:pPr>
            <w:r>
              <w:rPr>
                <w:b w:val="0"/>
                <w:i w:val="0"/>
                <w:sz w:val="16"/>
              </w:rPr>
              <w:t>IIFT actuarial rates, wakalah and tabarru' parameters</w:t>
            </w:r>
          </w:p>
        </w:tc>
        <w:tc>
          <w:tcPr>
            <w:tcW w:type="dxa" w:w="2041"/>
            <w:vAlign w:val="top"/>
          </w:tcPr>
          <w:p>
            <w:pPr>
              <w:spacing w:after="20" w:line="252" w:lineRule="auto"/>
            </w:pPr>
            <w:r>
              <w:rPr>
                <w:b w:val="0"/>
                <w:i w:val="0"/>
                <w:sz w:val="16"/>
              </w:rPr>
              <w:t>Indicative values loaded</w:t>
            </w:r>
          </w:p>
        </w:tc>
        <w:tc>
          <w:tcPr>
            <w:tcW w:type="dxa" w:w="2835"/>
            <w:vAlign w:val="top"/>
          </w:tcPr>
          <w:p>
            <w:pPr>
              <w:spacing w:after="20" w:line="252" w:lineRule="auto"/>
            </w:pPr>
            <w:r>
              <w:rPr>
                <w:b w:val="0"/>
                <w:i w:val="0"/>
                <w:sz w:val="16"/>
              </w:rPr>
              <w:t>IIFT values loaded and verified in design and SIT</w:t>
            </w:r>
          </w:p>
        </w:tc>
      </w:tr>
      <w:tr>
        <w:trPr>
          <w:cantSplit/>
        </w:trPr>
        <w:tc>
          <w:tcPr>
            <w:tcW w:type="dxa" w:w="4762"/>
            <w:vAlign w:val="top"/>
            <w:shd w:val="clear" w:color="auto" w:fill="FDF0F7"/>
          </w:tcPr>
          <w:p>
            <w:pPr>
              <w:spacing w:after="20" w:line="252" w:lineRule="auto"/>
            </w:pPr>
            <w:r>
              <w:rPr>
                <w:b w:val="0"/>
                <w:i w:val="0"/>
                <w:sz w:val="16"/>
              </w:rPr>
              <w:t>Legacy data migration</w:t>
            </w:r>
          </w:p>
        </w:tc>
        <w:tc>
          <w:tcPr>
            <w:tcW w:type="dxa" w:w="2041"/>
            <w:vAlign w:val="top"/>
            <w:shd w:val="clear" w:color="auto" w:fill="FDF0F7"/>
          </w:tcPr>
          <w:p>
            <w:pPr>
              <w:spacing w:after="20" w:line="252" w:lineRule="auto"/>
            </w:pPr>
            <w:r>
              <w:rPr>
                <w:b w:val="0"/>
                <w:i w:val="0"/>
                <w:sz w:val="16"/>
              </w:rPr>
              <w:t>–</w:t>
            </w:r>
          </w:p>
        </w:tc>
        <w:tc>
          <w:tcPr>
            <w:tcW w:type="dxa" w:w="2835"/>
            <w:vAlign w:val="top"/>
            <w:shd w:val="clear" w:color="auto" w:fill="FDF0F7"/>
          </w:tcPr>
          <w:p>
            <w:pPr>
              <w:spacing w:after="20" w:line="252" w:lineRule="auto"/>
            </w:pPr>
            <w:r>
              <w:rPr>
                <w:b w:val="0"/>
                <w:i w:val="0"/>
                <w:sz w:val="16"/>
              </w:rPr>
              <w:t>Delivered during implementation (DEL-19)</w:t>
            </w:r>
          </w:p>
        </w:tc>
      </w:tr>
      <w:tr>
        <w:trPr>
          <w:cantSplit/>
        </w:trPr>
        <w:tc>
          <w:tcPr>
            <w:tcW w:type="dxa" w:w="4762"/>
            <w:vAlign w:val="top"/>
          </w:tcPr>
          <w:p>
            <w:pPr>
              <w:spacing w:after="20" w:line="252" w:lineRule="auto"/>
            </w:pPr>
            <w:r>
              <w:rPr>
                <w:b w:val="0"/>
                <w:i w:val="0"/>
                <w:sz w:val="16"/>
              </w:rPr>
              <w:t>Independent VAPT and re-test</w:t>
            </w:r>
          </w:p>
        </w:tc>
        <w:tc>
          <w:tcPr>
            <w:tcW w:type="dxa" w:w="2041"/>
            <w:vAlign w:val="top"/>
          </w:tcPr>
          <w:p>
            <w:pPr>
              <w:spacing w:after="20" w:line="252" w:lineRule="auto"/>
            </w:pPr>
            <w:r>
              <w:rPr>
                <w:b w:val="0"/>
                <w:i w:val="0"/>
                <w:sz w:val="16"/>
              </w:rPr>
              <w:t>–</w:t>
            </w:r>
          </w:p>
        </w:tc>
        <w:tc>
          <w:tcPr>
            <w:tcW w:type="dxa" w:w="2835"/>
            <w:vAlign w:val="top"/>
          </w:tcPr>
          <w:p>
            <w:pPr>
              <w:spacing w:after="20" w:line="252" w:lineRule="auto"/>
            </w:pPr>
            <w:r>
              <w:rPr>
                <w:b w:val="0"/>
                <w:i w:val="0"/>
                <w:sz w:val="16"/>
              </w:rPr>
              <w:t>Before go-live (DEL-17)</w:t>
            </w:r>
          </w:p>
        </w:tc>
      </w:tr>
    </w:tbl>
    <w:p>
      <w:pPr>
        <w:pStyle w:val="Caption"/>
        <w:jc w:val="center"/>
      </w:pPr>
      <w:r>
        <w:rPr>
          <w:b w:val="0"/>
          <w:i w:val="0"/>
        </w:rPr>
        <w:t>Table 1: Solution status at proposal submission</w:t>
      </w:r>
    </w:p>
    <w:p>
      <w:pPr>
        <w:pStyle w:val="Heading2"/>
      </w:pPr>
      <w:r>
        <w:t>1.5 Sources</w:t>
      </w:r>
    </w:p>
    <w:p>
      <w:pPr>
        <w:pStyle w:val="ListBullet"/>
      </w:pPr>
      <w:r>
        <w:rPr>
          <w:b w:val="0"/>
          <w:i w:val="0"/>
        </w:rPr>
        <w:t>Source code: apps/api (NestJS API, Prisma schema and migrations), apps/web (React SPA), deploy (Docker Compose), .github/workflows (CI).</w:t>
      </w:r>
    </w:p>
    <w:p>
      <w:pPr>
        <w:pStyle w:val="ListBullet"/>
      </w:pPr>
      <w:r>
        <w:rPr>
          <w:b w:val="0"/>
          <w:i w:val="0"/>
        </w:rPr>
        <w:t>docs/api/openapi.json: the API description produced from the code.</w:t>
      </w:r>
    </w:p>
    <w:p>
      <w:pPr>
        <w:pStyle w:val="ListBullet"/>
      </w:pPr>
      <w:r>
        <w:rPr>
          <w:b w:val="0"/>
          <w:i w:val="0"/>
        </w:rPr>
        <w:t>IIFT Request for Proposal, including Appendix 1 (users), Appendix 2 (policy volumes) and Appendix 3 (product flows).</w:t>
      </w:r>
    </w:p>
    <w:p>
      <w:pPr>
        <w:pStyle w:val="ListBullet"/>
      </w:pPr>
      <w:r>
        <w:rPr>
          <w:b w:val="0"/>
          <w:i w:val="0"/>
        </w:rPr>
        <w:t>Companion documents: Data Dictionary and Production Support Handover.</w:t>
      </w:r>
    </w:p>
    <w:p>
      <w:pPr>
        <w:pStyle w:val="Heading1"/>
        <w:pageBreakBefore/>
        <w:pBdr>
          <w:bottom w:val="single" w:sz="12" w:space="4" w:color="F58220"/>
        </w:pBdr>
      </w:pPr>
      <w:r>
        <w:t>2. Architecture Principles</w:t>
      </w:r>
    </w:p>
    <w:p>
      <w:pPr>
        <w:keepNext w:val="0"/>
      </w:pPr>
      <w:r>
        <w:rPr>
          <w:b w:val="0"/>
          <w:i w:val="0"/>
        </w:rPr>
        <w:t>These principles guided every design decision recorded in chapter 13.</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3175"/>
        <w:gridCol w:w="4536"/>
      </w:tblGrid>
      <w:tr>
        <w:trPr>
          <w:cantSplit/>
          <w:tblHeader/>
        </w:trPr>
        <w:tc>
          <w:tcPr>
            <w:tcW w:type="dxa" w:w="1928"/>
            <w:shd w:val="clear" w:color="auto" w:fill="E1058C"/>
            <w:vAlign w:val="center"/>
          </w:tcPr>
          <w:p>
            <w:pPr>
              <w:spacing w:after="0"/>
            </w:pPr>
            <w:r>
              <w:rPr>
                <w:b/>
                <w:i w:val="0"/>
                <w:color w:val="FFFFFF"/>
                <w:sz w:val="17"/>
              </w:rPr>
              <w:t>Principle</w:t>
            </w:r>
          </w:p>
        </w:tc>
        <w:tc>
          <w:tcPr>
            <w:tcW w:type="dxa" w:w="3175"/>
            <w:shd w:val="clear" w:color="auto" w:fill="E1058C"/>
            <w:vAlign w:val="center"/>
          </w:tcPr>
          <w:p>
            <w:pPr>
              <w:spacing w:after="0"/>
            </w:pPr>
            <w:r>
              <w:rPr>
                <w:b/>
                <w:i w:val="0"/>
                <w:color w:val="FFFFFF"/>
                <w:sz w:val="17"/>
              </w:rPr>
              <w:t>Rationale</w:t>
            </w:r>
          </w:p>
        </w:tc>
        <w:tc>
          <w:tcPr>
            <w:tcW w:type="dxa" w:w="4535"/>
            <w:shd w:val="clear" w:color="auto" w:fill="E1058C"/>
            <w:vAlign w:val="center"/>
          </w:tcPr>
          <w:p>
            <w:pPr>
              <w:spacing w:after="0"/>
            </w:pPr>
            <w:r>
              <w:rPr>
                <w:b/>
                <w:i w:val="0"/>
                <w:color w:val="FFFFFF"/>
                <w:sz w:val="17"/>
              </w:rPr>
              <w:t>Implication</w:t>
            </w:r>
          </w:p>
        </w:tc>
      </w:tr>
      <w:tr>
        <w:trPr>
          <w:cantSplit/>
        </w:trPr>
        <w:tc>
          <w:tcPr>
            <w:tcW w:type="dxa" w:w="1928"/>
            <w:vAlign w:val="top"/>
          </w:tcPr>
          <w:p>
            <w:pPr>
              <w:spacing w:after="20" w:line="252" w:lineRule="auto"/>
            </w:pPr>
            <w:r>
              <w:rPr>
                <w:b/>
                <w:i w:val="0"/>
                <w:sz w:val="17"/>
              </w:rPr>
              <w:t>One system of record</w:t>
            </w:r>
          </w:p>
        </w:tc>
        <w:tc>
          <w:tcPr>
            <w:tcW w:type="dxa" w:w="3175"/>
            <w:vAlign w:val="top"/>
          </w:tcPr>
          <w:p>
            <w:pPr>
              <w:spacing w:after="20" w:line="252" w:lineRule="auto"/>
            </w:pPr>
            <w:r>
              <w:rPr>
                <w:b w:val="0"/>
                <w:i w:val="0"/>
                <w:sz w:val="17"/>
              </w:rPr>
              <w:t>Every business fact lives in PostgreSQL; external systems receive copies through the outbox.</w:t>
            </w:r>
          </w:p>
        </w:tc>
        <w:tc>
          <w:tcPr>
            <w:tcW w:type="dxa" w:w="4535"/>
            <w:vAlign w:val="top"/>
          </w:tcPr>
          <w:p>
            <w:pPr>
              <w:spacing w:after="20" w:line="252" w:lineRule="auto"/>
            </w:pPr>
            <w:r>
              <w:rPr>
                <w:b w:val="0"/>
                <w:i w:val="0"/>
                <w:sz w:val="17"/>
              </w:rPr>
              <w:t>No dual writes; integrations are replayable; reconciliation compares against one source.</w:t>
            </w:r>
          </w:p>
        </w:tc>
      </w:tr>
      <w:tr>
        <w:trPr>
          <w:cantSplit/>
        </w:trPr>
        <w:tc>
          <w:tcPr>
            <w:tcW w:type="dxa" w:w="1928"/>
            <w:vAlign w:val="top"/>
            <w:shd w:val="clear" w:color="auto" w:fill="FDF0F7"/>
          </w:tcPr>
          <w:p>
            <w:pPr>
              <w:spacing w:after="20" w:line="252" w:lineRule="auto"/>
            </w:pPr>
            <w:r>
              <w:rPr>
                <w:b/>
                <w:i w:val="0"/>
                <w:sz w:val="17"/>
              </w:rPr>
              <w:t>Modular monolith</w:t>
            </w:r>
          </w:p>
        </w:tc>
        <w:tc>
          <w:tcPr>
            <w:tcW w:type="dxa" w:w="3175"/>
            <w:vAlign w:val="top"/>
            <w:shd w:val="clear" w:color="auto" w:fill="FDF0F7"/>
          </w:tcPr>
          <w:p>
            <w:pPr>
              <w:spacing w:after="20" w:line="252" w:lineRule="auto"/>
            </w:pPr>
            <w:r>
              <w:rPr>
                <w:b w:val="0"/>
                <w:i w:val="0"/>
                <w:sz w:val="17"/>
              </w:rPr>
              <w:t>26 named users and about 600 policies a year do not justify microservices.</w:t>
            </w:r>
          </w:p>
        </w:tc>
        <w:tc>
          <w:tcPr>
            <w:tcW w:type="dxa" w:w="4535"/>
            <w:vAlign w:val="top"/>
            <w:shd w:val="clear" w:color="auto" w:fill="FDF0F7"/>
          </w:tcPr>
          <w:p>
            <w:pPr>
              <w:spacing w:after="20" w:line="252" w:lineRule="auto"/>
            </w:pPr>
            <w:r>
              <w:rPr>
                <w:b w:val="0"/>
                <w:i w:val="0"/>
                <w:sz w:val="17"/>
              </w:rPr>
              <w:t>One deployable unit; modules follow RFP areas and talk through services, so a module can be split out later (NFR-20).</w:t>
            </w:r>
          </w:p>
        </w:tc>
      </w:tr>
      <w:tr>
        <w:trPr>
          <w:cantSplit/>
        </w:trPr>
        <w:tc>
          <w:tcPr>
            <w:tcW w:type="dxa" w:w="1928"/>
            <w:vAlign w:val="top"/>
          </w:tcPr>
          <w:p>
            <w:pPr>
              <w:spacing w:after="20" w:line="252" w:lineRule="auto"/>
            </w:pPr>
            <w:r>
              <w:rPr>
                <w:b/>
                <w:i w:val="0"/>
                <w:sz w:val="17"/>
              </w:rPr>
              <w:t>Server-side enforcement</w:t>
            </w:r>
          </w:p>
        </w:tc>
        <w:tc>
          <w:tcPr>
            <w:tcW w:type="dxa" w:w="3175"/>
            <w:vAlign w:val="top"/>
          </w:tcPr>
          <w:p>
            <w:pPr>
              <w:spacing w:after="20" w:line="252" w:lineRule="auto"/>
            </w:pPr>
            <w:r>
              <w:rPr>
                <w:b w:val="0"/>
                <w:i w:val="0"/>
                <w:sz w:val="17"/>
              </w:rPr>
              <w:t>The browser is untrusted.</w:t>
            </w:r>
          </w:p>
        </w:tc>
        <w:tc>
          <w:tcPr>
            <w:tcW w:type="dxa" w:w="4535"/>
            <w:vAlign w:val="top"/>
          </w:tcPr>
          <w:p>
            <w:pPr>
              <w:spacing w:after="20" w:line="252" w:lineRule="auto"/>
            </w:pPr>
            <w:r>
              <w:rPr>
                <w:b w:val="0"/>
                <w:i w:val="0"/>
                <w:sz w:val="17"/>
              </w:rPr>
              <w:t>Authentication, permissions, data scope, maker-checker and every business rule are enforced by the API; the SPA only hides what a user cannot do.</w:t>
            </w:r>
          </w:p>
        </w:tc>
      </w:tr>
      <w:tr>
        <w:trPr>
          <w:cantSplit/>
        </w:trPr>
        <w:tc>
          <w:tcPr>
            <w:tcW w:type="dxa" w:w="1928"/>
            <w:vAlign w:val="top"/>
            <w:shd w:val="clear" w:color="auto" w:fill="FDF0F7"/>
          </w:tcPr>
          <w:p>
            <w:pPr>
              <w:spacing w:after="20" w:line="252" w:lineRule="auto"/>
            </w:pPr>
            <w:r>
              <w:rPr>
                <w:b/>
                <w:i w:val="0"/>
                <w:sz w:val="17"/>
              </w:rPr>
              <w:t>Atomic business transactions</w:t>
            </w:r>
          </w:p>
        </w:tc>
        <w:tc>
          <w:tcPr>
            <w:tcW w:type="dxa" w:w="3175"/>
            <w:vAlign w:val="top"/>
            <w:shd w:val="clear" w:color="auto" w:fill="FDF0F7"/>
          </w:tcPr>
          <w:p>
            <w:pPr>
              <w:spacing w:after="20" w:line="252" w:lineRule="auto"/>
            </w:pPr>
            <w:r>
              <w:rPr>
                <w:b w:val="0"/>
                <w:i w:val="0"/>
                <w:sz w:val="17"/>
              </w:rPr>
              <w:t>NFR-16 requires no partial updates.</w:t>
            </w:r>
          </w:p>
        </w:tc>
        <w:tc>
          <w:tcPr>
            <w:tcW w:type="dxa" w:w="4535"/>
            <w:vAlign w:val="top"/>
            <w:shd w:val="clear" w:color="auto" w:fill="FDF0F7"/>
          </w:tcPr>
          <w:p>
            <w:pPr>
              <w:spacing w:after="20" w:line="252" w:lineRule="auto"/>
            </w:pPr>
            <w:r>
              <w:rPr>
                <w:b w:val="0"/>
                <w:i w:val="0"/>
                <w:sz w:val="17"/>
              </w:rPr>
              <w:t>A business change, its audit row and its outbox message commit in one database transaction.</w:t>
            </w:r>
          </w:p>
        </w:tc>
      </w:tr>
      <w:tr>
        <w:trPr>
          <w:cantSplit/>
        </w:trPr>
        <w:tc>
          <w:tcPr>
            <w:tcW w:type="dxa" w:w="1928"/>
            <w:vAlign w:val="top"/>
          </w:tcPr>
          <w:p>
            <w:pPr>
              <w:spacing w:after="20" w:line="252" w:lineRule="auto"/>
            </w:pPr>
            <w:r>
              <w:rPr>
                <w:b/>
                <w:i w:val="0"/>
                <w:sz w:val="17"/>
              </w:rPr>
              <w:t>Configuration over code</w:t>
            </w:r>
          </w:p>
        </w:tc>
        <w:tc>
          <w:tcPr>
            <w:tcW w:type="dxa" w:w="3175"/>
            <w:vAlign w:val="top"/>
          </w:tcPr>
          <w:p>
            <w:pPr>
              <w:spacing w:after="20" w:line="252" w:lineRule="auto"/>
            </w:pPr>
            <w:r>
              <w:rPr>
                <w:b w:val="0"/>
                <w:i w:val="0"/>
                <w:sz w:val="17"/>
              </w:rPr>
              <w:t>Rates, parameters, workflows and master data change more often than code.</w:t>
            </w:r>
          </w:p>
        </w:tc>
        <w:tc>
          <w:tcPr>
            <w:tcW w:type="dxa" w:w="4535"/>
            <w:vAlign w:val="top"/>
          </w:tcPr>
          <w:p>
            <w:pPr>
              <w:spacing w:after="20" w:line="252" w:lineRule="auto"/>
            </w:pPr>
            <w:r>
              <w:rPr>
                <w:b w:val="0"/>
                <w:i w:val="0"/>
                <w:sz w:val="17"/>
              </w:rPr>
              <w:t>Products, parameters, roles, workflows and code lists are maintained in the back-office and audited.</w:t>
            </w:r>
          </w:p>
        </w:tc>
      </w:tr>
      <w:tr>
        <w:trPr>
          <w:cantSplit/>
        </w:trPr>
        <w:tc>
          <w:tcPr>
            <w:tcW w:type="dxa" w:w="1928"/>
            <w:vAlign w:val="top"/>
            <w:shd w:val="clear" w:color="auto" w:fill="FDF0F7"/>
          </w:tcPr>
          <w:p>
            <w:pPr>
              <w:spacing w:after="20" w:line="252" w:lineRule="auto"/>
            </w:pPr>
            <w:r>
              <w:rPr>
                <w:b/>
                <w:i w:val="0"/>
                <w:sz w:val="17"/>
              </w:rPr>
              <w:t>Secure by default</w:t>
            </w:r>
          </w:p>
        </w:tc>
        <w:tc>
          <w:tcPr>
            <w:tcW w:type="dxa" w:w="3175"/>
            <w:vAlign w:val="top"/>
            <w:shd w:val="clear" w:color="auto" w:fill="FDF0F7"/>
          </w:tcPr>
          <w:p>
            <w:pPr>
              <w:spacing w:after="20" w:line="252" w:lineRule="auto"/>
            </w:pPr>
            <w:r>
              <w:rPr>
                <w:b w:val="0"/>
                <w:i w:val="0"/>
                <w:sz w:val="17"/>
              </w:rPr>
              <w:t>Regulated personal and financial data.</w:t>
            </w:r>
          </w:p>
        </w:tc>
        <w:tc>
          <w:tcPr>
            <w:tcW w:type="dxa" w:w="4535"/>
            <w:vAlign w:val="top"/>
            <w:shd w:val="clear" w:color="auto" w:fill="FDF0F7"/>
          </w:tcPr>
          <w:p>
            <w:pPr>
              <w:spacing w:after="20" w:line="252" w:lineRule="auto"/>
            </w:pPr>
            <w:r>
              <w:rPr>
                <w:b w:val="0"/>
                <w:i w:val="0"/>
                <w:sz w:val="17"/>
              </w:rPr>
              <w:t>Deny by default; encrypted identifiers; production start-up refuses insecure settings; generic errors with correlation id.</w:t>
            </w:r>
          </w:p>
        </w:tc>
      </w:tr>
      <w:tr>
        <w:trPr>
          <w:cantSplit/>
        </w:trPr>
        <w:tc>
          <w:tcPr>
            <w:tcW w:type="dxa" w:w="1928"/>
            <w:vAlign w:val="top"/>
          </w:tcPr>
          <w:p>
            <w:pPr>
              <w:spacing w:after="20" w:line="252" w:lineRule="auto"/>
            </w:pPr>
            <w:r>
              <w:rPr>
                <w:b/>
                <w:i w:val="0"/>
                <w:sz w:val="17"/>
              </w:rPr>
              <w:t>Operable</w:t>
            </w:r>
          </w:p>
        </w:tc>
        <w:tc>
          <w:tcPr>
            <w:tcW w:type="dxa" w:w="3175"/>
            <w:vAlign w:val="top"/>
          </w:tcPr>
          <w:p>
            <w:pPr>
              <w:spacing w:after="20" w:line="252" w:lineRule="auto"/>
            </w:pPr>
            <w:r>
              <w:rPr>
                <w:b w:val="0"/>
                <w:i w:val="0"/>
                <w:sz w:val="17"/>
              </w:rPr>
              <w:t>IIFT and IITH must be able to run it.</w:t>
            </w:r>
          </w:p>
        </w:tc>
        <w:tc>
          <w:tcPr>
            <w:tcW w:type="dxa" w:w="4535"/>
            <w:vAlign w:val="top"/>
          </w:tcPr>
          <w:p>
            <w:pPr>
              <w:spacing w:after="20" w:line="252" w:lineRule="auto"/>
            </w:pPr>
            <w:r>
              <w:rPr>
                <w:b w:val="0"/>
                <w:i w:val="0"/>
                <w:sz w:val="17"/>
              </w:rPr>
              <w:t>Standard containers, JSON logs, health and metrics endpoints, documented runbooks, open-source stack without third-party licence fees.</w:t>
            </w:r>
          </w:p>
        </w:tc>
      </w:tr>
      <w:tr>
        <w:trPr>
          <w:cantSplit/>
        </w:trPr>
        <w:tc>
          <w:tcPr>
            <w:tcW w:type="dxa" w:w="1928"/>
            <w:vAlign w:val="top"/>
            <w:shd w:val="clear" w:color="auto" w:fill="FDF0F7"/>
          </w:tcPr>
          <w:p>
            <w:pPr>
              <w:spacing w:after="20" w:line="252" w:lineRule="auto"/>
            </w:pPr>
            <w:r>
              <w:rPr>
                <w:b/>
                <w:i w:val="0"/>
                <w:sz w:val="17"/>
              </w:rPr>
              <w:t>Testable</w:t>
            </w:r>
          </w:p>
        </w:tc>
        <w:tc>
          <w:tcPr>
            <w:tcW w:type="dxa" w:w="3175"/>
            <w:vAlign w:val="top"/>
            <w:shd w:val="clear" w:color="auto" w:fill="FDF0F7"/>
          </w:tcPr>
          <w:p>
            <w:pPr>
              <w:spacing w:after="20" w:line="252" w:lineRule="auto"/>
            </w:pPr>
            <w:r>
              <w:rPr>
                <w:b w:val="0"/>
                <w:i w:val="0"/>
                <w:sz w:val="17"/>
              </w:rPr>
              <w:t>Changes must be safe to release.</w:t>
            </w:r>
          </w:p>
        </w:tc>
        <w:tc>
          <w:tcPr>
            <w:tcW w:type="dxa" w:w="4535"/>
            <w:vAlign w:val="top"/>
            <w:shd w:val="clear" w:color="auto" w:fill="FDF0F7"/>
          </w:tcPr>
          <w:p>
            <w:pPr>
              <w:spacing w:after="20" w:line="252" w:lineRule="auto"/>
            </w:pPr>
            <w:r>
              <w:rPr>
                <w:b w:val="0"/>
                <w:i w:val="0"/>
                <w:sz w:val="17"/>
              </w:rPr>
              <w:t>Unit and end-to-end tests against a real PostgreSQL database run in CI on every change.</w:t>
            </w:r>
          </w:p>
        </w:tc>
      </w:tr>
    </w:tbl>
    <w:p>
      <w:pPr>
        <w:pStyle w:val="Caption"/>
        <w:jc w:val="center"/>
      </w:pPr>
      <w:r>
        <w:rPr>
          <w:b w:val="0"/>
          <w:i w:val="0"/>
        </w:rPr>
        <w:t>Table 2: Architecture principles</w:t>
      </w:r>
    </w:p>
    <w:p>
      <w:pPr>
        <w:pStyle w:val="Heading1"/>
        <w:pageBreakBefore/>
        <w:pBdr>
          <w:bottom w:val="single" w:sz="12" w:space="4" w:color="F58220"/>
        </w:pBdr>
      </w:pPr>
      <w:r>
        <w:t>3. System Context</w:t>
      </w:r>
    </w:p>
    <w:p>
      <w:pPr>
        <w:keepNext w:val="0"/>
      </w:pPr>
      <w:r>
        <w:rPr>
          <w:b w:val="0"/>
          <w:i w:val="0"/>
        </w:rPr>
        <w:t>SalesVerse 2.0 sits between IIFT's distribution partners and the IITH group systems. Agents and bank officers work in the portal; IIFT staff work in the back-office on the internal network; participants only see a one-time e-signature page. The core and financial systems stay the systems of record for in-force business and accounting, and receive every relevant event from the portal.</w:t>
      </w:r>
    </w:p>
    <w:p>
      <w:pPr>
        <w:keepNext/>
        <w:spacing w:after="0"/>
        <w:jc w:val="center"/>
      </w:pPr>
      <w:r>
        <w:drawing>
          <wp:inline xmlns:a="http://schemas.openxmlformats.org/drawingml/2006/main" xmlns:pic="http://schemas.openxmlformats.org/drawingml/2006/picture">
            <wp:extent cx="5940000" cy="4752000"/>
            <wp:docPr id="4" name="Picture 4"/>
            <wp:cNvGraphicFramePr>
              <a:graphicFrameLocks noChangeAspect="1"/>
            </wp:cNvGraphicFramePr>
            <a:graphic>
              <a:graphicData uri="http://schemas.openxmlformats.org/drawingml/2006/picture">
                <pic:pic>
                  <pic:nvPicPr>
                    <pic:cNvPr id="0" name="tech-context.png"/>
                    <pic:cNvPicPr/>
                  </pic:nvPicPr>
                  <pic:blipFill>
                    <a:blip r:embed="rId14"/>
                    <a:stretch>
                      <a:fillRect/>
                    </a:stretch>
                  </pic:blipFill>
                  <pic:spPr>
                    <a:xfrm>
                      <a:off x="0" y="0"/>
                      <a:ext cx="5940000" cy="4752000"/>
                    </a:xfrm>
                    <a:prstGeom prst="rect"/>
                  </pic:spPr>
                </pic:pic>
              </a:graphicData>
            </a:graphic>
          </wp:inline>
        </w:drawing>
      </w:r>
    </w:p>
    <w:p>
      <w:pPr>
        <w:pStyle w:val="Caption"/>
        <w:jc w:val="center"/>
      </w:pPr>
      <w:r>
        <w:rPr>
          <w:b w:val="0"/>
          <w:i w:val="0"/>
        </w:rPr>
        <w:t>Figure 1: System context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1134"/>
        <w:gridCol w:w="1814"/>
        <w:gridCol w:w="3175"/>
        <w:gridCol w:w="1587"/>
      </w:tblGrid>
      <w:tr>
        <w:trPr>
          <w:cantSplit/>
          <w:tblHeader/>
        </w:trPr>
        <w:tc>
          <w:tcPr>
            <w:tcW w:type="dxa" w:w="1928"/>
            <w:shd w:val="clear" w:color="auto" w:fill="E1058C"/>
            <w:vAlign w:val="center"/>
          </w:tcPr>
          <w:p>
            <w:pPr>
              <w:spacing w:after="0"/>
            </w:pPr>
            <w:r>
              <w:rPr>
                <w:b/>
                <w:i w:val="0"/>
                <w:color w:val="FFFFFF"/>
                <w:sz w:val="16"/>
              </w:rPr>
              <w:t>Actor or system</w:t>
            </w:r>
          </w:p>
        </w:tc>
        <w:tc>
          <w:tcPr>
            <w:tcW w:type="dxa" w:w="1134"/>
            <w:shd w:val="clear" w:color="auto" w:fill="E1058C"/>
            <w:vAlign w:val="center"/>
          </w:tcPr>
          <w:p>
            <w:pPr>
              <w:spacing w:after="0"/>
            </w:pPr>
            <w:r>
              <w:rPr>
                <w:b/>
                <w:i w:val="0"/>
                <w:color w:val="FFFFFF"/>
                <w:sz w:val="16"/>
              </w:rPr>
              <w:t>Type</w:t>
            </w:r>
          </w:p>
        </w:tc>
        <w:tc>
          <w:tcPr>
            <w:tcW w:type="dxa" w:w="1814"/>
            <w:shd w:val="clear" w:color="auto" w:fill="E1058C"/>
            <w:vAlign w:val="center"/>
          </w:tcPr>
          <w:p>
            <w:pPr>
              <w:spacing w:after="0"/>
            </w:pPr>
            <w:r>
              <w:rPr>
                <w:b/>
                <w:i w:val="0"/>
                <w:color w:val="FFFFFF"/>
                <w:sz w:val="16"/>
              </w:rPr>
              <w:t>Channel</w:t>
            </w:r>
          </w:p>
        </w:tc>
        <w:tc>
          <w:tcPr>
            <w:tcW w:type="dxa" w:w="3175"/>
            <w:shd w:val="clear" w:color="auto" w:fill="E1058C"/>
            <w:vAlign w:val="center"/>
          </w:tcPr>
          <w:p>
            <w:pPr>
              <w:spacing w:after="0"/>
            </w:pPr>
            <w:r>
              <w:rPr>
                <w:b/>
                <w:i w:val="0"/>
                <w:color w:val="FFFFFF"/>
                <w:sz w:val="16"/>
              </w:rPr>
              <w:t>Interaction</w:t>
            </w:r>
          </w:p>
        </w:tc>
        <w:tc>
          <w:tcPr>
            <w:tcW w:type="dxa" w:w="1587"/>
            <w:shd w:val="clear" w:color="auto" w:fill="E1058C"/>
            <w:vAlign w:val="center"/>
          </w:tcPr>
          <w:p>
            <w:pPr>
              <w:spacing w:after="0"/>
            </w:pPr>
            <w:r>
              <w:rPr>
                <w:b/>
                <w:i w:val="0"/>
                <w:color w:val="FFFFFF"/>
                <w:sz w:val="16"/>
              </w:rPr>
              <w:t>RFP</w:t>
            </w:r>
          </w:p>
        </w:tc>
      </w:tr>
      <w:tr>
        <w:trPr>
          <w:cantSplit/>
        </w:trPr>
        <w:tc>
          <w:tcPr>
            <w:tcW w:type="dxa" w:w="1928"/>
            <w:vAlign w:val="top"/>
          </w:tcPr>
          <w:p>
            <w:pPr>
              <w:spacing w:after="20" w:line="252" w:lineRule="auto"/>
            </w:pPr>
            <w:r>
              <w:rPr>
                <w:b w:val="0"/>
                <w:i w:val="0"/>
                <w:sz w:val="16"/>
              </w:rPr>
              <w:t>Agents and main agents</w:t>
            </w:r>
          </w:p>
        </w:tc>
        <w:tc>
          <w:tcPr>
            <w:tcW w:type="dxa" w:w="1134"/>
            <w:vAlign w:val="top"/>
          </w:tcPr>
          <w:p>
            <w:pPr>
              <w:spacing w:after="20" w:line="252" w:lineRule="auto"/>
            </w:pPr>
            <w:r>
              <w:rPr>
                <w:b w:val="0"/>
                <w:i w:val="0"/>
                <w:sz w:val="16"/>
              </w:rPr>
              <w:t>Person</w:t>
            </w:r>
          </w:p>
        </w:tc>
        <w:tc>
          <w:tcPr>
            <w:tcW w:type="dxa" w:w="1814"/>
            <w:vAlign w:val="top"/>
          </w:tcPr>
          <w:p>
            <w:pPr>
              <w:spacing w:after="20" w:line="252" w:lineRule="auto"/>
            </w:pPr>
            <w:r>
              <w:rPr>
                <w:b w:val="0"/>
                <w:i w:val="0"/>
                <w:sz w:val="16"/>
              </w:rPr>
              <w:t>Agent/Banca Portal over HTTPS</w:t>
            </w:r>
          </w:p>
        </w:tc>
        <w:tc>
          <w:tcPr>
            <w:tcW w:type="dxa" w:w="3175"/>
            <w:vAlign w:val="top"/>
          </w:tcPr>
          <w:p>
            <w:pPr>
              <w:spacing w:after="20" w:line="252" w:lineRule="auto"/>
            </w:pPr>
            <w:r>
              <w:rPr>
                <w:b w:val="0"/>
                <w:i w:val="0"/>
                <w:sz w:val="16"/>
              </w:rPr>
              <w:t>Quotations, participants, policies, payments, claims, issues, reports</w:t>
            </w:r>
          </w:p>
        </w:tc>
        <w:tc>
          <w:tcPr>
            <w:tcW w:type="dxa" w:w="1587"/>
            <w:vAlign w:val="top"/>
          </w:tcPr>
          <w:p>
            <w:pPr>
              <w:spacing w:after="20" w:line="252" w:lineRule="auto"/>
            </w:pPr>
            <w:r>
              <w:rPr>
                <w:b w:val="0"/>
                <w:i w:val="0"/>
                <w:sz w:val="16"/>
              </w:rPr>
              <w:t>AP-01 to AP-62</w:t>
            </w:r>
          </w:p>
        </w:tc>
      </w:tr>
      <w:tr>
        <w:trPr>
          <w:cantSplit/>
        </w:trPr>
        <w:tc>
          <w:tcPr>
            <w:tcW w:type="dxa" w:w="1928"/>
            <w:vAlign w:val="top"/>
            <w:shd w:val="clear" w:color="auto" w:fill="FDF0F7"/>
          </w:tcPr>
          <w:p>
            <w:pPr>
              <w:spacing w:after="20" w:line="252" w:lineRule="auto"/>
            </w:pPr>
            <w:r>
              <w:rPr>
                <w:b w:val="0"/>
                <w:i w:val="0"/>
                <w:sz w:val="16"/>
              </w:rPr>
              <w:t>Bank officers and supervisors</w:t>
            </w:r>
          </w:p>
        </w:tc>
        <w:tc>
          <w:tcPr>
            <w:tcW w:type="dxa" w:w="1134"/>
            <w:vAlign w:val="top"/>
            <w:shd w:val="clear" w:color="auto" w:fill="FDF0F7"/>
          </w:tcPr>
          <w:p>
            <w:pPr>
              <w:spacing w:after="20" w:line="252" w:lineRule="auto"/>
            </w:pPr>
            <w:r>
              <w:rPr>
                <w:b w:val="0"/>
                <w:i w:val="0"/>
                <w:sz w:val="16"/>
              </w:rPr>
              <w:t>Person</w:t>
            </w:r>
          </w:p>
        </w:tc>
        <w:tc>
          <w:tcPr>
            <w:tcW w:type="dxa" w:w="1814"/>
            <w:vAlign w:val="top"/>
            <w:shd w:val="clear" w:color="auto" w:fill="FDF0F7"/>
          </w:tcPr>
          <w:p>
            <w:pPr>
              <w:spacing w:after="20" w:line="252" w:lineRule="auto"/>
            </w:pPr>
            <w:r>
              <w:rPr>
                <w:b w:val="0"/>
                <w:i w:val="0"/>
                <w:sz w:val="16"/>
              </w:rPr>
              <w:t>Agent/Banca Portal over HTTPS</w:t>
            </w:r>
          </w:p>
        </w:tc>
        <w:tc>
          <w:tcPr>
            <w:tcW w:type="dxa" w:w="3175"/>
            <w:vAlign w:val="top"/>
            <w:shd w:val="clear" w:color="auto" w:fill="FDF0F7"/>
          </w:tcPr>
          <w:p>
            <w:pPr>
              <w:spacing w:after="20" w:line="252" w:lineRule="auto"/>
            </w:pPr>
            <w:r>
              <w:rPr>
                <w:b w:val="0"/>
                <w:i w:val="0"/>
                <w:sz w:val="16"/>
              </w:rPr>
              <w:t>Financing takaful sales at bank branches; bank-wide view for supervisors</w:t>
            </w:r>
          </w:p>
        </w:tc>
        <w:tc>
          <w:tcPr>
            <w:tcW w:type="dxa" w:w="1587"/>
            <w:vAlign w:val="top"/>
            <w:shd w:val="clear" w:color="auto" w:fill="FDF0F7"/>
          </w:tcPr>
          <w:p>
            <w:pPr>
              <w:spacing w:after="20" w:line="252" w:lineRule="auto"/>
            </w:pPr>
            <w:r>
              <w:rPr>
                <w:b w:val="0"/>
                <w:i w:val="0"/>
                <w:sz w:val="16"/>
              </w:rPr>
              <w:t>AP-09, AP-59</w:t>
            </w:r>
          </w:p>
        </w:tc>
      </w:tr>
      <w:tr>
        <w:trPr>
          <w:cantSplit/>
        </w:trPr>
        <w:tc>
          <w:tcPr>
            <w:tcW w:type="dxa" w:w="1928"/>
            <w:vAlign w:val="top"/>
          </w:tcPr>
          <w:p>
            <w:pPr>
              <w:spacing w:after="20" w:line="252" w:lineRule="auto"/>
            </w:pPr>
            <w:r>
              <w:rPr>
                <w:b w:val="0"/>
                <w:i w:val="0"/>
                <w:sz w:val="16"/>
              </w:rPr>
              <w:t>IIFT staff</w:t>
            </w:r>
          </w:p>
        </w:tc>
        <w:tc>
          <w:tcPr>
            <w:tcW w:type="dxa" w:w="1134"/>
            <w:vAlign w:val="top"/>
          </w:tcPr>
          <w:p>
            <w:pPr>
              <w:spacing w:after="20" w:line="252" w:lineRule="auto"/>
            </w:pPr>
            <w:r>
              <w:rPr>
                <w:b w:val="0"/>
                <w:i w:val="0"/>
                <w:sz w:val="16"/>
              </w:rPr>
              <w:t>Person</w:t>
            </w:r>
          </w:p>
        </w:tc>
        <w:tc>
          <w:tcPr>
            <w:tcW w:type="dxa" w:w="1814"/>
            <w:vAlign w:val="top"/>
          </w:tcPr>
          <w:p>
            <w:pPr>
              <w:spacing w:after="20" w:line="252" w:lineRule="auto"/>
            </w:pPr>
            <w:r>
              <w:rPr>
                <w:b w:val="0"/>
                <w:i w:val="0"/>
                <w:sz w:val="16"/>
              </w:rPr>
              <w:t>Back-office over HTTPS on the internal network</w:t>
            </w:r>
          </w:p>
        </w:tc>
        <w:tc>
          <w:tcPr>
            <w:tcW w:type="dxa" w:w="3175"/>
            <w:vAlign w:val="top"/>
          </w:tcPr>
          <w:p>
            <w:pPr>
              <w:spacing w:after="20" w:line="252" w:lineRule="auto"/>
            </w:pPr>
            <w:r>
              <w:rPr>
                <w:b w:val="0"/>
                <w:i w:val="0"/>
                <w:sz w:val="16"/>
              </w:rPr>
              <w:t>Approvals, administration, compliance, finance, support, reporting</w:t>
            </w:r>
          </w:p>
        </w:tc>
        <w:tc>
          <w:tcPr>
            <w:tcW w:type="dxa" w:w="1587"/>
            <w:vAlign w:val="top"/>
          </w:tcPr>
          <w:p>
            <w:pPr>
              <w:spacing w:after="20" w:line="252" w:lineRule="auto"/>
            </w:pPr>
            <w:r>
              <w:rPr>
                <w:b w:val="0"/>
                <w:i w:val="0"/>
                <w:sz w:val="16"/>
              </w:rPr>
              <w:t>BO-01 to BO-33</w:t>
            </w:r>
          </w:p>
        </w:tc>
      </w:tr>
      <w:tr>
        <w:trPr>
          <w:cantSplit/>
        </w:trPr>
        <w:tc>
          <w:tcPr>
            <w:tcW w:type="dxa" w:w="1928"/>
            <w:vAlign w:val="top"/>
            <w:shd w:val="clear" w:color="auto" w:fill="FDF0F7"/>
          </w:tcPr>
          <w:p>
            <w:pPr>
              <w:spacing w:after="20" w:line="252" w:lineRule="auto"/>
            </w:pPr>
            <w:r>
              <w:rPr>
                <w:b w:val="0"/>
                <w:i w:val="0"/>
                <w:sz w:val="16"/>
              </w:rPr>
              <w:t>Participants</w:t>
            </w:r>
          </w:p>
        </w:tc>
        <w:tc>
          <w:tcPr>
            <w:tcW w:type="dxa" w:w="1134"/>
            <w:vAlign w:val="top"/>
            <w:shd w:val="clear" w:color="auto" w:fill="FDF0F7"/>
          </w:tcPr>
          <w:p>
            <w:pPr>
              <w:spacing w:after="20" w:line="252" w:lineRule="auto"/>
            </w:pPr>
            <w:r>
              <w:rPr>
                <w:b w:val="0"/>
                <w:i w:val="0"/>
                <w:sz w:val="16"/>
              </w:rPr>
              <w:t>Person</w:t>
            </w:r>
          </w:p>
        </w:tc>
        <w:tc>
          <w:tcPr>
            <w:tcW w:type="dxa" w:w="1814"/>
            <w:vAlign w:val="top"/>
            <w:shd w:val="clear" w:color="auto" w:fill="FDF0F7"/>
          </w:tcPr>
          <w:p>
            <w:pPr>
              <w:spacing w:after="20" w:line="252" w:lineRule="auto"/>
            </w:pPr>
            <w:r>
              <w:rPr>
                <w:b w:val="0"/>
                <w:i w:val="0"/>
                <w:sz w:val="16"/>
              </w:rPr>
              <w:t>One-time e-signature page, e-mail</w:t>
            </w:r>
          </w:p>
        </w:tc>
        <w:tc>
          <w:tcPr>
            <w:tcW w:type="dxa" w:w="3175"/>
            <w:vAlign w:val="top"/>
            <w:shd w:val="clear" w:color="auto" w:fill="FDF0F7"/>
          </w:tcPr>
          <w:p>
            <w:pPr>
              <w:spacing w:after="20" w:line="252" w:lineRule="auto"/>
            </w:pPr>
            <w:r>
              <w:rPr>
                <w:b w:val="0"/>
                <w:i w:val="0"/>
                <w:sz w:val="16"/>
              </w:rPr>
              <w:t>Review and sign the application; receive documents</w:t>
            </w:r>
          </w:p>
        </w:tc>
        <w:tc>
          <w:tcPr>
            <w:tcW w:type="dxa" w:w="1587"/>
            <w:vAlign w:val="top"/>
            <w:shd w:val="clear" w:color="auto" w:fill="FDF0F7"/>
          </w:tcPr>
          <w:p>
            <w:pPr>
              <w:spacing w:after="20" w:line="252" w:lineRule="auto"/>
            </w:pPr>
            <w:r>
              <w:rPr>
                <w:b w:val="0"/>
                <w:i w:val="0"/>
                <w:sz w:val="16"/>
              </w:rPr>
              <w:t>AP-45, AP-62</w:t>
            </w:r>
          </w:p>
        </w:tc>
      </w:tr>
      <w:tr>
        <w:trPr>
          <w:cantSplit/>
        </w:trPr>
        <w:tc>
          <w:tcPr>
            <w:tcW w:type="dxa" w:w="1928"/>
            <w:vAlign w:val="top"/>
          </w:tcPr>
          <w:p>
            <w:pPr>
              <w:spacing w:after="20" w:line="252" w:lineRule="auto"/>
            </w:pPr>
            <w:r>
              <w:rPr>
                <w:b w:val="0"/>
                <w:i w:val="0"/>
                <w:sz w:val="16"/>
              </w:rPr>
              <w:t>IITH core takaful system</w:t>
            </w:r>
          </w:p>
        </w:tc>
        <w:tc>
          <w:tcPr>
            <w:tcW w:type="dxa" w:w="1134"/>
            <w:vAlign w:val="top"/>
          </w:tcPr>
          <w:p>
            <w:pPr>
              <w:spacing w:after="20" w:line="252" w:lineRule="auto"/>
            </w:pPr>
            <w:r>
              <w:rPr>
                <w:b w:val="0"/>
                <w:i w:val="0"/>
                <w:sz w:val="16"/>
              </w:rPr>
              <w:t>System</w:t>
            </w:r>
          </w:p>
        </w:tc>
        <w:tc>
          <w:tcPr>
            <w:tcW w:type="dxa" w:w="1814"/>
            <w:vAlign w:val="top"/>
          </w:tcPr>
          <w:p>
            <w:pPr>
              <w:spacing w:after="20" w:line="252" w:lineRule="auto"/>
            </w:pPr>
            <w:r>
              <w:rPr>
                <w:b w:val="0"/>
                <w:i w:val="0"/>
                <w:sz w:val="16"/>
              </w:rPr>
              <w:t>REST/JSON both ways</w:t>
            </w:r>
          </w:p>
        </w:tc>
        <w:tc>
          <w:tcPr>
            <w:tcW w:type="dxa" w:w="3175"/>
            <w:vAlign w:val="top"/>
          </w:tcPr>
          <w:p>
            <w:pPr>
              <w:spacing w:after="20" w:line="252" w:lineRule="auto"/>
            </w:pPr>
            <w:r>
              <w:rPr>
                <w:b w:val="0"/>
                <w:i w:val="0"/>
                <w:sz w:val="16"/>
              </w:rPr>
              <w:t>Agent, participant, policy, endorsement, cancellation and claim events out; agent status and issued-policy queries in</w:t>
            </w:r>
          </w:p>
        </w:tc>
        <w:tc>
          <w:tcPr>
            <w:tcW w:type="dxa" w:w="1587"/>
            <w:vAlign w:val="top"/>
          </w:tcPr>
          <w:p>
            <w:pPr>
              <w:spacing w:after="20" w:line="252" w:lineRule="auto"/>
            </w:pPr>
            <w:r>
              <w:rPr>
                <w:b w:val="0"/>
                <w:i w:val="0"/>
                <w:sz w:val="16"/>
              </w:rPr>
              <w:t>INT-01 to INT-03, INT-09</w:t>
            </w:r>
          </w:p>
        </w:tc>
      </w:tr>
      <w:tr>
        <w:trPr>
          <w:cantSplit/>
        </w:trPr>
        <w:tc>
          <w:tcPr>
            <w:tcW w:type="dxa" w:w="1928"/>
            <w:vAlign w:val="top"/>
            <w:shd w:val="clear" w:color="auto" w:fill="FDF0F7"/>
          </w:tcPr>
          <w:p>
            <w:pPr>
              <w:spacing w:after="20" w:line="252" w:lineRule="auto"/>
            </w:pPr>
            <w:r>
              <w:rPr>
                <w:b w:val="0"/>
                <w:i w:val="0"/>
                <w:sz w:val="16"/>
              </w:rPr>
              <w:t>Financial system (FIN)</w:t>
            </w:r>
          </w:p>
        </w:tc>
        <w:tc>
          <w:tcPr>
            <w:tcW w:type="dxa" w:w="1134"/>
            <w:vAlign w:val="top"/>
            <w:shd w:val="clear" w:color="auto" w:fill="FDF0F7"/>
          </w:tcPr>
          <w:p>
            <w:pPr>
              <w:spacing w:after="20" w:line="252" w:lineRule="auto"/>
            </w:pPr>
            <w:r>
              <w:rPr>
                <w:b w:val="0"/>
                <w:i w:val="0"/>
                <w:sz w:val="16"/>
              </w:rPr>
              <w:t>System</w:t>
            </w:r>
          </w:p>
        </w:tc>
        <w:tc>
          <w:tcPr>
            <w:tcW w:type="dxa" w:w="1814"/>
            <w:vAlign w:val="top"/>
            <w:shd w:val="clear" w:color="auto" w:fill="FDF0F7"/>
          </w:tcPr>
          <w:p>
            <w:pPr>
              <w:spacing w:after="20" w:line="252" w:lineRule="auto"/>
            </w:pPr>
            <w:r>
              <w:rPr>
                <w:b w:val="0"/>
                <w:i w:val="0"/>
                <w:sz w:val="16"/>
              </w:rPr>
              <w:t>REST/JSON and EOD file</w:t>
            </w:r>
          </w:p>
        </w:tc>
        <w:tc>
          <w:tcPr>
            <w:tcW w:type="dxa" w:w="3175"/>
            <w:vAlign w:val="top"/>
            <w:shd w:val="clear" w:color="auto" w:fill="FDF0F7"/>
          </w:tcPr>
          <w:p>
            <w:pPr>
              <w:spacing w:after="20" w:line="252" w:lineRule="auto"/>
            </w:pPr>
            <w:r>
              <w:rPr>
                <w:b w:val="0"/>
                <w:i w:val="0"/>
                <w:sz w:val="16"/>
              </w:rPr>
              <w:t>Receipts, refunds, commission accruals and EOD postings out; posted receipts and commission payments in</w:t>
            </w:r>
          </w:p>
        </w:tc>
        <w:tc>
          <w:tcPr>
            <w:tcW w:type="dxa" w:w="1587"/>
            <w:vAlign w:val="top"/>
            <w:shd w:val="clear" w:color="auto" w:fill="FDF0F7"/>
          </w:tcPr>
          <w:p>
            <w:pPr>
              <w:spacing w:after="20" w:line="252" w:lineRule="auto"/>
            </w:pPr>
            <w:r>
              <w:rPr>
                <w:b w:val="0"/>
                <w:i w:val="0"/>
                <w:sz w:val="16"/>
              </w:rPr>
              <w:t>INT-04, INT-05, INT-15</w:t>
            </w:r>
          </w:p>
        </w:tc>
      </w:tr>
      <w:tr>
        <w:trPr>
          <w:cantSplit/>
        </w:trPr>
        <w:tc>
          <w:tcPr>
            <w:tcW w:type="dxa" w:w="1928"/>
            <w:vAlign w:val="top"/>
          </w:tcPr>
          <w:p>
            <w:pPr>
              <w:spacing w:after="20" w:line="252" w:lineRule="auto"/>
            </w:pPr>
            <w:r>
              <w:rPr>
                <w:b w:val="0"/>
                <w:i w:val="0"/>
                <w:sz w:val="16"/>
              </w:rPr>
              <w:t>AML screening provider</w:t>
            </w:r>
          </w:p>
        </w:tc>
        <w:tc>
          <w:tcPr>
            <w:tcW w:type="dxa" w:w="1134"/>
            <w:vAlign w:val="top"/>
          </w:tcPr>
          <w:p>
            <w:pPr>
              <w:spacing w:after="20" w:line="252" w:lineRule="auto"/>
            </w:pPr>
            <w:r>
              <w:rPr>
                <w:b w:val="0"/>
                <w:i w:val="0"/>
                <w:sz w:val="16"/>
              </w:rPr>
              <w:t>System (optional)</w:t>
            </w:r>
          </w:p>
        </w:tc>
        <w:tc>
          <w:tcPr>
            <w:tcW w:type="dxa" w:w="1814"/>
            <w:vAlign w:val="top"/>
          </w:tcPr>
          <w:p>
            <w:pPr>
              <w:spacing w:after="20" w:line="252" w:lineRule="auto"/>
            </w:pPr>
            <w:r>
              <w:rPr>
                <w:b w:val="0"/>
                <w:i w:val="0"/>
                <w:sz w:val="16"/>
              </w:rPr>
              <w:t>REST/JSON</w:t>
            </w:r>
          </w:p>
        </w:tc>
        <w:tc>
          <w:tcPr>
            <w:tcW w:type="dxa" w:w="3175"/>
            <w:vAlign w:val="top"/>
          </w:tcPr>
          <w:p>
            <w:pPr>
              <w:spacing w:after="20" w:line="252" w:lineRule="auto"/>
            </w:pPr>
            <w:r>
              <w:rPr>
                <w:b w:val="0"/>
                <w:i w:val="0"/>
                <w:sz w:val="16"/>
              </w:rPr>
              <w:t>Name and identifier screening in addition to Compliance watch-lists</w:t>
            </w:r>
          </w:p>
        </w:tc>
        <w:tc>
          <w:tcPr>
            <w:tcW w:type="dxa" w:w="1587"/>
            <w:vAlign w:val="top"/>
          </w:tcPr>
          <w:p>
            <w:pPr>
              <w:spacing w:after="20" w:line="252" w:lineRule="auto"/>
            </w:pPr>
            <w:r>
              <w:rPr>
                <w:b w:val="0"/>
                <w:i w:val="0"/>
                <w:sz w:val="16"/>
              </w:rPr>
              <w:t>AP-16, BO-13</w:t>
            </w:r>
          </w:p>
        </w:tc>
      </w:tr>
      <w:tr>
        <w:trPr>
          <w:cantSplit/>
        </w:trPr>
        <w:tc>
          <w:tcPr>
            <w:tcW w:type="dxa" w:w="1928"/>
            <w:vAlign w:val="top"/>
            <w:shd w:val="clear" w:color="auto" w:fill="FDF0F7"/>
          </w:tcPr>
          <w:p>
            <w:pPr>
              <w:spacing w:after="20" w:line="252" w:lineRule="auto"/>
            </w:pPr>
            <w:r>
              <w:rPr>
                <w:b w:val="0"/>
                <w:i w:val="0"/>
                <w:sz w:val="16"/>
              </w:rPr>
              <w:t>SMTP relay</w:t>
            </w:r>
          </w:p>
        </w:tc>
        <w:tc>
          <w:tcPr>
            <w:tcW w:type="dxa" w:w="1134"/>
            <w:vAlign w:val="top"/>
            <w:shd w:val="clear" w:color="auto" w:fill="FDF0F7"/>
          </w:tcPr>
          <w:p>
            <w:pPr>
              <w:spacing w:after="20" w:line="252" w:lineRule="auto"/>
            </w:pPr>
            <w:r>
              <w:rPr>
                <w:b w:val="0"/>
                <w:i w:val="0"/>
                <w:sz w:val="16"/>
              </w:rPr>
              <w:t>System</w:t>
            </w:r>
          </w:p>
        </w:tc>
        <w:tc>
          <w:tcPr>
            <w:tcW w:type="dxa" w:w="1814"/>
            <w:vAlign w:val="top"/>
            <w:shd w:val="clear" w:color="auto" w:fill="FDF0F7"/>
          </w:tcPr>
          <w:p>
            <w:pPr>
              <w:spacing w:after="20" w:line="252" w:lineRule="auto"/>
            </w:pPr>
            <w:r>
              <w:rPr>
                <w:b w:val="0"/>
                <w:i w:val="0"/>
                <w:sz w:val="16"/>
              </w:rPr>
              <w:t>SMTP with STARTTLS</w:t>
            </w:r>
          </w:p>
        </w:tc>
        <w:tc>
          <w:tcPr>
            <w:tcW w:type="dxa" w:w="3175"/>
            <w:vAlign w:val="top"/>
            <w:shd w:val="clear" w:color="auto" w:fill="FDF0F7"/>
          </w:tcPr>
          <w:p>
            <w:pPr>
              <w:spacing w:after="20" w:line="252" w:lineRule="auto"/>
            </w:pPr>
            <w:r>
              <w:rPr>
                <w:b w:val="0"/>
                <w:i w:val="0"/>
                <w:sz w:val="16"/>
              </w:rPr>
              <w:t>Notifications, documents, e-signature links, scheduled reports</w:t>
            </w:r>
          </w:p>
        </w:tc>
        <w:tc>
          <w:tcPr>
            <w:tcW w:type="dxa" w:w="1587"/>
            <w:vAlign w:val="top"/>
            <w:shd w:val="clear" w:color="auto" w:fill="FDF0F7"/>
          </w:tcPr>
          <w:p>
            <w:pPr>
              <w:spacing w:after="20" w:line="252" w:lineRule="auto"/>
            </w:pPr>
            <w:r>
              <w:rPr>
                <w:b w:val="0"/>
                <w:i w:val="0"/>
                <w:sz w:val="16"/>
              </w:rPr>
              <w:t>INT-07</w:t>
            </w:r>
          </w:p>
        </w:tc>
      </w:tr>
      <w:tr>
        <w:trPr>
          <w:cantSplit/>
        </w:trPr>
        <w:tc>
          <w:tcPr>
            <w:tcW w:type="dxa" w:w="1928"/>
            <w:vAlign w:val="top"/>
          </w:tcPr>
          <w:p>
            <w:pPr>
              <w:spacing w:after="20" w:line="252" w:lineRule="auto"/>
            </w:pPr>
            <w:r>
              <w:rPr>
                <w:b w:val="0"/>
                <w:i w:val="0"/>
                <w:sz w:val="16"/>
              </w:rPr>
              <w:t>SMS gateway</w:t>
            </w:r>
          </w:p>
        </w:tc>
        <w:tc>
          <w:tcPr>
            <w:tcW w:type="dxa" w:w="1134"/>
            <w:vAlign w:val="top"/>
          </w:tcPr>
          <w:p>
            <w:pPr>
              <w:spacing w:after="20" w:line="252" w:lineRule="auto"/>
            </w:pPr>
            <w:r>
              <w:rPr>
                <w:b w:val="0"/>
                <w:i w:val="0"/>
                <w:sz w:val="16"/>
              </w:rPr>
              <w:t>System</w:t>
            </w:r>
          </w:p>
        </w:tc>
        <w:tc>
          <w:tcPr>
            <w:tcW w:type="dxa" w:w="1814"/>
            <w:vAlign w:val="top"/>
          </w:tcPr>
          <w:p>
            <w:pPr>
              <w:spacing w:after="20" w:line="252" w:lineRule="auto"/>
            </w:pPr>
            <w:r>
              <w:rPr>
                <w:b w:val="0"/>
                <w:i w:val="0"/>
                <w:sz w:val="16"/>
              </w:rPr>
              <w:t>HTTPS API</w:t>
            </w:r>
          </w:p>
        </w:tc>
        <w:tc>
          <w:tcPr>
            <w:tcW w:type="dxa" w:w="3175"/>
            <w:vAlign w:val="top"/>
          </w:tcPr>
          <w:p>
            <w:pPr>
              <w:spacing w:after="20" w:line="252" w:lineRule="auto"/>
            </w:pPr>
            <w:r>
              <w:rPr>
                <w:b w:val="0"/>
                <w:i w:val="0"/>
                <w:sz w:val="16"/>
              </w:rPr>
              <w:t>Short notifications (agency block, approvals)</w:t>
            </w:r>
          </w:p>
        </w:tc>
        <w:tc>
          <w:tcPr>
            <w:tcW w:type="dxa" w:w="1587"/>
            <w:vAlign w:val="top"/>
          </w:tcPr>
          <w:p>
            <w:pPr>
              <w:spacing w:after="20" w:line="252" w:lineRule="auto"/>
            </w:pPr>
            <w:r>
              <w:rPr>
                <w:b w:val="0"/>
                <w:i w:val="0"/>
                <w:sz w:val="16"/>
              </w:rPr>
              <w:t>INT-08</w:t>
            </w:r>
          </w:p>
        </w:tc>
      </w:tr>
      <w:tr>
        <w:trPr>
          <w:cantSplit/>
        </w:trPr>
        <w:tc>
          <w:tcPr>
            <w:tcW w:type="dxa" w:w="1928"/>
            <w:vAlign w:val="top"/>
            <w:shd w:val="clear" w:color="auto" w:fill="FDF0F7"/>
          </w:tcPr>
          <w:p>
            <w:pPr>
              <w:spacing w:after="20" w:line="252" w:lineRule="auto"/>
            </w:pPr>
            <w:r>
              <w:rPr>
                <w:b w:val="0"/>
                <w:i w:val="0"/>
                <w:sz w:val="16"/>
              </w:rPr>
              <w:t>Active Directory / LDAP</w:t>
            </w:r>
          </w:p>
        </w:tc>
        <w:tc>
          <w:tcPr>
            <w:tcW w:type="dxa" w:w="1134"/>
            <w:vAlign w:val="top"/>
            <w:shd w:val="clear" w:color="auto" w:fill="FDF0F7"/>
          </w:tcPr>
          <w:p>
            <w:pPr>
              <w:spacing w:after="20" w:line="252" w:lineRule="auto"/>
            </w:pPr>
            <w:r>
              <w:rPr>
                <w:b w:val="0"/>
                <w:i w:val="0"/>
                <w:sz w:val="16"/>
              </w:rPr>
              <w:t>System</w:t>
            </w:r>
          </w:p>
        </w:tc>
        <w:tc>
          <w:tcPr>
            <w:tcW w:type="dxa" w:w="1814"/>
            <w:vAlign w:val="top"/>
            <w:shd w:val="clear" w:color="auto" w:fill="FDF0F7"/>
          </w:tcPr>
          <w:p>
            <w:pPr>
              <w:spacing w:after="20" w:line="252" w:lineRule="auto"/>
            </w:pPr>
            <w:r>
              <w:rPr>
                <w:b w:val="0"/>
                <w:i w:val="0"/>
                <w:sz w:val="16"/>
              </w:rPr>
              <w:t>LDAPS bind</w:t>
            </w:r>
          </w:p>
        </w:tc>
        <w:tc>
          <w:tcPr>
            <w:tcW w:type="dxa" w:w="3175"/>
            <w:vAlign w:val="top"/>
            <w:shd w:val="clear" w:color="auto" w:fill="FDF0F7"/>
          </w:tcPr>
          <w:p>
            <w:pPr>
              <w:spacing w:after="20" w:line="252" w:lineRule="auto"/>
            </w:pPr>
            <w:r>
              <w:rPr>
                <w:b w:val="0"/>
                <w:i w:val="0"/>
                <w:sz w:val="16"/>
              </w:rPr>
              <w:t>Back-office sign-in for directory accounts</w:t>
            </w:r>
          </w:p>
        </w:tc>
        <w:tc>
          <w:tcPr>
            <w:tcW w:type="dxa" w:w="1587"/>
            <w:vAlign w:val="top"/>
            <w:shd w:val="clear" w:color="auto" w:fill="FDF0F7"/>
          </w:tcPr>
          <w:p>
            <w:pPr>
              <w:spacing w:after="20" w:line="252" w:lineRule="auto"/>
            </w:pPr>
            <w:r>
              <w:rPr>
                <w:b w:val="0"/>
                <w:i w:val="0"/>
                <w:sz w:val="16"/>
              </w:rPr>
              <w:t>INT-06</w:t>
            </w:r>
          </w:p>
        </w:tc>
      </w:tr>
    </w:tbl>
    <w:p>
      <w:pPr>
        <w:pStyle w:val="Caption"/>
        <w:jc w:val="center"/>
      </w:pPr>
      <w:r>
        <w:rPr>
          <w:b w:val="0"/>
          <w:i w:val="0"/>
        </w:rPr>
        <w:t>Table 3: Actors and external systems</w:t>
      </w:r>
    </w:p>
    <w:p>
      <w:pPr>
        <w:pStyle w:val="Heading1"/>
        <w:pageBreakBefore/>
        <w:pBdr>
          <w:bottom w:val="single" w:sz="12" w:space="4" w:color="F58220"/>
        </w:pBdr>
      </w:pPr>
      <w:r>
        <w:t>4. Functional Architecture</w:t>
      </w:r>
    </w:p>
    <w:p>
      <w:pPr>
        <w:keepNext w:val="0"/>
      </w:pPr>
      <w:r>
        <w:rPr>
          <w:b w:val="0"/>
          <w:i w:val="0"/>
        </w:rPr>
        <w:t>The API is split into modules that follow the RFP functional areas. Each module owns its controllers, services, data-transfer objects and tests; shared concerns (database access, encryption, numbering, data scope, request context, error handling) live in apps/api/src/common.</w:t>
      </w:r>
    </w:p>
    <w:p>
      <w:pPr>
        <w:keepNext/>
        <w:spacing w:after="0"/>
        <w:jc w:val="center"/>
      </w:pPr>
      <w:r>
        <w:drawing>
          <wp:inline xmlns:a="http://schemas.openxmlformats.org/drawingml/2006/main" xmlns:pic="http://schemas.openxmlformats.org/drawingml/2006/picture">
            <wp:extent cx="5760000" cy="5019428"/>
            <wp:docPr id="5" name="Picture 5"/>
            <wp:cNvGraphicFramePr>
              <a:graphicFrameLocks noChangeAspect="1"/>
            </wp:cNvGraphicFramePr>
            <a:graphic>
              <a:graphicData uri="http://schemas.openxmlformats.org/drawingml/2006/picture">
                <pic:pic>
                  <pic:nvPicPr>
                    <pic:cNvPr id="0" name="tech-module-map.png"/>
                    <pic:cNvPicPr/>
                  </pic:nvPicPr>
                  <pic:blipFill>
                    <a:blip r:embed="rId15"/>
                    <a:stretch>
                      <a:fillRect/>
                    </a:stretch>
                  </pic:blipFill>
                  <pic:spPr>
                    <a:xfrm>
                      <a:off x="0" y="0"/>
                      <a:ext cx="5760000" cy="5019428"/>
                    </a:xfrm>
                    <a:prstGeom prst="rect"/>
                  </pic:spPr>
                </pic:pic>
              </a:graphicData>
            </a:graphic>
          </wp:inline>
        </w:drawing>
      </w:r>
    </w:p>
    <w:p>
      <w:pPr>
        <w:pStyle w:val="Caption"/>
        <w:jc w:val="center"/>
      </w:pPr>
      <w:r>
        <w:rPr>
          <w:b w:val="0"/>
          <w:i w:val="0"/>
        </w:rPr>
        <w:t>Figure 2: Functional module map</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1474"/>
        <w:gridCol w:w="3742"/>
        <w:gridCol w:w="2608"/>
      </w:tblGrid>
      <w:tr>
        <w:trPr>
          <w:cantSplit/>
          <w:tblHeader/>
        </w:trPr>
        <w:tc>
          <w:tcPr>
            <w:tcW w:type="dxa" w:w="1814"/>
            <w:shd w:val="clear" w:color="auto" w:fill="E1058C"/>
            <w:vAlign w:val="center"/>
          </w:tcPr>
          <w:p>
            <w:pPr>
              <w:spacing w:after="0"/>
            </w:pPr>
            <w:r>
              <w:rPr>
                <w:b/>
                <w:i w:val="0"/>
                <w:color w:val="FFFFFF"/>
                <w:sz w:val="16"/>
              </w:rPr>
              <w:t>Module</w:t>
            </w:r>
          </w:p>
        </w:tc>
        <w:tc>
          <w:tcPr>
            <w:tcW w:type="dxa" w:w="1474"/>
            <w:shd w:val="clear" w:color="auto" w:fill="E1058C"/>
            <w:vAlign w:val="center"/>
          </w:tcPr>
          <w:p>
            <w:pPr>
              <w:spacing w:after="0"/>
            </w:pPr>
            <w:r>
              <w:rPr>
                <w:b/>
                <w:i w:val="0"/>
                <w:color w:val="FFFFFF"/>
                <w:sz w:val="16"/>
              </w:rPr>
              <w:t>Code</w:t>
            </w:r>
          </w:p>
        </w:tc>
        <w:tc>
          <w:tcPr>
            <w:tcW w:type="dxa" w:w="3742"/>
            <w:shd w:val="clear" w:color="auto" w:fill="E1058C"/>
            <w:vAlign w:val="center"/>
          </w:tcPr>
          <w:p>
            <w:pPr>
              <w:spacing w:after="0"/>
            </w:pPr>
            <w:r>
              <w:rPr>
                <w:b/>
                <w:i w:val="0"/>
                <w:color w:val="FFFFFF"/>
                <w:sz w:val="16"/>
              </w:rPr>
              <w:t>Responsibilities</w:t>
            </w:r>
          </w:p>
        </w:tc>
        <w:tc>
          <w:tcPr>
            <w:tcW w:type="dxa" w:w="2608"/>
            <w:shd w:val="clear" w:color="auto" w:fill="E1058C"/>
            <w:vAlign w:val="center"/>
          </w:tcPr>
          <w:p>
            <w:pPr>
              <w:spacing w:after="0"/>
            </w:pPr>
            <w:r>
              <w:rPr>
                <w:b/>
                <w:i w:val="0"/>
                <w:color w:val="FFFFFF"/>
                <w:sz w:val="16"/>
              </w:rPr>
              <w:t>RFP requirements</w:t>
            </w:r>
          </w:p>
        </w:tc>
      </w:tr>
      <w:tr>
        <w:trPr>
          <w:cantSplit/>
        </w:trPr>
        <w:tc>
          <w:tcPr>
            <w:tcW w:type="dxa" w:w="1814"/>
            <w:vAlign w:val="top"/>
          </w:tcPr>
          <w:p>
            <w:pPr>
              <w:spacing w:after="20" w:line="252" w:lineRule="auto"/>
            </w:pPr>
            <w:r>
              <w:rPr>
                <w:b/>
                <w:i w:val="0"/>
                <w:sz w:val="16"/>
              </w:rPr>
              <w:t>Identity &amp; access</w:t>
            </w:r>
          </w:p>
        </w:tc>
        <w:tc>
          <w:tcPr>
            <w:tcW w:type="dxa" w:w="1474"/>
            <w:vAlign w:val="top"/>
          </w:tcPr>
          <w:p>
            <w:pPr>
              <w:spacing w:after="20" w:line="252" w:lineRule="auto"/>
            </w:pPr>
            <w:r>
              <w:rPr>
                <w:b w:val="0"/>
                <w:i w:val="0"/>
                <w:sz w:val="16"/>
              </w:rPr>
              <w:t>auth, access</w:t>
            </w:r>
          </w:p>
        </w:tc>
        <w:tc>
          <w:tcPr>
            <w:tcW w:type="dxa" w:w="3742"/>
            <w:vAlign w:val="top"/>
          </w:tcPr>
          <w:p>
            <w:pPr>
              <w:spacing w:after="20" w:line="252" w:lineRule="auto"/>
            </w:pPr>
            <w:r>
              <w:rPr>
                <w:b w:val="0"/>
                <w:i w:val="0"/>
                <w:sz w:val="16"/>
              </w:rPr>
              <w:t>Sign-in, sessions, password policy and history, lockout, directory sign-in, users, roles, permissions</w:t>
            </w:r>
          </w:p>
        </w:tc>
        <w:tc>
          <w:tcPr>
            <w:tcW w:type="dxa" w:w="2608"/>
            <w:vAlign w:val="top"/>
          </w:tcPr>
          <w:p>
            <w:pPr>
              <w:spacing w:after="20" w:line="252" w:lineRule="auto"/>
            </w:pPr>
            <w:r>
              <w:rPr>
                <w:b w:val="0"/>
                <w:i w:val="0"/>
                <w:sz w:val="16"/>
              </w:rPr>
              <w:t>AP-01 to AP-04, AP-59, BO-01 to BO-04, INT-06, COM-02</w:t>
            </w:r>
          </w:p>
        </w:tc>
      </w:tr>
      <w:tr>
        <w:trPr>
          <w:cantSplit/>
        </w:trPr>
        <w:tc>
          <w:tcPr>
            <w:tcW w:type="dxa" w:w="1814"/>
            <w:vAlign w:val="top"/>
            <w:shd w:val="clear" w:color="auto" w:fill="FDF0F7"/>
          </w:tcPr>
          <w:p>
            <w:pPr>
              <w:spacing w:after="20" w:line="252" w:lineRule="auto"/>
            </w:pPr>
            <w:r>
              <w:rPr>
                <w:b/>
                <w:i w:val="0"/>
                <w:sz w:val="16"/>
              </w:rPr>
              <w:t>Agency &amp; agents</w:t>
            </w:r>
          </w:p>
        </w:tc>
        <w:tc>
          <w:tcPr>
            <w:tcW w:type="dxa" w:w="1474"/>
            <w:vAlign w:val="top"/>
            <w:shd w:val="clear" w:color="auto" w:fill="FDF0F7"/>
          </w:tcPr>
          <w:p>
            <w:pPr>
              <w:spacing w:after="20" w:line="252" w:lineRule="auto"/>
            </w:pPr>
            <w:r>
              <w:rPr>
                <w:b w:val="0"/>
                <w:i w:val="0"/>
                <w:sz w:val="16"/>
              </w:rPr>
              <w:t>agency</w:t>
            </w:r>
          </w:p>
        </w:tc>
        <w:tc>
          <w:tcPr>
            <w:tcW w:type="dxa" w:w="3742"/>
            <w:vAlign w:val="top"/>
            <w:shd w:val="clear" w:color="auto" w:fill="FDF0F7"/>
          </w:tcPr>
          <w:p>
            <w:pPr>
              <w:spacing w:after="20" w:line="252" w:lineRule="auto"/>
            </w:pPr>
            <w:r>
              <w:rPr>
                <w:b w:val="0"/>
                <w:i w:val="0"/>
                <w:sz w:val="16"/>
              </w:rPr>
              <w:t>Agencies and banks, agent registration and approval, hierarchy, status, authority limits, issuance block override</w:t>
            </w:r>
          </w:p>
        </w:tc>
        <w:tc>
          <w:tcPr>
            <w:tcW w:type="dxa" w:w="2608"/>
            <w:vAlign w:val="top"/>
            <w:shd w:val="clear" w:color="auto" w:fill="FDF0F7"/>
          </w:tcPr>
          <w:p>
            <w:pPr>
              <w:spacing w:after="20" w:line="252" w:lineRule="auto"/>
            </w:pPr>
            <w:r>
              <w:rPr>
                <w:b w:val="0"/>
                <w:i w:val="0"/>
                <w:sz w:val="16"/>
              </w:rPr>
              <w:t>AP-05 to AP-10, AP-42, BO-05 to BO-12</w:t>
            </w:r>
          </w:p>
        </w:tc>
      </w:tr>
      <w:tr>
        <w:trPr>
          <w:cantSplit/>
        </w:trPr>
        <w:tc>
          <w:tcPr>
            <w:tcW w:type="dxa" w:w="1814"/>
            <w:vAlign w:val="top"/>
          </w:tcPr>
          <w:p>
            <w:pPr>
              <w:spacing w:after="20" w:line="252" w:lineRule="auto"/>
            </w:pPr>
            <w:r>
              <w:rPr>
                <w:b/>
                <w:i w:val="0"/>
                <w:sz w:val="16"/>
              </w:rPr>
              <w:t>Participants &amp; AML</w:t>
            </w:r>
          </w:p>
        </w:tc>
        <w:tc>
          <w:tcPr>
            <w:tcW w:type="dxa" w:w="1474"/>
            <w:vAlign w:val="top"/>
          </w:tcPr>
          <w:p>
            <w:pPr>
              <w:spacing w:after="20" w:line="252" w:lineRule="auto"/>
            </w:pPr>
            <w:r>
              <w:rPr>
                <w:b w:val="0"/>
                <w:i w:val="0"/>
                <w:sz w:val="16"/>
              </w:rPr>
              <w:t>participants, aml</w:t>
            </w:r>
          </w:p>
        </w:tc>
        <w:tc>
          <w:tcPr>
            <w:tcW w:type="dxa" w:w="3742"/>
            <w:vAlign w:val="top"/>
          </w:tcPr>
          <w:p>
            <w:pPr>
              <w:spacing w:after="20" w:line="252" w:lineRule="auto"/>
            </w:pPr>
            <w:r>
              <w:rPr>
                <w:b w:val="0"/>
                <w:i w:val="0"/>
                <w:sz w:val="16"/>
              </w:rPr>
              <w:t>Shared participant master with duplicate check, update requests, watch-list screening, Compliance review</w:t>
            </w:r>
          </w:p>
        </w:tc>
        <w:tc>
          <w:tcPr>
            <w:tcW w:type="dxa" w:w="2608"/>
            <w:vAlign w:val="top"/>
          </w:tcPr>
          <w:p>
            <w:pPr>
              <w:spacing w:after="20" w:line="252" w:lineRule="auto"/>
            </w:pPr>
            <w:r>
              <w:rPr>
                <w:b w:val="0"/>
                <w:i w:val="0"/>
                <w:sz w:val="16"/>
              </w:rPr>
              <w:t>AP-11 to AP-16, AP-48, BO-13 to BO-15</w:t>
            </w:r>
          </w:p>
        </w:tc>
      </w:tr>
      <w:tr>
        <w:trPr>
          <w:cantSplit/>
        </w:trPr>
        <w:tc>
          <w:tcPr>
            <w:tcW w:type="dxa" w:w="1814"/>
            <w:vAlign w:val="top"/>
            <w:shd w:val="clear" w:color="auto" w:fill="FDF0F7"/>
          </w:tcPr>
          <w:p>
            <w:pPr>
              <w:spacing w:after="20" w:line="252" w:lineRule="auto"/>
            </w:pPr>
            <w:r>
              <w:rPr>
                <w:b/>
                <w:i w:val="0"/>
                <w:sz w:val="16"/>
              </w:rPr>
              <w:t>Products &amp; rating</w:t>
            </w:r>
          </w:p>
        </w:tc>
        <w:tc>
          <w:tcPr>
            <w:tcW w:type="dxa" w:w="1474"/>
            <w:vAlign w:val="top"/>
            <w:shd w:val="clear" w:color="auto" w:fill="FDF0F7"/>
          </w:tcPr>
          <w:p>
            <w:pPr>
              <w:spacing w:after="20" w:line="252" w:lineRule="auto"/>
            </w:pPr>
            <w:r>
              <w:rPr>
                <w:b w:val="0"/>
                <w:i w:val="0"/>
                <w:sz w:val="16"/>
              </w:rPr>
              <w:t>products</w:t>
            </w:r>
          </w:p>
        </w:tc>
        <w:tc>
          <w:tcPr>
            <w:tcW w:type="dxa" w:w="3742"/>
            <w:vAlign w:val="top"/>
            <w:shd w:val="clear" w:color="auto" w:fill="FDF0F7"/>
          </w:tcPr>
          <w:p>
            <w:pPr>
              <w:spacing w:after="20" w:line="252" w:lineRule="auto"/>
            </w:pPr>
            <w:r>
              <w:rPr>
                <w:b w:val="0"/>
                <w:i w:val="0"/>
                <w:sz w:val="16"/>
              </w:rPr>
              <w:t>Catalogue, FINANCING and FIXED_PLAN rating engines, required documents, questionnaires</w:t>
            </w:r>
          </w:p>
        </w:tc>
        <w:tc>
          <w:tcPr>
            <w:tcW w:type="dxa" w:w="2608"/>
            <w:vAlign w:val="top"/>
            <w:shd w:val="clear" w:color="auto" w:fill="FDF0F7"/>
          </w:tcPr>
          <w:p>
            <w:pPr>
              <w:spacing w:after="20" w:line="252" w:lineRule="auto"/>
            </w:pPr>
            <w:r>
              <w:rPr>
                <w:b w:val="0"/>
                <w:i w:val="0"/>
                <w:sz w:val="16"/>
              </w:rPr>
              <w:t>AP-17 to AP-19, BO-33</w:t>
            </w:r>
          </w:p>
        </w:tc>
      </w:tr>
      <w:tr>
        <w:trPr>
          <w:cantSplit/>
        </w:trPr>
        <w:tc>
          <w:tcPr>
            <w:tcW w:type="dxa" w:w="1814"/>
            <w:vAlign w:val="top"/>
          </w:tcPr>
          <w:p>
            <w:pPr>
              <w:spacing w:after="20" w:line="252" w:lineRule="auto"/>
            </w:pPr>
            <w:r>
              <w:rPr>
                <w:b/>
                <w:i w:val="0"/>
                <w:sz w:val="16"/>
              </w:rPr>
              <w:t>Quotation &amp; policy lifecycle</w:t>
            </w:r>
          </w:p>
        </w:tc>
        <w:tc>
          <w:tcPr>
            <w:tcW w:type="dxa" w:w="1474"/>
            <w:vAlign w:val="top"/>
          </w:tcPr>
          <w:p>
            <w:pPr>
              <w:spacing w:after="20" w:line="252" w:lineRule="auto"/>
            </w:pPr>
            <w:r>
              <w:rPr>
                <w:b w:val="0"/>
                <w:i w:val="0"/>
                <w:sz w:val="16"/>
              </w:rPr>
              <w:t>policies</w:t>
            </w:r>
          </w:p>
        </w:tc>
        <w:tc>
          <w:tcPr>
            <w:tcW w:type="dxa" w:w="3742"/>
            <w:vAlign w:val="top"/>
          </w:tcPr>
          <w:p>
            <w:pPr>
              <w:spacing w:after="20" w:line="252" w:lineRule="auto"/>
            </w:pPr>
            <w:r>
              <w:rPr>
                <w:b w:val="0"/>
                <w:i w:val="0"/>
                <w:sz w:val="16"/>
              </w:rPr>
              <w:t>Quotations, validation, referral, issuance, e-Policy, renewal, endorsement, cancellation, expiry, history</w:t>
            </w:r>
          </w:p>
        </w:tc>
        <w:tc>
          <w:tcPr>
            <w:tcW w:type="dxa" w:w="2608"/>
            <w:vAlign w:val="top"/>
          </w:tcPr>
          <w:p>
            <w:pPr>
              <w:spacing w:after="20" w:line="252" w:lineRule="auto"/>
            </w:pPr>
            <w:r>
              <w:rPr>
                <w:b w:val="0"/>
                <w:i w:val="0"/>
                <w:sz w:val="16"/>
              </w:rPr>
              <w:t>AP-20 to AP-36, AP-44, AP-49 to AP-51, AP-60</w:t>
            </w:r>
          </w:p>
        </w:tc>
      </w:tr>
      <w:tr>
        <w:trPr>
          <w:cantSplit/>
        </w:trPr>
        <w:tc>
          <w:tcPr>
            <w:tcW w:type="dxa" w:w="1814"/>
            <w:vAlign w:val="top"/>
            <w:shd w:val="clear" w:color="auto" w:fill="FDF0F7"/>
          </w:tcPr>
          <w:p>
            <w:pPr>
              <w:spacing w:after="20" w:line="252" w:lineRule="auto"/>
            </w:pPr>
            <w:r>
              <w:rPr>
                <w:b/>
                <w:i w:val="0"/>
                <w:sz w:val="16"/>
              </w:rPr>
              <w:t>Billing &amp; receipts</w:t>
            </w:r>
          </w:p>
        </w:tc>
        <w:tc>
          <w:tcPr>
            <w:tcW w:type="dxa" w:w="1474"/>
            <w:vAlign w:val="top"/>
            <w:shd w:val="clear" w:color="auto" w:fill="FDF0F7"/>
          </w:tcPr>
          <w:p>
            <w:pPr>
              <w:spacing w:after="20" w:line="252" w:lineRule="auto"/>
            </w:pPr>
            <w:r>
              <w:rPr>
                <w:b w:val="0"/>
                <w:i w:val="0"/>
                <w:sz w:val="16"/>
              </w:rPr>
              <w:t>billing</w:t>
            </w:r>
          </w:p>
        </w:tc>
        <w:tc>
          <w:tcPr>
            <w:tcW w:type="dxa" w:w="3742"/>
            <w:vAlign w:val="top"/>
            <w:shd w:val="clear" w:color="auto" w:fill="FDF0F7"/>
          </w:tcPr>
          <w:p>
            <w:pPr>
              <w:spacing w:after="20" w:line="252" w:lineRule="auto"/>
            </w:pPr>
            <w:r>
              <w:rPr>
                <w:b w:val="0"/>
                <w:i w:val="0"/>
                <w:sz w:val="16"/>
              </w:rPr>
              <w:t>Outstanding contributions, bulk payments with allocation, proof, verification, e-Receipts, commission, grace-period block</w:t>
            </w:r>
          </w:p>
        </w:tc>
        <w:tc>
          <w:tcPr>
            <w:tcW w:type="dxa" w:w="2608"/>
            <w:vAlign w:val="top"/>
            <w:shd w:val="clear" w:color="auto" w:fill="FDF0F7"/>
          </w:tcPr>
          <w:p>
            <w:pPr>
              <w:spacing w:after="20" w:line="252" w:lineRule="auto"/>
            </w:pPr>
            <w:r>
              <w:rPr>
                <w:b w:val="0"/>
                <w:i w:val="0"/>
                <w:sz w:val="16"/>
              </w:rPr>
              <w:t>AP-30, AP-37 to AP-42, INT-05</w:t>
            </w:r>
          </w:p>
        </w:tc>
      </w:tr>
      <w:tr>
        <w:trPr>
          <w:cantSplit/>
        </w:trPr>
        <w:tc>
          <w:tcPr>
            <w:tcW w:type="dxa" w:w="1814"/>
            <w:vAlign w:val="top"/>
          </w:tcPr>
          <w:p>
            <w:pPr>
              <w:spacing w:after="20" w:line="252" w:lineRule="auto"/>
            </w:pPr>
            <w:r>
              <w:rPr>
                <w:b/>
                <w:i w:val="0"/>
                <w:sz w:val="16"/>
              </w:rPr>
              <w:t>Claims</w:t>
            </w:r>
          </w:p>
        </w:tc>
        <w:tc>
          <w:tcPr>
            <w:tcW w:type="dxa" w:w="1474"/>
            <w:vAlign w:val="top"/>
          </w:tcPr>
          <w:p>
            <w:pPr>
              <w:spacing w:after="20" w:line="252" w:lineRule="auto"/>
            </w:pPr>
            <w:r>
              <w:rPr>
                <w:b w:val="0"/>
                <w:i w:val="0"/>
                <w:sz w:val="16"/>
              </w:rPr>
              <w:t>claims</w:t>
            </w:r>
          </w:p>
        </w:tc>
        <w:tc>
          <w:tcPr>
            <w:tcW w:type="dxa" w:w="3742"/>
            <w:vAlign w:val="top"/>
          </w:tcPr>
          <w:p>
            <w:pPr>
              <w:spacing w:after="20" w:line="252" w:lineRule="auto"/>
            </w:pPr>
            <w:r>
              <w:rPr>
                <w:b w:val="0"/>
                <w:i w:val="0"/>
                <w:sz w:val="16"/>
              </w:rPr>
              <w:t>Claim notification with policy validation and documents; back-office status updates</w:t>
            </w:r>
          </w:p>
        </w:tc>
        <w:tc>
          <w:tcPr>
            <w:tcW w:type="dxa" w:w="2608"/>
            <w:vAlign w:val="top"/>
          </w:tcPr>
          <w:p>
            <w:pPr>
              <w:spacing w:after="20" w:line="252" w:lineRule="auto"/>
            </w:pPr>
            <w:r>
              <w:rPr>
                <w:b w:val="0"/>
                <w:i w:val="0"/>
                <w:sz w:val="16"/>
              </w:rPr>
              <w:t>AP-43</w:t>
            </w:r>
          </w:p>
        </w:tc>
      </w:tr>
      <w:tr>
        <w:trPr>
          <w:cantSplit/>
        </w:trPr>
        <w:tc>
          <w:tcPr>
            <w:tcW w:type="dxa" w:w="1814"/>
            <w:vAlign w:val="top"/>
            <w:shd w:val="clear" w:color="auto" w:fill="FDF0F7"/>
          </w:tcPr>
          <w:p>
            <w:pPr>
              <w:spacing w:after="20" w:line="252" w:lineRule="auto"/>
            </w:pPr>
            <w:r>
              <w:rPr>
                <w:b/>
                <w:i w:val="0"/>
                <w:sz w:val="16"/>
              </w:rPr>
              <w:t>Documents &amp; e-signature</w:t>
            </w:r>
          </w:p>
        </w:tc>
        <w:tc>
          <w:tcPr>
            <w:tcW w:type="dxa" w:w="1474"/>
            <w:vAlign w:val="top"/>
            <w:shd w:val="clear" w:color="auto" w:fill="FDF0F7"/>
          </w:tcPr>
          <w:p>
            <w:pPr>
              <w:spacing w:after="20" w:line="252" w:lineRule="auto"/>
            </w:pPr>
            <w:r>
              <w:rPr>
                <w:b w:val="0"/>
                <w:i w:val="0"/>
                <w:sz w:val="16"/>
              </w:rPr>
              <w:t>documents, esign</w:t>
            </w:r>
          </w:p>
        </w:tc>
        <w:tc>
          <w:tcPr>
            <w:tcW w:type="dxa" w:w="3742"/>
            <w:vAlign w:val="top"/>
            <w:shd w:val="clear" w:color="auto" w:fill="FDF0F7"/>
          </w:tcPr>
          <w:p>
            <w:pPr>
              <w:spacing w:after="20" w:line="252" w:lineRule="auto"/>
            </w:pPr>
            <w:r>
              <w:rPr>
                <w:b w:val="0"/>
                <w:i w:val="0"/>
                <w:sz w:val="16"/>
              </w:rPr>
              <w:t>Encrypted document store, upload checks, verification queue, PDF output, e-mail of documents, on-screen and link signatures</w:t>
            </w:r>
          </w:p>
        </w:tc>
        <w:tc>
          <w:tcPr>
            <w:tcW w:type="dxa" w:w="2608"/>
            <w:vAlign w:val="top"/>
            <w:shd w:val="clear" w:color="auto" w:fill="FDF0F7"/>
          </w:tcPr>
          <w:p>
            <w:pPr>
              <w:spacing w:after="20" w:line="252" w:lineRule="auto"/>
            </w:pPr>
            <w:r>
              <w:rPr>
                <w:b w:val="0"/>
                <w:i w:val="0"/>
                <w:sz w:val="16"/>
              </w:rPr>
              <w:t>AP-29, AP-39, AP-44 to AP-47, AP-62, BO-11, BO-12, COM-06</w:t>
            </w:r>
          </w:p>
        </w:tc>
      </w:tr>
      <w:tr>
        <w:trPr>
          <w:cantSplit/>
        </w:trPr>
        <w:tc>
          <w:tcPr>
            <w:tcW w:type="dxa" w:w="1814"/>
            <w:vAlign w:val="top"/>
          </w:tcPr>
          <w:p>
            <w:pPr>
              <w:spacing w:after="20" w:line="252" w:lineRule="auto"/>
            </w:pPr>
            <w:r>
              <w:rPr>
                <w:b/>
                <w:i w:val="0"/>
                <w:sz w:val="16"/>
              </w:rPr>
              <w:t>Workflow / maker-checker</w:t>
            </w:r>
          </w:p>
        </w:tc>
        <w:tc>
          <w:tcPr>
            <w:tcW w:type="dxa" w:w="1474"/>
            <w:vAlign w:val="top"/>
          </w:tcPr>
          <w:p>
            <w:pPr>
              <w:spacing w:after="20" w:line="252" w:lineRule="auto"/>
            </w:pPr>
            <w:r>
              <w:rPr>
                <w:b w:val="0"/>
                <w:i w:val="0"/>
                <w:sz w:val="16"/>
              </w:rPr>
              <w:t>workflow</w:t>
            </w:r>
          </w:p>
        </w:tc>
        <w:tc>
          <w:tcPr>
            <w:tcW w:type="dxa" w:w="3742"/>
            <w:vAlign w:val="top"/>
          </w:tcPr>
          <w:p>
            <w:pPr>
              <w:spacing w:after="20" w:line="252" w:lineRule="auto"/>
            </w:pPr>
            <w:r>
              <w:rPr>
                <w:b w:val="0"/>
                <w:i w:val="0"/>
                <w:sz w:val="16"/>
              </w:rPr>
              <w:t>Workflow definitions, approval requests and actions, inbox, handlers</w:t>
            </w:r>
          </w:p>
        </w:tc>
        <w:tc>
          <w:tcPr>
            <w:tcW w:type="dxa" w:w="2608"/>
            <w:vAlign w:val="top"/>
          </w:tcPr>
          <w:p>
            <w:pPr>
              <w:spacing w:after="20" w:line="252" w:lineRule="auto"/>
            </w:pPr>
            <w:r>
              <w:rPr>
                <w:b w:val="0"/>
                <w:i w:val="0"/>
                <w:sz w:val="16"/>
              </w:rPr>
              <w:t>AP-33, AP-49 to AP-51, AP-61, BO-10, BO-16 to BO-19, COM-04</w:t>
            </w:r>
          </w:p>
        </w:tc>
      </w:tr>
      <w:tr>
        <w:trPr>
          <w:cantSplit/>
        </w:trPr>
        <w:tc>
          <w:tcPr>
            <w:tcW w:type="dxa" w:w="1814"/>
            <w:vAlign w:val="top"/>
            <w:shd w:val="clear" w:color="auto" w:fill="FDF0F7"/>
          </w:tcPr>
          <w:p>
            <w:pPr>
              <w:spacing w:after="20" w:line="252" w:lineRule="auto"/>
            </w:pPr>
            <w:r>
              <w:rPr>
                <w:b/>
                <w:i w:val="0"/>
                <w:sz w:val="16"/>
              </w:rPr>
              <w:t>Issues</w:t>
            </w:r>
          </w:p>
        </w:tc>
        <w:tc>
          <w:tcPr>
            <w:tcW w:type="dxa" w:w="1474"/>
            <w:vAlign w:val="top"/>
            <w:shd w:val="clear" w:color="auto" w:fill="FDF0F7"/>
          </w:tcPr>
          <w:p>
            <w:pPr>
              <w:spacing w:after="20" w:line="252" w:lineRule="auto"/>
            </w:pPr>
            <w:r>
              <w:rPr>
                <w:b w:val="0"/>
                <w:i w:val="0"/>
                <w:sz w:val="16"/>
              </w:rPr>
              <w:t>issues</w:t>
            </w:r>
          </w:p>
        </w:tc>
        <w:tc>
          <w:tcPr>
            <w:tcW w:type="dxa" w:w="3742"/>
            <w:vAlign w:val="top"/>
            <w:shd w:val="clear" w:color="auto" w:fill="FDF0F7"/>
          </w:tcPr>
          <w:p>
            <w:pPr>
              <w:spacing w:after="20" w:line="252" w:lineRule="auto"/>
            </w:pPr>
            <w:r>
              <w:rPr>
                <w:b w:val="0"/>
                <w:i w:val="0"/>
                <w:sz w:val="16"/>
              </w:rPr>
              <w:t>Issue logging, comments, attachments, assignment, priority, SLA monitoring</w:t>
            </w:r>
          </w:p>
        </w:tc>
        <w:tc>
          <w:tcPr>
            <w:tcW w:type="dxa" w:w="2608"/>
            <w:vAlign w:val="top"/>
            <w:shd w:val="clear" w:color="auto" w:fill="FDF0F7"/>
          </w:tcPr>
          <w:p>
            <w:pPr>
              <w:spacing w:after="20" w:line="252" w:lineRule="auto"/>
            </w:pPr>
            <w:r>
              <w:rPr>
                <w:b w:val="0"/>
                <w:i w:val="0"/>
                <w:sz w:val="16"/>
              </w:rPr>
              <w:t>AP-55 to AP-57, BO-29 to BO-31</w:t>
            </w:r>
          </w:p>
        </w:tc>
      </w:tr>
      <w:tr>
        <w:trPr>
          <w:cantSplit/>
        </w:trPr>
        <w:tc>
          <w:tcPr>
            <w:tcW w:type="dxa" w:w="1814"/>
            <w:vAlign w:val="top"/>
          </w:tcPr>
          <w:p>
            <w:pPr>
              <w:spacing w:after="20" w:line="252" w:lineRule="auto"/>
            </w:pPr>
            <w:r>
              <w:rPr>
                <w:b/>
                <w:i w:val="0"/>
                <w:sz w:val="16"/>
              </w:rPr>
              <w:t>Notifications</w:t>
            </w:r>
          </w:p>
        </w:tc>
        <w:tc>
          <w:tcPr>
            <w:tcW w:type="dxa" w:w="1474"/>
            <w:vAlign w:val="top"/>
          </w:tcPr>
          <w:p>
            <w:pPr>
              <w:spacing w:after="20" w:line="252" w:lineRule="auto"/>
            </w:pPr>
            <w:r>
              <w:rPr>
                <w:b w:val="0"/>
                <w:i w:val="0"/>
                <w:sz w:val="16"/>
              </w:rPr>
              <w:t>notifications</w:t>
            </w:r>
          </w:p>
        </w:tc>
        <w:tc>
          <w:tcPr>
            <w:tcW w:type="dxa" w:w="3742"/>
            <w:vAlign w:val="top"/>
          </w:tcPr>
          <w:p>
            <w:pPr>
              <w:spacing w:after="20" w:line="252" w:lineRule="auto"/>
            </w:pPr>
            <w:r>
              <w:rPr>
                <w:b w:val="0"/>
                <w:i w:val="0"/>
                <w:sz w:val="16"/>
              </w:rPr>
              <w:t>In-app, e-mail and SMS notifications with retry and delivery log</w:t>
            </w:r>
          </w:p>
        </w:tc>
        <w:tc>
          <w:tcPr>
            <w:tcW w:type="dxa" w:w="2608"/>
            <w:vAlign w:val="top"/>
          </w:tcPr>
          <w:p>
            <w:pPr>
              <w:spacing w:after="20" w:line="252" w:lineRule="auto"/>
            </w:pPr>
            <w:r>
              <w:rPr>
                <w:b w:val="0"/>
                <w:i w:val="0"/>
                <w:sz w:val="16"/>
              </w:rPr>
              <w:t>AP-34, AP-54, INT-07, INT-08, COM-05</w:t>
            </w:r>
          </w:p>
        </w:tc>
      </w:tr>
      <w:tr>
        <w:trPr>
          <w:cantSplit/>
        </w:trPr>
        <w:tc>
          <w:tcPr>
            <w:tcW w:type="dxa" w:w="1814"/>
            <w:vAlign w:val="top"/>
            <w:shd w:val="clear" w:color="auto" w:fill="FDF0F7"/>
          </w:tcPr>
          <w:p>
            <w:pPr>
              <w:spacing w:after="20" w:line="252" w:lineRule="auto"/>
            </w:pPr>
            <w:r>
              <w:rPr>
                <w:b/>
                <w:i w:val="0"/>
                <w:sz w:val="16"/>
              </w:rPr>
              <w:t>Reporting</w:t>
            </w:r>
          </w:p>
        </w:tc>
        <w:tc>
          <w:tcPr>
            <w:tcW w:type="dxa" w:w="1474"/>
            <w:vAlign w:val="top"/>
            <w:shd w:val="clear" w:color="auto" w:fill="FDF0F7"/>
          </w:tcPr>
          <w:p>
            <w:pPr>
              <w:spacing w:after="20" w:line="252" w:lineRule="auto"/>
            </w:pPr>
            <w:r>
              <w:rPr>
                <w:b w:val="0"/>
                <w:i w:val="0"/>
                <w:sz w:val="16"/>
              </w:rPr>
              <w:t>reports</w:t>
            </w:r>
          </w:p>
        </w:tc>
        <w:tc>
          <w:tcPr>
            <w:tcW w:type="dxa" w:w="3742"/>
            <w:vAlign w:val="top"/>
            <w:shd w:val="clear" w:color="auto" w:fill="FDF0F7"/>
          </w:tcPr>
          <w:p>
            <w:pPr>
              <w:spacing w:after="20" w:line="252" w:lineRule="auto"/>
            </w:pPr>
            <w:r>
              <w:rPr>
                <w:b w:val="0"/>
                <w:i w:val="0"/>
                <w:sz w:val="16"/>
              </w:rPr>
              <w:t>Report catalogue, filters, preview, export (XLSX, CSV, PDF), schedules</w:t>
            </w:r>
          </w:p>
        </w:tc>
        <w:tc>
          <w:tcPr>
            <w:tcW w:type="dxa" w:w="2608"/>
            <w:vAlign w:val="top"/>
            <w:shd w:val="clear" w:color="auto" w:fill="FDF0F7"/>
          </w:tcPr>
          <w:p>
            <w:pPr>
              <w:spacing w:after="20" w:line="252" w:lineRule="auto"/>
            </w:pPr>
            <w:r>
              <w:rPr>
                <w:b w:val="0"/>
                <w:i w:val="0"/>
                <w:sz w:val="16"/>
              </w:rPr>
              <w:t>AP-58, BO-22 to BO-25, COM-08</w:t>
            </w:r>
          </w:p>
        </w:tc>
      </w:tr>
      <w:tr>
        <w:trPr>
          <w:cantSplit/>
        </w:trPr>
        <w:tc>
          <w:tcPr>
            <w:tcW w:type="dxa" w:w="1814"/>
            <w:vAlign w:val="top"/>
          </w:tcPr>
          <w:p>
            <w:pPr>
              <w:spacing w:after="20" w:line="252" w:lineRule="auto"/>
            </w:pPr>
            <w:r>
              <w:rPr>
                <w:b/>
                <w:i w:val="0"/>
                <w:sz w:val="16"/>
              </w:rPr>
              <w:t>Dashboards</w:t>
            </w:r>
          </w:p>
        </w:tc>
        <w:tc>
          <w:tcPr>
            <w:tcW w:type="dxa" w:w="1474"/>
            <w:vAlign w:val="top"/>
          </w:tcPr>
          <w:p>
            <w:pPr>
              <w:spacing w:after="20" w:line="252" w:lineRule="auto"/>
            </w:pPr>
            <w:r>
              <w:rPr>
                <w:b w:val="0"/>
                <w:i w:val="0"/>
                <w:sz w:val="16"/>
              </w:rPr>
              <w:t>dashboard</w:t>
            </w:r>
          </w:p>
        </w:tc>
        <w:tc>
          <w:tcPr>
            <w:tcW w:type="dxa" w:w="3742"/>
            <w:vAlign w:val="top"/>
          </w:tcPr>
          <w:p>
            <w:pPr>
              <w:spacing w:after="20" w:line="252" w:lineRule="auto"/>
            </w:pPr>
            <w:r>
              <w:rPr>
                <w:b w:val="0"/>
                <w:i w:val="0"/>
                <w:sz w:val="16"/>
              </w:rPr>
              <w:t>Agent dashboard, pending actions, management KPIs</w:t>
            </w:r>
          </w:p>
        </w:tc>
        <w:tc>
          <w:tcPr>
            <w:tcW w:type="dxa" w:w="2608"/>
            <w:vAlign w:val="top"/>
          </w:tcPr>
          <w:p>
            <w:pPr>
              <w:spacing w:after="20" w:line="252" w:lineRule="auto"/>
            </w:pPr>
            <w:r>
              <w:rPr>
                <w:b w:val="0"/>
                <w:i w:val="0"/>
                <w:sz w:val="16"/>
              </w:rPr>
              <w:t>AP-52, AP-53, BO-20, BO-21</w:t>
            </w:r>
          </w:p>
        </w:tc>
      </w:tr>
      <w:tr>
        <w:trPr>
          <w:cantSplit/>
        </w:trPr>
        <w:tc>
          <w:tcPr>
            <w:tcW w:type="dxa" w:w="1814"/>
            <w:vAlign w:val="top"/>
            <w:shd w:val="clear" w:color="auto" w:fill="FDF0F7"/>
          </w:tcPr>
          <w:p>
            <w:pPr>
              <w:spacing w:after="20" w:line="252" w:lineRule="auto"/>
            </w:pPr>
            <w:r>
              <w:rPr>
                <w:b/>
                <w:i w:val="0"/>
                <w:sz w:val="16"/>
              </w:rPr>
              <w:t>Audit</w:t>
            </w:r>
          </w:p>
        </w:tc>
        <w:tc>
          <w:tcPr>
            <w:tcW w:type="dxa" w:w="1474"/>
            <w:vAlign w:val="top"/>
            <w:shd w:val="clear" w:color="auto" w:fill="FDF0F7"/>
          </w:tcPr>
          <w:p>
            <w:pPr>
              <w:spacing w:after="20" w:line="252" w:lineRule="auto"/>
            </w:pPr>
            <w:r>
              <w:rPr>
                <w:b w:val="0"/>
                <w:i w:val="0"/>
                <w:sz w:val="16"/>
              </w:rPr>
              <w:t>audit</w:t>
            </w:r>
          </w:p>
        </w:tc>
        <w:tc>
          <w:tcPr>
            <w:tcW w:type="dxa" w:w="3742"/>
            <w:vAlign w:val="top"/>
            <w:shd w:val="clear" w:color="auto" w:fill="FDF0F7"/>
          </w:tcPr>
          <w:p>
            <w:pPr>
              <w:spacing w:after="20" w:line="252" w:lineRule="auto"/>
            </w:pPr>
            <w:r>
              <w:rPr>
                <w:b w:val="0"/>
                <w:i w:val="0"/>
                <w:sz w:val="16"/>
              </w:rPr>
              <w:t>Append-only audit trail, search and facets</w:t>
            </w:r>
          </w:p>
        </w:tc>
        <w:tc>
          <w:tcPr>
            <w:tcW w:type="dxa" w:w="2608"/>
            <w:vAlign w:val="top"/>
            <w:shd w:val="clear" w:color="auto" w:fill="FDF0F7"/>
          </w:tcPr>
          <w:p>
            <w:pPr>
              <w:spacing w:after="20" w:line="252" w:lineRule="auto"/>
            </w:pPr>
            <w:r>
              <w:rPr>
                <w:b w:val="0"/>
                <w:i w:val="0"/>
                <w:sz w:val="16"/>
              </w:rPr>
              <w:t>AP-35, BO-26 to BO-28, COM-03, NFR-11</w:t>
            </w:r>
          </w:p>
        </w:tc>
      </w:tr>
      <w:tr>
        <w:trPr>
          <w:cantSplit/>
        </w:trPr>
        <w:tc>
          <w:tcPr>
            <w:tcW w:type="dxa" w:w="1814"/>
            <w:vAlign w:val="top"/>
          </w:tcPr>
          <w:p>
            <w:pPr>
              <w:spacing w:after="20" w:line="252" w:lineRule="auto"/>
            </w:pPr>
            <w:r>
              <w:rPr>
                <w:b/>
                <w:i w:val="0"/>
                <w:sz w:val="16"/>
              </w:rPr>
              <w:t>Configuration &amp; master data</w:t>
            </w:r>
          </w:p>
        </w:tc>
        <w:tc>
          <w:tcPr>
            <w:tcW w:type="dxa" w:w="1474"/>
            <w:vAlign w:val="top"/>
          </w:tcPr>
          <w:p>
            <w:pPr>
              <w:spacing w:after="20" w:line="252" w:lineRule="auto"/>
            </w:pPr>
            <w:r>
              <w:rPr>
                <w:b w:val="0"/>
                <w:i w:val="0"/>
                <w:sz w:val="16"/>
              </w:rPr>
              <w:t>settings</w:t>
            </w:r>
          </w:p>
        </w:tc>
        <w:tc>
          <w:tcPr>
            <w:tcW w:type="dxa" w:w="3742"/>
            <w:vAlign w:val="top"/>
          </w:tcPr>
          <w:p>
            <w:pPr>
              <w:spacing w:after="20" w:line="252" w:lineRule="auto"/>
            </w:pPr>
            <w:r>
              <w:rPr>
                <w:b w:val="0"/>
                <w:i w:val="0"/>
                <w:sz w:val="16"/>
              </w:rPr>
              <w:t>Business parameters with ranges, code lists</w:t>
            </w:r>
          </w:p>
        </w:tc>
        <w:tc>
          <w:tcPr>
            <w:tcW w:type="dxa" w:w="2608"/>
            <w:vAlign w:val="top"/>
          </w:tcPr>
          <w:p>
            <w:pPr>
              <w:spacing w:after="20" w:line="252" w:lineRule="auto"/>
            </w:pPr>
            <w:r>
              <w:rPr>
                <w:b w:val="0"/>
                <w:i w:val="0"/>
                <w:sz w:val="16"/>
              </w:rPr>
              <w:t>BO-32, BO-33, COM-09</w:t>
            </w:r>
          </w:p>
        </w:tc>
      </w:tr>
      <w:tr>
        <w:trPr>
          <w:cantSplit/>
        </w:trPr>
        <w:tc>
          <w:tcPr>
            <w:tcW w:type="dxa" w:w="1814"/>
            <w:vAlign w:val="top"/>
            <w:shd w:val="clear" w:color="auto" w:fill="FDF0F7"/>
          </w:tcPr>
          <w:p>
            <w:pPr>
              <w:spacing w:after="20" w:line="252" w:lineRule="auto"/>
            </w:pPr>
            <w:r>
              <w:rPr>
                <w:b/>
                <w:i w:val="0"/>
                <w:sz w:val="16"/>
              </w:rPr>
              <w:t>Integration &amp; outbox</w:t>
            </w:r>
          </w:p>
        </w:tc>
        <w:tc>
          <w:tcPr>
            <w:tcW w:type="dxa" w:w="1474"/>
            <w:vAlign w:val="top"/>
            <w:shd w:val="clear" w:color="auto" w:fill="FDF0F7"/>
          </w:tcPr>
          <w:p>
            <w:pPr>
              <w:spacing w:after="20" w:line="252" w:lineRule="auto"/>
            </w:pPr>
            <w:r>
              <w:rPr>
                <w:b w:val="0"/>
                <w:i w:val="0"/>
                <w:sz w:val="16"/>
              </w:rPr>
              <w:t>integration, integration-api</w:t>
            </w:r>
          </w:p>
        </w:tc>
        <w:tc>
          <w:tcPr>
            <w:tcW w:type="dxa" w:w="3742"/>
            <w:vAlign w:val="top"/>
            <w:shd w:val="clear" w:color="auto" w:fill="FDF0F7"/>
          </w:tcPr>
          <w:p>
            <w:pPr>
              <w:spacing w:after="20" w:line="252" w:lineRule="auto"/>
            </w:pPr>
            <w:r>
              <w:rPr>
                <w:b w:val="0"/>
                <w:i w:val="0"/>
                <w:sz w:val="16"/>
              </w:rPr>
              <w:t>Outbox, dispatcher, gateways, integration log, monitor and retry, reconciliation, inbound system APIs</w:t>
            </w:r>
          </w:p>
        </w:tc>
        <w:tc>
          <w:tcPr>
            <w:tcW w:type="dxa" w:w="2608"/>
            <w:vAlign w:val="top"/>
            <w:shd w:val="clear" w:color="auto" w:fill="FDF0F7"/>
          </w:tcPr>
          <w:p>
            <w:pPr>
              <w:spacing w:after="20" w:line="252" w:lineRule="auto"/>
            </w:pPr>
            <w:r>
              <w:rPr>
                <w:b w:val="0"/>
                <w:i w:val="0"/>
                <w:sz w:val="16"/>
              </w:rPr>
              <w:t>INT-01 to INT-05, INT-09 to INT-15</w:t>
            </w:r>
          </w:p>
        </w:tc>
      </w:tr>
      <w:tr>
        <w:trPr>
          <w:cantSplit/>
        </w:trPr>
        <w:tc>
          <w:tcPr>
            <w:tcW w:type="dxa" w:w="1814"/>
            <w:vAlign w:val="top"/>
          </w:tcPr>
          <w:p>
            <w:pPr>
              <w:spacing w:after="20" w:line="252" w:lineRule="auto"/>
            </w:pPr>
            <w:r>
              <w:rPr>
                <w:b/>
                <w:i w:val="0"/>
                <w:sz w:val="16"/>
              </w:rPr>
              <w:t>End-of-day</w:t>
            </w:r>
          </w:p>
        </w:tc>
        <w:tc>
          <w:tcPr>
            <w:tcW w:type="dxa" w:w="1474"/>
            <w:vAlign w:val="top"/>
          </w:tcPr>
          <w:p>
            <w:pPr>
              <w:spacing w:after="20" w:line="252" w:lineRule="auto"/>
            </w:pPr>
            <w:r>
              <w:rPr>
                <w:b w:val="0"/>
                <w:i w:val="0"/>
                <w:sz w:val="16"/>
              </w:rPr>
              <w:t>eod</w:t>
            </w:r>
          </w:p>
        </w:tc>
        <w:tc>
          <w:tcPr>
            <w:tcW w:type="dxa" w:w="3742"/>
            <w:vAlign w:val="top"/>
          </w:tcPr>
          <w:p>
            <w:pPr>
              <w:spacing w:after="20" w:line="252" w:lineRule="auto"/>
            </w:pPr>
            <w:r>
              <w:rPr>
                <w:b w:val="0"/>
                <w:i w:val="0"/>
                <w:sz w:val="16"/>
              </w:rPr>
              <w:t>EOD issuance report, FIN interface file, EOD posting, reconciliation, re-run</w:t>
            </w:r>
          </w:p>
        </w:tc>
        <w:tc>
          <w:tcPr>
            <w:tcW w:type="dxa" w:w="2608"/>
            <w:vAlign w:val="top"/>
          </w:tcPr>
          <w:p>
            <w:pPr>
              <w:spacing w:after="20" w:line="252" w:lineRule="auto"/>
            </w:pPr>
            <w:r>
              <w:rPr>
                <w:b w:val="0"/>
                <w:i w:val="0"/>
                <w:sz w:val="16"/>
              </w:rPr>
              <w:t>Appendix 3 (FFR01-08 to FFR05-08), INT-04, INT-15</w:t>
            </w:r>
          </w:p>
        </w:tc>
      </w:tr>
      <w:tr>
        <w:trPr>
          <w:cantSplit/>
        </w:trPr>
        <w:tc>
          <w:tcPr>
            <w:tcW w:type="dxa" w:w="1814"/>
            <w:vAlign w:val="top"/>
            <w:shd w:val="clear" w:color="auto" w:fill="FDF0F7"/>
          </w:tcPr>
          <w:p>
            <w:pPr>
              <w:spacing w:after="20" w:line="252" w:lineRule="auto"/>
            </w:pPr>
            <w:r>
              <w:rPr>
                <w:b/>
                <w:i w:val="0"/>
                <w:sz w:val="16"/>
              </w:rPr>
              <w:t>Health &amp; metrics</w:t>
            </w:r>
          </w:p>
        </w:tc>
        <w:tc>
          <w:tcPr>
            <w:tcW w:type="dxa" w:w="1474"/>
            <w:vAlign w:val="top"/>
            <w:shd w:val="clear" w:color="auto" w:fill="FDF0F7"/>
          </w:tcPr>
          <w:p>
            <w:pPr>
              <w:spacing w:after="20" w:line="252" w:lineRule="auto"/>
            </w:pPr>
            <w:r>
              <w:rPr>
                <w:b w:val="0"/>
                <w:i w:val="0"/>
                <w:sz w:val="16"/>
              </w:rPr>
              <w:t>health</w:t>
            </w:r>
          </w:p>
        </w:tc>
        <w:tc>
          <w:tcPr>
            <w:tcW w:type="dxa" w:w="3742"/>
            <w:vAlign w:val="top"/>
            <w:shd w:val="clear" w:color="auto" w:fill="FDF0F7"/>
          </w:tcPr>
          <w:p>
            <w:pPr>
              <w:spacing w:after="20" w:line="252" w:lineRule="auto"/>
            </w:pPr>
            <w:r>
              <w:rPr>
                <w:b w:val="0"/>
                <w:i w:val="0"/>
                <w:sz w:val="16"/>
              </w:rPr>
              <w:t>Liveness, readiness, Prometheus metrics</w:t>
            </w:r>
          </w:p>
        </w:tc>
        <w:tc>
          <w:tcPr>
            <w:tcW w:type="dxa" w:w="2608"/>
            <w:vAlign w:val="top"/>
            <w:shd w:val="clear" w:color="auto" w:fill="FDF0F7"/>
          </w:tcPr>
          <w:p>
            <w:pPr>
              <w:spacing w:after="20" w:line="252" w:lineRule="auto"/>
            </w:pPr>
            <w:r>
              <w:rPr>
                <w:b w:val="0"/>
                <w:i w:val="0"/>
                <w:sz w:val="16"/>
              </w:rPr>
              <w:t>NFR-26, NFR-27</w:t>
            </w:r>
          </w:p>
        </w:tc>
      </w:tr>
    </w:tbl>
    <w:p>
      <w:pPr>
        <w:pStyle w:val="Caption"/>
        <w:jc w:val="center"/>
      </w:pPr>
      <w:r>
        <w:rPr>
          <w:b w:val="0"/>
          <w:i w:val="0"/>
        </w:rPr>
        <w:t>Table 4: Modules and the requirements they cover</w:t>
      </w:r>
    </w:p>
    <w:p>
      <w:pPr>
        <w:pStyle w:val="Heading2"/>
      </w:pPr>
      <w:r>
        <w:t>4.1 Policy lifecycle</w:t>
      </w:r>
    </w:p>
    <w:p>
      <w:pPr>
        <w:keepNext w:val="0"/>
      </w:pPr>
      <w:r>
        <w:rPr>
          <w:b w:val="0"/>
          <w:i w:val="0"/>
        </w:rPr>
        <w:t>A quotation and the policy it becomes are one record, so history, documents and payments stay attached from first quote to expiry. On submission the API re-rates the quotation with current rates, checks validity (30 days by default), the agency issuance block, required documents, nominees, participant signature and AML status, then decides whether the application must be referred.</w:t>
      </w:r>
    </w:p>
    <w:p>
      <w:pPr>
        <w:keepNext/>
        <w:spacing w:after="0"/>
        <w:jc w:val="center"/>
      </w:pPr>
      <w:r>
        <w:drawing>
          <wp:inline xmlns:a="http://schemas.openxmlformats.org/drawingml/2006/main" xmlns:pic="http://schemas.openxmlformats.org/drawingml/2006/picture">
            <wp:extent cx="5760000" cy="3702857"/>
            <wp:docPr id="6" name="Picture 6"/>
            <wp:cNvGraphicFramePr>
              <a:graphicFrameLocks noChangeAspect="1"/>
            </wp:cNvGraphicFramePr>
            <a:graphic>
              <a:graphicData uri="http://schemas.openxmlformats.org/drawingml/2006/picture">
                <pic:pic>
                  <pic:nvPicPr>
                    <pic:cNvPr id="0" name="tech-lifecycle.png"/>
                    <pic:cNvPicPr/>
                  </pic:nvPicPr>
                  <pic:blipFill>
                    <a:blip r:embed="rId16"/>
                    <a:stretch>
                      <a:fillRect/>
                    </a:stretch>
                  </pic:blipFill>
                  <pic:spPr>
                    <a:xfrm>
                      <a:off x="0" y="0"/>
                      <a:ext cx="5760000" cy="3702857"/>
                    </a:xfrm>
                    <a:prstGeom prst="rect"/>
                  </pic:spPr>
                </pic:pic>
              </a:graphicData>
            </a:graphic>
          </wp:inline>
        </w:drawing>
      </w:r>
    </w:p>
    <w:p>
      <w:pPr>
        <w:pStyle w:val="Caption"/>
        <w:jc w:val="center"/>
      </w:pPr>
      <w:r>
        <w:rPr>
          <w:b w:val="0"/>
          <w:i w:val="0"/>
        </w:rPr>
        <w:t>Figure 3: Quotation and policy lifecycle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5670"/>
        <w:gridCol w:w="3969"/>
      </w:tblGrid>
      <w:tr>
        <w:trPr>
          <w:cantSplit/>
          <w:tblHeader/>
        </w:trPr>
        <w:tc>
          <w:tcPr>
            <w:tcW w:type="dxa" w:w="5669"/>
            <w:shd w:val="clear" w:color="auto" w:fill="E1058C"/>
            <w:vAlign w:val="center"/>
          </w:tcPr>
          <w:p>
            <w:pPr>
              <w:spacing w:after="0"/>
            </w:pPr>
            <w:r>
              <w:rPr>
                <w:b/>
                <w:i w:val="0"/>
                <w:color w:val="FFFFFF"/>
                <w:sz w:val="17"/>
              </w:rPr>
              <w:t>Referral reason</w:t>
            </w:r>
          </w:p>
        </w:tc>
        <w:tc>
          <w:tcPr>
            <w:tcW w:type="dxa" w:w="3969"/>
            <w:shd w:val="clear" w:color="auto" w:fill="E1058C"/>
            <w:vAlign w:val="center"/>
          </w:tcPr>
          <w:p>
            <w:pPr>
              <w:spacing w:after="0"/>
            </w:pPr>
            <w:r>
              <w:rPr>
                <w:b/>
                <w:i w:val="0"/>
                <w:color w:val="FFFFFF"/>
                <w:sz w:val="17"/>
              </w:rPr>
              <w:t>Source</w:t>
            </w:r>
          </w:p>
        </w:tc>
      </w:tr>
      <w:tr>
        <w:trPr>
          <w:cantSplit/>
        </w:trPr>
        <w:tc>
          <w:tcPr>
            <w:tcW w:type="dxa" w:w="5669"/>
            <w:vAlign w:val="top"/>
          </w:tcPr>
          <w:p>
            <w:pPr>
              <w:spacing w:after="20" w:line="252" w:lineRule="auto"/>
            </w:pPr>
            <w:r>
              <w:rPr>
                <w:b w:val="0"/>
                <w:i w:val="0"/>
                <w:sz w:val="17"/>
              </w:rPr>
              <w:t>Sum covered above the agent's authority limit</w:t>
            </w:r>
          </w:p>
        </w:tc>
        <w:tc>
          <w:tcPr>
            <w:tcW w:type="dxa" w:w="3969"/>
            <w:vAlign w:val="top"/>
          </w:tcPr>
          <w:p>
            <w:pPr>
              <w:spacing w:after="20" w:line="252" w:lineRule="auto"/>
            </w:pPr>
            <w:r>
              <w:rPr>
                <w:b w:val="0"/>
                <w:i w:val="0"/>
                <w:sz w:val="17"/>
              </w:rPr>
              <w:t>agent.authority_limit (AP-60)</w:t>
            </w:r>
          </w:p>
        </w:tc>
      </w:tr>
      <w:tr>
        <w:trPr>
          <w:cantSplit/>
        </w:trPr>
        <w:tc>
          <w:tcPr>
            <w:tcW w:type="dxa" w:w="5669"/>
            <w:vAlign w:val="top"/>
            <w:shd w:val="clear" w:color="auto" w:fill="FDF0F7"/>
          </w:tcPr>
          <w:p>
            <w:pPr>
              <w:spacing w:after="20" w:line="252" w:lineRule="auto"/>
            </w:pPr>
            <w:r>
              <w:rPr>
                <w:b w:val="0"/>
                <w:i w:val="0"/>
                <w:sz w:val="17"/>
              </w:rPr>
              <w:t>Product limit, e.g. financing amount above B$150,000 (high-risk limit)</w:t>
            </w:r>
          </w:p>
        </w:tc>
        <w:tc>
          <w:tcPr>
            <w:tcW w:type="dxa" w:w="3969"/>
            <w:vAlign w:val="top"/>
            <w:shd w:val="clear" w:color="auto" w:fill="FDF0F7"/>
          </w:tcPr>
          <w:p>
            <w:pPr>
              <w:spacing w:after="20" w:line="252" w:lineRule="auto"/>
            </w:pPr>
            <w:r>
              <w:rPr>
                <w:b w:val="0"/>
                <w:i w:val="0"/>
                <w:sz w:val="17"/>
              </w:rPr>
              <w:t>Product configuration</w:t>
            </w:r>
          </w:p>
        </w:tc>
      </w:tr>
      <w:tr>
        <w:trPr>
          <w:cantSplit/>
        </w:trPr>
        <w:tc>
          <w:tcPr>
            <w:tcW w:type="dxa" w:w="5669"/>
            <w:vAlign w:val="top"/>
          </w:tcPr>
          <w:p>
            <w:pPr>
              <w:spacing w:after="20" w:line="252" w:lineRule="auto"/>
            </w:pPr>
            <w:r>
              <w:rPr>
                <w:b w:val="0"/>
                <w:i w:val="0"/>
                <w:sz w:val="17"/>
              </w:rPr>
              <w:t>Questionnaire answer marked 'refer if yes'</w:t>
            </w:r>
          </w:p>
        </w:tc>
        <w:tc>
          <w:tcPr>
            <w:tcW w:type="dxa" w:w="3969"/>
            <w:vAlign w:val="top"/>
          </w:tcPr>
          <w:p>
            <w:pPr>
              <w:spacing w:after="20" w:line="252" w:lineRule="auto"/>
            </w:pPr>
            <w:r>
              <w:rPr>
                <w:b w:val="0"/>
                <w:i w:val="0"/>
                <w:sz w:val="17"/>
              </w:rPr>
              <w:t>product.questionnaire</w:t>
            </w:r>
          </w:p>
        </w:tc>
      </w:tr>
      <w:tr>
        <w:trPr>
          <w:cantSplit/>
        </w:trPr>
        <w:tc>
          <w:tcPr>
            <w:tcW w:type="dxa" w:w="5669"/>
            <w:vAlign w:val="top"/>
            <w:shd w:val="clear" w:color="auto" w:fill="FDF0F7"/>
          </w:tcPr>
          <w:p>
            <w:pPr>
              <w:spacing w:after="20" w:line="252" w:lineRule="auto"/>
            </w:pPr>
            <w:r>
              <w:rPr>
                <w:b w:val="0"/>
                <w:i w:val="0"/>
                <w:sz w:val="17"/>
              </w:rPr>
              <w:t>Quality check before issuance for products that require it</w:t>
            </w:r>
          </w:p>
        </w:tc>
        <w:tc>
          <w:tcPr>
            <w:tcW w:type="dxa" w:w="3969"/>
            <w:vAlign w:val="top"/>
            <w:shd w:val="clear" w:color="auto" w:fill="FDF0F7"/>
          </w:tcPr>
          <w:p>
            <w:pPr>
              <w:spacing w:after="20" w:line="252" w:lineRule="auto"/>
            </w:pPr>
            <w:r>
              <w:rPr>
                <w:b w:val="0"/>
                <w:i w:val="0"/>
                <w:sz w:val="17"/>
              </w:rPr>
              <w:t>Product rules</w:t>
            </w:r>
          </w:p>
        </w:tc>
      </w:tr>
    </w:tbl>
    <w:p>
      <w:pPr>
        <w:pStyle w:val="Caption"/>
        <w:jc w:val="center"/>
      </w:pPr>
      <w:r>
        <w:rPr>
          <w:b w:val="0"/>
          <w:i w:val="0"/>
        </w:rPr>
        <w:t>Table 5: Referral triggers</w:t>
      </w:r>
    </w:p>
    <w:p>
      <w:pPr>
        <w:keepNext w:val="0"/>
      </w:pPr>
      <w:r>
        <w:rPr>
          <w:b w:val="0"/>
          <w:i w:val="0"/>
        </w:rPr>
        <w:t>Pay-first products (the annual plans) wait in PENDING_PAYMENT until Finance verifies payment, then issue. Issue-then-pay products (the financing plans) issue immediately with a payment due date of issuance plus the grace period (7 days by default). A daily job blocks every agent of an agency from submitting new business while any of its issued policies is unpaid beyond the due date, and lifts the block automatically once nothing is overdue (AP-42). An administrator can lift a block manually with a reason; the next daily run re-applies it if contributions are still overdue.</w:t>
      </w:r>
    </w:p>
    <w:p>
      <w:pPr>
        <w:keepNext w:val="0"/>
      </w:pPr>
      <w:r>
        <w:rPr>
          <w:b w:val="0"/>
          <w:i w:val="0"/>
        </w:rPr>
        <w:t>Renewal is allowed only inside the renewal window, from policy.renewal_notice_days before the end date until 30 days after it; outside it the API answers OUTSIDE_RENEWAL_WINDOW. The renewals-due list uses the same window, and products can switch renewal off.</w:t>
      </w:r>
    </w:p>
    <w:p>
      <w:pPr>
        <w:pStyle w:val="Heading2"/>
      </w:pPr>
      <w:r>
        <w:t>4.2 Maker-checker workflows</w:t>
      </w:r>
    </w:p>
    <w:p>
      <w:pPr>
        <w:keepNext w:val="0"/>
      </w:pPr>
      <w:r>
        <w:rPr>
          <w:b w:val="0"/>
          <w:i w:val="0"/>
        </w:rPr>
        <w:t>Eight transaction types run through the workflow engine. Each type has a configurable sequence of levels; each level names the permission a checker needs and, optionally, an amount threshold from which it applies. The levels are resolved when the request is raised and stored with it, so a later configuration change does not alter requests already in flight. When no level applies the request is approved immediately and the change is applied in the same transaction.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381"/>
        <w:gridCol w:w="3402"/>
        <w:gridCol w:w="3855"/>
      </w:tblGrid>
      <w:tr>
        <w:trPr>
          <w:cantSplit/>
          <w:tblHeader/>
        </w:trPr>
        <w:tc>
          <w:tcPr>
            <w:tcW w:type="dxa" w:w="2381"/>
            <w:shd w:val="clear" w:color="auto" w:fill="E1058C"/>
            <w:vAlign w:val="center"/>
          </w:tcPr>
          <w:p>
            <w:pPr>
              <w:spacing w:after="0"/>
            </w:pPr>
            <w:r>
              <w:rPr>
                <w:b/>
                <w:i w:val="0"/>
                <w:color w:val="FFFFFF"/>
                <w:sz w:val="16"/>
              </w:rPr>
              <w:t>Type</w:t>
            </w:r>
          </w:p>
        </w:tc>
        <w:tc>
          <w:tcPr>
            <w:tcW w:type="dxa" w:w="3402"/>
            <w:shd w:val="clear" w:color="auto" w:fill="E1058C"/>
            <w:vAlign w:val="center"/>
          </w:tcPr>
          <w:p>
            <w:pPr>
              <w:spacing w:after="0"/>
            </w:pPr>
            <w:r>
              <w:rPr>
                <w:b/>
                <w:i w:val="0"/>
                <w:color w:val="FFFFFF"/>
                <w:sz w:val="16"/>
              </w:rPr>
              <w:t>Default levels (seed data)</w:t>
            </w:r>
          </w:p>
        </w:tc>
        <w:tc>
          <w:tcPr>
            <w:tcW w:type="dxa" w:w="3855"/>
            <w:shd w:val="clear" w:color="auto" w:fill="E1058C"/>
            <w:vAlign w:val="center"/>
          </w:tcPr>
          <w:p>
            <w:pPr>
              <w:spacing w:after="0"/>
            </w:pPr>
            <w:r>
              <w:rPr>
                <w:b/>
                <w:i w:val="0"/>
                <w:color w:val="FFFFFF"/>
                <w:sz w:val="16"/>
              </w:rPr>
              <w:t>Effect on final approval</w:t>
            </w:r>
          </w:p>
        </w:tc>
      </w:tr>
      <w:tr>
        <w:trPr>
          <w:cantSplit/>
        </w:trPr>
        <w:tc>
          <w:tcPr>
            <w:tcW w:type="dxa" w:w="2381"/>
            <w:vAlign w:val="top"/>
          </w:tcPr>
          <w:p>
            <w:pPr>
              <w:spacing w:after="20" w:line="252" w:lineRule="auto"/>
            </w:pPr>
            <w:r>
              <w:rPr>
                <w:b w:val="0"/>
                <w:i w:val="0"/>
                <w:sz w:val="16"/>
              </w:rPr>
              <w:t>AGENT_REGISTRATION</w:t>
            </w:r>
          </w:p>
        </w:tc>
        <w:tc>
          <w:tcPr>
            <w:tcW w:type="dxa" w:w="3402"/>
            <w:vAlign w:val="top"/>
          </w:tcPr>
          <w:p>
            <w:pPr>
              <w:spacing w:after="20" w:line="252" w:lineRule="auto"/>
            </w:pPr>
            <w:r>
              <w:rPr>
                <w:b w:val="0"/>
                <w:i w:val="0"/>
                <w:sz w:val="16"/>
              </w:rPr>
              <w:t>Operations supervisor approval (bo.approve.agents)</w:t>
            </w:r>
          </w:p>
        </w:tc>
        <w:tc>
          <w:tcPr>
            <w:tcW w:type="dxa" w:w="3855"/>
            <w:vAlign w:val="top"/>
          </w:tcPr>
          <w:p>
            <w:pPr>
              <w:spacing w:after="20" w:line="252" w:lineRule="auto"/>
            </w:pPr>
            <w:r>
              <w:rPr>
                <w:b w:val="0"/>
                <w:i w:val="0"/>
                <w:sz w:val="16"/>
              </w:rPr>
              <w:t>Agent ACTIVE, portal user and role created, AGENT_UPSERT to Core</w:t>
            </w:r>
          </w:p>
        </w:tc>
      </w:tr>
      <w:tr>
        <w:trPr>
          <w:cantSplit/>
        </w:trPr>
        <w:tc>
          <w:tcPr>
            <w:tcW w:type="dxa" w:w="2381"/>
            <w:vAlign w:val="top"/>
            <w:shd w:val="clear" w:color="auto" w:fill="FDF0F7"/>
          </w:tcPr>
          <w:p>
            <w:pPr>
              <w:spacing w:after="20" w:line="252" w:lineRule="auto"/>
            </w:pPr>
            <w:r>
              <w:rPr>
                <w:b w:val="0"/>
                <w:i w:val="0"/>
                <w:sz w:val="16"/>
              </w:rPr>
              <w:t>AGENT_PROFILE_UPDATE</w:t>
            </w:r>
          </w:p>
        </w:tc>
        <w:tc>
          <w:tcPr>
            <w:tcW w:type="dxa" w:w="3402"/>
            <w:vAlign w:val="top"/>
            <w:shd w:val="clear" w:color="auto" w:fill="FDF0F7"/>
          </w:tcPr>
          <w:p>
            <w:pPr>
              <w:spacing w:after="20" w:line="252" w:lineRule="auto"/>
            </w:pPr>
            <w:r>
              <w:rPr>
                <w:b w:val="0"/>
                <w:i w:val="0"/>
                <w:sz w:val="16"/>
              </w:rPr>
              <w:t>Operations supervisor approval</w:t>
            </w:r>
          </w:p>
        </w:tc>
        <w:tc>
          <w:tcPr>
            <w:tcW w:type="dxa" w:w="3855"/>
            <w:vAlign w:val="top"/>
            <w:shd w:val="clear" w:color="auto" w:fill="FDF0F7"/>
          </w:tcPr>
          <w:p>
            <w:pPr>
              <w:spacing w:after="20" w:line="252" w:lineRule="auto"/>
            </w:pPr>
            <w:r>
              <w:rPr>
                <w:b w:val="0"/>
                <w:i w:val="0"/>
                <w:sz w:val="16"/>
              </w:rPr>
              <w:t>Changes applied, AGENT_UPSERT to Core</w:t>
            </w:r>
          </w:p>
        </w:tc>
      </w:tr>
      <w:tr>
        <w:trPr>
          <w:cantSplit/>
        </w:trPr>
        <w:tc>
          <w:tcPr>
            <w:tcW w:type="dxa" w:w="2381"/>
            <w:vAlign w:val="top"/>
          </w:tcPr>
          <w:p>
            <w:pPr>
              <w:spacing w:after="20" w:line="252" w:lineRule="auto"/>
            </w:pPr>
            <w:r>
              <w:rPr>
                <w:b w:val="0"/>
                <w:i w:val="0"/>
                <w:sz w:val="16"/>
              </w:rPr>
              <w:t>AGENT_STATUS_CHANGE</w:t>
            </w:r>
          </w:p>
        </w:tc>
        <w:tc>
          <w:tcPr>
            <w:tcW w:type="dxa" w:w="3402"/>
            <w:vAlign w:val="top"/>
          </w:tcPr>
          <w:p>
            <w:pPr>
              <w:spacing w:after="20" w:line="252" w:lineRule="auto"/>
            </w:pPr>
            <w:r>
              <w:rPr>
                <w:b w:val="0"/>
                <w:i w:val="0"/>
                <w:sz w:val="16"/>
              </w:rPr>
              <w:t>Operations supervisor approval</w:t>
            </w:r>
          </w:p>
        </w:tc>
        <w:tc>
          <w:tcPr>
            <w:tcW w:type="dxa" w:w="3855"/>
            <w:vAlign w:val="top"/>
          </w:tcPr>
          <w:p>
            <w:pPr>
              <w:spacing w:after="20" w:line="252" w:lineRule="auto"/>
            </w:pPr>
            <w:r>
              <w:rPr>
                <w:b w:val="0"/>
                <w:i w:val="0"/>
                <w:sz w:val="16"/>
              </w:rPr>
              <w:t>Status applied; sessions revoked when deactivated</w:t>
            </w:r>
          </w:p>
        </w:tc>
      </w:tr>
      <w:tr>
        <w:trPr>
          <w:cantSplit/>
        </w:trPr>
        <w:tc>
          <w:tcPr>
            <w:tcW w:type="dxa" w:w="2381"/>
            <w:vAlign w:val="top"/>
            <w:shd w:val="clear" w:color="auto" w:fill="FDF0F7"/>
          </w:tcPr>
          <w:p>
            <w:pPr>
              <w:spacing w:after="20" w:line="252" w:lineRule="auto"/>
            </w:pPr>
            <w:r>
              <w:rPr>
                <w:b w:val="0"/>
                <w:i w:val="0"/>
                <w:sz w:val="16"/>
              </w:rPr>
              <w:t>PARTICIPANT_UPDATE</w:t>
            </w:r>
          </w:p>
        </w:tc>
        <w:tc>
          <w:tcPr>
            <w:tcW w:type="dxa" w:w="3402"/>
            <w:vAlign w:val="top"/>
            <w:shd w:val="clear" w:color="auto" w:fill="FDF0F7"/>
          </w:tcPr>
          <w:p>
            <w:pPr>
              <w:spacing w:after="20" w:line="252" w:lineRule="auto"/>
            </w:pPr>
            <w:r>
              <w:rPr>
                <w:b w:val="0"/>
                <w:i w:val="0"/>
                <w:sz w:val="16"/>
              </w:rPr>
              <w:t>Operations supervisor approval (bo.approve.participants)</w:t>
            </w:r>
          </w:p>
        </w:tc>
        <w:tc>
          <w:tcPr>
            <w:tcW w:type="dxa" w:w="3855"/>
            <w:vAlign w:val="top"/>
            <w:shd w:val="clear" w:color="auto" w:fill="FDF0F7"/>
          </w:tcPr>
          <w:p>
            <w:pPr>
              <w:spacing w:after="20" w:line="252" w:lineRule="auto"/>
            </w:pPr>
            <w:r>
              <w:rPr>
                <w:b w:val="0"/>
                <w:i w:val="0"/>
                <w:sz w:val="16"/>
              </w:rPr>
              <w:t>Changes applied; re-screened on name change; PARTICIPANT_UPSERT to Core</w:t>
            </w:r>
          </w:p>
        </w:tc>
      </w:tr>
      <w:tr>
        <w:trPr>
          <w:cantSplit/>
        </w:trPr>
        <w:tc>
          <w:tcPr>
            <w:tcW w:type="dxa" w:w="2381"/>
            <w:vAlign w:val="top"/>
          </w:tcPr>
          <w:p>
            <w:pPr>
              <w:spacing w:after="20" w:line="252" w:lineRule="auto"/>
            </w:pPr>
            <w:r>
              <w:rPr>
                <w:b w:val="0"/>
                <w:i w:val="0"/>
                <w:sz w:val="16"/>
              </w:rPr>
              <w:t>POLICY_REFERRAL</w:t>
            </w:r>
          </w:p>
        </w:tc>
        <w:tc>
          <w:tcPr>
            <w:tcW w:type="dxa" w:w="3402"/>
            <w:vAlign w:val="top"/>
          </w:tcPr>
          <w:p>
            <w:pPr>
              <w:spacing w:after="20" w:line="252" w:lineRule="auto"/>
            </w:pPr>
            <w:r>
              <w:rPr>
                <w:b w:val="0"/>
                <w:i w:val="0"/>
                <w:sz w:val="16"/>
              </w:rPr>
              <w:t>Underwriting / quality check; second approval from sum covered B$300,000</w:t>
            </w:r>
          </w:p>
        </w:tc>
        <w:tc>
          <w:tcPr>
            <w:tcW w:type="dxa" w:w="3855"/>
            <w:vAlign w:val="top"/>
          </w:tcPr>
          <w:p>
            <w:pPr>
              <w:spacing w:after="20" w:line="252" w:lineRule="auto"/>
            </w:pPr>
            <w:r>
              <w:rPr>
                <w:b w:val="0"/>
                <w:i w:val="0"/>
                <w:sz w:val="16"/>
              </w:rPr>
              <w:t>Policy proceeds to PENDING_PAYMENT or ACTIVE; rejection returns it with remarks</w:t>
            </w:r>
          </w:p>
        </w:tc>
      </w:tr>
      <w:tr>
        <w:trPr>
          <w:cantSplit/>
        </w:trPr>
        <w:tc>
          <w:tcPr>
            <w:tcW w:type="dxa" w:w="2381"/>
            <w:vAlign w:val="top"/>
            <w:shd w:val="clear" w:color="auto" w:fill="FDF0F7"/>
          </w:tcPr>
          <w:p>
            <w:pPr>
              <w:spacing w:after="20" w:line="252" w:lineRule="auto"/>
            </w:pPr>
            <w:r>
              <w:rPr>
                <w:b w:val="0"/>
                <w:i w:val="0"/>
                <w:sz w:val="16"/>
              </w:rPr>
              <w:t>POLICY_ENDORSEMENT</w:t>
            </w:r>
          </w:p>
        </w:tc>
        <w:tc>
          <w:tcPr>
            <w:tcW w:type="dxa" w:w="3402"/>
            <w:vAlign w:val="top"/>
            <w:shd w:val="clear" w:color="auto" w:fill="FDF0F7"/>
          </w:tcPr>
          <w:p>
            <w:pPr>
              <w:spacing w:after="20" w:line="252" w:lineRule="auto"/>
            </w:pPr>
            <w:r>
              <w:rPr>
                <w:b w:val="0"/>
                <w:i w:val="0"/>
                <w:sz w:val="16"/>
              </w:rPr>
              <w:t>Policy servicing approval (bo.approve.servicing)</w:t>
            </w:r>
          </w:p>
        </w:tc>
        <w:tc>
          <w:tcPr>
            <w:tcW w:type="dxa" w:w="3855"/>
            <w:vAlign w:val="top"/>
            <w:shd w:val="clear" w:color="auto" w:fill="FDF0F7"/>
          </w:tcPr>
          <w:p>
            <w:pPr>
              <w:spacing w:after="20" w:line="252" w:lineRule="auto"/>
            </w:pPr>
            <w:r>
              <w:rPr>
                <w:b w:val="0"/>
                <w:i w:val="0"/>
                <w:sz w:val="16"/>
              </w:rPr>
              <w:t>Endorsement applied, POLICY_ENDORSED</w:t>
            </w:r>
          </w:p>
        </w:tc>
      </w:tr>
      <w:tr>
        <w:trPr>
          <w:cantSplit/>
        </w:trPr>
        <w:tc>
          <w:tcPr>
            <w:tcW w:type="dxa" w:w="2381"/>
            <w:vAlign w:val="top"/>
          </w:tcPr>
          <w:p>
            <w:pPr>
              <w:spacing w:after="20" w:line="252" w:lineRule="auto"/>
            </w:pPr>
            <w:r>
              <w:rPr>
                <w:b w:val="0"/>
                <w:i w:val="0"/>
                <w:sz w:val="16"/>
              </w:rPr>
              <w:t>POLICY_CANCELLATION</w:t>
            </w:r>
          </w:p>
        </w:tc>
        <w:tc>
          <w:tcPr>
            <w:tcW w:type="dxa" w:w="3402"/>
            <w:vAlign w:val="top"/>
          </w:tcPr>
          <w:p>
            <w:pPr>
              <w:spacing w:after="20" w:line="252" w:lineRule="auto"/>
            </w:pPr>
            <w:r>
              <w:rPr>
                <w:b w:val="0"/>
                <w:i w:val="0"/>
                <w:sz w:val="16"/>
              </w:rPr>
              <w:t>Policy servicing approval</w:t>
            </w:r>
          </w:p>
        </w:tc>
        <w:tc>
          <w:tcPr>
            <w:tcW w:type="dxa" w:w="3855"/>
            <w:vAlign w:val="top"/>
          </w:tcPr>
          <w:p>
            <w:pPr>
              <w:spacing w:after="20" w:line="252" w:lineRule="auto"/>
            </w:pPr>
            <w:r>
              <w:rPr>
                <w:b w:val="0"/>
                <w:i w:val="0"/>
                <w:sz w:val="16"/>
              </w:rPr>
              <w:t>CANCELLED, POLICY_CANCELLED, REFUND_REQUESTED when a refund is due</w:t>
            </w:r>
          </w:p>
        </w:tc>
      </w:tr>
      <w:tr>
        <w:trPr>
          <w:cantSplit/>
        </w:trPr>
        <w:tc>
          <w:tcPr>
            <w:tcW w:type="dxa" w:w="2381"/>
            <w:vAlign w:val="top"/>
            <w:shd w:val="clear" w:color="auto" w:fill="FDF0F7"/>
          </w:tcPr>
          <w:p>
            <w:pPr>
              <w:spacing w:after="20" w:line="252" w:lineRule="auto"/>
            </w:pPr>
            <w:r>
              <w:rPr>
                <w:b w:val="0"/>
                <w:i w:val="0"/>
                <w:sz w:val="16"/>
              </w:rPr>
              <w:t>PAYMENT_VERIFICATION</w:t>
            </w:r>
          </w:p>
        </w:tc>
        <w:tc>
          <w:tcPr>
            <w:tcW w:type="dxa" w:w="3402"/>
            <w:vAlign w:val="top"/>
            <w:shd w:val="clear" w:color="auto" w:fill="FDF0F7"/>
          </w:tcPr>
          <w:p>
            <w:pPr>
              <w:spacing w:after="20" w:line="252" w:lineRule="auto"/>
            </w:pPr>
            <w:r>
              <w:rPr>
                <w:b w:val="0"/>
                <w:i w:val="0"/>
                <w:sz w:val="16"/>
              </w:rPr>
              <w:t>Finance verification (bo.approve.payments)</w:t>
            </w:r>
          </w:p>
        </w:tc>
        <w:tc>
          <w:tcPr>
            <w:tcW w:type="dxa" w:w="3855"/>
            <w:vAlign w:val="top"/>
            <w:shd w:val="clear" w:color="auto" w:fill="FDF0F7"/>
          </w:tcPr>
          <w:p>
            <w:pPr>
              <w:spacing w:after="20" w:line="252" w:lineRule="auto"/>
            </w:pPr>
            <w:r>
              <w:rPr>
                <w:b w:val="0"/>
                <w:i w:val="0"/>
                <w:sz w:val="16"/>
              </w:rPr>
              <w:t>Receipts issued, RECEIPT_POSTED, pay-first policies issued</w:t>
            </w:r>
          </w:p>
        </w:tc>
      </w:tr>
    </w:tbl>
    <w:p>
      <w:pPr>
        <w:pStyle w:val="Caption"/>
        <w:jc w:val="center"/>
      </w:pPr>
      <w:r>
        <w:rPr>
          <w:b w:val="0"/>
          <w:i w:val="0"/>
        </w:rPr>
        <w:t>Table 6: Approval types</w:t>
      </w:r>
    </w:p>
    <w:p>
      <w:pPr>
        <w:keepNext w:val="0"/>
      </w:pPr>
      <w:r>
        <w:rPr>
          <w:b w:val="0"/>
          <w:i w:val="0"/>
        </w:rPr>
        <w:t>Rules enforced by the server: the maker can never approve their own request; the same person cannot approve two levels of one request; rejection requires remarks; a request can be withdrawn by its maker until decided; only one pending request per record and type is allowed; and a decision fails with STALE_RECORD if another checker decided the same level first. An agent registration can be approved only once the identity document is on file: the passport copy for passport holders, otherwise the IC copy.</w:t>
      </w:r>
    </w:p>
    <w:p>
      <w:pPr>
        <w:keepNext w:val="0"/>
      </w:pPr>
      <w:r>
        <w:rPr>
          <w:b w:val="0"/>
          <w:i w:val="0"/>
        </w:rPr>
        <w:t>When Compliance confirms an AML match, the subject's pending approval requests (for example the agent registration) are rejected in the same transaction with the Compliance remarks and the maker is notified. The subject's AML status becomes REJECTED, and an agent whose registration is closed this way is REJECTED.</w:t>
      </w:r>
    </w:p>
    <w:p>
      <w:pPr>
        <w:pStyle w:val="Heading2"/>
      </w:pPr>
      <w:r>
        <w:t>4.3 Scheduled processing</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530"/>
        <w:gridCol w:w="1701"/>
        <w:gridCol w:w="1530"/>
        <w:gridCol w:w="2608"/>
        <w:gridCol w:w="2268"/>
      </w:tblGrid>
      <w:tr>
        <w:trPr>
          <w:cantSplit/>
          <w:tblHeader/>
        </w:trPr>
        <w:tc>
          <w:tcPr>
            <w:tcW w:type="dxa" w:w="1531"/>
            <w:shd w:val="clear" w:color="auto" w:fill="E1058C"/>
            <w:vAlign w:val="center"/>
          </w:tcPr>
          <w:p>
            <w:pPr>
              <w:spacing w:after="0"/>
            </w:pPr>
            <w:r>
              <w:rPr>
                <w:b/>
                <w:i w:val="0"/>
                <w:color w:val="FFFFFF"/>
                <w:sz w:val="15"/>
              </w:rPr>
              <w:t>Job</w:t>
            </w:r>
          </w:p>
        </w:tc>
        <w:tc>
          <w:tcPr>
            <w:tcW w:type="dxa" w:w="1701"/>
            <w:shd w:val="clear" w:color="auto" w:fill="E1058C"/>
            <w:vAlign w:val="center"/>
          </w:tcPr>
          <w:p>
            <w:pPr>
              <w:spacing w:after="0"/>
            </w:pPr>
            <w:r>
              <w:rPr>
                <w:b/>
                <w:i w:val="0"/>
                <w:color w:val="FFFFFF"/>
                <w:sz w:val="15"/>
              </w:rPr>
              <w:t>Schedule (Brunei time)</w:t>
            </w:r>
          </w:p>
        </w:tc>
        <w:tc>
          <w:tcPr>
            <w:tcW w:type="dxa" w:w="1531"/>
            <w:shd w:val="clear" w:color="auto" w:fill="E1058C"/>
            <w:vAlign w:val="center"/>
          </w:tcPr>
          <w:p>
            <w:pPr>
              <w:spacing w:after="0"/>
            </w:pPr>
            <w:r>
              <w:rPr>
                <w:b/>
                <w:i w:val="0"/>
                <w:color w:val="FFFFFF"/>
                <w:sz w:val="15"/>
              </w:rPr>
              <w:t>Lock</w:t>
            </w:r>
          </w:p>
        </w:tc>
        <w:tc>
          <w:tcPr>
            <w:tcW w:type="dxa" w:w="2608"/>
            <w:shd w:val="clear" w:color="auto" w:fill="E1058C"/>
            <w:vAlign w:val="center"/>
          </w:tcPr>
          <w:p>
            <w:pPr>
              <w:spacing w:after="0"/>
            </w:pPr>
            <w:r>
              <w:rPr>
                <w:b/>
                <w:i w:val="0"/>
                <w:color w:val="FFFFFF"/>
                <w:sz w:val="15"/>
              </w:rPr>
              <w:t>Purpose</w:t>
            </w:r>
          </w:p>
        </w:tc>
        <w:tc>
          <w:tcPr>
            <w:tcW w:type="dxa" w:w="2268"/>
            <w:shd w:val="clear" w:color="auto" w:fill="E1058C"/>
            <w:vAlign w:val="center"/>
          </w:tcPr>
          <w:p>
            <w:pPr>
              <w:spacing w:after="0"/>
            </w:pPr>
            <w:r>
              <w:rPr>
                <w:b/>
                <w:i w:val="0"/>
                <w:color w:val="FFFFFF"/>
                <w:sz w:val="15"/>
              </w:rPr>
              <w:t>Source</w:t>
            </w:r>
          </w:p>
        </w:tc>
      </w:tr>
      <w:tr>
        <w:trPr>
          <w:cantSplit/>
        </w:trPr>
        <w:tc>
          <w:tcPr>
            <w:tcW w:type="dxa" w:w="1531"/>
            <w:vAlign w:val="top"/>
          </w:tcPr>
          <w:p>
            <w:pPr>
              <w:spacing w:after="20" w:line="252" w:lineRule="auto"/>
            </w:pPr>
            <w:r>
              <w:rPr>
                <w:b w:val="0"/>
                <w:i w:val="0"/>
                <w:sz w:val="15"/>
              </w:rPr>
              <w:t>end-of-day</w:t>
            </w:r>
          </w:p>
        </w:tc>
        <w:tc>
          <w:tcPr>
            <w:tcW w:type="dxa" w:w="1701"/>
            <w:vAlign w:val="top"/>
          </w:tcPr>
          <w:p>
            <w:pPr>
              <w:spacing w:after="20" w:line="252" w:lineRule="auto"/>
            </w:pPr>
            <w:r>
              <w:rPr>
                <w:b w:val="0"/>
                <w:i w:val="0"/>
                <w:sz w:val="15"/>
              </w:rPr>
              <w:t>Daily 23:30 (EOD_CRON, JOBS_TIMEZONE)</w:t>
            </w:r>
          </w:p>
        </w:tc>
        <w:tc>
          <w:tcPr>
            <w:tcW w:type="dxa" w:w="1531"/>
            <w:vAlign w:val="top"/>
          </w:tcPr>
          <w:p>
            <w:pPr>
              <w:spacing w:after="20" w:line="252" w:lineRule="auto"/>
            </w:pPr>
            <w:r>
              <w:rPr>
                <w:b w:val="0"/>
                <w:i w:val="0"/>
                <w:sz w:val="15"/>
              </w:rPr>
              <w:t>end-of-day</w:t>
            </w:r>
          </w:p>
        </w:tc>
        <w:tc>
          <w:tcPr>
            <w:tcW w:type="dxa" w:w="2608"/>
            <w:vAlign w:val="top"/>
          </w:tcPr>
          <w:p>
            <w:pPr>
              <w:spacing w:after="20" w:line="252" w:lineRule="auto"/>
            </w:pPr>
            <w:r>
              <w:rPr>
                <w:b w:val="0"/>
                <w:i w:val="0"/>
                <w:sz w:val="15"/>
              </w:rPr>
              <w:t>EOD report, FIN file, EOD_POSTING message, receipt reconciliation</w:t>
            </w:r>
          </w:p>
        </w:tc>
        <w:tc>
          <w:tcPr>
            <w:tcW w:type="dxa" w:w="2268"/>
            <w:vAlign w:val="top"/>
          </w:tcPr>
          <w:p>
            <w:pPr>
              <w:spacing w:after="20" w:line="252" w:lineRule="auto"/>
            </w:pPr>
            <w:r>
              <w:rPr>
                <w:b w:val="0"/>
                <w:i w:val="0"/>
                <w:sz w:val="15"/>
              </w:rPr>
              <w:t>eod/eod.service.ts</w:t>
            </w:r>
          </w:p>
        </w:tc>
      </w:tr>
      <w:tr>
        <w:trPr>
          <w:cantSplit/>
        </w:trPr>
        <w:tc>
          <w:tcPr>
            <w:tcW w:type="dxa" w:w="1531"/>
            <w:vAlign w:val="top"/>
            <w:shd w:val="clear" w:color="auto" w:fill="FDF0F7"/>
          </w:tcPr>
          <w:p>
            <w:pPr>
              <w:spacing w:after="20" w:line="252" w:lineRule="auto"/>
            </w:pPr>
            <w:r>
              <w:rPr>
                <w:b w:val="0"/>
                <w:i w:val="0"/>
                <w:sz w:val="15"/>
              </w:rPr>
              <w:t>policy-expiry</w:t>
            </w:r>
          </w:p>
        </w:tc>
        <w:tc>
          <w:tcPr>
            <w:tcW w:type="dxa" w:w="1701"/>
            <w:vAlign w:val="top"/>
            <w:shd w:val="clear" w:color="auto" w:fill="FDF0F7"/>
          </w:tcPr>
          <w:p>
            <w:pPr>
              <w:spacing w:after="20" w:line="252" w:lineRule="auto"/>
            </w:pPr>
            <w:r>
              <w:rPr>
                <w:b w:val="0"/>
                <w:i w:val="0"/>
                <w:sz w:val="15"/>
              </w:rPr>
              <w:t>Daily 00:05</w:t>
            </w:r>
          </w:p>
        </w:tc>
        <w:tc>
          <w:tcPr>
            <w:tcW w:type="dxa" w:w="1531"/>
            <w:vAlign w:val="top"/>
            <w:shd w:val="clear" w:color="auto" w:fill="FDF0F7"/>
          </w:tcPr>
          <w:p>
            <w:pPr>
              <w:spacing w:after="20" w:line="252" w:lineRule="auto"/>
            </w:pPr>
            <w:r>
              <w:rPr>
                <w:b w:val="0"/>
                <w:i w:val="0"/>
                <w:sz w:val="15"/>
              </w:rPr>
              <w:t>policy-expiry</w:t>
            </w:r>
          </w:p>
        </w:tc>
        <w:tc>
          <w:tcPr>
            <w:tcW w:type="dxa" w:w="2608"/>
            <w:vAlign w:val="top"/>
            <w:shd w:val="clear" w:color="auto" w:fill="FDF0F7"/>
          </w:tcPr>
          <w:p>
            <w:pPr>
              <w:spacing w:after="20" w:line="252" w:lineRule="auto"/>
            </w:pPr>
            <w:r>
              <w:rPr>
                <w:b w:val="0"/>
                <w:i w:val="0"/>
                <w:sz w:val="15"/>
              </w:rPr>
              <w:t>ACTIVE policies past end date become EXPIRED; agent notified</w:t>
            </w:r>
          </w:p>
        </w:tc>
        <w:tc>
          <w:tcPr>
            <w:tcW w:type="dxa" w:w="2268"/>
            <w:vAlign w:val="top"/>
            <w:shd w:val="clear" w:color="auto" w:fill="FDF0F7"/>
          </w:tcPr>
          <w:p>
            <w:pPr>
              <w:spacing w:after="20" w:line="252" w:lineRule="auto"/>
            </w:pPr>
            <w:r>
              <w:rPr>
                <w:b w:val="0"/>
                <w:i w:val="0"/>
                <w:sz w:val="15"/>
              </w:rPr>
              <w:t>policies/policy.jobs.ts</w:t>
            </w:r>
          </w:p>
        </w:tc>
      </w:tr>
      <w:tr>
        <w:trPr>
          <w:cantSplit/>
        </w:trPr>
        <w:tc>
          <w:tcPr>
            <w:tcW w:type="dxa" w:w="1531"/>
            <w:vAlign w:val="top"/>
          </w:tcPr>
          <w:p>
            <w:pPr>
              <w:spacing w:after="20" w:line="252" w:lineRule="auto"/>
            </w:pPr>
            <w:r>
              <w:rPr>
                <w:b w:val="0"/>
                <w:i w:val="0"/>
                <w:sz w:val="15"/>
              </w:rPr>
              <w:t>payment-grace-period</w:t>
            </w:r>
          </w:p>
        </w:tc>
        <w:tc>
          <w:tcPr>
            <w:tcW w:type="dxa" w:w="1701"/>
            <w:vAlign w:val="top"/>
          </w:tcPr>
          <w:p>
            <w:pPr>
              <w:spacing w:after="20" w:line="252" w:lineRule="auto"/>
            </w:pPr>
            <w:r>
              <w:rPr>
                <w:b w:val="0"/>
                <w:i w:val="0"/>
                <w:sz w:val="15"/>
              </w:rPr>
              <w:t>Daily 01:00</w:t>
            </w:r>
          </w:p>
        </w:tc>
        <w:tc>
          <w:tcPr>
            <w:tcW w:type="dxa" w:w="1531"/>
            <w:vAlign w:val="top"/>
          </w:tcPr>
          <w:p>
            <w:pPr>
              <w:spacing w:after="20" w:line="252" w:lineRule="auto"/>
            </w:pPr>
            <w:r>
              <w:rPr>
                <w:b w:val="0"/>
                <w:i w:val="0"/>
                <w:sz w:val="15"/>
              </w:rPr>
              <w:t>payment-grace-period</w:t>
            </w:r>
          </w:p>
        </w:tc>
        <w:tc>
          <w:tcPr>
            <w:tcW w:type="dxa" w:w="2608"/>
            <w:vAlign w:val="top"/>
          </w:tcPr>
          <w:p>
            <w:pPr>
              <w:spacing w:after="20" w:line="252" w:lineRule="auto"/>
            </w:pPr>
            <w:r>
              <w:rPr>
                <w:b w:val="0"/>
                <w:i w:val="0"/>
                <w:sz w:val="15"/>
              </w:rPr>
              <w:t>Blocks agencies with overdue issue-then-pay policies; lifts the block when settled</w:t>
            </w:r>
          </w:p>
        </w:tc>
        <w:tc>
          <w:tcPr>
            <w:tcW w:type="dxa" w:w="2268"/>
            <w:vAlign w:val="top"/>
          </w:tcPr>
          <w:p>
            <w:pPr>
              <w:spacing w:after="20" w:line="252" w:lineRule="auto"/>
            </w:pPr>
            <w:r>
              <w:rPr>
                <w:b w:val="0"/>
                <w:i w:val="0"/>
                <w:sz w:val="15"/>
              </w:rPr>
              <w:t>billing/grace-period.service.ts</w:t>
            </w:r>
          </w:p>
        </w:tc>
      </w:tr>
      <w:tr>
        <w:trPr>
          <w:cantSplit/>
        </w:trPr>
        <w:tc>
          <w:tcPr>
            <w:tcW w:type="dxa" w:w="1531"/>
            <w:vAlign w:val="top"/>
            <w:shd w:val="clear" w:color="auto" w:fill="FDF0F7"/>
          </w:tcPr>
          <w:p>
            <w:pPr>
              <w:spacing w:after="20" w:line="252" w:lineRule="auto"/>
            </w:pPr>
            <w:r>
              <w:rPr>
                <w:b w:val="0"/>
                <w:i w:val="0"/>
                <w:sz w:val="15"/>
              </w:rPr>
              <w:t>outbox-dispatch</w:t>
            </w:r>
          </w:p>
        </w:tc>
        <w:tc>
          <w:tcPr>
            <w:tcW w:type="dxa" w:w="1701"/>
            <w:vAlign w:val="top"/>
            <w:shd w:val="clear" w:color="auto" w:fill="FDF0F7"/>
          </w:tcPr>
          <w:p>
            <w:pPr>
              <w:spacing w:after="20" w:line="252" w:lineRule="auto"/>
            </w:pPr>
            <w:r>
              <w:rPr>
                <w:b w:val="0"/>
                <w:i w:val="0"/>
                <w:sz w:val="15"/>
              </w:rPr>
              <w:t>Every 20 seconds</w:t>
            </w:r>
          </w:p>
        </w:tc>
        <w:tc>
          <w:tcPr>
            <w:tcW w:type="dxa" w:w="1531"/>
            <w:vAlign w:val="top"/>
            <w:shd w:val="clear" w:color="auto" w:fill="FDF0F7"/>
          </w:tcPr>
          <w:p>
            <w:pPr>
              <w:spacing w:after="20" w:line="252" w:lineRule="auto"/>
            </w:pPr>
            <w:r>
              <w:rPr>
                <w:b w:val="0"/>
                <w:i w:val="0"/>
                <w:sz w:val="15"/>
              </w:rPr>
              <w:t>outbox-dispatch</w:t>
            </w:r>
          </w:p>
        </w:tc>
        <w:tc>
          <w:tcPr>
            <w:tcW w:type="dxa" w:w="2608"/>
            <w:vAlign w:val="top"/>
            <w:shd w:val="clear" w:color="auto" w:fill="FDF0F7"/>
          </w:tcPr>
          <w:p>
            <w:pPr>
              <w:spacing w:after="20" w:line="252" w:lineRule="auto"/>
            </w:pPr>
            <w:r>
              <w:rPr>
                <w:b w:val="0"/>
                <w:i w:val="0"/>
                <w:sz w:val="15"/>
              </w:rPr>
              <w:t>Delivers up to 25 due outbox messages to Core and FIN</w:t>
            </w:r>
          </w:p>
        </w:tc>
        <w:tc>
          <w:tcPr>
            <w:tcW w:type="dxa" w:w="2268"/>
            <w:vAlign w:val="top"/>
            <w:shd w:val="clear" w:color="auto" w:fill="FDF0F7"/>
          </w:tcPr>
          <w:p>
            <w:pPr>
              <w:spacing w:after="20" w:line="252" w:lineRule="auto"/>
            </w:pPr>
            <w:r>
              <w:rPr>
                <w:b w:val="0"/>
                <w:i w:val="0"/>
                <w:sz w:val="15"/>
              </w:rPr>
              <w:t>integration/outbox.dispatcher.ts</w:t>
            </w:r>
          </w:p>
        </w:tc>
      </w:tr>
      <w:tr>
        <w:trPr>
          <w:cantSplit/>
        </w:trPr>
        <w:tc>
          <w:tcPr>
            <w:tcW w:type="dxa" w:w="1531"/>
            <w:vAlign w:val="top"/>
          </w:tcPr>
          <w:p>
            <w:pPr>
              <w:spacing w:after="20" w:line="252" w:lineRule="auto"/>
            </w:pPr>
            <w:r>
              <w:rPr>
                <w:b w:val="0"/>
                <w:i w:val="0"/>
                <w:sz w:val="15"/>
              </w:rPr>
              <w:t>notification-dispatch</w:t>
            </w:r>
          </w:p>
        </w:tc>
        <w:tc>
          <w:tcPr>
            <w:tcW w:type="dxa" w:w="1701"/>
            <w:vAlign w:val="top"/>
          </w:tcPr>
          <w:p>
            <w:pPr>
              <w:spacing w:after="20" w:line="252" w:lineRule="auto"/>
            </w:pPr>
            <w:r>
              <w:rPr>
                <w:b w:val="0"/>
                <w:i w:val="0"/>
                <w:sz w:val="15"/>
              </w:rPr>
              <w:t>Every 30 seconds</w:t>
            </w:r>
          </w:p>
        </w:tc>
        <w:tc>
          <w:tcPr>
            <w:tcW w:type="dxa" w:w="1531"/>
            <w:vAlign w:val="top"/>
          </w:tcPr>
          <w:p>
            <w:pPr>
              <w:spacing w:after="20" w:line="252" w:lineRule="auto"/>
            </w:pPr>
            <w:r>
              <w:rPr>
                <w:b w:val="0"/>
                <w:i w:val="0"/>
                <w:sz w:val="15"/>
              </w:rPr>
              <w:t>notification-dispatch</w:t>
            </w:r>
          </w:p>
        </w:tc>
        <w:tc>
          <w:tcPr>
            <w:tcW w:type="dxa" w:w="2608"/>
            <w:vAlign w:val="top"/>
          </w:tcPr>
          <w:p>
            <w:pPr>
              <w:spacing w:after="20" w:line="252" w:lineRule="auto"/>
            </w:pPr>
            <w:r>
              <w:rPr>
                <w:b w:val="0"/>
                <w:i w:val="0"/>
                <w:sz w:val="15"/>
              </w:rPr>
              <w:t>Sends up to 50 pending e-mail and SMS notifications</w:t>
            </w:r>
          </w:p>
        </w:tc>
        <w:tc>
          <w:tcPr>
            <w:tcW w:type="dxa" w:w="2268"/>
            <w:vAlign w:val="top"/>
          </w:tcPr>
          <w:p>
            <w:pPr>
              <w:spacing w:after="20" w:line="252" w:lineRule="auto"/>
            </w:pPr>
            <w:r>
              <w:rPr>
                <w:b w:val="0"/>
                <w:i w:val="0"/>
                <w:sz w:val="15"/>
              </w:rPr>
              <w:t>notifications/notification.dispatcher.ts</w:t>
            </w:r>
          </w:p>
        </w:tc>
      </w:tr>
      <w:tr>
        <w:trPr>
          <w:cantSplit/>
        </w:trPr>
        <w:tc>
          <w:tcPr>
            <w:tcW w:type="dxa" w:w="1531"/>
            <w:vAlign w:val="top"/>
            <w:shd w:val="clear" w:color="auto" w:fill="FDF0F7"/>
          </w:tcPr>
          <w:p>
            <w:pPr>
              <w:spacing w:after="20" w:line="252" w:lineRule="auto"/>
            </w:pPr>
            <w:r>
              <w:rPr>
                <w:b w:val="0"/>
                <w:i w:val="0"/>
                <w:sz w:val="15"/>
              </w:rPr>
              <w:t>issue-sla-monitor</w:t>
            </w:r>
          </w:p>
        </w:tc>
        <w:tc>
          <w:tcPr>
            <w:tcW w:type="dxa" w:w="1701"/>
            <w:vAlign w:val="top"/>
            <w:shd w:val="clear" w:color="auto" w:fill="FDF0F7"/>
          </w:tcPr>
          <w:p>
            <w:pPr>
              <w:spacing w:after="20" w:line="252" w:lineRule="auto"/>
            </w:pPr>
            <w:r>
              <w:rPr>
                <w:b w:val="0"/>
                <w:i w:val="0"/>
                <w:sz w:val="15"/>
              </w:rPr>
              <w:t>Every 5 minutes</w:t>
            </w:r>
          </w:p>
        </w:tc>
        <w:tc>
          <w:tcPr>
            <w:tcW w:type="dxa" w:w="1531"/>
            <w:vAlign w:val="top"/>
            <w:shd w:val="clear" w:color="auto" w:fill="FDF0F7"/>
          </w:tcPr>
          <w:p>
            <w:pPr>
              <w:spacing w:after="20" w:line="252" w:lineRule="auto"/>
            </w:pPr>
            <w:r>
              <w:rPr>
                <w:b w:val="0"/>
                <w:i w:val="0"/>
                <w:sz w:val="15"/>
              </w:rPr>
              <w:t>issue-sla-monitor</w:t>
            </w:r>
          </w:p>
        </w:tc>
        <w:tc>
          <w:tcPr>
            <w:tcW w:type="dxa" w:w="2608"/>
            <w:vAlign w:val="top"/>
            <w:shd w:val="clear" w:color="auto" w:fill="FDF0F7"/>
          </w:tcPr>
          <w:p>
            <w:pPr>
              <w:spacing w:after="20" w:line="252" w:lineRule="auto"/>
            </w:pPr>
            <w:r>
              <w:rPr>
                <w:b w:val="0"/>
                <w:i w:val="0"/>
                <w:sz w:val="15"/>
              </w:rPr>
              <w:t>Flags issues past their response or resolution target and alerts support</w:t>
            </w:r>
          </w:p>
        </w:tc>
        <w:tc>
          <w:tcPr>
            <w:tcW w:type="dxa" w:w="2268"/>
            <w:vAlign w:val="top"/>
            <w:shd w:val="clear" w:color="auto" w:fill="FDF0F7"/>
          </w:tcPr>
          <w:p>
            <w:pPr>
              <w:spacing w:after="20" w:line="252" w:lineRule="auto"/>
            </w:pPr>
            <w:r>
              <w:rPr>
                <w:b w:val="0"/>
                <w:i w:val="0"/>
                <w:sz w:val="15"/>
              </w:rPr>
              <w:t>issues/issues.service.ts</w:t>
            </w:r>
          </w:p>
        </w:tc>
      </w:tr>
      <w:tr>
        <w:trPr>
          <w:cantSplit/>
        </w:trPr>
        <w:tc>
          <w:tcPr>
            <w:tcW w:type="dxa" w:w="1531"/>
            <w:vAlign w:val="top"/>
          </w:tcPr>
          <w:p>
            <w:pPr>
              <w:spacing w:after="20" w:line="252" w:lineRule="auto"/>
            </w:pPr>
            <w:r>
              <w:rPr>
                <w:b w:val="0"/>
                <w:i w:val="0"/>
                <w:sz w:val="15"/>
              </w:rPr>
              <w:t>scheduled-reports</w:t>
            </w:r>
          </w:p>
        </w:tc>
        <w:tc>
          <w:tcPr>
            <w:tcW w:type="dxa" w:w="1701"/>
            <w:vAlign w:val="top"/>
          </w:tcPr>
          <w:p>
            <w:pPr>
              <w:spacing w:after="20" w:line="252" w:lineRule="auto"/>
            </w:pPr>
            <w:r>
              <w:rPr>
                <w:b w:val="0"/>
                <w:i w:val="0"/>
                <w:sz w:val="15"/>
              </w:rPr>
              <w:t>Every 15 minutes</w:t>
            </w:r>
          </w:p>
        </w:tc>
        <w:tc>
          <w:tcPr>
            <w:tcW w:type="dxa" w:w="1531"/>
            <w:vAlign w:val="top"/>
          </w:tcPr>
          <w:p>
            <w:pPr>
              <w:spacing w:after="20" w:line="252" w:lineRule="auto"/>
            </w:pPr>
            <w:r>
              <w:rPr>
                <w:b w:val="0"/>
                <w:i w:val="0"/>
                <w:sz w:val="15"/>
              </w:rPr>
              <w:t>scheduled-reports</w:t>
            </w:r>
          </w:p>
        </w:tc>
        <w:tc>
          <w:tcPr>
            <w:tcW w:type="dxa" w:w="2608"/>
            <w:vAlign w:val="top"/>
          </w:tcPr>
          <w:p>
            <w:pPr>
              <w:spacing w:after="20" w:line="252" w:lineRule="auto"/>
            </w:pPr>
            <w:r>
              <w:rPr>
                <w:b w:val="0"/>
                <w:i w:val="0"/>
                <w:sz w:val="15"/>
              </w:rPr>
              <w:t>Runs due report schedules and e-mails the files</w:t>
            </w:r>
          </w:p>
        </w:tc>
        <w:tc>
          <w:tcPr>
            <w:tcW w:type="dxa" w:w="2268"/>
            <w:vAlign w:val="top"/>
          </w:tcPr>
          <w:p>
            <w:pPr>
              <w:spacing w:after="20" w:line="252" w:lineRule="auto"/>
            </w:pPr>
            <w:r>
              <w:rPr>
                <w:b w:val="0"/>
                <w:i w:val="0"/>
                <w:sz w:val="15"/>
              </w:rPr>
              <w:t>reports/reports.service.ts</w:t>
            </w:r>
          </w:p>
        </w:tc>
      </w:tr>
      <w:tr>
        <w:trPr>
          <w:cantSplit/>
        </w:trPr>
        <w:tc>
          <w:tcPr>
            <w:tcW w:type="dxa" w:w="1531"/>
            <w:vAlign w:val="top"/>
            <w:shd w:val="clear" w:color="auto" w:fill="FDF0F7"/>
          </w:tcPr>
          <w:p>
            <w:pPr>
              <w:spacing w:after="20" w:line="252" w:lineRule="auto"/>
            </w:pPr>
            <w:r>
              <w:rPr>
                <w:b w:val="0"/>
                <w:i w:val="0"/>
                <w:sz w:val="15"/>
              </w:rPr>
              <w:t>session pruning</w:t>
            </w:r>
          </w:p>
        </w:tc>
        <w:tc>
          <w:tcPr>
            <w:tcW w:type="dxa" w:w="1701"/>
            <w:vAlign w:val="top"/>
            <w:shd w:val="clear" w:color="auto" w:fill="FDF0F7"/>
          </w:tcPr>
          <w:p>
            <w:pPr>
              <w:spacing w:after="20" w:line="252" w:lineRule="auto"/>
            </w:pPr>
            <w:r>
              <w:rPr>
                <w:b w:val="0"/>
                <w:i w:val="0"/>
                <w:sz w:val="15"/>
              </w:rPr>
              <w:t>Every 15 minutes</w:t>
            </w:r>
          </w:p>
        </w:tc>
        <w:tc>
          <w:tcPr>
            <w:tcW w:type="dxa" w:w="1531"/>
            <w:vAlign w:val="top"/>
            <w:shd w:val="clear" w:color="auto" w:fill="FDF0F7"/>
          </w:tcPr>
          <w:p>
            <w:pPr>
              <w:spacing w:after="20" w:line="252" w:lineRule="auto"/>
            </w:pPr>
            <w:r>
              <w:rPr>
                <w:b w:val="0"/>
                <w:i w:val="0"/>
                <w:sz w:val="15"/>
              </w:rPr>
              <w:t>none (idempotent)</w:t>
            </w:r>
          </w:p>
        </w:tc>
        <w:tc>
          <w:tcPr>
            <w:tcW w:type="dxa" w:w="2608"/>
            <w:vAlign w:val="top"/>
            <w:shd w:val="clear" w:color="auto" w:fill="FDF0F7"/>
          </w:tcPr>
          <w:p>
            <w:pPr>
              <w:spacing w:after="20" w:line="252" w:lineRule="auto"/>
            </w:pPr>
            <w:r>
              <w:rPr>
                <w:b w:val="0"/>
                <w:i w:val="0"/>
                <w:sz w:val="15"/>
              </w:rPr>
              <w:t>Deletes expired rows from user_session</w:t>
            </w:r>
          </w:p>
        </w:tc>
        <w:tc>
          <w:tcPr>
            <w:tcW w:type="dxa" w:w="2268"/>
            <w:vAlign w:val="top"/>
            <w:shd w:val="clear" w:color="auto" w:fill="FDF0F7"/>
          </w:tcPr>
          <w:p>
            <w:pPr>
              <w:spacing w:after="20" w:line="252" w:lineRule="auto"/>
            </w:pPr>
            <w:r>
              <w:rPr>
                <w:b w:val="0"/>
                <w:i w:val="0"/>
                <w:sz w:val="15"/>
              </w:rPr>
              <w:t>connect-pg-simple</w:t>
            </w:r>
          </w:p>
        </w:tc>
      </w:tr>
    </w:tbl>
    <w:p>
      <w:pPr>
        <w:pStyle w:val="Caption"/>
        <w:jc w:val="center"/>
      </w:pPr>
      <w:r>
        <w:rPr>
          <w:b w:val="0"/>
          <w:i w:val="0"/>
        </w:rPr>
        <w:t>Table 7: Scheduled jobs</w:t>
      </w:r>
    </w:p>
    <w:p>
      <w:pPr>
        <w:keepNext w:val="0"/>
      </w:pPr>
      <w:r>
        <w:rPr>
          <w:b w:val="0"/>
          <w:i w:val="0"/>
        </w:rPr>
        <w:t>Each job takes a PostgreSQL transaction-scoped advisory lock (pg_try_advisory_xact_lock) named after the job before it runs. Every API replica schedules the jobs, but only the replica that gets the lock does the work; the lock is released automatically if the process stops. JOBS_ENABLED=false disables all jobs in an instance, for example in a reporting replica.</w:t>
      </w:r>
    </w:p>
    <w:p>
      <w:pPr>
        <w:pStyle w:val="Heading1"/>
        <w:pageBreakBefore/>
        <w:pBdr>
          <w:bottom w:val="single" w:sz="12" w:space="4" w:color="F58220"/>
        </w:pBdr>
      </w:pPr>
      <w:r>
        <w:t>5. Logical and Application Architecture</w:t>
      </w:r>
    </w:p>
    <w:p>
      <w:pPr>
        <w:pStyle w:val="Heading2"/>
      </w:pPr>
      <w:r>
        <w:t>5.1 Layers</w:t>
      </w:r>
    </w:p>
    <w:p>
      <w:pPr>
        <w:keepNext w:val="0"/>
      </w:pPr>
      <w:r>
        <w:rPr>
          <w:b w:val="0"/>
          <w:i w:val="0"/>
        </w:rPr>
        <w:t>The solution has five layers. Two single-page applications, built from one React code base, run in the browser. An nginx web tier serves them and forwards /api calls. The NestJS API holds all business logic and security enforcement. PostgreSQL holds all structured data, and an encrypted file store holds documents. Scheduled jobs run inside the API processes and coordinate through database locks, so there is no separate scheduler or message broker to operate.</w:t>
      </w:r>
    </w:p>
    <w:p>
      <w:pPr>
        <w:keepNext/>
        <w:spacing w:after="0"/>
        <w:jc w:val="center"/>
      </w:pPr>
      <w:r>
        <w:drawing>
          <wp:inline xmlns:a="http://schemas.openxmlformats.org/drawingml/2006/main" xmlns:pic="http://schemas.openxmlformats.org/drawingml/2006/picture">
            <wp:extent cx="5760000" cy="4731428"/>
            <wp:docPr id="7" name="Picture 7"/>
            <wp:cNvGraphicFramePr>
              <a:graphicFrameLocks noChangeAspect="1"/>
            </wp:cNvGraphicFramePr>
            <a:graphic>
              <a:graphicData uri="http://schemas.openxmlformats.org/drawingml/2006/picture">
                <pic:pic>
                  <pic:nvPicPr>
                    <pic:cNvPr id="0" name="tech-logical.png"/>
                    <pic:cNvPicPr/>
                  </pic:nvPicPr>
                  <pic:blipFill>
                    <a:blip r:embed="rId17"/>
                    <a:stretch>
                      <a:fillRect/>
                    </a:stretch>
                  </pic:blipFill>
                  <pic:spPr>
                    <a:xfrm>
                      <a:off x="0" y="0"/>
                      <a:ext cx="5760000" cy="4731428"/>
                    </a:xfrm>
                    <a:prstGeom prst="rect"/>
                  </pic:spPr>
                </pic:pic>
              </a:graphicData>
            </a:graphic>
          </wp:inline>
        </w:drawing>
      </w:r>
    </w:p>
    <w:p>
      <w:pPr>
        <w:pStyle w:val="Caption"/>
        <w:jc w:val="center"/>
      </w:pPr>
      <w:r>
        <w:rPr>
          <w:b w:val="0"/>
          <w:i w:val="0"/>
        </w:rPr>
        <w:t>Figure 4: Logical architecture</w:t>
      </w:r>
    </w:p>
    <w:p>
      <w:pPr>
        <w:pStyle w:val="Heading2"/>
      </w:pPr>
      <w:r>
        <w:t>5.2 Front end</w:t>
      </w:r>
    </w:p>
    <w:p>
      <w:pPr>
        <w:keepNext w:val="0"/>
      </w:pPr>
      <w:r>
        <w:rPr>
          <w:b w:val="0"/>
          <w:i w:val="0"/>
        </w:rPr>
        <w:t>apps/web is a React 19 and TypeScript application built with Vite 7 and Ant Design 6, themed in the Insurans Islam TAIB colours. It contains 54 page components behind three route trees: /portal for agents and bank officers, /backoffice for IIFT staff and /esign/:token for participants. Pages are loaded on demand, and vendor libraries are split into separate chunks (react, antd, charts) so the first screen stays small.</w:t>
      </w:r>
    </w:p>
    <w:p>
      <w:pPr>
        <w:keepNext w:val="0"/>
      </w:pPr>
      <w:r>
        <w:rPr>
          <w:b w:val="0"/>
          <w:i w:val="0"/>
        </w:rPr>
        <w:t>Server state is managed with TanStack Query. A thin API client sends the session cookie (same origin), adds the X-CSRF-Token header to every state-changing call, and turns error responses into a typed error that carries the correlation id the user can quote to support. A 401 response returns the user to the sign-in page. Route guards in the SPA only shape navigation; every check is repeated by the API.</w:t>
      </w:r>
    </w:p>
    <w:p>
      <w:pPr>
        <w:pStyle w:val="Heading2"/>
      </w:pPr>
      <w:r>
        <w:t>5.3 API</w:t>
      </w:r>
    </w:p>
    <w:p>
      <w:pPr>
        <w:keepNext w:val="0"/>
      </w:pPr>
      <w:r>
        <w:rPr>
          <w:b w:val="0"/>
          <w:i w:val="0"/>
        </w:rPr>
        <w:t>The API is a NestJS 12 application on Node.js 22, written in TypeScript as ES modules. All business endpoints are under /api/v1 and are described in docs/api/openapi.json (128 paths, 149 operations). Namespaces separate the audiences, so the reverse proxy can publish the back-office only on the internal network.</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268"/>
        <w:gridCol w:w="680"/>
        <w:gridCol w:w="3628"/>
        <w:gridCol w:w="3061"/>
      </w:tblGrid>
      <w:tr>
        <w:trPr>
          <w:cantSplit/>
          <w:tblHeader/>
        </w:trPr>
        <w:tc>
          <w:tcPr>
            <w:tcW w:type="dxa" w:w="2268"/>
            <w:shd w:val="clear" w:color="auto" w:fill="E1058C"/>
            <w:vAlign w:val="center"/>
          </w:tcPr>
          <w:p>
            <w:pPr>
              <w:spacing w:after="0"/>
            </w:pPr>
            <w:r>
              <w:rPr>
                <w:b/>
                <w:i w:val="0"/>
                <w:color w:val="FFFFFF"/>
                <w:sz w:val="16"/>
              </w:rPr>
              <w:t>Namespace</w:t>
            </w:r>
          </w:p>
        </w:tc>
        <w:tc>
          <w:tcPr>
            <w:tcW w:type="dxa" w:w="680"/>
            <w:shd w:val="clear" w:color="auto" w:fill="E1058C"/>
            <w:vAlign w:val="center"/>
          </w:tcPr>
          <w:p>
            <w:pPr>
              <w:spacing w:after="0"/>
            </w:pPr>
            <w:r>
              <w:rPr>
                <w:b/>
                <w:i w:val="0"/>
                <w:color w:val="FFFFFF"/>
                <w:sz w:val="16"/>
              </w:rPr>
              <w:t>Ops</w:t>
            </w:r>
          </w:p>
        </w:tc>
        <w:tc>
          <w:tcPr>
            <w:tcW w:type="dxa" w:w="3628"/>
            <w:shd w:val="clear" w:color="auto" w:fill="E1058C"/>
            <w:vAlign w:val="center"/>
          </w:tcPr>
          <w:p>
            <w:pPr>
              <w:spacing w:after="0"/>
            </w:pPr>
            <w:r>
              <w:rPr>
                <w:b/>
                <w:i w:val="0"/>
                <w:color w:val="FFFFFF"/>
                <w:sz w:val="16"/>
              </w:rPr>
              <w:t>Purpose</w:t>
            </w:r>
          </w:p>
        </w:tc>
        <w:tc>
          <w:tcPr>
            <w:tcW w:type="dxa" w:w="3061"/>
            <w:shd w:val="clear" w:color="auto" w:fill="E1058C"/>
            <w:vAlign w:val="center"/>
          </w:tcPr>
          <w:p>
            <w:pPr>
              <w:spacing w:after="0"/>
            </w:pPr>
            <w:r>
              <w:rPr>
                <w:b/>
                <w:i w:val="0"/>
                <w:color w:val="FFFFFF"/>
                <w:sz w:val="16"/>
              </w:rPr>
              <w:t>Access control</w:t>
            </w:r>
          </w:p>
        </w:tc>
      </w:tr>
      <w:tr>
        <w:trPr>
          <w:cantSplit/>
        </w:trPr>
        <w:tc>
          <w:tcPr>
            <w:tcW w:type="dxa" w:w="2268"/>
            <w:vAlign w:val="top"/>
          </w:tcPr>
          <w:p>
            <w:pPr>
              <w:spacing w:after="20" w:line="252" w:lineRule="auto"/>
            </w:pPr>
            <w:r>
              <w:rPr>
                <w:b w:val="0"/>
                <w:i w:val="0"/>
                <w:sz w:val="16"/>
              </w:rPr>
              <w:t>/api/v1/auth</w:t>
            </w:r>
          </w:p>
        </w:tc>
        <w:tc>
          <w:tcPr>
            <w:tcW w:type="dxa" w:w="680"/>
            <w:vAlign w:val="top"/>
          </w:tcPr>
          <w:p>
            <w:pPr>
              <w:spacing w:after="20" w:line="252" w:lineRule="auto"/>
            </w:pPr>
            <w:r>
              <w:rPr>
                <w:b w:val="0"/>
                <w:i w:val="0"/>
                <w:sz w:val="16"/>
              </w:rPr>
              <w:t>4</w:t>
            </w:r>
          </w:p>
        </w:tc>
        <w:tc>
          <w:tcPr>
            <w:tcW w:type="dxa" w:w="3628"/>
            <w:vAlign w:val="top"/>
          </w:tcPr>
          <w:p>
            <w:pPr>
              <w:spacing w:after="20" w:line="252" w:lineRule="auto"/>
            </w:pPr>
            <w:r>
              <w:rPr>
                <w:b w:val="0"/>
                <w:i w:val="0"/>
                <w:sz w:val="16"/>
              </w:rPr>
              <w:t>Sign-in, sign-out, current user, password change</w:t>
            </w:r>
          </w:p>
        </w:tc>
        <w:tc>
          <w:tcPr>
            <w:tcW w:type="dxa" w:w="3061"/>
            <w:vAlign w:val="top"/>
          </w:tcPr>
          <w:p>
            <w:pPr>
              <w:spacing w:after="20" w:line="252" w:lineRule="auto"/>
            </w:pPr>
            <w:r>
              <w:rPr>
                <w:b w:val="0"/>
                <w:i w:val="0"/>
                <w:sz w:val="16"/>
              </w:rPr>
              <w:t>Session (login is public)</w:t>
            </w:r>
          </w:p>
        </w:tc>
      </w:tr>
      <w:tr>
        <w:trPr>
          <w:cantSplit/>
        </w:trPr>
        <w:tc>
          <w:tcPr>
            <w:tcW w:type="dxa" w:w="2268"/>
            <w:vAlign w:val="top"/>
            <w:shd w:val="clear" w:color="auto" w:fill="FDF0F7"/>
          </w:tcPr>
          <w:p>
            <w:pPr>
              <w:spacing w:after="20" w:line="252" w:lineRule="auto"/>
            </w:pPr>
            <w:r>
              <w:rPr>
                <w:b w:val="0"/>
                <w:i w:val="0"/>
                <w:sz w:val="16"/>
              </w:rPr>
              <w:t>/api/v1/portal</w:t>
            </w:r>
          </w:p>
        </w:tc>
        <w:tc>
          <w:tcPr>
            <w:tcW w:type="dxa" w:w="680"/>
            <w:vAlign w:val="top"/>
            <w:shd w:val="clear" w:color="auto" w:fill="FDF0F7"/>
          </w:tcPr>
          <w:p>
            <w:pPr>
              <w:spacing w:after="20" w:line="252" w:lineRule="auto"/>
            </w:pPr>
            <w:r>
              <w:rPr>
                <w:b w:val="0"/>
                <w:i w:val="0"/>
                <w:sz w:val="16"/>
              </w:rPr>
              <w:t>45</w:t>
            </w:r>
          </w:p>
        </w:tc>
        <w:tc>
          <w:tcPr>
            <w:tcW w:type="dxa" w:w="3628"/>
            <w:vAlign w:val="top"/>
            <w:shd w:val="clear" w:color="auto" w:fill="FDF0F7"/>
          </w:tcPr>
          <w:p>
            <w:pPr>
              <w:spacing w:after="20" w:line="252" w:lineRule="auto"/>
            </w:pPr>
            <w:r>
              <w:rPr>
                <w:b w:val="0"/>
                <w:i w:val="0"/>
                <w:sz w:val="16"/>
              </w:rPr>
              <w:t>Agent/Banca Portal functions</w:t>
            </w:r>
          </w:p>
        </w:tc>
        <w:tc>
          <w:tcPr>
            <w:tcW w:type="dxa" w:w="3061"/>
            <w:vAlign w:val="top"/>
            <w:shd w:val="clear" w:color="auto" w:fill="FDF0F7"/>
          </w:tcPr>
          <w:p>
            <w:pPr>
              <w:spacing w:after="20" w:line="252" w:lineRule="auto"/>
            </w:pPr>
            <w:r>
              <w:rPr>
                <w:b w:val="0"/>
                <w:i w:val="0"/>
                <w:sz w:val="16"/>
              </w:rPr>
              <w:t>Session, PORTAL audience, permissions, data scope</w:t>
            </w:r>
          </w:p>
        </w:tc>
      </w:tr>
      <w:tr>
        <w:trPr>
          <w:cantSplit/>
        </w:trPr>
        <w:tc>
          <w:tcPr>
            <w:tcW w:type="dxa" w:w="2268"/>
            <w:vAlign w:val="top"/>
          </w:tcPr>
          <w:p>
            <w:pPr>
              <w:spacing w:after="20" w:line="252" w:lineRule="auto"/>
            </w:pPr>
            <w:r>
              <w:rPr>
                <w:b w:val="0"/>
                <w:i w:val="0"/>
                <w:sz w:val="16"/>
              </w:rPr>
              <w:t>/api/v1/backoffice</w:t>
            </w:r>
          </w:p>
        </w:tc>
        <w:tc>
          <w:tcPr>
            <w:tcW w:type="dxa" w:w="680"/>
            <w:vAlign w:val="top"/>
          </w:tcPr>
          <w:p>
            <w:pPr>
              <w:spacing w:after="20" w:line="252" w:lineRule="auto"/>
            </w:pPr>
            <w:r>
              <w:rPr>
                <w:b w:val="0"/>
                <w:i w:val="0"/>
                <w:sz w:val="16"/>
              </w:rPr>
              <w:t>80</w:t>
            </w:r>
          </w:p>
        </w:tc>
        <w:tc>
          <w:tcPr>
            <w:tcW w:type="dxa" w:w="3628"/>
            <w:vAlign w:val="top"/>
          </w:tcPr>
          <w:p>
            <w:pPr>
              <w:spacing w:after="20" w:line="252" w:lineRule="auto"/>
            </w:pPr>
            <w:r>
              <w:rPr>
                <w:b w:val="0"/>
                <w:i w:val="0"/>
                <w:sz w:val="16"/>
              </w:rPr>
              <w:t>Back-office functions</w:t>
            </w:r>
          </w:p>
        </w:tc>
        <w:tc>
          <w:tcPr>
            <w:tcW w:type="dxa" w:w="3061"/>
            <w:vAlign w:val="top"/>
          </w:tcPr>
          <w:p>
            <w:pPr>
              <w:spacing w:after="20" w:line="252" w:lineRule="auto"/>
            </w:pPr>
            <w:r>
              <w:rPr>
                <w:b w:val="0"/>
                <w:i w:val="0"/>
                <w:sz w:val="16"/>
              </w:rPr>
              <w:t>Session, BACKOFFICE audience, permissions</w:t>
            </w:r>
          </w:p>
        </w:tc>
      </w:tr>
      <w:tr>
        <w:trPr>
          <w:cantSplit/>
        </w:trPr>
        <w:tc>
          <w:tcPr>
            <w:tcW w:type="dxa" w:w="2268"/>
            <w:vAlign w:val="top"/>
            <w:shd w:val="clear" w:color="auto" w:fill="FDF0F7"/>
          </w:tcPr>
          <w:p>
            <w:pPr>
              <w:spacing w:after="20" w:line="252" w:lineRule="auto"/>
            </w:pPr>
            <w:r>
              <w:rPr>
                <w:b w:val="0"/>
                <w:i w:val="0"/>
                <w:sz w:val="16"/>
              </w:rPr>
              <w:t>/api/v1/common</w:t>
            </w:r>
          </w:p>
        </w:tc>
        <w:tc>
          <w:tcPr>
            <w:tcW w:type="dxa" w:w="680"/>
            <w:vAlign w:val="top"/>
            <w:shd w:val="clear" w:color="auto" w:fill="FDF0F7"/>
          </w:tcPr>
          <w:p>
            <w:pPr>
              <w:spacing w:after="20" w:line="252" w:lineRule="auto"/>
            </w:pPr>
            <w:r>
              <w:rPr>
                <w:b w:val="0"/>
                <w:i w:val="0"/>
                <w:sz w:val="16"/>
              </w:rPr>
              <w:t>15</w:t>
            </w:r>
          </w:p>
        </w:tc>
        <w:tc>
          <w:tcPr>
            <w:tcW w:type="dxa" w:w="3628"/>
            <w:vAlign w:val="top"/>
            <w:shd w:val="clear" w:color="auto" w:fill="FDF0F7"/>
          </w:tcPr>
          <w:p>
            <w:pPr>
              <w:spacing w:after="20" w:line="252" w:lineRule="auto"/>
            </w:pPr>
            <w:r>
              <w:rPr>
                <w:b w:val="0"/>
                <w:i w:val="0"/>
                <w:sz w:val="16"/>
              </w:rPr>
              <w:t>Functions used by both audiences: documents, notifications, issues, products, codes</w:t>
            </w:r>
          </w:p>
        </w:tc>
        <w:tc>
          <w:tcPr>
            <w:tcW w:type="dxa" w:w="3061"/>
            <w:vAlign w:val="top"/>
            <w:shd w:val="clear" w:color="auto" w:fill="FDF0F7"/>
          </w:tcPr>
          <w:p>
            <w:pPr>
              <w:spacing w:after="20" w:line="252" w:lineRule="auto"/>
            </w:pPr>
            <w:r>
              <w:rPr>
                <w:b w:val="0"/>
                <w:i w:val="0"/>
                <w:sz w:val="16"/>
              </w:rPr>
              <w:t>Session, permissions, data scope</w:t>
            </w:r>
          </w:p>
        </w:tc>
      </w:tr>
      <w:tr>
        <w:trPr>
          <w:cantSplit/>
        </w:trPr>
        <w:tc>
          <w:tcPr>
            <w:tcW w:type="dxa" w:w="2268"/>
            <w:vAlign w:val="top"/>
          </w:tcPr>
          <w:p>
            <w:pPr>
              <w:spacing w:after="20" w:line="252" w:lineRule="auto"/>
            </w:pPr>
            <w:r>
              <w:rPr>
                <w:b w:val="0"/>
                <w:i w:val="0"/>
                <w:sz w:val="16"/>
              </w:rPr>
              <w:t>/api/v1/public</w:t>
            </w:r>
          </w:p>
        </w:tc>
        <w:tc>
          <w:tcPr>
            <w:tcW w:type="dxa" w:w="680"/>
            <w:vAlign w:val="top"/>
          </w:tcPr>
          <w:p>
            <w:pPr>
              <w:spacing w:after="20" w:line="252" w:lineRule="auto"/>
            </w:pPr>
            <w:r>
              <w:rPr>
                <w:b w:val="0"/>
                <w:i w:val="0"/>
                <w:sz w:val="16"/>
              </w:rPr>
              <w:t>2</w:t>
            </w:r>
          </w:p>
        </w:tc>
        <w:tc>
          <w:tcPr>
            <w:tcW w:type="dxa" w:w="3628"/>
            <w:vAlign w:val="top"/>
          </w:tcPr>
          <w:p>
            <w:pPr>
              <w:spacing w:after="20" w:line="252" w:lineRule="auto"/>
            </w:pPr>
            <w:r>
              <w:rPr>
                <w:b w:val="0"/>
                <w:i w:val="0"/>
                <w:sz w:val="16"/>
              </w:rPr>
              <w:t>Participant e-signature page</w:t>
            </w:r>
          </w:p>
        </w:tc>
        <w:tc>
          <w:tcPr>
            <w:tcW w:type="dxa" w:w="3061"/>
            <w:vAlign w:val="top"/>
          </w:tcPr>
          <w:p>
            <w:pPr>
              <w:spacing w:after="20" w:line="252" w:lineRule="auto"/>
            </w:pPr>
            <w:r>
              <w:rPr>
                <w:b w:val="0"/>
                <w:i w:val="0"/>
                <w:sz w:val="16"/>
              </w:rPr>
              <w:t>One-time token (hash stored)</w:t>
            </w:r>
          </w:p>
        </w:tc>
      </w:tr>
      <w:tr>
        <w:trPr>
          <w:cantSplit/>
        </w:trPr>
        <w:tc>
          <w:tcPr>
            <w:tcW w:type="dxa" w:w="2268"/>
            <w:vAlign w:val="top"/>
            <w:shd w:val="clear" w:color="auto" w:fill="FDF0F7"/>
          </w:tcPr>
          <w:p>
            <w:pPr>
              <w:spacing w:after="20" w:line="252" w:lineRule="auto"/>
            </w:pPr>
            <w:r>
              <w:rPr>
                <w:b w:val="0"/>
                <w:i w:val="0"/>
                <w:sz w:val="16"/>
              </w:rPr>
              <w:t>/api/v1/integration</w:t>
            </w:r>
          </w:p>
        </w:tc>
        <w:tc>
          <w:tcPr>
            <w:tcW w:type="dxa" w:w="680"/>
            <w:vAlign w:val="top"/>
            <w:shd w:val="clear" w:color="auto" w:fill="FDF0F7"/>
          </w:tcPr>
          <w:p>
            <w:pPr>
              <w:spacing w:after="20" w:line="252" w:lineRule="auto"/>
            </w:pPr>
            <w:r>
              <w:rPr>
                <w:b w:val="0"/>
                <w:i w:val="0"/>
                <w:sz w:val="16"/>
              </w:rPr>
              <w:t>3</w:t>
            </w:r>
          </w:p>
        </w:tc>
        <w:tc>
          <w:tcPr>
            <w:tcW w:type="dxa" w:w="3628"/>
            <w:vAlign w:val="top"/>
            <w:shd w:val="clear" w:color="auto" w:fill="FDF0F7"/>
          </w:tcPr>
          <w:p>
            <w:pPr>
              <w:spacing w:after="20" w:line="252" w:lineRule="auto"/>
            </w:pPr>
            <w:r>
              <w:rPr>
                <w:b w:val="0"/>
                <w:i w:val="0"/>
                <w:sz w:val="16"/>
              </w:rPr>
              <w:t>System-to-system APIs for Core and FIN</w:t>
            </w:r>
          </w:p>
        </w:tc>
        <w:tc>
          <w:tcPr>
            <w:tcW w:type="dxa" w:w="3061"/>
            <w:vAlign w:val="top"/>
            <w:shd w:val="clear" w:color="auto" w:fill="FDF0F7"/>
          </w:tcPr>
          <w:p>
            <w:pPr>
              <w:spacing w:after="20" w:line="252" w:lineRule="auto"/>
            </w:pPr>
            <w:r>
              <w:rPr>
                <w:b w:val="0"/>
                <w:i w:val="0"/>
                <w:sz w:val="16"/>
              </w:rPr>
              <w:t>API key (SHA-256 held), IP allow-list</w:t>
            </w:r>
          </w:p>
        </w:tc>
      </w:tr>
      <w:tr>
        <w:trPr>
          <w:cantSplit/>
        </w:trPr>
        <w:tc>
          <w:tcPr>
            <w:tcW w:type="dxa" w:w="2268"/>
            <w:vAlign w:val="top"/>
          </w:tcPr>
          <w:p>
            <w:pPr>
              <w:spacing w:after="20" w:line="252" w:lineRule="auto"/>
            </w:pPr>
            <w:r>
              <w:rPr>
                <w:b w:val="0"/>
                <w:i w:val="0"/>
                <w:sz w:val="16"/>
              </w:rPr>
              <w:t>/health/live, /health/ready, /metrics</w:t>
            </w:r>
          </w:p>
        </w:tc>
        <w:tc>
          <w:tcPr>
            <w:tcW w:type="dxa" w:w="680"/>
            <w:vAlign w:val="top"/>
          </w:tcPr>
          <w:p>
            <w:pPr>
              <w:spacing w:after="20" w:line="252" w:lineRule="auto"/>
            </w:pPr>
            <w:r>
              <w:rPr>
                <w:b w:val="0"/>
                <w:i w:val="0"/>
                <w:sz w:val="16"/>
              </w:rPr>
              <w:t>3</w:t>
            </w:r>
          </w:p>
        </w:tc>
        <w:tc>
          <w:tcPr>
            <w:tcW w:type="dxa" w:w="3628"/>
            <w:vAlign w:val="top"/>
          </w:tcPr>
          <w:p>
            <w:pPr>
              <w:spacing w:after="20" w:line="252" w:lineRule="auto"/>
            </w:pPr>
            <w:r>
              <w:rPr>
                <w:b w:val="0"/>
                <w:i w:val="0"/>
                <w:sz w:val="16"/>
              </w:rPr>
              <w:t>Probes and Prometheus metrics (outside /api/v1)</w:t>
            </w:r>
          </w:p>
        </w:tc>
        <w:tc>
          <w:tcPr>
            <w:tcW w:type="dxa" w:w="3061"/>
            <w:vAlign w:val="top"/>
          </w:tcPr>
          <w:p>
            <w:pPr>
              <w:spacing w:after="20" w:line="252" w:lineRule="auto"/>
            </w:pPr>
            <w:r>
              <w:rPr>
                <w:b w:val="0"/>
                <w:i w:val="0"/>
                <w:sz w:val="16"/>
              </w:rPr>
              <w:t>Public probes; METRICS_TOKEN for metrics</w:t>
            </w:r>
          </w:p>
        </w:tc>
      </w:tr>
    </w:tbl>
    <w:p>
      <w:pPr>
        <w:pStyle w:val="Caption"/>
        <w:jc w:val="center"/>
      </w:pPr>
      <w:r>
        <w:rPr>
          <w:b w:val="0"/>
          <w:i w:val="0"/>
        </w:rPr>
        <w:t>Table 8: API namespaces</w:t>
      </w:r>
    </w:p>
    <w:p>
      <w:pPr>
        <w:pStyle w:val="Heading2"/>
      </w:pPr>
      <w:r>
        <w:t>5.4 Request processing</w:t>
      </w:r>
    </w:p>
    <w:p>
      <w:pPr>
        <w:keepNext w:val="0"/>
      </w:pPr>
      <w:r>
        <w:rPr>
          <w:b w:val="0"/>
          <w:i w:val="0"/>
        </w:rPr>
        <w:t>Every request passes the same pipeline, configured once in app.setup.ts and used by both the server and the end-to-end tests. Global guards run in a fixed order: throttling, authentication, CSRF, then permissions. A route is protected unless it is explicitly marked public.</w:t>
      </w:r>
    </w:p>
    <w:p>
      <w:pPr>
        <w:keepNext/>
        <w:spacing w:after="0"/>
        <w:jc w:val="center"/>
      </w:pPr>
      <w:r>
        <w:drawing>
          <wp:inline xmlns:a="http://schemas.openxmlformats.org/drawingml/2006/main" xmlns:pic="http://schemas.openxmlformats.org/drawingml/2006/picture">
            <wp:extent cx="5940000" cy="2969999"/>
            <wp:docPr id="8" name="Picture 8"/>
            <wp:cNvGraphicFramePr>
              <a:graphicFrameLocks noChangeAspect="1"/>
            </wp:cNvGraphicFramePr>
            <a:graphic>
              <a:graphicData uri="http://schemas.openxmlformats.org/drawingml/2006/picture">
                <pic:pic>
                  <pic:nvPicPr>
                    <pic:cNvPr id="0" name="tech-request-pipeline.png"/>
                    <pic:cNvPicPr/>
                  </pic:nvPicPr>
                  <pic:blipFill>
                    <a:blip r:embed="rId18"/>
                    <a:stretch>
                      <a:fillRect/>
                    </a:stretch>
                  </pic:blipFill>
                  <pic:spPr>
                    <a:xfrm>
                      <a:off x="0" y="0"/>
                      <a:ext cx="5940000" cy="2969999"/>
                    </a:xfrm>
                    <a:prstGeom prst="rect"/>
                  </pic:spPr>
                </pic:pic>
              </a:graphicData>
            </a:graphic>
          </wp:inline>
        </w:drawing>
      </w:r>
    </w:p>
    <w:p>
      <w:pPr>
        <w:pStyle w:val="Caption"/>
        <w:jc w:val="center"/>
      </w:pPr>
      <w:r>
        <w:rPr>
          <w:b w:val="0"/>
          <w:i w:val="0"/>
        </w:rPr>
        <w:t>Figure 5: Request pipeline</w:t>
      </w:r>
    </w:p>
    <w:p>
      <w:pPr>
        <w:pStyle w:val="Heading2"/>
      </w:pPr>
      <w:r>
        <w:t>5.5 Error handling</w:t>
      </w:r>
    </w:p>
    <w:p>
      <w:pPr>
        <w:keepNext w:val="0"/>
      </w:pPr>
      <w:r>
        <w:rPr>
          <w:b w:val="0"/>
          <w:i w:val="0"/>
        </w:rPr>
        <w:t>A global exception filter turns every error into the same JSON body: statusCode, a stable code, a message safe to show, optional details and the correlation id. Unexpected errors are logged in full on the server and reach the user only as a generic message with the correlation id (NFR-15).</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793"/>
        <w:gridCol w:w="4876"/>
        <w:gridCol w:w="3969"/>
      </w:tblGrid>
      <w:tr>
        <w:trPr>
          <w:cantSplit/>
          <w:tblHeader/>
        </w:trPr>
        <w:tc>
          <w:tcPr>
            <w:tcW w:type="dxa" w:w="794"/>
            <w:shd w:val="clear" w:color="auto" w:fill="E1058C"/>
            <w:vAlign w:val="center"/>
          </w:tcPr>
          <w:p>
            <w:pPr>
              <w:spacing w:after="0"/>
            </w:pPr>
            <w:r>
              <w:rPr>
                <w:b/>
                <w:i w:val="0"/>
                <w:color w:val="FFFFFF"/>
                <w:sz w:val="16"/>
              </w:rPr>
              <w:t>HTTP</w:t>
            </w:r>
          </w:p>
        </w:tc>
        <w:tc>
          <w:tcPr>
            <w:tcW w:type="dxa" w:w="4876"/>
            <w:shd w:val="clear" w:color="auto" w:fill="E1058C"/>
            <w:vAlign w:val="center"/>
          </w:tcPr>
          <w:p>
            <w:pPr>
              <w:spacing w:after="0"/>
            </w:pPr>
            <w:r>
              <w:rPr>
                <w:b/>
                <w:i w:val="0"/>
                <w:color w:val="FFFFFF"/>
                <w:sz w:val="16"/>
              </w:rPr>
              <w:t>Codes</w:t>
            </w:r>
          </w:p>
        </w:tc>
        <w:tc>
          <w:tcPr>
            <w:tcW w:type="dxa" w:w="3969"/>
            <w:shd w:val="clear" w:color="auto" w:fill="E1058C"/>
            <w:vAlign w:val="center"/>
          </w:tcPr>
          <w:p>
            <w:pPr>
              <w:spacing w:after="0"/>
            </w:pPr>
            <w:r>
              <w:rPr>
                <w:b/>
                <w:i w:val="0"/>
                <w:color w:val="FFFFFF"/>
                <w:sz w:val="16"/>
              </w:rPr>
              <w:t>When</w:t>
            </w:r>
          </w:p>
        </w:tc>
      </w:tr>
      <w:tr>
        <w:trPr>
          <w:cantSplit/>
        </w:trPr>
        <w:tc>
          <w:tcPr>
            <w:tcW w:type="dxa" w:w="794"/>
            <w:vAlign w:val="top"/>
          </w:tcPr>
          <w:p>
            <w:pPr>
              <w:spacing w:after="20" w:line="252" w:lineRule="auto"/>
            </w:pPr>
            <w:r>
              <w:rPr>
                <w:b w:val="0"/>
                <w:i w:val="0"/>
                <w:sz w:val="16"/>
              </w:rPr>
              <w:t>400</w:t>
            </w:r>
          </w:p>
        </w:tc>
        <w:tc>
          <w:tcPr>
            <w:tcW w:type="dxa" w:w="4876"/>
            <w:vAlign w:val="top"/>
          </w:tcPr>
          <w:p>
            <w:pPr>
              <w:spacing w:after="20" w:line="252" w:lineRule="auto"/>
            </w:pPr>
            <w:r>
              <w:rPr>
                <w:b w:val="0"/>
                <w:i w:val="0"/>
                <w:sz w:val="16"/>
              </w:rPr>
              <w:t>BAD_REQUEST</w:t>
            </w:r>
          </w:p>
        </w:tc>
        <w:tc>
          <w:tcPr>
            <w:tcW w:type="dxa" w:w="3969"/>
            <w:vAlign w:val="top"/>
          </w:tcPr>
          <w:p>
            <w:pPr>
              <w:spacing w:after="20" w:line="252" w:lineRule="auto"/>
            </w:pPr>
            <w:r>
              <w:rPr>
                <w:b w:val="0"/>
                <w:i w:val="0"/>
                <w:sz w:val="16"/>
              </w:rPr>
              <w:t>Validation failed; details lists each field problem</w:t>
            </w:r>
          </w:p>
        </w:tc>
      </w:tr>
      <w:tr>
        <w:trPr>
          <w:cantSplit/>
        </w:trPr>
        <w:tc>
          <w:tcPr>
            <w:tcW w:type="dxa" w:w="794"/>
            <w:vAlign w:val="top"/>
            <w:shd w:val="clear" w:color="auto" w:fill="FDF0F7"/>
          </w:tcPr>
          <w:p>
            <w:pPr>
              <w:spacing w:after="20" w:line="252" w:lineRule="auto"/>
            </w:pPr>
            <w:r>
              <w:rPr>
                <w:b w:val="0"/>
                <w:i w:val="0"/>
                <w:sz w:val="16"/>
              </w:rPr>
              <w:t>401</w:t>
            </w:r>
          </w:p>
        </w:tc>
        <w:tc>
          <w:tcPr>
            <w:tcW w:type="dxa" w:w="4876"/>
            <w:vAlign w:val="top"/>
            <w:shd w:val="clear" w:color="auto" w:fill="FDF0F7"/>
          </w:tcPr>
          <w:p>
            <w:pPr>
              <w:spacing w:after="20" w:line="252" w:lineRule="auto"/>
            </w:pPr>
            <w:r>
              <w:rPr>
                <w:b w:val="0"/>
                <w:i w:val="0"/>
                <w:sz w:val="16"/>
              </w:rPr>
              <w:t>NOT_AUTHENTICATED, INVALID_CREDENTIALS, ACCOUNT_LOCKED, SESSION_EXPIRED</w:t>
            </w:r>
          </w:p>
        </w:tc>
        <w:tc>
          <w:tcPr>
            <w:tcW w:type="dxa" w:w="3969"/>
            <w:vAlign w:val="top"/>
            <w:shd w:val="clear" w:color="auto" w:fill="FDF0F7"/>
          </w:tcPr>
          <w:p>
            <w:pPr>
              <w:spacing w:after="20" w:line="252" w:lineRule="auto"/>
            </w:pPr>
            <w:r>
              <w:rPr>
                <w:b w:val="0"/>
                <w:i w:val="0"/>
                <w:sz w:val="16"/>
              </w:rPr>
              <w:t>No valid session or sign-in refused</w:t>
            </w:r>
          </w:p>
        </w:tc>
      </w:tr>
      <w:tr>
        <w:trPr>
          <w:cantSplit/>
        </w:trPr>
        <w:tc>
          <w:tcPr>
            <w:tcW w:type="dxa" w:w="794"/>
            <w:vAlign w:val="top"/>
          </w:tcPr>
          <w:p>
            <w:pPr>
              <w:spacing w:after="20" w:line="252" w:lineRule="auto"/>
            </w:pPr>
            <w:r>
              <w:rPr>
                <w:b w:val="0"/>
                <w:i w:val="0"/>
                <w:sz w:val="16"/>
              </w:rPr>
              <w:t>403</w:t>
            </w:r>
          </w:p>
        </w:tc>
        <w:tc>
          <w:tcPr>
            <w:tcW w:type="dxa" w:w="4876"/>
            <w:vAlign w:val="top"/>
          </w:tcPr>
          <w:p>
            <w:pPr>
              <w:spacing w:after="20" w:line="252" w:lineRule="auto"/>
            </w:pPr>
            <w:r>
              <w:rPr>
                <w:b w:val="0"/>
                <w:i w:val="0"/>
                <w:sz w:val="16"/>
              </w:rPr>
              <w:t>FORBIDDEN, CSRF_TOKEN_INVALID, WRONG_AUDIENCE, PASSWORD_CHANGE_REQUIRED</w:t>
            </w:r>
          </w:p>
        </w:tc>
        <w:tc>
          <w:tcPr>
            <w:tcW w:type="dxa" w:w="3969"/>
            <w:vAlign w:val="top"/>
          </w:tcPr>
          <w:p>
            <w:pPr>
              <w:spacing w:after="20" w:line="252" w:lineRule="auto"/>
            </w:pPr>
            <w:r>
              <w:rPr>
                <w:b w:val="0"/>
                <w:i w:val="0"/>
                <w:sz w:val="16"/>
              </w:rPr>
              <w:t>Not permitted</w:t>
            </w:r>
          </w:p>
        </w:tc>
      </w:tr>
      <w:tr>
        <w:trPr>
          <w:cantSplit/>
        </w:trPr>
        <w:tc>
          <w:tcPr>
            <w:tcW w:type="dxa" w:w="794"/>
            <w:vAlign w:val="top"/>
            <w:shd w:val="clear" w:color="auto" w:fill="FDF0F7"/>
          </w:tcPr>
          <w:p>
            <w:pPr>
              <w:spacing w:after="20" w:line="252" w:lineRule="auto"/>
            </w:pPr>
            <w:r>
              <w:rPr>
                <w:b w:val="0"/>
                <w:i w:val="0"/>
                <w:sz w:val="16"/>
              </w:rPr>
              <w:t>404</w:t>
            </w:r>
          </w:p>
        </w:tc>
        <w:tc>
          <w:tcPr>
            <w:tcW w:type="dxa" w:w="4876"/>
            <w:vAlign w:val="top"/>
            <w:shd w:val="clear" w:color="auto" w:fill="FDF0F7"/>
          </w:tcPr>
          <w:p>
            <w:pPr>
              <w:spacing w:after="20" w:line="252" w:lineRule="auto"/>
            </w:pPr>
            <w:r>
              <w:rPr>
                <w:b w:val="0"/>
                <w:i w:val="0"/>
                <w:sz w:val="16"/>
              </w:rPr>
              <w:t>NOT_FOUND</w:t>
            </w:r>
          </w:p>
        </w:tc>
        <w:tc>
          <w:tcPr>
            <w:tcW w:type="dxa" w:w="3969"/>
            <w:vAlign w:val="top"/>
            <w:shd w:val="clear" w:color="auto" w:fill="FDF0F7"/>
          </w:tcPr>
          <w:p>
            <w:pPr>
              <w:spacing w:after="20" w:line="252" w:lineRule="auto"/>
            </w:pPr>
            <w:r>
              <w:rPr>
                <w:b w:val="0"/>
                <w:i w:val="0"/>
                <w:sz w:val="16"/>
              </w:rPr>
              <w:t>Record does not exist or is outside the user's data scope</w:t>
            </w:r>
          </w:p>
        </w:tc>
      </w:tr>
      <w:tr>
        <w:trPr>
          <w:cantSplit/>
        </w:trPr>
        <w:tc>
          <w:tcPr>
            <w:tcW w:type="dxa" w:w="794"/>
            <w:vAlign w:val="top"/>
          </w:tcPr>
          <w:p>
            <w:pPr>
              <w:spacing w:after="20" w:line="252" w:lineRule="auto"/>
            </w:pPr>
            <w:r>
              <w:rPr>
                <w:b w:val="0"/>
                <w:i w:val="0"/>
                <w:sz w:val="16"/>
              </w:rPr>
              <w:t>409</w:t>
            </w:r>
          </w:p>
        </w:tc>
        <w:tc>
          <w:tcPr>
            <w:tcW w:type="dxa" w:w="4876"/>
            <w:vAlign w:val="top"/>
          </w:tcPr>
          <w:p>
            <w:pPr>
              <w:spacing w:after="20" w:line="252" w:lineRule="auto"/>
            </w:pPr>
            <w:r>
              <w:rPr>
                <w:b w:val="0"/>
                <w:i w:val="0"/>
                <w:sz w:val="16"/>
              </w:rPr>
              <w:t>DUPLICATE, STALE_RECORD</w:t>
            </w:r>
          </w:p>
        </w:tc>
        <w:tc>
          <w:tcPr>
            <w:tcW w:type="dxa" w:w="3969"/>
            <w:vAlign w:val="top"/>
          </w:tcPr>
          <w:p>
            <w:pPr>
              <w:spacing w:after="20" w:line="252" w:lineRule="auto"/>
            </w:pPr>
            <w:r>
              <w:rPr>
                <w:b w:val="0"/>
                <w:i w:val="0"/>
                <w:sz w:val="16"/>
              </w:rPr>
              <w:t>Unique value exists; record changed by another user</w:t>
            </w:r>
          </w:p>
        </w:tc>
      </w:tr>
      <w:tr>
        <w:trPr>
          <w:cantSplit/>
        </w:trPr>
        <w:tc>
          <w:tcPr>
            <w:tcW w:type="dxa" w:w="794"/>
            <w:vAlign w:val="top"/>
            <w:shd w:val="clear" w:color="auto" w:fill="FDF0F7"/>
          </w:tcPr>
          <w:p>
            <w:pPr>
              <w:spacing w:after="20" w:line="252" w:lineRule="auto"/>
            </w:pPr>
            <w:r>
              <w:rPr>
                <w:b w:val="0"/>
                <w:i w:val="0"/>
                <w:sz w:val="16"/>
              </w:rPr>
              <w:t>413</w:t>
            </w:r>
          </w:p>
        </w:tc>
        <w:tc>
          <w:tcPr>
            <w:tcW w:type="dxa" w:w="4876"/>
            <w:vAlign w:val="top"/>
            <w:shd w:val="clear" w:color="auto" w:fill="FDF0F7"/>
          </w:tcPr>
          <w:p>
            <w:pPr>
              <w:spacing w:after="20" w:line="252" w:lineRule="auto"/>
            </w:pPr>
            <w:r>
              <w:rPr>
                <w:b w:val="0"/>
                <w:i w:val="0"/>
                <w:sz w:val="16"/>
              </w:rPr>
              <w:t>PAYLOAD_TOO_LARGE</w:t>
            </w:r>
          </w:p>
        </w:tc>
        <w:tc>
          <w:tcPr>
            <w:tcW w:type="dxa" w:w="3969"/>
            <w:vAlign w:val="top"/>
            <w:shd w:val="clear" w:color="auto" w:fill="FDF0F7"/>
          </w:tcPr>
          <w:p>
            <w:pPr>
              <w:spacing w:after="20" w:line="252" w:lineRule="auto"/>
            </w:pPr>
            <w:r>
              <w:rPr>
                <w:b w:val="0"/>
                <w:i w:val="0"/>
                <w:sz w:val="16"/>
              </w:rPr>
              <w:t>Body or file above the limit</w:t>
            </w:r>
          </w:p>
        </w:tc>
      </w:tr>
      <w:tr>
        <w:trPr>
          <w:cantSplit/>
        </w:trPr>
        <w:tc>
          <w:tcPr>
            <w:tcW w:type="dxa" w:w="794"/>
            <w:vAlign w:val="top"/>
          </w:tcPr>
          <w:p>
            <w:pPr>
              <w:spacing w:after="20" w:line="252" w:lineRule="auto"/>
            </w:pPr>
            <w:r>
              <w:rPr>
                <w:b w:val="0"/>
                <w:i w:val="0"/>
                <w:sz w:val="16"/>
              </w:rPr>
              <w:t>422</w:t>
            </w:r>
          </w:p>
        </w:tc>
        <w:tc>
          <w:tcPr>
            <w:tcW w:type="dxa" w:w="4876"/>
            <w:vAlign w:val="top"/>
          </w:tcPr>
          <w:p>
            <w:pPr>
              <w:spacing w:after="20" w:line="252" w:lineRule="auto"/>
            </w:pPr>
            <w:r>
              <w:rPr>
                <w:b w:val="0"/>
                <w:i w:val="0"/>
                <w:sz w:val="16"/>
              </w:rPr>
              <w:t>Business rule codes, e.g. AGENCY_BLOCKED, SUBMISSION_INCOMPLETE, QUOTATION_EXPIRED</w:t>
            </w:r>
          </w:p>
        </w:tc>
        <w:tc>
          <w:tcPr>
            <w:tcW w:type="dxa" w:w="3969"/>
            <w:vAlign w:val="top"/>
          </w:tcPr>
          <w:p>
            <w:pPr>
              <w:spacing w:after="20" w:line="252" w:lineRule="auto"/>
            </w:pPr>
            <w:r>
              <w:rPr>
                <w:b w:val="0"/>
                <w:i w:val="0"/>
                <w:sz w:val="16"/>
              </w:rPr>
              <w:t>Valid request that breaks a business rule</w:t>
            </w:r>
          </w:p>
        </w:tc>
      </w:tr>
      <w:tr>
        <w:trPr>
          <w:cantSplit/>
        </w:trPr>
        <w:tc>
          <w:tcPr>
            <w:tcW w:type="dxa" w:w="794"/>
            <w:vAlign w:val="top"/>
            <w:shd w:val="clear" w:color="auto" w:fill="FDF0F7"/>
          </w:tcPr>
          <w:p>
            <w:pPr>
              <w:spacing w:after="20" w:line="252" w:lineRule="auto"/>
            </w:pPr>
            <w:r>
              <w:rPr>
                <w:b w:val="0"/>
                <w:i w:val="0"/>
                <w:sz w:val="16"/>
              </w:rPr>
              <w:t>429</w:t>
            </w:r>
          </w:p>
        </w:tc>
        <w:tc>
          <w:tcPr>
            <w:tcW w:type="dxa" w:w="4876"/>
            <w:vAlign w:val="top"/>
            <w:shd w:val="clear" w:color="auto" w:fill="FDF0F7"/>
          </w:tcPr>
          <w:p>
            <w:pPr>
              <w:spacing w:after="20" w:line="252" w:lineRule="auto"/>
            </w:pPr>
            <w:r>
              <w:rPr>
                <w:b w:val="0"/>
                <w:i w:val="0"/>
                <w:sz w:val="16"/>
              </w:rPr>
              <w:t>TOO_MANY_REQUESTS</w:t>
            </w:r>
          </w:p>
        </w:tc>
        <w:tc>
          <w:tcPr>
            <w:tcW w:type="dxa" w:w="3969"/>
            <w:vAlign w:val="top"/>
            <w:shd w:val="clear" w:color="auto" w:fill="FDF0F7"/>
          </w:tcPr>
          <w:p>
            <w:pPr>
              <w:spacing w:after="20" w:line="252" w:lineRule="auto"/>
            </w:pPr>
            <w:r>
              <w:rPr>
                <w:b w:val="0"/>
                <w:i w:val="0"/>
                <w:sz w:val="16"/>
              </w:rPr>
              <w:t>Rate limit reached</w:t>
            </w:r>
          </w:p>
        </w:tc>
      </w:tr>
      <w:tr>
        <w:trPr>
          <w:cantSplit/>
        </w:trPr>
        <w:tc>
          <w:tcPr>
            <w:tcW w:type="dxa" w:w="794"/>
            <w:vAlign w:val="top"/>
          </w:tcPr>
          <w:p>
            <w:pPr>
              <w:spacing w:after="20" w:line="252" w:lineRule="auto"/>
            </w:pPr>
            <w:r>
              <w:rPr>
                <w:b w:val="0"/>
                <w:i w:val="0"/>
                <w:sz w:val="16"/>
              </w:rPr>
              <w:t>500</w:t>
            </w:r>
          </w:p>
        </w:tc>
        <w:tc>
          <w:tcPr>
            <w:tcW w:type="dxa" w:w="4876"/>
            <w:vAlign w:val="top"/>
          </w:tcPr>
          <w:p>
            <w:pPr>
              <w:spacing w:after="20" w:line="252" w:lineRule="auto"/>
            </w:pPr>
            <w:r>
              <w:rPr>
                <w:b w:val="0"/>
                <w:i w:val="0"/>
                <w:sz w:val="16"/>
              </w:rPr>
              <w:t>INTERNAL_ERROR</w:t>
            </w:r>
          </w:p>
        </w:tc>
        <w:tc>
          <w:tcPr>
            <w:tcW w:type="dxa" w:w="3969"/>
            <w:vAlign w:val="top"/>
          </w:tcPr>
          <w:p>
            <w:pPr>
              <w:spacing w:after="20" w:line="252" w:lineRule="auto"/>
            </w:pPr>
            <w:r>
              <w:rPr>
                <w:b w:val="0"/>
                <w:i w:val="0"/>
                <w:sz w:val="16"/>
              </w:rPr>
              <w:t>Unexpected error; logged with stack trace on the server only</w:t>
            </w:r>
          </w:p>
        </w:tc>
      </w:tr>
      <w:tr>
        <w:trPr>
          <w:cantSplit/>
        </w:trPr>
        <w:tc>
          <w:tcPr>
            <w:tcW w:type="dxa" w:w="794"/>
            <w:vAlign w:val="top"/>
            <w:shd w:val="clear" w:color="auto" w:fill="FDF0F7"/>
          </w:tcPr>
          <w:p>
            <w:pPr>
              <w:spacing w:after="20" w:line="252" w:lineRule="auto"/>
            </w:pPr>
            <w:r>
              <w:rPr>
                <w:b w:val="0"/>
                <w:i w:val="0"/>
                <w:sz w:val="16"/>
              </w:rPr>
              <w:t>503</w:t>
            </w:r>
          </w:p>
        </w:tc>
        <w:tc>
          <w:tcPr>
            <w:tcW w:type="dxa" w:w="4876"/>
            <w:vAlign w:val="top"/>
            <w:shd w:val="clear" w:color="auto" w:fill="FDF0F7"/>
          </w:tcPr>
          <w:p>
            <w:pPr>
              <w:spacing w:after="20" w:line="252" w:lineRule="auto"/>
            </w:pPr>
            <w:r>
              <w:rPr>
                <w:b w:val="0"/>
                <w:i w:val="0"/>
                <w:sz w:val="16"/>
              </w:rPr>
              <w:t>NOT_READY, NOT_CONFIGURED</w:t>
            </w:r>
          </w:p>
        </w:tc>
        <w:tc>
          <w:tcPr>
            <w:tcW w:type="dxa" w:w="3969"/>
            <w:vAlign w:val="top"/>
            <w:shd w:val="clear" w:color="auto" w:fill="FDF0F7"/>
          </w:tcPr>
          <w:p>
            <w:pPr>
              <w:spacing w:after="20" w:line="252" w:lineRule="auto"/>
            </w:pPr>
            <w:r>
              <w:rPr>
                <w:b w:val="0"/>
                <w:i w:val="0"/>
                <w:sz w:val="16"/>
              </w:rPr>
              <w:t>Database unavailable; inbound integration not configured</w:t>
            </w:r>
          </w:p>
        </w:tc>
      </w:tr>
    </w:tbl>
    <w:p>
      <w:pPr>
        <w:pStyle w:val="Caption"/>
        <w:jc w:val="center"/>
      </w:pPr>
      <w:r>
        <w:rPr>
          <w:b w:val="0"/>
          <w:i w:val="0"/>
        </w:rPr>
        <w:t>Table 9: Error responses</w:t>
      </w:r>
    </w:p>
    <w:p>
      <w:pPr>
        <w:pStyle w:val="Heading2"/>
      </w:pPr>
      <w:r>
        <w:t>5.6 Consistency and concurrency</w:t>
      </w:r>
    </w:p>
    <w:p>
      <w:pPr>
        <w:pStyle w:val="ListBullet"/>
      </w:pPr>
      <w:r>
        <w:rPr>
          <w:b w:val="0"/>
          <w:i w:val="0"/>
        </w:rPr>
        <w:t>Each business operation runs in one database transaction that includes its audit row and outbox message.</w:t>
      </w:r>
    </w:p>
    <w:p>
      <w:pPr>
        <w:pStyle w:val="ListBullet"/>
      </w:pPr>
      <w:r>
        <w:rPr>
          <w:b w:val="0"/>
          <w:i w:val="0"/>
        </w:rPr>
        <w:t>Records edited by several users (agent, participant, policy) carry a version column; updates quote the version read and fail with STALE_RECORD if it changed.</w:t>
      </w:r>
    </w:p>
    <w:p>
      <w:pPr>
        <w:pStyle w:val="ListBullet"/>
      </w:pPr>
      <w:r>
        <w:rPr>
          <w:b w:val="0"/>
          <w:i w:val="0"/>
        </w:rPr>
        <w:t>Approval decisions update the request only if it is still PENDING at the expected level, so two checkers cannot both decide.</w:t>
      </w:r>
    </w:p>
    <w:p>
      <w:pPr>
        <w:pStyle w:val="ListBullet"/>
      </w:pPr>
      <w:r>
        <w:rPr>
          <w:b w:val="0"/>
          <w:i w:val="0"/>
        </w:rPr>
        <w:t>Reference numbers come from PostgreSQL sequences, which are safe across replicas without row locks.</w:t>
      </w:r>
    </w:p>
    <w:p>
      <w:pPr>
        <w:pStyle w:val="ListBullet"/>
      </w:pPr>
      <w:r>
        <w:rPr>
          <w:b w:val="0"/>
          <w:i w:val="0"/>
        </w:rPr>
        <w:t>Amounts are DECIMAL end to end and rounded half-up to two places; binary floating point is never stored.</w:t>
      </w:r>
    </w:p>
    <w:p>
      <w:pPr>
        <w:pStyle w:val="Heading1"/>
        <w:pageBreakBefore/>
        <w:pBdr>
          <w:bottom w:val="single" w:sz="12" w:space="4" w:color="F58220"/>
        </w:pBdr>
      </w:pPr>
      <w:r>
        <w:t>6. Data Architecture</w:t>
      </w:r>
    </w:p>
    <w:p>
      <w:pPr>
        <w:keepNext w:val="0"/>
      </w:pPr>
      <w:r>
        <w:rPr>
          <w:b w:val="0"/>
          <w:i w:val="0"/>
        </w:rPr>
        <w:t>The database has 37 tables in 13 areas. The Data Dictionary documents every column; this chapter explains the structure and the controls around it.</w:t>
      </w:r>
    </w:p>
    <w:p>
      <w:pPr>
        <w:pStyle w:val="Heading2"/>
      </w:pPr>
      <w:r>
        <w:t>6.1 Entity overview</w:t>
      </w:r>
    </w:p>
    <w:p>
      <w:pPr>
        <w:keepNext/>
        <w:spacing w:after="0"/>
        <w:jc w:val="center"/>
      </w:pPr>
      <w:r>
        <w:drawing>
          <wp:inline xmlns:a="http://schemas.openxmlformats.org/drawingml/2006/main" xmlns:pic="http://schemas.openxmlformats.org/drawingml/2006/picture">
            <wp:extent cx="5760000" cy="5101713"/>
            <wp:docPr id="9" name="Picture 9"/>
            <wp:cNvGraphicFramePr>
              <a:graphicFrameLocks noChangeAspect="1"/>
            </wp:cNvGraphicFramePr>
            <a:graphic>
              <a:graphicData uri="http://schemas.openxmlformats.org/drawingml/2006/picture">
                <pic:pic>
                  <pic:nvPicPr>
                    <pic:cNvPr id="0" name="tech-entities.png"/>
                    <pic:cNvPicPr/>
                  </pic:nvPicPr>
                  <pic:blipFill>
                    <a:blip r:embed="rId19"/>
                    <a:stretch>
                      <a:fillRect/>
                    </a:stretch>
                  </pic:blipFill>
                  <pic:spPr>
                    <a:xfrm>
                      <a:off x="0" y="0"/>
                      <a:ext cx="5760000" cy="5101713"/>
                    </a:xfrm>
                    <a:prstGeom prst="rect"/>
                  </pic:spPr>
                </pic:pic>
              </a:graphicData>
            </a:graphic>
          </wp:inline>
        </w:drawing>
      </w:r>
    </w:p>
    <w:p>
      <w:pPr>
        <w:pStyle w:val="Caption"/>
        <w:jc w:val="center"/>
      </w:pPr>
      <w:r>
        <w:rPr>
          <w:b w:val="0"/>
          <w:i w:val="0"/>
        </w:rPr>
        <w:t>Figure 6: Entity overview</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948"/>
        <w:gridCol w:w="6690"/>
      </w:tblGrid>
      <w:tr>
        <w:trPr>
          <w:cantSplit/>
          <w:tblHeader/>
        </w:trPr>
        <w:tc>
          <w:tcPr>
            <w:tcW w:type="dxa" w:w="2948"/>
            <w:shd w:val="clear" w:color="auto" w:fill="E1058C"/>
            <w:vAlign w:val="center"/>
          </w:tcPr>
          <w:p>
            <w:pPr>
              <w:spacing w:after="0"/>
            </w:pPr>
            <w:r>
              <w:rPr>
                <w:b/>
                <w:i w:val="0"/>
                <w:color w:val="FFFFFF"/>
                <w:sz w:val="16"/>
              </w:rPr>
              <w:t>Entity</w:t>
            </w:r>
          </w:p>
        </w:tc>
        <w:tc>
          <w:tcPr>
            <w:tcW w:type="dxa" w:w="6690"/>
            <w:shd w:val="clear" w:color="auto" w:fill="E1058C"/>
            <w:vAlign w:val="center"/>
          </w:tcPr>
          <w:p>
            <w:pPr>
              <w:spacing w:after="0"/>
            </w:pPr>
            <w:r>
              <w:rPr>
                <w:b/>
                <w:i w:val="0"/>
                <w:color w:val="FFFFFF"/>
                <w:sz w:val="16"/>
              </w:rPr>
              <w:t>Role in the model</w:t>
            </w:r>
          </w:p>
        </w:tc>
      </w:tr>
      <w:tr>
        <w:trPr>
          <w:cantSplit/>
        </w:trPr>
        <w:tc>
          <w:tcPr>
            <w:tcW w:type="dxa" w:w="2948"/>
            <w:vAlign w:val="top"/>
          </w:tcPr>
          <w:p>
            <w:pPr>
              <w:spacing w:after="20" w:line="252" w:lineRule="auto"/>
            </w:pPr>
            <w:r>
              <w:rPr>
                <w:b w:val="0"/>
                <w:i w:val="0"/>
                <w:sz w:val="16"/>
              </w:rPr>
              <w:t>agency, agent</w:t>
            </w:r>
          </w:p>
        </w:tc>
        <w:tc>
          <w:tcPr>
            <w:tcW w:type="dxa" w:w="6690"/>
            <w:vAlign w:val="top"/>
          </w:tcPr>
          <w:p>
            <w:pPr>
              <w:spacing w:after="20" w:line="252" w:lineRule="auto"/>
            </w:pPr>
            <w:r>
              <w:rPr>
                <w:b w:val="0"/>
                <w:i w:val="0"/>
                <w:sz w:val="16"/>
              </w:rPr>
              <w:t>Distribution structure. Agents belong to one agency or bank; sub-agents point to their main agent. Agency carries the issuance block.</w:t>
            </w:r>
          </w:p>
        </w:tc>
      </w:tr>
      <w:tr>
        <w:trPr>
          <w:cantSplit/>
        </w:trPr>
        <w:tc>
          <w:tcPr>
            <w:tcW w:type="dxa" w:w="2948"/>
            <w:vAlign w:val="top"/>
            <w:shd w:val="clear" w:color="auto" w:fill="FDF0F7"/>
          </w:tcPr>
          <w:p>
            <w:pPr>
              <w:spacing w:after="20" w:line="252" w:lineRule="auto"/>
            </w:pPr>
            <w:r>
              <w:rPr>
                <w:b w:val="0"/>
                <w:i w:val="0"/>
                <w:sz w:val="16"/>
              </w:rPr>
              <w:t>app_user, role, user_role, role_permission</w:t>
            </w:r>
          </w:p>
        </w:tc>
        <w:tc>
          <w:tcPr>
            <w:tcW w:type="dxa" w:w="6690"/>
            <w:vAlign w:val="top"/>
            <w:shd w:val="clear" w:color="auto" w:fill="FDF0F7"/>
          </w:tcPr>
          <w:p>
            <w:pPr>
              <w:spacing w:after="20" w:line="252" w:lineRule="auto"/>
            </w:pPr>
            <w:r>
              <w:rPr>
                <w:b w:val="0"/>
                <w:i w:val="0"/>
                <w:sz w:val="16"/>
              </w:rPr>
              <w:t>Sign-in identities and role-based permissions. A portal user is linked to exactly one agent.</w:t>
            </w:r>
          </w:p>
        </w:tc>
      </w:tr>
      <w:tr>
        <w:trPr>
          <w:cantSplit/>
        </w:trPr>
        <w:tc>
          <w:tcPr>
            <w:tcW w:type="dxa" w:w="2948"/>
            <w:vAlign w:val="top"/>
          </w:tcPr>
          <w:p>
            <w:pPr>
              <w:spacing w:after="20" w:line="252" w:lineRule="auto"/>
            </w:pPr>
            <w:r>
              <w:rPr>
                <w:b w:val="0"/>
                <w:i w:val="0"/>
                <w:sz w:val="16"/>
              </w:rPr>
              <w:t>participant</w:t>
            </w:r>
          </w:p>
        </w:tc>
        <w:tc>
          <w:tcPr>
            <w:tcW w:type="dxa" w:w="6690"/>
            <w:vAlign w:val="top"/>
          </w:tcPr>
          <w:p>
            <w:pPr>
              <w:spacing w:after="20" w:line="252" w:lineRule="auto"/>
            </w:pPr>
            <w:r>
              <w:rPr>
                <w:b w:val="0"/>
                <w:i w:val="0"/>
                <w:sz w:val="16"/>
              </w:rPr>
              <w:t>One shared record per identification number across agencies; encrypted identifier with blind index; AML status.</w:t>
            </w:r>
          </w:p>
        </w:tc>
      </w:tr>
      <w:tr>
        <w:trPr>
          <w:cantSplit/>
        </w:trPr>
        <w:tc>
          <w:tcPr>
            <w:tcW w:type="dxa" w:w="2948"/>
            <w:vAlign w:val="top"/>
            <w:shd w:val="clear" w:color="auto" w:fill="FDF0F7"/>
          </w:tcPr>
          <w:p>
            <w:pPr>
              <w:spacing w:after="20" w:line="252" w:lineRule="auto"/>
            </w:pPr>
            <w:r>
              <w:rPr>
                <w:b w:val="0"/>
                <w:i w:val="0"/>
                <w:sz w:val="16"/>
              </w:rPr>
              <w:t>product</w:t>
            </w:r>
          </w:p>
        </w:tc>
        <w:tc>
          <w:tcPr>
            <w:tcW w:type="dxa" w:w="6690"/>
            <w:vAlign w:val="top"/>
            <w:shd w:val="clear" w:color="auto" w:fill="FDF0F7"/>
          </w:tcPr>
          <w:p>
            <w:pPr>
              <w:spacing w:after="20" w:line="252" w:lineRule="auto"/>
            </w:pPr>
            <w:r>
              <w:rPr>
                <w:b w:val="0"/>
                <w:i w:val="0"/>
                <w:sz w:val="16"/>
              </w:rPr>
              <w:t>Rating configuration, required documents and questionnaire as validated JSON.</w:t>
            </w:r>
          </w:p>
        </w:tc>
      </w:tr>
      <w:tr>
        <w:trPr>
          <w:cantSplit/>
        </w:trPr>
        <w:tc>
          <w:tcPr>
            <w:tcW w:type="dxa" w:w="2948"/>
            <w:vAlign w:val="top"/>
          </w:tcPr>
          <w:p>
            <w:pPr>
              <w:spacing w:after="20" w:line="252" w:lineRule="auto"/>
            </w:pPr>
            <w:r>
              <w:rPr>
                <w:b w:val="0"/>
                <w:i w:val="0"/>
                <w:sz w:val="16"/>
              </w:rPr>
              <w:t>policy</w:t>
            </w:r>
          </w:p>
        </w:tc>
        <w:tc>
          <w:tcPr>
            <w:tcW w:type="dxa" w:w="6690"/>
            <w:vAlign w:val="top"/>
          </w:tcPr>
          <w:p>
            <w:pPr>
              <w:spacing w:after="20" w:line="252" w:lineRule="auto"/>
            </w:pPr>
            <w:r>
              <w:rPr>
                <w:b w:val="0"/>
                <w:i w:val="0"/>
                <w:sz w:val="16"/>
              </w:rPr>
              <w:t>Quotation and policy in one row through the whole lifecycle; contribution breakdown and risk details as JSON; outstanding amount and due date.</w:t>
            </w:r>
          </w:p>
        </w:tc>
      </w:tr>
      <w:tr>
        <w:trPr>
          <w:cantSplit/>
        </w:trPr>
        <w:tc>
          <w:tcPr>
            <w:tcW w:type="dxa" w:w="2948"/>
            <w:vAlign w:val="top"/>
            <w:shd w:val="clear" w:color="auto" w:fill="FDF0F7"/>
          </w:tcPr>
          <w:p>
            <w:pPr>
              <w:spacing w:after="20" w:line="252" w:lineRule="auto"/>
            </w:pPr>
            <w:r>
              <w:rPr>
                <w:b w:val="0"/>
                <w:i w:val="0"/>
                <w:sz w:val="16"/>
              </w:rPr>
              <w:t>payment, payment_allocation, receipt, commission</w:t>
            </w:r>
          </w:p>
        </w:tc>
        <w:tc>
          <w:tcPr>
            <w:tcW w:type="dxa" w:w="6690"/>
            <w:vAlign w:val="top"/>
            <w:shd w:val="clear" w:color="auto" w:fill="FDF0F7"/>
          </w:tcPr>
          <w:p>
            <w:pPr>
              <w:spacing w:after="20" w:line="252" w:lineRule="auto"/>
            </w:pPr>
            <w:r>
              <w:rPr>
                <w:b w:val="0"/>
                <w:i w:val="0"/>
                <w:sz w:val="16"/>
              </w:rPr>
              <w:t>Bulk payments allocated per policy; one receipt per policy; commission accrued at issuance.</w:t>
            </w:r>
          </w:p>
        </w:tc>
      </w:tr>
      <w:tr>
        <w:trPr>
          <w:cantSplit/>
        </w:trPr>
        <w:tc>
          <w:tcPr>
            <w:tcW w:type="dxa" w:w="2948"/>
            <w:vAlign w:val="top"/>
          </w:tcPr>
          <w:p>
            <w:pPr>
              <w:spacing w:after="20" w:line="252" w:lineRule="auto"/>
            </w:pPr>
            <w:r>
              <w:rPr>
                <w:b w:val="0"/>
                <w:i w:val="0"/>
                <w:sz w:val="16"/>
              </w:rPr>
              <w:t>approval_request, approval_action</w:t>
            </w:r>
          </w:p>
        </w:tc>
        <w:tc>
          <w:tcPr>
            <w:tcW w:type="dxa" w:w="6690"/>
            <w:vAlign w:val="top"/>
          </w:tcPr>
          <w:p>
            <w:pPr>
              <w:spacing w:after="20" w:line="252" w:lineRule="auto"/>
            </w:pPr>
            <w:r>
              <w:rPr>
                <w:b w:val="0"/>
                <w:i w:val="0"/>
                <w:sz w:val="16"/>
              </w:rPr>
              <w:t>Maker-checker requests with payload and resolved levels; full action history.</w:t>
            </w:r>
          </w:p>
        </w:tc>
      </w:tr>
      <w:tr>
        <w:trPr>
          <w:cantSplit/>
        </w:trPr>
        <w:tc>
          <w:tcPr>
            <w:tcW w:type="dxa" w:w="2948"/>
            <w:vAlign w:val="top"/>
            <w:shd w:val="clear" w:color="auto" w:fill="FDF0F7"/>
          </w:tcPr>
          <w:p>
            <w:pPr>
              <w:spacing w:after="20" w:line="252" w:lineRule="auto"/>
            </w:pPr>
            <w:r>
              <w:rPr>
                <w:b w:val="0"/>
                <w:i w:val="0"/>
                <w:sz w:val="16"/>
              </w:rPr>
              <w:t>document</w:t>
            </w:r>
          </w:p>
        </w:tc>
        <w:tc>
          <w:tcPr>
            <w:tcW w:type="dxa" w:w="6690"/>
            <w:vAlign w:val="top"/>
            <w:shd w:val="clear" w:color="auto" w:fill="FDF0F7"/>
          </w:tcPr>
          <w:p>
            <w:pPr>
              <w:spacing w:after="20" w:line="252" w:lineRule="auto"/>
            </w:pPr>
            <w:r>
              <w:rPr>
                <w:b w:val="0"/>
                <w:i w:val="0"/>
                <w:sz w:val="16"/>
              </w:rPr>
              <w:t>Metadata for encrypted files attached to any owner type.</w:t>
            </w:r>
          </w:p>
        </w:tc>
      </w:tr>
      <w:tr>
        <w:trPr>
          <w:cantSplit/>
        </w:trPr>
        <w:tc>
          <w:tcPr>
            <w:tcW w:type="dxa" w:w="2948"/>
            <w:vAlign w:val="top"/>
          </w:tcPr>
          <w:p>
            <w:pPr>
              <w:spacing w:after="20" w:line="252" w:lineRule="auto"/>
            </w:pPr>
            <w:r>
              <w:rPr>
                <w:b w:val="0"/>
                <w:i w:val="0"/>
                <w:sz w:val="16"/>
              </w:rPr>
              <w:t>audit_log</w:t>
            </w:r>
          </w:p>
        </w:tc>
        <w:tc>
          <w:tcPr>
            <w:tcW w:type="dxa" w:w="6690"/>
            <w:vAlign w:val="top"/>
          </w:tcPr>
          <w:p>
            <w:pPr>
              <w:spacing w:after="20" w:line="252" w:lineRule="auto"/>
            </w:pPr>
            <w:r>
              <w:rPr>
                <w:b w:val="0"/>
                <w:i w:val="0"/>
                <w:sz w:val="16"/>
              </w:rPr>
              <w:t>Append-only audit trail with before and after values.</w:t>
            </w:r>
          </w:p>
        </w:tc>
      </w:tr>
      <w:tr>
        <w:trPr>
          <w:cantSplit/>
        </w:trPr>
        <w:tc>
          <w:tcPr>
            <w:tcW w:type="dxa" w:w="2948"/>
            <w:vAlign w:val="top"/>
            <w:shd w:val="clear" w:color="auto" w:fill="FDF0F7"/>
          </w:tcPr>
          <w:p>
            <w:pPr>
              <w:spacing w:after="20" w:line="252" w:lineRule="auto"/>
            </w:pPr>
            <w:r>
              <w:rPr>
                <w:b w:val="0"/>
                <w:i w:val="0"/>
                <w:sz w:val="16"/>
              </w:rPr>
              <w:t>outbox_message, integration_log, reconciliation_run, eod_run</w:t>
            </w:r>
          </w:p>
        </w:tc>
        <w:tc>
          <w:tcPr>
            <w:tcW w:type="dxa" w:w="6690"/>
            <w:vAlign w:val="top"/>
            <w:shd w:val="clear" w:color="auto" w:fill="FDF0F7"/>
          </w:tcPr>
          <w:p>
            <w:pPr>
              <w:spacing w:after="20" w:line="252" w:lineRule="auto"/>
            </w:pPr>
            <w:r>
              <w:rPr>
                <w:b w:val="0"/>
                <w:i w:val="0"/>
                <w:sz w:val="16"/>
              </w:rPr>
              <w:t>Integration delivery, call log, reconciliation and end-of-day history.</w:t>
            </w:r>
          </w:p>
        </w:tc>
      </w:tr>
    </w:tbl>
    <w:p>
      <w:pPr>
        <w:pStyle w:val="Caption"/>
        <w:jc w:val="center"/>
      </w:pPr>
      <w:r>
        <w:rPr>
          <w:b w:val="0"/>
          <w:i w:val="0"/>
        </w:rPr>
        <w:t>Table 10: Key entities</w:t>
      </w:r>
    </w:p>
    <w:p>
      <w:pPr>
        <w:pStyle w:val="Heading2"/>
      </w:pPr>
      <w:r>
        <w:t>6.2 Why PostgreSQL</w:t>
      </w:r>
    </w:p>
    <w:p>
      <w:pPr>
        <w:keepNext w:val="0"/>
      </w:pPr>
      <w:r>
        <w:rPr>
          <w:b w:val="0"/>
          <w:i w:val="0"/>
        </w:rPr>
        <w:t>PostgreSQL 16 was chosen over MongoDB because IIFT's data is relational and financial, and because issuance, receipting, audit and integration must commit together.</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4422"/>
        <w:gridCol w:w="3288"/>
      </w:tblGrid>
      <w:tr>
        <w:trPr>
          <w:cantSplit/>
          <w:tblHeader/>
        </w:trPr>
        <w:tc>
          <w:tcPr>
            <w:tcW w:type="dxa" w:w="1928"/>
            <w:shd w:val="clear" w:color="auto" w:fill="E1058C"/>
            <w:vAlign w:val="center"/>
          </w:tcPr>
          <w:p>
            <w:pPr>
              <w:spacing w:after="0"/>
            </w:pPr>
            <w:r>
              <w:rPr>
                <w:b/>
                <w:i w:val="0"/>
                <w:color w:val="FFFFFF"/>
                <w:sz w:val="16"/>
              </w:rPr>
              <w:t>Criterion</w:t>
            </w:r>
          </w:p>
        </w:tc>
        <w:tc>
          <w:tcPr>
            <w:tcW w:type="dxa" w:w="4422"/>
            <w:shd w:val="clear" w:color="auto" w:fill="E1058C"/>
            <w:vAlign w:val="center"/>
          </w:tcPr>
          <w:p>
            <w:pPr>
              <w:spacing w:after="0"/>
            </w:pPr>
            <w:r>
              <w:rPr>
                <w:b/>
                <w:i w:val="0"/>
                <w:color w:val="FFFFFF"/>
                <w:sz w:val="16"/>
              </w:rPr>
              <w:t>PostgreSQL 16 (selected)</w:t>
            </w:r>
          </w:p>
        </w:tc>
        <w:tc>
          <w:tcPr>
            <w:tcW w:type="dxa" w:w="3288"/>
            <w:shd w:val="clear" w:color="auto" w:fill="E1058C"/>
            <w:vAlign w:val="center"/>
          </w:tcPr>
          <w:p>
            <w:pPr>
              <w:spacing w:after="0"/>
            </w:pPr>
            <w:r>
              <w:rPr>
                <w:b/>
                <w:i w:val="0"/>
                <w:color w:val="FFFFFF"/>
                <w:sz w:val="16"/>
              </w:rPr>
              <w:t>MongoDB</w:t>
            </w:r>
          </w:p>
        </w:tc>
      </w:tr>
      <w:tr>
        <w:trPr>
          <w:cantSplit/>
        </w:trPr>
        <w:tc>
          <w:tcPr>
            <w:tcW w:type="dxa" w:w="1928"/>
            <w:vAlign w:val="top"/>
          </w:tcPr>
          <w:p>
            <w:pPr>
              <w:spacing w:after="20" w:line="252" w:lineRule="auto"/>
            </w:pPr>
            <w:r>
              <w:rPr>
                <w:b/>
                <w:i w:val="0"/>
                <w:sz w:val="16"/>
              </w:rPr>
              <w:t>Data shape</w:t>
            </w:r>
          </w:p>
        </w:tc>
        <w:tc>
          <w:tcPr>
            <w:tcW w:type="dxa" w:w="4422"/>
            <w:vAlign w:val="top"/>
          </w:tcPr>
          <w:p>
            <w:pPr>
              <w:spacing w:after="20" w:line="252" w:lineRule="auto"/>
            </w:pPr>
            <w:r>
              <w:rPr>
                <w:b w:val="0"/>
                <w:i w:val="0"/>
                <w:sz w:val="16"/>
              </w:rPr>
              <w:t>Agency, agent, sub-agent; policy, participant, nominees, payments, receipts, claims: strongly relational</w:t>
            </w:r>
          </w:p>
        </w:tc>
        <w:tc>
          <w:tcPr>
            <w:tcW w:type="dxa" w:w="3288"/>
            <w:vAlign w:val="top"/>
          </w:tcPr>
          <w:p>
            <w:pPr>
              <w:spacing w:after="20" w:line="252" w:lineRule="auto"/>
            </w:pPr>
            <w:r>
              <w:rPr>
                <w:b w:val="0"/>
                <w:i w:val="0"/>
                <w:sz w:val="16"/>
              </w:rPr>
              <w:t>Suits self-contained documents with few cross-references</w:t>
            </w:r>
          </w:p>
        </w:tc>
      </w:tr>
      <w:tr>
        <w:trPr>
          <w:cantSplit/>
        </w:trPr>
        <w:tc>
          <w:tcPr>
            <w:tcW w:type="dxa" w:w="1928"/>
            <w:vAlign w:val="top"/>
            <w:shd w:val="clear" w:color="auto" w:fill="FDF0F7"/>
          </w:tcPr>
          <w:p>
            <w:pPr>
              <w:spacing w:after="20" w:line="252" w:lineRule="auto"/>
            </w:pPr>
            <w:r>
              <w:rPr>
                <w:b/>
                <w:i w:val="0"/>
                <w:sz w:val="16"/>
              </w:rPr>
              <w:t>Transaction integrity (NFR-16)</w:t>
            </w:r>
          </w:p>
        </w:tc>
        <w:tc>
          <w:tcPr>
            <w:tcW w:type="dxa" w:w="4422"/>
            <w:vAlign w:val="top"/>
            <w:shd w:val="clear" w:color="auto" w:fill="FDF0F7"/>
          </w:tcPr>
          <w:p>
            <w:pPr>
              <w:spacing w:after="20" w:line="252" w:lineRule="auto"/>
            </w:pPr>
            <w:r>
              <w:rPr>
                <w:b w:val="0"/>
                <w:i w:val="0"/>
                <w:sz w:val="16"/>
              </w:rPr>
              <w:t>Issuance, receipt, audit and outbox commit in one ACID transaction</w:t>
            </w:r>
          </w:p>
        </w:tc>
        <w:tc>
          <w:tcPr>
            <w:tcW w:type="dxa" w:w="3288"/>
            <w:vAlign w:val="top"/>
            <w:shd w:val="clear" w:color="auto" w:fill="FDF0F7"/>
          </w:tcPr>
          <w:p>
            <w:pPr>
              <w:spacing w:after="20" w:line="252" w:lineRule="auto"/>
            </w:pPr>
            <w:r>
              <w:rPr>
                <w:b w:val="0"/>
                <w:i w:val="0"/>
                <w:sz w:val="16"/>
              </w:rPr>
              <w:t>Multi-document transactions exist but are not the natural model</w:t>
            </w:r>
          </w:p>
        </w:tc>
      </w:tr>
      <w:tr>
        <w:trPr>
          <w:cantSplit/>
        </w:trPr>
        <w:tc>
          <w:tcPr>
            <w:tcW w:type="dxa" w:w="1928"/>
            <w:vAlign w:val="top"/>
          </w:tcPr>
          <w:p>
            <w:pPr>
              <w:spacing w:after="20" w:line="252" w:lineRule="auto"/>
            </w:pPr>
            <w:r>
              <w:rPr>
                <w:b/>
                <w:i w:val="0"/>
                <w:sz w:val="16"/>
              </w:rPr>
              <w:t>Financial accuracy</w:t>
            </w:r>
          </w:p>
        </w:tc>
        <w:tc>
          <w:tcPr>
            <w:tcW w:type="dxa" w:w="4422"/>
            <w:vAlign w:val="top"/>
          </w:tcPr>
          <w:p>
            <w:pPr>
              <w:spacing w:after="20" w:line="252" w:lineRule="auto"/>
            </w:pPr>
            <w:r>
              <w:rPr>
                <w:b w:val="0"/>
                <w:i w:val="0"/>
                <w:sz w:val="16"/>
              </w:rPr>
              <w:t>Exact DECIMAL, foreign keys, CHECK and UNIQUE constraints in the database</w:t>
            </w:r>
          </w:p>
        </w:tc>
        <w:tc>
          <w:tcPr>
            <w:tcW w:type="dxa" w:w="3288"/>
            <w:vAlign w:val="top"/>
          </w:tcPr>
          <w:p>
            <w:pPr>
              <w:spacing w:after="20" w:line="252" w:lineRule="auto"/>
            </w:pPr>
            <w:r>
              <w:rPr>
                <w:b w:val="0"/>
                <w:i w:val="0"/>
                <w:sz w:val="16"/>
              </w:rPr>
              <w:t>Decimal128; most integrity rules move into application code</w:t>
            </w:r>
          </w:p>
        </w:tc>
      </w:tr>
      <w:tr>
        <w:trPr>
          <w:cantSplit/>
        </w:trPr>
        <w:tc>
          <w:tcPr>
            <w:tcW w:type="dxa" w:w="1928"/>
            <w:vAlign w:val="top"/>
            <w:shd w:val="clear" w:color="auto" w:fill="FDF0F7"/>
          </w:tcPr>
          <w:p>
            <w:pPr>
              <w:spacing w:after="20" w:line="252" w:lineRule="auto"/>
            </w:pPr>
            <w:r>
              <w:rPr>
                <w:b/>
                <w:i w:val="0"/>
                <w:sz w:val="16"/>
              </w:rPr>
              <w:t>Reporting (BO-22 to BO-25)</w:t>
            </w:r>
          </w:p>
        </w:tc>
        <w:tc>
          <w:tcPr>
            <w:tcW w:type="dxa" w:w="4422"/>
            <w:vAlign w:val="top"/>
            <w:shd w:val="clear" w:color="auto" w:fill="FDF0F7"/>
          </w:tcPr>
          <w:p>
            <w:pPr>
              <w:spacing w:after="20" w:line="252" w:lineRule="auto"/>
            </w:pPr>
            <w:r>
              <w:rPr>
                <w:b w:val="0"/>
                <w:i w:val="0"/>
                <w:sz w:val="16"/>
              </w:rPr>
              <w:t>Joins and aggregates in SQL</w:t>
            </w:r>
          </w:p>
        </w:tc>
        <w:tc>
          <w:tcPr>
            <w:tcW w:type="dxa" w:w="3288"/>
            <w:vAlign w:val="top"/>
            <w:shd w:val="clear" w:color="auto" w:fill="FDF0F7"/>
          </w:tcPr>
          <w:p>
            <w:pPr>
              <w:spacing w:after="20" w:line="252" w:lineRule="auto"/>
            </w:pPr>
            <w:r>
              <w:rPr>
                <w:b w:val="0"/>
                <w:i w:val="0"/>
                <w:sz w:val="16"/>
              </w:rPr>
              <w:t>Aggregation pipelines with $lookup</w:t>
            </w:r>
          </w:p>
        </w:tc>
      </w:tr>
      <w:tr>
        <w:trPr>
          <w:cantSplit/>
        </w:trPr>
        <w:tc>
          <w:tcPr>
            <w:tcW w:type="dxa" w:w="1928"/>
            <w:vAlign w:val="top"/>
          </w:tcPr>
          <w:p>
            <w:pPr>
              <w:spacing w:after="20" w:line="252" w:lineRule="auto"/>
            </w:pPr>
            <w:r>
              <w:rPr>
                <w:b/>
                <w:i w:val="0"/>
                <w:sz w:val="16"/>
              </w:rPr>
              <w:t>Flexible structures</w:t>
            </w:r>
          </w:p>
        </w:tc>
        <w:tc>
          <w:tcPr>
            <w:tcW w:type="dxa" w:w="4422"/>
            <w:vAlign w:val="top"/>
          </w:tcPr>
          <w:p>
            <w:pPr>
              <w:spacing w:after="20" w:line="252" w:lineRule="auto"/>
            </w:pPr>
            <w:r>
              <w:rPr>
                <w:b w:val="0"/>
                <w:i w:val="0"/>
                <w:sz w:val="16"/>
              </w:rPr>
              <w:t>JSONB for product configuration, questionnaires, audit values, outbox payloads</w:t>
            </w:r>
          </w:p>
        </w:tc>
        <w:tc>
          <w:tcPr>
            <w:tcW w:type="dxa" w:w="3288"/>
            <w:vAlign w:val="top"/>
          </w:tcPr>
          <w:p>
            <w:pPr>
              <w:spacing w:after="20" w:line="252" w:lineRule="auto"/>
            </w:pPr>
            <w:r>
              <w:rPr>
                <w:b w:val="0"/>
                <w:i w:val="0"/>
                <w:sz w:val="16"/>
              </w:rPr>
              <w:t>Native</w:t>
            </w:r>
          </w:p>
        </w:tc>
      </w:tr>
      <w:tr>
        <w:trPr>
          <w:cantSplit/>
        </w:trPr>
        <w:tc>
          <w:tcPr>
            <w:tcW w:type="dxa" w:w="1928"/>
            <w:vAlign w:val="top"/>
            <w:shd w:val="clear" w:color="auto" w:fill="FDF0F7"/>
          </w:tcPr>
          <w:p>
            <w:pPr>
              <w:spacing w:after="20" w:line="252" w:lineRule="auto"/>
            </w:pPr>
            <w:r>
              <w:rPr>
                <w:b/>
                <w:i w:val="0"/>
                <w:sz w:val="16"/>
              </w:rPr>
              <w:t>Operations</w:t>
            </w:r>
          </w:p>
        </w:tc>
        <w:tc>
          <w:tcPr>
            <w:tcW w:type="dxa" w:w="4422"/>
            <w:vAlign w:val="top"/>
            <w:shd w:val="clear" w:color="auto" w:fill="FDF0F7"/>
          </w:tcPr>
          <w:p>
            <w:pPr>
              <w:spacing w:after="20" w:line="252" w:lineRule="auto"/>
            </w:pPr>
            <w:r>
              <w:rPr>
                <w:b w:val="0"/>
                <w:i w:val="0"/>
                <w:sz w:val="16"/>
              </w:rPr>
              <w:t>Streaming replication, PITR, pgBackRest; managed service on AWS and Azure; skills common in IITH</w:t>
            </w:r>
          </w:p>
        </w:tc>
        <w:tc>
          <w:tcPr>
            <w:tcW w:type="dxa" w:w="3288"/>
            <w:vAlign w:val="top"/>
            <w:shd w:val="clear" w:color="auto" w:fill="FDF0F7"/>
          </w:tcPr>
          <w:p>
            <w:pPr>
              <w:spacing w:after="20" w:line="252" w:lineRule="auto"/>
            </w:pPr>
            <w:r>
              <w:rPr>
                <w:b w:val="0"/>
                <w:i w:val="0"/>
                <w:sz w:val="16"/>
              </w:rPr>
              <w:t>Replica sets; a second database skill set</w:t>
            </w:r>
          </w:p>
        </w:tc>
      </w:tr>
      <w:tr>
        <w:trPr>
          <w:cantSplit/>
        </w:trPr>
        <w:tc>
          <w:tcPr>
            <w:tcW w:type="dxa" w:w="1928"/>
            <w:vAlign w:val="top"/>
          </w:tcPr>
          <w:p>
            <w:pPr>
              <w:spacing w:after="20" w:line="252" w:lineRule="auto"/>
            </w:pPr>
            <w:r>
              <w:rPr>
                <w:b/>
                <w:i w:val="0"/>
                <w:sz w:val="16"/>
              </w:rPr>
              <w:t>Licence</w:t>
            </w:r>
          </w:p>
        </w:tc>
        <w:tc>
          <w:tcPr>
            <w:tcW w:type="dxa" w:w="4422"/>
            <w:vAlign w:val="top"/>
          </w:tcPr>
          <w:p>
            <w:pPr>
              <w:spacing w:after="20" w:line="252" w:lineRule="auto"/>
            </w:pPr>
            <w:r>
              <w:rPr>
                <w:b w:val="0"/>
                <w:i w:val="0"/>
                <w:sz w:val="16"/>
              </w:rPr>
              <w:t>PostgreSQL licence, no fee</w:t>
            </w:r>
          </w:p>
        </w:tc>
        <w:tc>
          <w:tcPr>
            <w:tcW w:type="dxa" w:w="3288"/>
            <w:vAlign w:val="top"/>
          </w:tcPr>
          <w:p>
            <w:pPr>
              <w:spacing w:after="20" w:line="252" w:lineRule="auto"/>
            </w:pPr>
            <w:r>
              <w:rPr>
                <w:b w:val="0"/>
                <w:i w:val="0"/>
                <w:sz w:val="16"/>
              </w:rPr>
              <w:t>SSPL; some enterprise features paid</w:t>
            </w:r>
          </w:p>
        </w:tc>
      </w:tr>
      <w:tr>
        <w:trPr>
          <w:cantSplit/>
        </w:trPr>
        <w:tc>
          <w:tcPr>
            <w:tcW w:type="dxa" w:w="1928"/>
            <w:vAlign w:val="top"/>
            <w:shd w:val="clear" w:color="auto" w:fill="FDF0F7"/>
          </w:tcPr>
          <w:p>
            <w:pPr>
              <w:spacing w:after="20" w:line="252" w:lineRule="auto"/>
            </w:pPr>
            <w:r>
              <w:rPr>
                <w:b/>
                <w:i w:val="0"/>
                <w:sz w:val="16"/>
              </w:rPr>
              <w:t>Fit to volume</w:t>
            </w:r>
          </w:p>
        </w:tc>
        <w:tc>
          <w:tcPr>
            <w:tcW w:type="dxa" w:w="4422"/>
            <w:vAlign w:val="top"/>
            <w:shd w:val="clear" w:color="auto" w:fill="FDF0F7"/>
          </w:tcPr>
          <w:p>
            <w:pPr>
              <w:spacing w:after="20" w:line="252" w:lineRule="auto"/>
            </w:pPr>
            <w:r>
              <w:rPr>
                <w:b w:val="0"/>
                <w:i w:val="0"/>
                <w:sz w:val="16"/>
              </w:rPr>
              <w:t>Under 1 GB of rows after five years at Appendix 2 volumes</w:t>
            </w:r>
          </w:p>
        </w:tc>
        <w:tc>
          <w:tcPr>
            <w:tcW w:type="dxa" w:w="3288"/>
            <w:vAlign w:val="top"/>
            <w:shd w:val="clear" w:color="auto" w:fill="FDF0F7"/>
          </w:tcPr>
          <w:p>
            <w:pPr>
              <w:spacing w:after="20" w:line="252" w:lineRule="auto"/>
            </w:pPr>
            <w:r>
              <w:rPr>
                <w:b w:val="0"/>
                <w:i w:val="0"/>
                <w:sz w:val="16"/>
              </w:rPr>
              <w:t>Strength is very large schemaless data, not needed here</w:t>
            </w:r>
          </w:p>
        </w:tc>
      </w:tr>
    </w:tbl>
    <w:p>
      <w:pPr>
        <w:pStyle w:val="Caption"/>
        <w:jc w:val="center"/>
      </w:pPr>
      <w:r>
        <w:rPr>
          <w:b w:val="0"/>
          <w:i w:val="0"/>
        </w:rPr>
        <w:t>Table 11: Database selection</w:t>
      </w:r>
    </w:p>
    <w:p>
      <w:pPr>
        <w:pStyle w:val="Heading2"/>
      </w:pPr>
      <w:r>
        <w:t>6.3 Integrity controls</w:t>
      </w:r>
    </w:p>
    <w:p>
      <w:pPr>
        <w:pStyle w:val="ListBullet"/>
      </w:pPr>
      <w:r>
        <w:rPr>
          <w:b w:val="0"/>
          <w:i w:val="0"/>
        </w:rPr>
        <w:t>27 foreign keys with explicit ON DELETE rules: RESTRICT for business parents, CASCADE only for dependent detail rows (nominees, events, allocations, comments, role links).</w:t>
      </w:r>
    </w:p>
    <w:p>
      <w:pPr>
        <w:pStyle w:val="ListBullet"/>
      </w:pPr>
      <w:r>
        <w:rPr>
          <w:b w:val="0"/>
          <w:i w:val="0"/>
        </w:rPr>
        <w:t>24 unique indexes, including one participant and one agent per identification type and number, one receipt number, one policy number.</w:t>
      </w:r>
    </w:p>
    <w:p>
      <w:pPr>
        <w:pStyle w:val="ListBullet"/>
      </w:pPr>
      <w:r>
        <w:rPr>
          <w:b w:val="0"/>
          <w:i w:val="0"/>
        </w:rPr>
        <w:t>4 CHECK constraints: amounts on policy, payment and allocation; nominee share between 0 and 100.</w:t>
      </w:r>
    </w:p>
    <w:p>
      <w:pPr>
        <w:pStyle w:val="ListBullet"/>
      </w:pPr>
      <w:r>
        <w:rPr>
          <w:b w:val="0"/>
          <w:i w:val="0"/>
        </w:rPr>
        <w:t>Validation of every request body against a whitelist DTO before it reaches a service; unknown fields are rejected (NFR-30).</w:t>
      </w:r>
    </w:p>
    <w:p>
      <w:pPr>
        <w:pStyle w:val="ListBullet"/>
      </w:pPr>
      <w:r>
        <w:rPr>
          <w:b w:val="0"/>
          <w:i w:val="0"/>
        </w:rPr>
        <w:t>JSON columns (product configuration, questionnaire, payloads) are validated by the owning service before they are written.</w:t>
      </w:r>
    </w:p>
    <w:p>
      <w:pPr>
        <w:pStyle w:val="Heading2"/>
      </w:pPr>
      <w:r>
        <w:t>6.4 Audit trail</w:t>
      </w:r>
    </w:p>
    <w:p>
      <w:pPr>
        <w:keepNext w:val="0"/>
      </w:pPr>
      <w:r>
        <w:rPr>
          <w:b w:val="0"/>
          <w:i w:val="0"/>
        </w:rPr>
        <w:t>The audit service writes one row per security or business event: actor, action, entity, before and after values, IP address, user agent and correlation id. It writes inside the caller's transaction, so an audit row exists exactly when the change exists. Passwords, hashes, encrypted identifiers, tokens and storage keys are replaced with a fixed REDACTED marker. In the database, the trigger audit_log_no_update calls audit_log_block_mutation() before any UPDATE or DELETE and raises an exception, so the trail is append-only whichever client connects. Granting the application role only INSERT and SELECT on audit_log, with a separate migration owner role, is set up during implementation.</w:t>
      </w:r>
    </w:p>
    <w:p>
      <w:pPr>
        <w:pStyle w:val="Heading2"/>
      </w:pPr>
      <w:r>
        <w:t>6.5 Field-level encryption</w:t>
      </w:r>
    </w:p>
    <w:p>
      <w:pPr>
        <w:keepNext w:val="0"/>
      </w:pPr>
      <w:r>
        <w:rPr>
          <w:b w:val="0"/>
          <w:i w:val="0"/>
        </w:rPr>
        <w:t>IC, passport and business registration numbers of agents and participants, and nominee identification numbers, are encrypted by the application before they reach the database: AES-256-GCM with a random 96-bit IV per value, stored as v1:&lt;base64(IV | tag | ciphertext)&gt;. The version prefix allows a new key to be introduced without a big-bang re-encryption. For exact search and duplicate prevention, the application also stores a blind index: HMAC-SHA256 of the normalised number (separators removed, upper case) with a separate key. The unique constraint on (id_type, id_number_hash) therefore blocks duplicates without decrypting anything. Screens show the number masked to its last four characters, and the API never returns ciphertext: approval request views (inbox, search, detail, the portal's own requests and record history) drop payload values whose key ends in Enc, while the stored payload keeps them for the approval handler. When nominees are saved again with their existing id and the number left blank, as on a draft or an endorsement, the stored encrypted number is kept.</w:t>
      </w:r>
    </w:p>
    <w:p>
      <w:pPr>
        <w:pStyle w:val="Heading2"/>
      </w:pPr>
      <w:r>
        <w:t>6.6 Reference numbers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3628"/>
        <w:gridCol w:w="3402"/>
      </w:tblGrid>
      <w:tr>
        <w:trPr>
          <w:cantSplit/>
          <w:tblHeader/>
        </w:trPr>
        <w:tc>
          <w:tcPr>
            <w:tcW w:type="dxa" w:w="2608"/>
            <w:shd w:val="clear" w:color="auto" w:fill="E1058C"/>
            <w:vAlign w:val="center"/>
          </w:tcPr>
          <w:p>
            <w:pPr>
              <w:spacing w:after="0"/>
            </w:pPr>
            <w:r>
              <w:rPr>
                <w:b/>
                <w:i w:val="0"/>
                <w:color w:val="FFFFFF"/>
                <w:sz w:val="16"/>
              </w:rPr>
              <w:t>Sequence</w:t>
            </w:r>
          </w:p>
        </w:tc>
        <w:tc>
          <w:tcPr>
            <w:tcW w:type="dxa" w:w="3628"/>
            <w:shd w:val="clear" w:color="auto" w:fill="E1058C"/>
            <w:vAlign w:val="center"/>
          </w:tcPr>
          <w:p>
            <w:pPr>
              <w:spacing w:after="0"/>
            </w:pPr>
            <w:r>
              <w:rPr>
                <w:b/>
                <w:i w:val="0"/>
                <w:color w:val="FFFFFF"/>
                <w:sz w:val="16"/>
              </w:rPr>
              <w:t>Format</w:t>
            </w:r>
          </w:p>
        </w:tc>
        <w:tc>
          <w:tcPr>
            <w:tcW w:type="dxa" w:w="3402"/>
            <w:shd w:val="clear" w:color="auto" w:fill="E1058C"/>
            <w:vAlign w:val="center"/>
          </w:tcPr>
          <w:p>
            <w:pPr>
              <w:spacing w:after="0"/>
            </w:pPr>
            <w:r>
              <w:rPr>
                <w:b/>
                <w:i w:val="0"/>
                <w:color w:val="FFFFFF"/>
                <w:sz w:val="16"/>
              </w:rPr>
              <w:t>Column</w:t>
            </w:r>
          </w:p>
        </w:tc>
      </w:tr>
      <w:tr>
        <w:trPr>
          <w:cantSplit/>
        </w:trPr>
        <w:tc>
          <w:tcPr>
            <w:tcW w:type="dxa" w:w="2608"/>
            <w:vAlign w:val="top"/>
          </w:tcPr>
          <w:p>
            <w:pPr>
              <w:spacing w:after="20" w:line="252" w:lineRule="auto"/>
            </w:pPr>
            <w:r>
              <w:rPr>
                <w:b w:val="0"/>
                <w:i w:val="0"/>
                <w:sz w:val="16"/>
              </w:rPr>
              <w:t>seq_agent_code</w:t>
            </w:r>
          </w:p>
        </w:tc>
        <w:tc>
          <w:tcPr>
            <w:tcW w:type="dxa" w:w="3628"/>
            <w:vAlign w:val="top"/>
          </w:tcPr>
          <w:p>
            <w:pPr>
              <w:spacing w:after="20" w:line="252" w:lineRule="auto"/>
            </w:pPr>
            <w:r>
              <w:rPr>
                <w:b w:val="0"/>
                <w:i w:val="0"/>
                <w:sz w:val="16"/>
              </w:rPr>
              <w:t>AG-000045 (agency) or BK-000012 (bank officer)</w:t>
            </w:r>
          </w:p>
        </w:tc>
        <w:tc>
          <w:tcPr>
            <w:tcW w:type="dxa" w:w="3402"/>
            <w:vAlign w:val="top"/>
          </w:tcPr>
          <w:p>
            <w:pPr>
              <w:spacing w:after="20" w:line="252" w:lineRule="auto"/>
            </w:pPr>
            <w:r>
              <w:rPr>
                <w:b w:val="0"/>
                <w:i w:val="0"/>
                <w:sz w:val="16"/>
              </w:rPr>
              <w:t>agent.agent_code</w:t>
            </w:r>
          </w:p>
        </w:tc>
      </w:tr>
      <w:tr>
        <w:trPr>
          <w:cantSplit/>
        </w:trPr>
        <w:tc>
          <w:tcPr>
            <w:tcW w:type="dxa" w:w="2608"/>
            <w:vAlign w:val="top"/>
            <w:shd w:val="clear" w:color="auto" w:fill="FDF0F7"/>
          </w:tcPr>
          <w:p>
            <w:pPr>
              <w:spacing w:after="20" w:line="252" w:lineRule="auto"/>
            </w:pPr>
            <w:r>
              <w:rPr>
                <w:b w:val="0"/>
                <w:i w:val="0"/>
                <w:sz w:val="16"/>
              </w:rPr>
              <w:t>seq_participant_no</w:t>
            </w:r>
          </w:p>
        </w:tc>
        <w:tc>
          <w:tcPr>
            <w:tcW w:type="dxa" w:w="3628"/>
            <w:vAlign w:val="top"/>
            <w:shd w:val="clear" w:color="auto" w:fill="FDF0F7"/>
          </w:tcPr>
          <w:p>
            <w:pPr>
              <w:spacing w:after="20" w:line="252" w:lineRule="auto"/>
            </w:pPr>
            <w:r>
              <w:rPr>
                <w:b w:val="0"/>
                <w:i w:val="0"/>
                <w:sz w:val="16"/>
              </w:rPr>
              <w:t>PT/26/000123</w:t>
            </w:r>
          </w:p>
        </w:tc>
        <w:tc>
          <w:tcPr>
            <w:tcW w:type="dxa" w:w="3402"/>
            <w:vAlign w:val="top"/>
            <w:shd w:val="clear" w:color="auto" w:fill="FDF0F7"/>
          </w:tcPr>
          <w:p>
            <w:pPr>
              <w:spacing w:after="20" w:line="252" w:lineRule="auto"/>
            </w:pPr>
            <w:r>
              <w:rPr>
                <w:b w:val="0"/>
                <w:i w:val="0"/>
                <w:sz w:val="16"/>
              </w:rPr>
              <w:t>participant.participant_no</w:t>
            </w:r>
          </w:p>
        </w:tc>
      </w:tr>
      <w:tr>
        <w:trPr>
          <w:cantSplit/>
        </w:trPr>
        <w:tc>
          <w:tcPr>
            <w:tcW w:type="dxa" w:w="2608"/>
            <w:vAlign w:val="top"/>
          </w:tcPr>
          <w:p>
            <w:pPr>
              <w:spacing w:after="20" w:line="252" w:lineRule="auto"/>
            </w:pPr>
            <w:r>
              <w:rPr>
                <w:b w:val="0"/>
                <w:i w:val="0"/>
                <w:sz w:val="16"/>
              </w:rPr>
              <w:t>seq_quotation_no</w:t>
            </w:r>
          </w:p>
        </w:tc>
        <w:tc>
          <w:tcPr>
            <w:tcW w:type="dxa" w:w="3628"/>
            <w:vAlign w:val="top"/>
          </w:tcPr>
          <w:p>
            <w:pPr>
              <w:spacing w:after="20" w:line="252" w:lineRule="auto"/>
            </w:pPr>
            <w:r>
              <w:rPr>
                <w:b w:val="0"/>
                <w:i w:val="0"/>
                <w:sz w:val="16"/>
              </w:rPr>
              <w:t>QT/26/000123</w:t>
            </w:r>
          </w:p>
        </w:tc>
        <w:tc>
          <w:tcPr>
            <w:tcW w:type="dxa" w:w="3402"/>
            <w:vAlign w:val="top"/>
          </w:tcPr>
          <w:p>
            <w:pPr>
              <w:spacing w:after="20" w:line="252" w:lineRule="auto"/>
            </w:pPr>
            <w:r>
              <w:rPr>
                <w:b w:val="0"/>
                <w:i w:val="0"/>
                <w:sz w:val="16"/>
              </w:rPr>
              <w:t>policy.quotation_no</w:t>
            </w:r>
          </w:p>
        </w:tc>
      </w:tr>
      <w:tr>
        <w:trPr>
          <w:cantSplit/>
        </w:trPr>
        <w:tc>
          <w:tcPr>
            <w:tcW w:type="dxa" w:w="2608"/>
            <w:vAlign w:val="top"/>
            <w:shd w:val="clear" w:color="auto" w:fill="FDF0F7"/>
          </w:tcPr>
          <w:p>
            <w:pPr>
              <w:spacing w:after="20" w:line="252" w:lineRule="auto"/>
            </w:pPr>
            <w:r>
              <w:rPr>
                <w:b w:val="0"/>
                <w:i w:val="0"/>
                <w:sz w:val="16"/>
              </w:rPr>
              <w:t>seq_policy_no</w:t>
            </w:r>
          </w:p>
        </w:tc>
        <w:tc>
          <w:tcPr>
            <w:tcW w:type="dxa" w:w="3628"/>
            <w:vAlign w:val="top"/>
            <w:shd w:val="clear" w:color="auto" w:fill="FDF0F7"/>
          </w:tcPr>
          <w:p>
            <w:pPr>
              <w:spacing w:after="20" w:line="252" w:lineRule="auto"/>
            </w:pPr>
            <w:r>
              <w:rPr>
                <w:b w:val="0"/>
                <w:i w:val="0"/>
                <w:sz w:val="16"/>
              </w:rPr>
              <w:t>PRO/26/000045 (product code prefix)</w:t>
            </w:r>
          </w:p>
        </w:tc>
        <w:tc>
          <w:tcPr>
            <w:tcW w:type="dxa" w:w="3402"/>
            <w:vAlign w:val="top"/>
            <w:shd w:val="clear" w:color="auto" w:fill="FDF0F7"/>
          </w:tcPr>
          <w:p>
            <w:pPr>
              <w:spacing w:after="20" w:line="252" w:lineRule="auto"/>
            </w:pPr>
            <w:r>
              <w:rPr>
                <w:b w:val="0"/>
                <w:i w:val="0"/>
                <w:sz w:val="16"/>
              </w:rPr>
              <w:t>policy.policy_no</w:t>
            </w:r>
          </w:p>
        </w:tc>
      </w:tr>
      <w:tr>
        <w:trPr>
          <w:cantSplit/>
        </w:trPr>
        <w:tc>
          <w:tcPr>
            <w:tcW w:type="dxa" w:w="2608"/>
            <w:vAlign w:val="top"/>
          </w:tcPr>
          <w:p>
            <w:pPr>
              <w:spacing w:after="20" w:line="252" w:lineRule="auto"/>
            </w:pPr>
            <w:r>
              <w:rPr>
                <w:b w:val="0"/>
                <w:i w:val="0"/>
                <w:sz w:val="16"/>
              </w:rPr>
              <w:t>seq_payment_no</w:t>
            </w:r>
          </w:p>
        </w:tc>
        <w:tc>
          <w:tcPr>
            <w:tcW w:type="dxa" w:w="3628"/>
            <w:vAlign w:val="top"/>
          </w:tcPr>
          <w:p>
            <w:pPr>
              <w:spacing w:after="20" w:line="252" w:lineRule="auto"/>
            </w:pPr>
            <w:r>
              <w:rPr>
                <w:b w:val="0"/>
                <w:i w:val="0"/>
                <w:sz w:val="16"/>
              </w:rPr>
              <w:t>PY/26/000123</w:t>
            </w:r>
          </w:p>
        </w:tc>
        <w:tc>
          <w:tcPr>
            <w:tcW w:type="dxa" w:w="3402"/>
            <w:vAlign w:val="top"/>
          </w:tcPr>
          <w:p>
            <w:pPr>
              <w:spacing w:after="20" w:line="252" w:lineRule="auto"/>
            </w:pPr>
            <w:r>
              <w:rPr>
                <w:b w:val="0"/>
                <w:i w:val="0"/>
                <w:sz w:val="16"/>
              </w:rPr>
              <w:t>payment.payment_no</w:t>
            </w:r>
          </w:p>
        </w:tc>
      </w:tr>
      <w:tr>
        <w:trPr>
          <w:cantSplit/>
        </w:trPr>
        <w:tc>
          <w:tcPr>
            <w:tcW w:type="dxa" w:w="2608"/>
            <w:vAlign w:val="top"/>
            <w:shd w:val="clear" w:color="auto" w:fill="FDF0F7"/>
          </w:tcPr>
          <w:p>
            <w:pPr>
              <w:spacing w:after="20" w:line="252" w:lineRule="auto"/>
            </w:pPr>
            <w:r>
              <w:rPr>
                <w:b w:val="0"/>
                <w:i w:val="0"/>
                <w:sz w:val="16"/>
              </w:rPr>
              <w:t>seq_receipt_no</w:t>
            </w:r>
          </w:p>
        </w:tc>
        <w:tc>
          <w:tcPr>
            <w:tcW w:type="dxa" w:w="3628"/>
            <w:vAlign w:val="top"/>
            <w:shd w:val="clear" w:color="auto" w:fill="FDF0F7"/>
          </w:tcPr>
          <w:p>
            <w:pPr>
              <w:spacing w:after="20" w:line="252" w:lineRule="auto"/>
            </w:pPr>
            <w:r>
              <w:rPr>
                <w:b w:val="0"/>
                <w:i w:val="0"/>
                <w:sz w:val="16"/>
              </w:rPr>
              <w:t>RC/26/000123</w:t>
            </w:r>
          </w:p>
        </w:tc>
        <w:tc>
          <w:tcPr>
            <w:tcW w:type="dxa" w:w="3402"/>
            <w:vAlign w:val="top"/>
            <w:shd w:val="clear" w:color="auto" w:fill="FDF0F7"/>
          </w:tcPr>
          <w:p>
            <w:pPr>
              <w:spacing w:after="20" w:line="252" w:lineRule="auto"/>
            </w:pPr>
            <w:r>
              <w:rPr>
                <w:b w:val="0"/>
                <w:i w:val="0"/>
                <w:sz w:val="16"/>
              </w:rPr>
              <w:t>receipt.receipt_no</w:t>
            </w:r>
          </w:p>
        </w:tc>
      </w:tr>
      <w:tr>
        <w:trPr>
          <w:cantSplit/>
        </w:trPr>
        <w:tc>
          <w:tcPr>
            <w:tcW w:type="dxa" w:w="2608"/>
            <w:vAlign w:val="top"/>
          </w:tcPr>
          <w:p>
            <w:pPr>
              <w:spacing w:after="20" w:line="252" w:lineRule="auto"/>
            </w:pPr>
            <w:r>
              <w:rPr>
                <w:b w:val="0"/>
                <w:i w:val="0"/>
                <w:sz w:val="16"/>
              </w:rPr>
              <w:t>seq_claim_no</w:t>
            </w:r>
          </w:p>
        </w:tc>
        <w:tc>
          <w:tcPr>
            <w:tcW w:type="dxa" w:w="3628"/>
            <w:vAlign w:val="top"/>
          </w:tcPr>
          <w:p>
            <w:pPr>
              <w:spacing w:after="20" w:line="252" w:lineRule="auto"/>
            </w:pPr>
            <w:r>
              <w:rPr>
                <w:b w:val="0"/>
                <w:i w:val="0"/>
                <w:sz w:val="16"/>
              </w:rPr>
              <w:t>CL/26/000123</w:t>
            </w:r>
          </w:p>
        </w:tc>
        <w:tc>
          <w:tcPr>
            <w:tcW w:type="dxa" w:w="3402"/>
            <w:vAlign w:val="top"/>
          </w:tcPr>
          <w:p>
            <w:pPr>
              <w:spacing w:after="20" w:line="252" w:lineRule="auto"/>
            </w:pPr>
            <w:r>
              <w:rPr>
                <w:b w:val="0"/>
                <w:i w:val="0"/>
                <w:sz w:val="16"/>
              </w:rPr>
              <w:t>claim.claim_no</w:t>
            </w:r>
          </w:p>
        </w:tc>
      </w:tr>
      <w:tr>
        <w:trPr>
          <w:cantSplit/>
        </w:trPr>
        <w:tc>
          <w:tcPr>
            <w:tcW w:type="dxa" w:w="2608"/>
            <w:vAlign w:val="top"/>
            <w:shd w:val="clear" w:color="auto" w:fill="FDF0F7"/>
          </w:tcPr>
          <w:p>
            <w:pPr>
              <w:spacing w:after="20" w:line="252" w:lineRule="auto"/>
            </w:pPr>
            <w:r>
              <w:rPr>
                <w:b w:val="0"/>
                <w:i w:val="0"/>
                <w:sz w:val="16"/>
              </w:rPr>
              <w:t>seq_issue_no</w:t>
            </w:r>
          </w:p>
        </w:tc>
        <w:tc>
          <w:tcPr>
            <w:tcW w:type="dxa" w:w="3628"/>
            <w:vAlign w:val="top"/>
            <w:shd w:val="clear" w:color="auto" w:fill="FDF0F7"/>
          </w:tcPr>
          <w:p>
            <w:pPr>
              <w:spacing w:after="20" w:line="252" w:lineRule="auto"/>
            </w:pPr>
            <w:r>
              <w:rPr>
                <w:b w:val="0"/>
                <w:i w:val="0"/>
                <w:sz w:val="16"/>
              </w:rPr>
              <w:t>IS/26/000123</w:t>
            </w:r>
          </w:p>
        </w:tc>
        <w:tc>
          <w:tcPr>
            <w:tcW w:type="dxa" w:w="3402"/>
            <w:vAlign w:val="top"/>
            <w:shd w:val="clear" w:color="auto" w:fill="FDF0F7"/>
          </w:tcPr>
          <w:p>
            <w:pPr>
              <w:spacing w:after="20" w:line="252" w:lineRule="auto"/>
            </w:pPr>
            <w:r>
              <w:rPr>
                <w:b w:val="0"/>
                <w:i w:val="0"/>
                <w:sz w:val="16"/>
              </w:rPr>
              <w:t>issue.issue_no</w:t>
            </w:r>
          </w:p>
        </w:tc>
      </w:tr>
      <w:tr>
        <w:trPr>
          <w:cantSplit/>
        </w:trPr>
        <w:tc>
          <w:tcPr>
            <w:tcW w:type="dxa" w:w="2608"/>
            <w:vAlign w:val="top"/>
          </w:tcPr>
          <w:p>
            <w:pPr>
              <w:spacing w:after="20" w:line="252" w:lineRule="auto"/>
            </w:pPr>
            <w:r>
              <w:rPr>
                <w:b w:val="0"/>
                <w:i w:val="0"/>
                <w:sz w:val="16"/>
              </w:rPr>
              <w:t>seq_request_no</w:t>
            </w:r>
          </w:p>
        </w:tc>
        <w:tc>
          <w:tcPr>
            <w:tcW w:type="dxa" w:w="3628"/>
            <w:vAlign w:val="top"/>
          </w:tcPr>
          <w:p>
            <w:pPr>
              <w:spacing w:after="20" w:line="252" w:lineRule="auto"/>
            </w:pPr>
            <w:r>
              <w:rPr>
                <w:b w:val="0"/>
                <w:i w:val="0"/>
                <w:sz w:val="16"/>
              </w:rPr>
              <w:t>RQ/26/000123</w:t>
            </w:r>
          </w:p>
        </w:tc>
        <w:tc>
          <w:tcPr>
            <w:tcW w:type="dxa" w:w="3402"/>
            <w:vAlign w:val="top"/>
          </w:tcPr>
          <w:p>
            <w:pPr>
              <w:spacing w:after="20" w:line="252" w:lineRule="auto"/>
            </w:pPr>
            <w:r>
              <w:rPr>
                <w:b w:val="0"/>
                <w:i w:val="0"/>
                <w:sz w:val="16"/>
              </w:rPr>
              <w:t>approval_request.request_no</w:t>
            </w:r>
          </w:p>
        </w:tc>
      </w:tr>
    </w:tbl>
    <w:p>
      <w:pPr>
        <w:pStyle w:val="Caption"/>
        <w:jc w:val="center"/>
      </w:pPr>
      <w:r>
        <w:rPr>
          <w:b w:val="0"/>
          <w:i w:val="0"/>
        </w:rPr>
        <w:t>Table 12: Business reference numbers</w:t>
      </w:r>
    </w:p>
    <w:p>
      <w:pPr>
        <w:keepNext w:val="0"/>
      </w:pPr>
      <w:r>
        <w:rPr>
          <w:b w:val="0"/>
          <w:i w:val="0"/>
        </w:rPr>
        <w:t>The two-digit year is the calendar year of issue. Sequences never repeat a value; a rolled-back transaction can leave a gap, which is acceptable for these references and is explained to auditors.</w:t>
      </w:r>
    </w:p>
    <w:p>
      <w:pPr>
        <w:pStyle w:val="Heading2"/>
      </w:pPr>
      <w:r>
        <w:t>6.7 Documents</w:t>
      </w:r>
    </w:p>
    <w:p>
      <w:pPr>
        <w:keepNext w:val="0"/>
      </w:pPr>
      <w:r>
        <w:rPr>
          <w:b w:val="0"/>
          <w:i w:val="0"/>
        </w:rPr>
        <w:t>Uploaded and generated files are encrypted with AES-256-GCM (separate key, one IV per file) and written to the document store under a generated key of the form yyyy/mm/&lt;uuid&gt;.bin, so no user input ever influences a file path. The document table holds the owner, type, sanitised file name, detected content type, size, SHA-256 checksum and verification status. The store is a directory: a local or NFS volume on-premise, or an encrypted Amazon EFS or Azure Files share in the cloud. An S3-compatible adapter is delivered during implementation if IIFT prefers object storage.</w:t>
      </w:r>
    </w:p>
    <w:p>
      <w:pPr>
        <w:pStyle w:val="Heading2"/>
      </w:pPr>
      <w:r>
        <w:t>6.8 Configuration data</w:t>
      </w:r>
    </w:p>
    <w:p>
      <w:pPr>
        <w:keepNext w:val="0"/>
      </w:pPr>
      <w:r>
        <w:rPr>
          <w:b w:val="0"/>
          <w:i w:val="0"/>
        </w:rPr>
        <w:t>Business parameters live in config_parameter and are changed in the back-office within the allowed range; every change is audited. Values are cached briefly in each API instance.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061"/>
        <w:gridCol w:w="907"/>
        <w:gridCol w:w="1134"/>
        <w:gridCol w:w="4536"/>
      </w:tblGrid>
      <w:tr>
        <w:trPr>
          <w:cantSplit/>
          <w:tblHeader/>
        </w:trPr>
        <w:tc>
          <w:tcPr>
            <w:tcW w:type="dxa" w:w="3061"/>
            <w:shd w:val="clear" w:color="auto" w:fill="E1058C"/>
            <w:vAlign w:val="center"/>
          </w:tcPr>
          <w:p>
            <w:pPr>
              <w:spacing w:after="0"/>
            </w:pPr>
            <w:r>
              <w:rPr>
                <w:b/>
                <w:i w:val="0"/>
                <w:color w:val="FFFFFF"/>
                <w:sz w:val="15"/>
              </w:rPr>
              <w:t>Parameter</w:t>
            </w:r>
          </w:p>
        </w:tc>
        <w:tc>
          <w:tcPr>
            <w:tcW w:type="dxa" w:w="907"/>
            <w:shd w:val="clear" w:color="auto" w:fill="E1058C"/>
            <w:vAlign w:val="center"/>
          </w:tcPr>
          <w:p>
            <w:pPr>
              <w:spacing w:after="0"/>
            </w:pPr>
            <w:r>
              <w:rPr>
                <w:b/>
                <w:i w:val="0"/>
                <w:color w:val="FFFFFF"/>
                <w:sz w:val="15"/>
              </w:rPr>
              <w:t>Default</w:t>
            </w:r>
          </w:p>
        </w:tc>
        <w:tc>
          <w:tcPr>
            <w:tcW w:type="dxa" w:w="1134"/>
            <w:shd w:val="clear" w:color="auto" w:fill="E1058C"/>
            <w:vAlign w:val="center"/>
          </w:tcPr>
          <w:p>
            <w:pPr>
              <w:spacing w:after="0"/>
            </w:pPr>
            <w:r>
              <w:rPr>
                <w:b/>
                <w:i w:val="0"/>
                <w:color w:val="FFFFFF"/>
                <w:sz w:val="15"/>
              </w:rPr>
              <w:t>Range</w:t>
            </w:r>
          </w:p>
        </w:tc>
        <w:tc>
          <w:tcPr>
            <w:tcW w:type="dxa" w:w="4535"/>
            <w:shd w:val="clear" w:color="auto" w:fill="E1058C"/>
            <w:vAlign w:val="center"/>
          </w:tcPr>
          <w:p>
            <w:pPr>
              <w:spacing w:after="0"/>
            </w:pPr>
            <w:r>
              <w:rPr>
                <w:b/>
                <w:i w:val="0"/>
                <w:color w:val="FFFFFF"/>
                <w:sz w:val="15"/>
              </w:rPr>
              <w:t>Meaning</w:t>
            </w:r>
          </w:p>
        </w:tc>
      </w:tr>
      <w:tr>
        <w:trPr>
          <w:cantSplit/>
        </w:trPr>
        <w:tc>
          <w:tcPr>
            <w:tcW w:type="dxa" w:w="3061"/>
            <w:vAlign w:val="top"/>
          </w:tcPr>
          <w:p>
            <w:pPr>
              <w:spacing w:after="20" w:line="252" w:lineRule="auto"/>
            </w:pPr>
            <w:r>
              <w:rPr>
                <w:b w:val="0"/>
                <w:i w:val="0"/>
                <w:sz w:val="15"/>
              </w:rPr>
              <w:t>security.password.min_length</w:t>
            </w:r>
          </w:p>
        </w:tc>
        <w:tc>
          <w:tcPr>
            <w:tcW w:type="dxa" w:w="907"/>
            <w:vAlign w:val="top"/>
          </w:tcPr>
          <w:p>
            <w:pPr>
              <w:spacing w:after="20" w:line="252" w:lineRule="auto"/>
            </w:pPr>
            <w:r>
              <w:rPr>
                <w:b w:val="0"/>
                <w:i w:val="0"/>
                <w:sz w:val="15"/>
              </w:rPr>
              <w:t>12</w:t>
            </w:r>
          </w:p>
        </w:tc>
        <w:tc>
          <w:tcPr>
            <w:tcW w:type="dxa" w:w="1134"/>
            <w:vAlign w:val="top"/>
          </w:tcPr>
          <w:p>
            <w:pPr>
              <w:spacing w:after="20" w:line="252" w:lineRule="auto"/>
            </w:pPr>
            <w:r>
              <w:rPr>
                <w:b w:val="0"/>
                <w:i w:val="0"/>
                <w:sz w:val="15"/>
              </w:rPr>
              <w:t>8 to 64</w:t>
            </w:r>
          </w:p>
        </w:tc>
        <w:tc>
          <w:tcPr>
            <w:tcW w:type="dxa" w:w="4535"/>
            <w:vAlign w:val="top"/>
          </w:tcPr>
          <w:p>
            <w:pPr>
              <w:spacing w:after="20" w:line="252" w:lineRule="auto"/>
            </w:pPr>
            <w:r>
              <w:rPr>
                <w:b w:val="0"/>
                <w:i w:val="0"/>
                <w:sz w:val="15"/>
              </w:rPr>
              <w:t>Minimum password length</w:t>
            </w:r>
          </w:p>
        </w:tc>
      </w:tr>
      <w:tr>
        <w:trPr>
          <w:cantSplit/>
        </w:trPr>
        <w:tc>
          <w:tcPr>
            <w:tcW w:type="dxa" w:w="3061"/>
            <w:vAlign w:val="top"/>
            <w:shd w:val="clear" w:color="auto" w:fill="FDF0F7"/>
          </w:tcPr>
          <w:p>
            <w:pPr>
              <w:spacing w:after="20" w:line="252" w:lineRule="auto"/>
            </w:pPr>
            <w:r>
              <w:rPr>
                <w:b w:val="0"/>
                <w:i w:val="0"/>
                <w:sz w:val="15"/>
              </w:rPr>
              <w:t>security.password.require_upper</w:t>
            </w:r>
          </w:p>
        </w:tc>
        <w:tc>
          <w:tcPr>
            <w:tcW w:type="dxa" w:w="907"/>
            <w:vAlign w:val="top"/>
            <w:shd w:val="clear" w:color="auto" w:fill="FDF0F7"/>
          </w:tcPr>
          <w:p>
            <w:pPr>
              <w:spacing w:after="20" w:line="252" w:lineRule="auto"/>
            </w:pPr>
            <w:r>
              <w:rPr>
                <w:b w:val="0"/>
                <w:i w:val="0"/>
                <w:sz w:val="15"/>
              </w:rPr>
              <w:t>true</w:t>
            </w:r>
          </w:p>
        </w:tc>
        <w:tc>
          <w:tcPr>
            <w:tcW w:type="dxa" w:w="1134"/>
            <w:vAlign w:val="top"/>
            <w:shd w:val="clear" w:color="auto" w:fill="FDF0F7"/>
          </w:tcPr>
          <w:p>
            <w:pPr>
              <w:spacing w:after="20" w:line="252" w:lineRule="auto"/>
            </w:pPr>
            <w:r>
              <w:rPr>
                <w:b w:val="0"/>
                <w:i w:val="0"/>
                <w:sz w:val="15"/>
              </w:rPr>
              <w:t>–</w:t>
            </w:r>
          </w:p>
        </w:tc>
        <w:tc>
          <w:tcPr>
            <w:tcW w:type="dxa" w:w="4535"/>
            <w:vAlign w:val="top"/>
            <w:shd w:val="clear" w:color="auto" w:fill="FDF0F7"/>
          </w:tcPr>
          <w:p>
            <w:pPr>
              <w:spacing w:after="20" w:line="252" w:lineRule="auto"/>
            </w:pPr>
            <w:r>
              <w:rPr>
                <w:b w:val="0"/>
                <w:i w:val="0"/>
                <w:sz w:val="15"/>
              </w:rPr>
              <w:t>Password must contain an upper-case letter</w:t>
            </w:r>
          </w:p>
        </w:tc>
      </w:tr>
      <w:tr>
        <w:trPr>
          <w:cantSplit/>
        </w:trPr>
        <w:tc>
          <w:tcPr>
            <w:tcW w:type="dxa" w:w="3061"/>
            <w:vAlign w:val="top"/>
          </w:tcPr>
          <w:p>
            <w:pPr>
              <w:spacing w:after="20" w:line="252" w:lineRule="auto"/>
            </w:pPr>
            <w:r>
              <w:rPr>
                <w:b w:val="0"/>
                <w:i w:val="0"/>
                <w:sz w:val="15"/>
              </w:rPr>
              <w:t>security.password.require_lower</w:t>
            </w:r>
          </w:p>
        </w:tc>
        <w:tc>
          <w:tcPr>
            <w:tcW w:type="dxa" w:w="907"/>
            <w:vAlign w:val="top"/>
          </w:tcPr>
          <w:p>
            <w:pPr>
              <w:spacing w:after="20" w:line="252" w:lineRule="auto"/>
            </w:pPr>
            <w:r>
              <w:rPr>
                <w:b w:val="0"/>
                <w:i w:val="0"/>
                <w:sz w:val="15"/>
              </w:rPr>
              <w:t>true</w:t>
            </w:r>
          </w:p>
        </w:tc>
        <w:tc>
          <w:tcPr>
            <w:tcW w:type="dxa" w:w="1134"/>
            <w:vAlign w:val="top"/>
          </w:tcPr>
          <w:p>
            <w:pPr>
              <w:spacing w:after="20" w:line="252" w:lineRule="auto"/>
            </w:pPr>
            <w:r>
              <w:rPr>
                <w:b w:val="0"/>
                <w:i w:val="0"/>
                <w:sz w:val="15"/>
              </w:rPr>
              <w:t>–</w:t>
            </w:r>
          </w:p>
        </w:tc>
        <w:tc>
          <w:tcPr>
            <w:tcW w:type="dxa" w:w="4535"/>
            <w:vAlign w:val="top"/>
          </w:tcPr>
          <w:p>
            <w:pPr>
              <w:spacing w:after="20" w:line="252" w:lineRule="auto"/>
            </w:pPr>
            <w:r>
              <w:rPr>
                <w:b w:val="0"/>
                <w:i w:val="0"/>
                <w:sz w:val="15"/>
              </w:rPr>
              <w:t>Password must contain a lower-case letter</w:t>
            </w:r>
          </w:p>
        </w:tc>
      </w:tr>
      <w:tr>
        <w:trPr>
          <w:cantSplit/>
        </w:trPr>
        <w:tc>
          <w:tcPr>
            <w:tcW w:type="dxa" w:w="3061"/>
            <w:vAlign w:val="top"/>
            <w:shd w:val="clear" w:color="auto" w:fill="FDF0F7"/>
          </w:tcPr>
          <w:p>
            <w:pPr>
              <w:spacing w:after="20" w:line="252" w:lineRule="auto"/>
            </w:pPr>
            <w:r>
              <w:rPr>
                <w:b w:val="0"/>
                <w:i w:val="0"/>
                <w:sz w:val="15"/>
              </w:rPr>
              <w:t>security.password.require_digit</w:t>
            </w:r>
          </w:p>
        </w:tc>
        <w:tc>
          <w:tcPr>
            <w:tcW w:type="dxa" w:w="907"/>
            <w:vAlign w:val="top"/>
            <w:shd w:val="clear" w:color="auto" w:fill="FDF0F7"/>
          </w:tcPr>
          <w:p>
            <w:pPr>
              <w:spacing w:after="20" w:line="252" w:lineRule="auto"/>
            </w:pPr>
            <w:r>
              <w:rPr>
                <w:b w:val="0"/>
                <w:i w:val="0"/>
                <w:sz w:val="15"/>
              </w:rPr>
              <w:t>true</w:t>
            </w:r>
          </w:p>
        </w:tc>
        <w:tc>
          <w:tcPr>
            <w:tcW w:type="dxa" w:w="1134"/>
            <w:vAlign w:val="top"/>
            <w:shd w:val="clear" w:color="auto" w:fill="FDF0F7"/>
          </w:tcPr>
          <w:p>
            <w:pPr>
              <w:spacing w:after="20" w:line="252" w:lineRule="auto"/>
            </w:pPr>
            <w:r>
              <w:rPr>
                <w:b w:val="0"/>
                <w:i w:val="0"/>
                <w:sz w:val="15"/>
              </w:rPr>
              <w:t>–</w:t>
            </w:r>
          </w:p>
        </w:tc>
        <w:tc>
          <w:tcPr>
            <w:tcW w:type="dxa" w:w="4535"/>
            <w:vAlign w:val="top"/>
            <w:shd w:val="clear" w:color="auto" w:fill="FDF0F7"/>
          </w:tcPr>
          <w:p>
            <w:pPr>
              <w:spacing w:after="20" w:line="252" w:lineRule="auto"/>
            </w:pPr>
            <w:r>
              <w:rPr>
                <w:b w:val="0"/>
                <w:i w:val="0"/>
                <w:sz w:val="15"/>
              </w:rPr>
              <w:t>Password must contain a digit</w:t>
            </w:r>
          </w:p>
        </w:tc>
      </w:tr>
      <w:tr>
        <w:trPr>
          <w:cantSplit/>
        </w:trPr>
        <w:tc>
          <w:tcPr>
            <w:tcW w:type="dxa" w:w="3061"/>
            <w:vAlign w:val="top"/>
          </w:tcPr>
          <w:p>
            <w:pPr>
              <w:spacing w:after="20" w:line="252" w:lineRule="auto"/>
            </w:pPr>
            <w:r>
              <w:rPr>
                <w:b w:val="0"/>
                <w:i w:val="0"/>
                <w:sz w:val="15"/>
              </w:rPr>
              <w:t>security.password.require_symbol</w:t>
            </w:r>
          </w:p>
        </w:tc>
        <w:tc>
          <w:tcPr>
            <w:tcW w:type="dxa" w:w="907"/>
            <w:vAlign w:val="top"/>
          </w:tcPr>
          <w:p>
            <w:pPr>
              <w:spacing w:after="20" w:line="252" w:lineRule="auto"/>
            </w:pPr>
            <w:r>
              <w:rPr>
                <w:b w:val="0"/>
                <w:i w:val="0"/>
                <w:sz w:val="15"/>
              </w:rPr>
              <w:t>true</w:t>
            </w:r>
          </w:p>
        </w:tc>
        <w:tc>
          <w:tcPr>
            <w:tcW w:type="dxa" w:w="1134"/>
            <w:vAlign w:val="top"/>
          </w:tcPr>
          <w:p>
            <w:pPr>
              <w:spacing w:after="20" w:line="252" w:lineRule="auto"/>
            </w:pPr>
            <w:r>
              <w:rPr>
                <w:b w:val="0"/>
                <w:i w:val="0"/>
                <w:sz w:val="15"/>
              </w:rPr>
              <w:t>–</w:t>
            </w:r>
          </w:p>
        </w:tc>
        <w:tc>
          <w:tcPr>
            <w:tcW w:type="dxa" w:w="4535"/>
            <w:vAlign w:val="top"/>
          </w:tcPr>
          <w:p>
            <w:pPr>
              <w:spacing w:after="20" w:line="252" w:lineRule="auto"/>
            </w:pPr>
            <w:r>
              <w:rPr>
                <w:b w:val="0"/>
                <w:i w:val="0"/>
                <w:sz w:val="15"/>
              </w:rPr>
              <w:t>Password must contain a symbol</w:t>
            </w:r>
          </w:p>
        </w:tc>
      </w:tr>
      <w:tr>
        <w:trPr>
          <w:cantSplit/>
        </w:trPr>
        <w:tc>
          <w:tcPr>
            <w:tcW w:type="dxa" w:w="3061"/>
            <w:vAlign w:val="top"/>
            <w:shd w:val="clear" w:color="auto" w:fill="FDF0F7"/>
          </w:tcPr>
          <w:p>
            <w:pPr>
              <w:spacing w:after="20" w:line="252" w:lineRule="auto"/>
            </w:pPr>
            <w:r>
              <w:rPr>
                <w:b w:val="0"/>
                <w:i w:val="0"/>
                <w:sz w:val="15"/>
              </w:rPr>
              <w:t>security.password.history_count</w:t>
            </w:r>
          </w:p>
        </w:tc>
        <w:tc>
          <w:tcPr>
            <w:tcW w:type="dxa" w:w="907"/>
            <w:vAlign w:val="top"/>
            <w:shd w:val="clear" w:color="auto" w:fill="FDF0F7"/>
          </w:tcPr>
          <w:p>
            <w:pPr>
              <w:spacing w:after="20" w:line="252" w:lineRule="auto"/>
            </w:pPr>
            <w:r>
              <w:rPr>
                <w:b w:val="0"/>
                <w:i w:val="0"/>
                <w:sz w:val="15"/>
              </w:rPr>
              <w:t>5</w:t>
            </w:r>
          </w:p>
        </w:tc>
        <w:tc>
          <w:tcPr>
            <w:tcW w:type="dxa" w:w="1134"/>
            <w:vAlign w:val="top"/>
            <w:shd w:val="clear" w:color="auto" w:fill="FDF0F7"/>
          </w:tcPr>
          <w:p>
            <w:pPr>
              <w:spacing w:after="20" w:line="252" w:lineRule="auto"/>
            </w:pPr>
            <w:r>
              <w:rPr>
                <w:b w:val="0"/>
                <w:i w:val="0"/>
                <w:sz w:val="15"/>
              </w:rPr>
              <w:t>0 to 24</w:t>
            </w:r>
          </w:p>
        </w:tc>
        <w:tc>
          <w:tcPr>
            <w:tcW w:type="dxa" w:w="4535"/>
            <w:vAlign w:val="top"/>
            <w:shd w:val="clear" w:color="auto" w:fill="FDF0F7"/>
          </w:tcPr>
          <w:p>
            <w:pPr>
              <w:spacing w:after="20" w:line="252" w:lineRule="auto"/>
            </w:pPr>
            <w:r>
              <w:rPr>
                <w:b w:val="0"/>
                <w:i w:val="0"/>
                <w:sz w:val="15"/>
              </w:rPr>
              <w:t>Number of previous passwords that cannot be reused</w:t>
            </w:r>
          </w:p>
        </w:tc>
      </w:tr>
      <w:tr>
        <w:trPr>
          <w:cantSplit/>
        </w:trPr>
        <w:tc>
          <w:tcPr>
            <w:tcW w:type="dxa" w:w="3061"/>
            <w:vAlign w:val="top"/>
          </w:tcPr>
          <w:p>
            <w:pPr>
              <w:spacing w:after="20" w:line="252" w:lineRule="auto"/>
            </w:pPr>
            <w:r>
              <w:rPr>
                <w:b w:val="0"/>
                <w:i w:val="0"/>
                <w:sz w:val="15"/>
              </w:rPr>
              <w:t>security.password.expiry_days</w:t>
            </w:r>
          </w:p>
        </w:tc>
        <w:tc>
          <w:tcPr>
            <w:tcW w:type="dxa" w:w="907"/>
            <w:vAlign w:val="top"/>
          </w:tcPr>
          <w:p>
            <w:pPr>
              <w:spacing w:after="20" w:line="252" w:lineRule="auto"/>
            </w:pPr>
            <w:r>
              <w:rPr>
                <w:b w:val="0"/>
                <w:i w:val="0"/>
                <w:sz w:val="15"/>
              </w:rPr>
              <w:t>90</w:t>
            </w:r>
          </w:p>
        </w:tc>
        <w:tc>
          <w:tcPr>
            <w:tcW w:type="dxa" w:w="1134"/>
            <w:vAlign w:val="top"/>
          </w:tcPr>
          <w:p>
            <w:pPr>
              <w:spacing w:after="20" w:line="252" w:lineRule="auto"/>
            </w:pPr>
            <w:r>
              <w:rPr>
                <w:b w:val="0"/>
                <w:i w:val="0"/>
                <w:sz w:val="15"/>
              </w:rPr>
              <w:t>0 to 365</w:t>
            </w:r>
          </w:p>
        </w:tc>
        <w:tc>
          <w:tcPr>
            <w:tcW w:type="dxa" w:w="4535"/>
            <w:vAlign w:val="top"/>
          </w:tcPr>
          <w:p>
            <w:pPr>
              <w:spacing w:after="20" w:line="252" w:lineRule="auto"/>
            </w:pPr>
            <w:r>
              <w:rPr>
                <w:b w:val="0"/>
                <w:i w:val="0"/>
                <w:sz w:val="15"/>
              </w:rPr>
              <w:t>Days before a password must be changed (0 = never)</w:t>
            </w:r>
          </w:p>
        </w:tc>
      </w:tr>
      <w:tr>
        <w:trPr>
          <w:cantSplit/>
        </w:trPr>
        <w:tc>
          <w:tcPr>
            <w:tcW w:type="dxa" w:w="3061"/>
            <w:vAlign w:val="top"/>
            <w:shd w:val="clear" w:color="auto" w:fill="FDF0F7"/>
          </w:tcPr>
          <w:p>
            <w:pPr>
              <w:spacing w:after="20" w:line="252" w:lineRule="auto"/>
            </w:pPr>
            <w:r>
              <w:rPr>
                <w:b w:val="0"/>
                <w:i w:val="0"/>
                <w:sz w:val="15"/>
              </w:rPr>
              <w:t>security.lockout.max_attempts</w:t>
            </w:r>
          </w:p>
        </w:tc>
        <w:tc>
          <w:tcPr>
            <w:tcW w:type="dxa" w:w="907"/>
            <w:vAlign w:val="top"/>
            <w:shd w:val="clear" w:color="auto" w:fill="FDF0F7"/>
          </w:tcPr>
          <w:p>
            <w:pPr>
              <w:spacing w:after="20" w:line="252" w:lineRule="auto"/>
            </w:pPr>
            <w:r>
              <w:rPr>
                <w:b w:val="0"/>
                <w:i w:val="0"/>
                <w:sz w:val="15"/>
              </w:rPr>
              <w:t>5</w:t>
            </w:r>
          </w:p>
        </w:tc>
        <w:tc>
          <w:tcPr>
            <w:tcW w:type="dxa" w:w="1134"/>
            <w:vAlign w:val="top"/>
            <w:shd w:val="clear" w:color="auto" w:fill="FDF0F7"/>
          </w:tcPr>
          <w:p>
            <w:pPr>
              <w:spacing w:after="20" w:line="252" w:lineRule="auto"/>
            </w:pPr>
            <w:r>
              <w:rPr>
                <w:b w:val="0"/>
                <w:i w:val="0"/>
                <w:sz w:val="15"/>
              </w:rPr>
              <w:t>3 to 20</w:t>
            </w:r>
          </w:p>
        </w:tc>
        <w:tc>
          <w:tcPr>
            <w:tcW w:type="dxa" w:w="4535"/>
            <w:vAlign w:val="top"/>
            <w:shd w:val="clear" w:color="auto" w:fill="FDF0F7"/>
          </w:tcPr>
          <w:p>
            <w:pPr>
              <w:spacing w:after="20" w:line="252" w:lineRule="auto"/>
            </w:pPr>
            <w:r>
              <w:rPr>
                <w:b w:val="0"/>
                <w:i w:val="0"/>
                <w:sz w:val="15"/>
              </w:rPr>
              <w:t>Failed login attempts before the account is locked</w:t>
            </w:r>
          </w:p>
        </w:tc>
      </w:tr>
      <w:tr>
        <w:trPr>
          <w:cantSplit/>
        </w:trPr>
        <w:tc>
          <w:tcPr>
            <w:tcW w:type="dxa" w:w="3061"/>
            <w:vAlign w:val="top"/>
          </w:tcPr>
          <w:p>
            <w:pPr>
              <w:spacing w:after="20" w:line="252" w:lineRule="auto"/>
            </w:pPr>
            <w:r>
              <w:rPr>
                <w:b w:val="0"/>
                <w:i w:val="0"/>
                <w:sz w:val="15"/>
              </w:rPr>
              <w:t>security.lockout.minutes</w:t>
            </w:r>
          </w:p>
        </w:tc>
        <w:tc>
          <w:tcPr>
            <w:tcW w:type="dxa" w:w="907"/>
            <w:vAlign w:val="top"/>
          </w:tcPr>
          <w:p>
            <w:pPr>
              <w:spacing w:after="20" w:line="252" w:lineRule="auto"/>
            </w:pPr>
            <w:r>
              <w:rPr>
                <w:b w:val="0"/>
                <w:i w:val="0"/>
                <w:sz w:val="15"/>
              </w:rPr>
              <w:t>30</w:t>
            </w:r>
          </w:p>
        </w:tc>
        <w:tc>
          <w:tcPr>
            <w:tcW w:type="dxa" w:w="1134"/>
            <w:vAlign w:val="top"/>
          </w:tcPr>
          <w:p>
            <w:pPr>
              <w:spacing w:after="20" w:line="252" w:lineRule="auto"/>
            </w:pPr>
            <w:r>
              <w:rPr>
                <w:b w:val="0"/>
                <w:i w:val="0"/>
                <w:sz w:val="15"/>
              </w:rPr>
              <w:t>1 to 1440</w:t>
            </w:r>
          </w:p>
        </w:tc>
        <w:tc>
          <w:tcPr>
            <w:tcW w:type="dxa" w:w="4535"/>
            <w:vAlign w:val="top"/>
          </w:tcPr>
          <w:p>
            <w:pPr>
              <w:spacing w:after="20" w:line="252" w:lineRule="auto"/>
            </w:pPr>
            <w:r>
              <w:rPr>
                <w:b w:val="0"/>
                <w:i w:val="0"/>
                <w:sz w:val="15"/>
              </w:rPr>
              <w:t>Lock duration in minutes (administrator can unlock earlier)</w:t>
            </w:r>
          </w:p>
        </w:tc>
      </w:tr>
      <w:tr>
        <w:trPr>
          <w:cantSplit/>
        </w:trPr>
        <w:tc>
          <w:tcPr>
            <w:tcW w:type="dxa" w:w="3061"/>
            <w:vAlign w:val="top"/>
            <w:shd w:val="clear" w:color="auto" w:fill="FDF0F7"/>
          </w:tcPr>
          <w:p>
            <w:pPr>
              <w:spacing w:after="20" w:line="252" w:lineRule="auto"/>
            </w:pPr>
            <w:r>
              <w:rPr>
                <w:b w:val="0"/>
                <w:i w:val="0"/>
                <w:sz w:val="15"/>
              </w:rPr>
              <w:t>security.session.idle_minutes</w:t>
            </w:r>
          </w:p>
        </w:tc>
        <w:tc>
          <w:tcPr>
            <w:tcW w:type="dxa" w:w="907"/>
            <w:vAlign w:val="top"/>
            <w:shd w:val="clear" w:color="auto" w:fill="FDF0F7"/>
          </w:tcPr>
          <w:p>
            <w:pPr>
              <w:spacing w:after="20" w:line="252" w:lineRule="auto"/>
            </w:pPr>
            <w:r>
              <w:rPr>
                <w:b w:val="0"/>
                <w:i w:val="0"/>
                <w:sz w:val="15"/>
              </w:rPr>
              <w:t>15</w:t>
            </w:r>
          </w:p>
        </w:tc>
        <w:tc>
          <w:tcPr>
            <w:tcW w:type="dxa" w:w="1134"/>
            <w:vAlign w:val="top"/>
            <w:shd w:val="clear" w:color="auto" w:fill="FDF0F7"/>
          </w:tcPr>
          <w:p>
            <w:pPr>
              <w:spacing w:after="20" w:line="252" w:lineRule="auto"/>
            </w:pPr>
            <w:r>
              <w:rPr>
                <w:b w:val="0"/>
                <w:i w:val="0"/>
                <w:sz w:val="15"/>
              </w:rPr>
              <w:t>5 to 120</w:t>
            </w:r>
          </w:p>
        </w:tc>
        <w:tc>
          <w:tcPr>
            <w:tcW w:type="dxa" w:w="4535"/>
            <w:vAlign w:val="top"/>
            <w:shd w:val="clear" w:color="auto" w:fill="FDF0F7"/>
          </w:tcPr>
          <w:p>
            <w:pPr>
              <w:spacing w:after="20" w:line="252" w:lineRule="auto"/>
            </w:pPr>
            <w:r>
              <w:rPr>
                <w:b w:val="0"/>
                <w:i w:val="0"/>
                <w:sz w:val="15"/>
              </w:rPr>
              <w:t>Session idle timeout in minutes</w:t>
            </w:r>
          </w:p>
        </w:tc>
      </w:tr>
      <w:tr>
        <w:trPr>
          <w:cantSplit/>
        </w:trPr>
        <w:tc>
          <w:tcPr>
            <w:tcW w:type="dxa" w:w="3061"/>
            <w:vAlign w:val="top"/>
          </w:tcPr>
          <w:p>
            <w:pPr>
              <w:spacing w:after="20" w:line="252" w:lineRule="auto"/>
            </w:pPr>
            <w:r>
              <w:rPr>
                <w:b w:val="0"/>
                <w:i w:val="0"/>
                <w:sz w:val="15"/>
              </w:rPr>
              <w:t>security.session.absolute_hours</w:t>
            </w:r>
          </w:p>
        </w:tc>
        <w:tc>
          <w:tcPr>
            <w:tcW w:type="dxa" w:w="907"/>
            <w:vAlign w:val="top"/>
          </w:tcPr>
          <w:p>
            <w:pPr>
              <w:spacing w:after="20" w:line="252" w:lineRule="auto"/>
            </w:pPr>
            <w:r>
              <w:rPr>
                <w:b w:val="0"/>
                <w:i w:val="0"/>
                <w:sz w:val="15"/>
              </w:rPr>
              <w:t>8</w:t>
            </w:r>
          </w:p>
        </w:tc>
        <w:tc>
          <w:tcPr>
            <w:tcW w:type="dxa" w:w="1134"/>
            <w:vAlign w:val="top"/>
          </w:tcPr>
          <w:p>
            <w:pPr>
              <w:spacing w:after="20" w:line="252" w:lineRule="auto"/>
            </w:pPr>
            <w:r>
              <w:rPr>
                <w:b w:val="0"/>
                <w:i w:val="0"/>
                <w:sz w:val="15"/>
              </w:rPr>
              <w:t>1 to 24</w:t>
            </w:r>
          </w:p>
        </w:tc>
        <w:tc>
          <w:tcPr>
            <w:tcW w:type="dxa" w:w="4535"/>
            <w:vAlign w:val="top"/>
          </w:tcPr>
          <w:p>
            <w:pPr>
              <w:spacing w:after="20" w:line="252" w:lineRule="auto"/>
            </w:pPr>
            <w:r>
              <w:rPr>
                <w:b w:val="0"/>
                <w:i w:val="0"/>
                <w:sz w:val="15"/>
              </w:rPr>
              <w:t>Maximum session lifetime in hours</w:t>
            </w:r>
          </w:p>
        </w:tc>
      </w:tr>
      <w:tr>
        <w:trPr>
          <w:cantSplit/>
        </w:trPr>
        <w:tc>
          <w:tcPr>
            <w:tcW w:type="dxa" w:w="3061"/>
            <w:vAlign w:val="top"/>
            <w:shd w:val="clear" w:color="auto" w:fill="FDF0F7"/>
          </w:tcPr>
          <w:p>
            <w:pPr>
              <w:spacing w:after="20" w:line="252" w:lineRule="auto"/>
            </w:pPr>
            <w:r>
              <w:rPr>
                <w:b w:val="0"/>
                <w:i w:val="0"/>
                <w:sz w:val="15"/>
              </w:rPr>
              <w:t>security.session.single_active</w:t>
            </w:r>
          </w:p>
        </w:tc>
        <w:tc>
          <w:tcPr>
            <w:tcW w:type="dxa" w:w="907"/>
            <w:vAlign w:val="top"/>
            <w:shd w:val="clear" w:color="auto" w:fill="FDF0F7"/>
          </w:tcPr>
          <w:p>
            <w:pPr>
              <w:spacing w:after="20" w:line="252" w:lineRule="auto"/>
            </w:pPr>
            <w:r>
              <w:rPr>
                <w:b w:val="0"/>
                <w:i w:val="0"/>
                <w:sz w:val="15"/>
              </w:rPr>
              <w:t>true</w:t>
            </w:r>
          </w:p>
        </w:tc>
        <w:tc>
          <w:tcPr>
            <w:tcW w:type="dxa" w:w="1134"/>
            <w:vAlign w:val="top"/>
            <w:shd w:val="clear" w:color="auto" w:fill="FDF0F7"/>
          </w:tcPr>
          <w:p>
            <w:pPr>
              <w:spacing w:after="20" w:line="252" w:lineRule="auto"/>
            </w:pPr>
            <w:r>
              <w:rPr>
                <w:b w:val="0"/>
                <w:i w:val="0"/>
                <w:sz w:val="15"/>
              </w:rPr>
              <w:t>–</w:t>
            </w:r>
          </w:p>
        </w:tc>
        <w:tc>
          <w:tcPr>
            <w:tcW w:type="dxa" w:w="4535"/>
            <w:vAlign w:val="top"/>
            <w:shd w:val="clear" w:color="auto" w:fill="FDF0F7"/>
          </w:tcPr>
          <w:p>
            <w:pPr>
              <w:spacing w:after="20" w:line="252" w:lineRule="auto"/>
            </w:pPr>
            <w:r>
              <w:rPr>
                <w:b w:val="0"/>
                <w:i w:val="0"/>
                <w:sz w:val="15"/>
              </w:rPr>
              <w:t>Signing in ends the user's other sessions</w:t>
            </w:r>
          </w:p>
        </w:tc>
      </w:tr>
      <w:tr>
        <w:trPr>
          <w:cantSplit/>
        </w:trPr>
        <w:tc>
          <w:tcPr>
            <w:tcW w:type="dxa" w:w="3061"/>
            <w:vAlign w:val="top"/>
          </w:tcPr>
          <w:p>
            <w:pPr>
              <w:spacing w:after="20" w:line="252" w:lineRule="auto"/>
            </w:pPr>
            <w:r>
              <w:rPr>
                <w:b w:val="0"/>
                <w:i w:val="0"/>
                <w:sz w:val="15"/>
              </w:rPr>
              <w:t>billing.payment_grace_days</w:t>
            </w:r>
          </w:p>
        </w:tc>
        <w:tc>
          <w:tcPr>
            <w:tcW w:type="dxa" w:w="907"/>
            <w:vAlign w:val="top"/>
          </w:tcPr>
          <w:p>
            <w:pPr>
              <w:spacing w:after="20" w:line="252" w:lineRule="auto"/>
            </w:pPr>
            <w:r>
              <w:rPr>
                <w:b w:val="0"/>
                <w:i w:val="0"/>
                <w:sz w:val="15"/>
              </w:rPr>
              <w:t>7</w:t>
            </w:r>
          </w:p>
        </w:tc>
        <w:tc>
          <w:tcPr>
            <w:tcW w:type="dxa" w:w="1134"/>
            <w:vAlign w:val="top"/>
          </w:tcPr>
          <w:p>
            <w:pPr>
              <w:spacing w:after="20" w:line="252" w:lineRule="auto"/>
            </w:pPr>
            <w:r>
              <w:rPr>
                <w:b w:val="0"/>
                <w:i w:val="0"/>
                <w:sz w:val="15"/>
              </w:rPr>
              <w:t>1 to 60</w:t>
            </w:r>
          </w:p>
        </w:tc>
        <w:tc>
          <w:tcPr>
            <w:tcW w:type="dxa" w:w="4535"/>
            <w:vAlign w:val="top"/>
          </w:tcPr>
          <w:p>
            <w:pPr>
              <w:spacing w:after="20" w:line="252" w:lineRule="auto"/>
            </w:pPr>
            <w:r>
              <w:rPr>
                <w:b w:val="0"/>
                <w:i w:val="0"/>
                <w:sz w:val="15"/>
              </w:rPr>
              <w:t>Days after issuance within which contribution must be submitted before the agency is blocked</w:t>
            </w:r>
          </w:p>
        </w:tc>
      </w:tr>
      <w:tr>
        <w:trPr>
          <w:cantSplit/>
        </w:trPr>
        <w:tc>
          <w:tcPr>
            <w:tcW w:type="dxa" w:w="3061"/>
            <w:vAlign w:val="top"/>
            <w:shd w:val="clear" w:color="auto" w:fill="FDF0F7"/>
          </w:tcPr>
          <w:p>
            <w:pPr>
              <w:spacing w:after="20" w:line="252" w:lineRule="auto"/>
            </w:pPr>
            <w:r>
              <w:rPr>
                <w:b w:val="0"/>
                <w:i w:val="0"/>
                <w:sz w:val="15"/>
              </w:rPr>
              <w:t>policy.quotation_validity_days</w:t>
            </w:r>
          </w:p>
        </w:tc>
        <w:tc>
          <w:tcPr>
            <w:tcW w:type="dxa" w:w="907"/>
            <w:vAlign w:val="top"/>
            <w:shd w:val="clear" w:color="auto" w:fill="FDF0F7"/>
          </w:tcPr>
          <w:p>
            <w:pPr>
              <w:spacing w:after="20" w:line="252" w:lineRule="auto"/>
            </w:pPr>
            <w:r>
              <w:rPr>
                <w:b w:val="0"/>
                <w:i w:val="0"/>
                <w:sz w:val="15"/>
              </w:rPr>
              <w:t>30</w:t>
            </w:r>
          </w:p>
        </w:tc>
        <w:tc>
          <w:tcPr>
            <w:tcW w:type="dxa" w:w="1134"/>
            <w:vAlign w:val="top"/>
            <w:shd w:val="clear" w:color="auto" w:fill="FDF0F7"/>
          </w:tcPr>
          <w:p>
            <w:pPr>
              <w:spacing w:after="20" w:line="252" w:lineRule="auto"/>
            </w:pPr>
            <w:r>
              <w:rPr>
                <w:b w:val="0"/>
                <w:i w:val="0"/>
                <w:sz w:val="15"/>
              </w:rPr>
              <w:t>1 to 180</w:t>
            </w:r>
          </w:p>
        </w:tc>
        <w:tc>
          <w:tcPr>
            <w:tcW w:type="dxa" w:w="4535"/>
            <w:vAlign w:val="top"/>
            <w:shd w:val="clear" w:color="auto" w:fill="FDF0F7"/>
          </w:tcPr>
          <w:p>
            <w:pPr>
              <w:spacing w:after="20" w:line="252" w:lineRule="auto"/>
            </w:pPr>
            <w:r>
              <w:rPr>
                <w:b w:val="0"/>
                <w:i w:val="0"/>
                <w:sz w:val="15"/>
              </w:rPr>
              <w:t>Days a draft quotation remains valid</w:t>
            </w:r>
          </w:p>
        </w:tc>
      </w:tr>
      <w:tr>
        <w:trPr>
          <w:cantSplit/>
        </w:trPr>
        <w:tc>
          <w:tcPr>
            <w:tcW w:type="dxa" w:w="3061"/>
            <w:vAlign w:val="top"/>
          </w:tcPr>
          <w:p>
            <w:pPr>
              <w:spacing w:after="20" w:line="252" w:lineRule="auto"/>
            </w:pPr>
            <w:r>
              <w:rPr>
                <w:b w:val="0"/>
                <w:i w:val="0"/>
                <w:sz w:val="15"/>
              </w:rPr>
              <w:t>policy.renewal_notice_days</w:t>
            </w:r>
          </w:p>
        </w:tc>
        <w:tc>
          <w:tcPr>
            <w:tcW w:type="dxa" w:w="907"/>
            <w:vAlign w:val="top"/>
          </w:tcPr>
          <w:p>
            <w:pPr>
              <w:spacing w:after="20" w:line="252" w:lineRule="auto"/>
            </w:pPr>
            <w:r>
              <w:rPr>
                <w:b w:val="0"/>
                <w:i w:val="0"/>
                <w:sz w:val="15"/>
              </w:rPr>
              <w:t>45</w:t>
            </w:r>
          </w:p>
        </w:tc>
        <w:tc>
          <w:tcPr>
            <w:tcW w:type="dxa" w:w="1134"/>
            <w:vAlign w:val="top"/>
          </w:tcPr>
          <w:p>
            <w:pPr>
              <w:spacing w:after="20" w:line="252" w:lineRule="auto"/>
            </w:pPr>
            <w:r>
              <w:rPr>
                <w:b w:val="0"/>
                <w:i w:val="0"/>
                <w:sz w:val="15"/>
              </w:rPr>
              <w:t>7 to 120</w:t>
            </w:r>
          </w:p>
        </w:tc>
        <w:tc>
          <w:tcPr>
            <w:tcW w:type="dxa" w:w="4535"/>
            <w:vAlign w:val="top"/>
          </w:tcPr>
          <w:p>
            <w:pPr>
              <w:spacing w:after="20" w:line="252" w:lineRule="auto"/>
            </w:pPr>
            <w:r>
              <w:rPr>
                <w:b w:val="0"/>
                <w:i w:val="0"/>
                <w:sz w:val="15"/>
              </w:rPr>
              <w:t>Days before expiry that a policy is listed as due for renewal</w:t>
            </w:r>
          </w:p>
        </w:tc>
      </w:tr>
      <w:tr>
        <w:trPr>
          <w:cantSplit/>
        </w:trPr>
        <w:tc>
          <w:tcPr>
            <w:tcW w:type="dxa" w:w="3061"/>
            <w:vAlign w:val="top"/>
            <w:shd w:val="clear" w:color="auto" w:fill="FDF0F7"/>
          </w:tcPr>
          <w:p>
            <w:pPr>
              <w:spacing w:after="20" w:line="252" w:lineRule="auto"/>
            </w:pPr>
            <w:r>
              <w:rPr>
                <w:b w:val="0"/>
                <w:i w:val="0"/>
                <w:sz w:val="15"/>
              </w:rPr>
              <w:t>policy.require_participant_signature</w:t>
            </w:r>
          </w:p>
        </w:tc>
        <w:tc>
          <w:tcPr>
            <w:tcW w:type="dxa" w:w="907"/>
            <w:vAlign w:val="top"/>
            <w:shd w:val="clear" w:color="auto" w:fill="FDF0F7"/>
          </w:tcPr>
          <w:p>
            <w:pPr>
              <w:spacing w:after="20" w:line="252" w:lineRule="auto"/>
            </w:pPr>
            <w:r>
              <w:rPr>
                <w:b w:val="0"/>
                <w:i w:val="0"/>
                <w:sz w:val="15"/>
              </w:rPr>
              <w:t>true</w:t>
            </w:r>
          </w:p>
        </w:tc>
        <w:tc>
          <w:tcPr>
            <w:tcW w:type="dxa" w:w="1134"/>
            <w:vAlign w:val="top"/>
            <w:shd w:val="clear" w:color="auto" w:fill="FDF0F7"/>
          </w:tcPr>
          <w:p>
            <w:pPr>
              <w:spacing w:after="20" w:line="252" w:lineRule="auto"/>
            </w:pPr>
            <w:r>
              <w:rPr>
                <w:b w:val="0"/>
                <w:i w:val="0"/>
                <w:sz w:val="15"/>
              </w:rPr>
              <w:t>–</w:t>
            </w:r>
          </w:p>
        </w:tc>
        <w:tc>
          <w:tcPr>
            <w:tcW w:type="dxa" w:w="4535"/>
            <w:vAlign w:val="top"/>
            <w:shd w:val="clear" w:color="auto" w:fill="FDF0F7"/>
          </w:tcPr>
          <w:p>
            <w:pPr>
              <w:spacing w:after="20" w:line="252" w:lineRule="auto"/>
            </w:pPr>
            <w:r>
              <w:rPr>
                <w:b w:val="0"/>
                <w:i w:val="0"/>
                <w:sz w:val="15"/>
              </w:rPr>
              <w:t>Participant signature is mandatory before submission</w:t>
            </w:r>
          </w:p>
        </w:tc>
      </w:tr>
      <w:tr>
        <w:trPr>
          <w:cantSplit/>
        </w:trPr>
        <w:tc>
          <w:tcPr>
            <w:tcW w:type="dxa" w:w="3061"/>
            <w:vAlign w:val="top"/>
          </w:tcPr>
          <w:p>
            <w:pPr>
              <w:spacing w:after="20" w:line="252" w:lineRule="auto"/>
            </w:pPr>
            <w:r>
              <w:rPr>
                <w:b w:val="0"/>
                <w:i w:val="0"/>
                <w:sz w:val="15"/>
              </w:rPr>
              <w:t>policy.esign_link_hours</w:t>
            </w:r>
          </w:p>
        </w:tc>
        <w:tc>
          <w:tcPr>
            <w:tcW w:type="dxa" w:w="907"/>
            <w:vAlign w:val="top"/>
          </w:tcPr>
          <w:p>
            <w:pPr>
              <w:spacing w:after="20" w:line="252" w:lineRule="auto"/>
            </w:pPr>
            <w:r>
              <w:rPr>
                <w:b w:val="0"/>
                <w:i w:val="0"/>
                <w:sz w:val="15"/>
              </w:rPr>
              <w:t>72</w:t>
            </w:r>
          </w:p>
        </w:tc>
        <w:tc>
          <w:tcPr>
            <w:tcW w:type="dxa" w:w="1134"/>
            <w:vAlign w:val="top"/>
          </w:tcPr>
          <w:p>
            <w:pPr>
              <w:spacing w:after="20" w:line="252" w:lineRule="auto"/>
            </w:pPr>
            <w:r>
              <w:rPr>
                <w:b w:val="0"/>
                <w:i w:val="0"/>
                <w:sz w:val="15"/>
              </w:rPr>
              <w:t>1 to 336</w:t>
            </w:r>
          </w:p>
        </w:tc>
        <w:tc>
          <w:tcPr>
            <w:tcW w:type="dxa" w:w="4535"/>
            <w:vAlign w:val="top"/>
          </w:tcPr>
          <w:p>
            <w:pPr>
              <w:spacing w:after="20" w:line="252" w:lineRule="auto"/>
            </w:pPr>
            <w:r>
              <w:rPr>
                <w:b w:val="0"/>
                <w:i w:val="0"/>
                <w:sz w:val="15"/>
              </w:rPr>
              <w:t>Validity of e-signature links sent by email (hours)</w:t>
            </w:r>
          </w:p>
        </w:tc>
      </w:tr>
      <w:tr>
        <w:trPr>
          <w:cantSplit/>
        </w:trPr>
        <w:tc>
          <w:tcPr>
            <w:tcW w:type="dxa" w:w="3061"/>
            <w:vAlign w:val="top"/>
            <w:shd w:val="clear" w:color="auto" w:fill="FDF0F7"/>
          </w:tcPr>
          <w:p>
            <w:pPr>
              <w:spacing w:after="20" w:line="252" w:lineRule="auto"/>
            </w:pPr>
            <w:r>
              <w:rPr>
                <w:b w:val="0"/>
                <w:i w:val="0"/>
                <w:sz w:val="15"/>
              </w:rPr>
              <w:t>aml.match_threshold</w:t>
            </w:r>
          </w:p>
        </w:tc>
        <w:tc>
          <w:tcPr>
            <w:tcW w:type="dxa" w:w="907"/>
            <w:vAlign w:val="top"/>
            <w:shd w:val="clear" w:color="auto" w:fill="FDF0F7"/>
          </w:tcPr>
          <w:p>
            <w:pPr>
              <w:spacing w:after="20" w:line="252" w:lineRule="auto"/>
            </w:pPr>
            <w:r>
              <w:rPr>
                <w:b w:val="0"/>
                <w:i w:val="0"/>
                <w:sz w:val="15"/>
              </w:rPr>
              <w:t>85</w:t>
            </w:r>
          </w:p>
        </w:tc>
        <w:tc>
          <w:tcPr>
            <w:tcW w:type="dxa" w:w="1134"/>
            <w:vAlign w:val="top"/>
            <w:shd w:val="clear" w:color="auto" w:fill="FDF0F7"/>
          </w:tcPr>
          <w:p>
            <w:pPr>
              <w:spacing w:after="20" w:line="252" w:lineRule="auto"/>
            </w:pPr>
            <w:r>
              <w:rPr>
                <w:b w:val="0"/>
                <w:i w:val="0"/>
                <w:sz w:val="15"/>
              </w:rPr>
              <w:t>50 to 100</w:t>
            </w:r>
          </w:p>
        </w:tc>
        <w:tc>
          <w:tcPr>
            <w:tcW w:type="dxa" w:w="4535"/>
            <w:vAlign w:val="top"/>
            <w:shd w:val="clear" w:color="auto" w:fill="FDF0F7"/>
          </w:tcPr>
          <w:p>
            <w:pPr>
              <w:spacing w:after="20" w:line="252" w:lineRule="auto"/>
            </w:pPr>
            <w:r>
              <w:rPr>
                <w:b w:val="0"/>
                <w:i w:val="0"/>
                <w:sz w:val="15"/>
              </w:rPr>
              <w:t>Name-match score (0-100) at or above which a screening is flagged for review</w:t>
            </w:r>
          </w:p>
        </w:tc>
      </w:tr>
      <w:tr>
        <w:trPr>
          <w:cantSplit/>
        </w:trPr>
        <w:tc>
          <w:tcPr>
            <w:tcW w:type="dxa" w:w="3061"/>
            <w:vAlign w:val="top"/>
          </w:tcPr>
          <w:p>
            <w:pPr>
              <w:spacing w:after="20" w:line="252" w:lineRule="auto"/>
            </w:pPr>
            <w:r>
              <w:rPr>
                <w:b w:val="0"/>
                <w:i w:val="0"/>
                <w:sz w:val="15"/>
              </w:rPr>
              <w:t>commission.default_rate</w:t>
            </w:r>
          </w:p>
        </w:tc>
        <w:tc>
          <w:tcPr>
            <w:tcW w:type="dxa" w:w="907"/>
            <w:vAlign w:val="top"/>
          </w:tcPr>
          <w:p>
            <w:pPr>
              <w:spacing w:after="20" w:line="252" w:lineRule="auto"/>
            </w:pPr>
            <w:r>
              <w:rPr>
                <w:b w:val="0"/>
                <w:i w:val="0"/>
                <w:sz w:val="15"/>
              </w:rPr>
              <w:t>0.10</w:t>
            </w:r>
          </w:p>
        </w:tc>
        <w:tc>
          <w:tcPr>
            <w:tcW w:type="dxa" w:w="1134"/>
            <w:vAlign w:val="top"/>
          </w:tcPr>
          <w:p>
            <w:pPr>
              <w:spacing w:after="20" w:line="252" w:lineRule="auto"/>
            </w:pPr>
            <w:r>
              <w:rPr>
                <w:b w:val="0"/>
                <w:i w:val="0"/>
                <w:sz w:val="15"/>
              </w:rPr>
              <w:t>0 to 1</w:t>
            </w:r>
          </w:p>
        </w:tc>
        <w:tc>
          <w:tcPr>
            <w:tcW w:type="dxa" w:w="4535"/>
            <w:vAlign w:val="top"/>
          </w:tcPr>
          <w:p>
            <w:pPr>
              <w:spacing w:after="20" w:line="252" w:lineRule="auto"/>
            </w:pPr>
            <w:r>
              <w:rPr>
                <w:b w:val="0"/>
                <w:i w:val="0"/>
                <w:sz w:val="15"/>
              </w:rPr>
              <w:t>Default commission / referral fee rate when the product does not define one</w:t>
            </w:r>
          </w:p>
        </w:tc>
      </w:tr>
      <w:tr>
        <w:trPr>
          <w:cantSplit/>
        </w:trPr>
        <w:tc>
          <w:tcPr>
            <w:tcW w:type="dxa" w:w="3061"/>
            <w:vAlign w:val="top"/>
            <w:shd w:val="clear" w:color="auto" w:fill="FDF0F7"/>
          </w:tcPr>
          <w:p>
            <w:pPr>
              <w:spacing w:after="20" w:line="252" w:lineRule="auto"/>
            </w:pPr>
            <w:r>
              <w:rPr>
                <w:b w:val="0"/>
                <w:i w:val="0"/>
                <w:sz w:val="15"/>
              </w:rPr>
              <w:t>sla.critical.response_hours</w:t>
            </w:r>
          </w:p>
        </w:tc>
        <w:tc>
          <w:tcPr>
            <w:tcW w:type="dxa" w:w="907"/>
            <w:vAlign w:val="top"/>
            <w:shd w:val="clear" w:color="auto" w:fill="FDF0F7"/>
          </w:tcPr>
          <w:p>
            <w:pPr>
              <w:spacing w:after="20" w:line="252" w:lineRule="auto"/>
            </w:pPr>
            <w:r>
              <w:rPr>
                <w:b w:val="0"/>
                <w:i w:val="0"/>
                <w:sz w:val="15"/>
              </w:rPr>
              <w:t>1</w:t>
            </w:r>
          </w:p>
        </w:tc>
        <w:tc>
          <w:tcPr>
            <w:tcW w:type="dxa" w:w="1134"/>
            <w:vAlign w:val="top"/>
            <w:shd w:val="clear" w:color="auto" w:fill="FDF0F7"/>
          </w:tcPr>
          <w:p>
            <w:pPr>
              <w:spacing w:after="20" w:line="252" w:lineRule="auto"/>
            </w:pPr>
            <w:r>
              <w:rPr>
                <w:b w:val="0"/>
                <w:i w:val="0"/>
                <w:sz w:val="15"/>
              </w:rPr>
              <w:t>1 to 72</w:t>
            </w:r>
          </w:p>
        </w:tc>
        <w:tc>
          <w:tcPr>
            <w:tcW w:type="dxa" w:w="4535"/>
            <w:vAlign w:val="top"/>
            <w:shd w:val="clear" w:color="auto" w:fill="FDF0F7"/>
          </w:tcPr>
          <w:p>
            <w:pPr>
              <w:spacing w:after="20" w:line="252" w:lineRule="auto"/>
            </w:pPr>
            <w:r>
              <w:rPr>
                <w:b w:val="0"/>
                <w:i w:val="0"/>
                <w:sz w:val="15"/>
              </w:rPr>
              <w:t>Critical issue response target (hours)</w:t>
            </w:r>
          </w:p>
        </w:tc>
      </w:tr>
      <w:tr>
        <w:trPr>
          <w:cantSplit/>
        </w:trPr>
        <w:tc>
          <w:tcPr>
            <w:tcW w:type="dxa" w:w="3061"/>
            <w:vAlign w:val="top"/>
          </w:tcPr>
          <w:p>
            <w:pPr>
              <w:spacing w:after="20" w:line="252" w:lineRule="auto"/>
            </w:pPr>
            <w:r>
              <w:rPr>
                <w:b w:val="0"/>
                <w:i w:val="0"/>
                <w:sz w:val="15"/>
              </w:rPr>
              <w:t>sla.critical.resolution_hours</w:t>
            </w:r>
          </w:p>
        </w:tc>
        <w:tc>
          <w:tcPr>
            <w:tcW w:type="dxa" w:w="907"/>
            <w:vAlign w:val="top"/>
          </w:tcPr>
          <w:p>
            <w:pPr>
              <w:spacing w:after="20" w:line="252" w:lineRule="auto"/>
            </w:pPr>
            <w:r>
              <w:rPr>
                <w:b w:val="0"/>
                <w:i w:val="0"/>
                <w:sz w:val="15"/>
              </w:rPr>
              <w:t>4</w:t>
            </w:r>
          </w:p>
        </w:tc>
        <w:tc>
          <w:tcPr>
            <w:tcW w:type="dxa" w:w="1134"/>
            <w:vAlign w:val="top"/>
          </w:tcPr>
          <w:p>
            <w:pPr>
              <w:spacing w:after="20" w:line="252" w:lineRule="auto"/>
            </w:pPr>
            <w:r>
              <w:rPr>
                <w:b w:val="0"/>
                <w:i w:val="0"/>
                <w:sz w:val="15"/>
              </w:rPr>
              <w:t>1 to 168</w:t>
            </w:r>
          </w:p>
        </w:tc>
        <w:tc>
          <w:tcPr>
            <w:tcW w:type="dxa" w:w="4535"/>
            <w:vAlign w:val="top"/>
          </w:tcPr>
          <w:p>
            <w:pPr>
              <w:spacing w:after="20" w:line="252" w:lineRule="auto"/>
            </w:pPr>
            <w:r>
              <w:rPr>
                <w:b w:val="0"/>
                <w:i w:val="0"/>
                <w:sz w:val="15"/>
              </w:rPr>
              <w:t>Critical issue resolution target (hours)</w:t>
            </w:r>
          </w:p>
        </w:tc>
      </w:tr>
      <w:tr>
        <w:trPr>
          <w:cantSplit/>
        </w:trPr>
        <w:tc>
          <w:tcPr>
            <w:tcW w:type="dxa" w:w="3061"/>
            <w:vAlign w:val="top"/>
            <w:shd w:val="clear" w:color="auto" w:fill="FDF0F7"/>
          </w:tcPr>
          <w:p>
            <w:pPr>
              <w:spacing w:after="20" w:line="252" w:lineRule="auto"/>
            </w:pPr>
            <w:r>
              <w:rPr>
                <w:b w:val="0"/>
                <w:i w:val="0"/>
                <w:sz w:val="15"/>
              </w:rPr>
              <w:t>sla.high.response_hours</w:t>
            </w:r>
          </w:p>
        </w:tc>
        <w:tc>
          <w:tcPr>
            <w:tcW w:type="dxa" w:w="907"/>
            <w:vAlign w:val="top"/>
            <w:shd w:val="clear" w:color="auto" w:fill="FDF0F7"/>
          </w:tcPr>
          <w:p>
            <w:pPr>
              <w:spacing w:after="20" w:line="252" w:lineRule="auto"/>
            </w:pPr>
            <w:r>
              <w:rPr>
                <w:b w:val="0"/>
                <w:i w:val="0"/>
                <w:sz w:val="15"/>
              </w:rPr>
              <w:t>2</w:t>
            </w:r>
          </w:p>
        </w:tc>
        <w:tc>
          <w:tcPr>
            <w:tcW w:type="dxa" w:w="1134"/>
            <w:vAlign w:val="top"/>
            <w:shd w:val="clear" w:color="auto" w:fill="FDF0F7"/>
          </w:tcPr>
          <w:p>
            <w:pPr>
              <w:spacing w:after="20" w:line="252" w:lineRule="auto"/>
            </w:pPr>
            <w:r>
              <w:rPr>
                <w:b w:val="0"/>
                <w:i w:val="0"/>
                <w:sz w:val="15"/>
              </w:rPr>
              <w:t>1 to 72</w:t>
            </w:r>
          </w:p>
        </w:tc>
        <w:tc>
          <w:tcPr>
            <w:tcW w:type="dxa" w:w="4535"/>
            <w:vAlign w:val="top"/>
            <w:shd w:val="clear" w:color="auto" w:fill="FDF0F7"/>
          </w:tcPr>
          <w:p>
            <w:pPr>
              <w:spacing w:after="20" w:line="252" w:lineRule="auto"/>
            </w:pPr>
            <w:r>
              <w:rPr>
                <w:b w:val="0"/>
                <w:i w:val="0"/>
                <w:sz w:val="15"/>
              </w:rPr>
              <w:t>High issue response target (hours)</w:t>
            </w:r>
          </w:p>
        </w:tc>
      </w:tr>
      <w:tr>
        <w:trPr>
          <w:cantSplit/>
        </w:trPr>
        <w:tc>
          <w:tcPr>
            <w:tcW w:type="dxa" w:w="3061"/>
            <w:vAlign w:val="top"/>
          </w:tcPr>
          <w:p>
            <w:pPr>
              <w:spacing w:after="20" w:line="252" w:lineRule="auto"/>
            </w:pPr>
            <w:r>
              <w:rPr>
                <w:b w:val="0"/>
                <w:i w:val="0"/>
                <w:sz w:val="15"/>
              </w:rPr>
              <w:t>sla.high.resolution_hours</w:t>
            </w:r>
          </w:p>
        </w:tc>
        <w:tc>
          <w:tcPr>
            <w:tcW w:type="dxa" w:w="907"/>
            <w:vAlign w:val="top"/>
          </w:tcPr>
          <w:p>
            <w:pPr>
              <w:spacing w:after="20" w:line="252" w:lineRule="auto"/>
            </w:pPr>
            <w:r>
              <w:rPr>
                <w:b w:val="0"/>
                <w:i w:val="0"/>
                <w:sz w:val="15"/>
              </w:rPr>
              <w:t>24</w:t>
            </w:r>
          </w:p>
        </w:tc>
        <w:tc>
          <w:tcPr>
            <w:tcW w:type="dxa" w:w="1134"/>
            <w:vAlign w:val="top"/>
          </w:tcPr>
          <w:p>
            <w:pPr>
              <w:spacing w:after="20" w:line="252" w:lineRule="auto"/>
            </w:pPr>
            <w:r>
              <w:rPr>
                <w:b w:val="0"/>
                <w:i w:val="0"/>
                <w:sz w:val="15"/>
              </w:rPr>
              <w:t>1 to 336</w:t>
            </w:r>
          </w:p>
        </w:tc>
        <w:tc>
          <w:tcPr>
            <w:tcW w:type="dxa" w:w="4535"/>
            <w:vAlign w:val="top"/>
          </w:tcPr>
          <w:p>
            <w:pPr>
              <w:spacing w:after="20" w:line="252" w:lineRule="auto"/>
            </w:pPr>
            <w:r>
              <w:rPr>
                <w:b w:val="0"/>
                <w:i w:val="0"/>
                <w:sz w:val="15"/>
              </w:rPr>
              <w:t>High issue resolution target (hours)</w:t>
            </w:r>
          </w:p>
        </w:tc>
      </w:tr>
      <w:tr>
        <w:trPr>
          <w:cantSplit/>
        </w:trPr>
        <w:tc>
          <w:tcPr>
            <w:tcW w:type="dxa" w:w="3061"/>
            <w:vAlign w:val="top"/>
            <w:shd w:val="clear" w:color="auto" w:fill="FDF0F7"/>
          </w:tcPr>
          <w:p>
            <w:pPr>
              <w:spacing w:after="20" w:line="252" w:lineRule="auto"/>
            </w:pPr>
            <w:r>
              <w:rPr>
                <w:b w:val="0"/>
                <w:i w:val="0"/>
                <w:sz w:val="15"/>
              </w:rPr>
              <w:t>sla.medium.response_hours</w:t>
            </w:r>
          </w:p>
        </w:tc>
        <w:tc>
          <w:tcPr>
            <w:tcW w:type="dxa" w:w="907"/>
            <w:vAlign w:val="top"/>
            <w:shd w:val="clear" w:color="auto" w:fill="FDF0F7"/>
          </w:tcPr>
          <w:p>
            <w:pPr>
              <w:spacing w:after="20" w:line="252" w:lineRule="auto"/>
            </w:pPr>
            <w:r>
              <w:rPr>
                <w:b w:val="0"/>
                <w:i w:val="0"/>
                <w:sz w:val="15"/>
              </w:rPr>
              <w:t>8</w:t>
            </w:r>
          </w:p>
        </w:tc>
        <w:tc>
          <w:tcPr>
            <w:tcW w:type="dxa" w:w="1134"/>
            <w:vAlign w:val="top"/>
            <w:shd w:val="clear" w:color="auto" w:fill="FDF0F7"/>
          </w:tcPr>
          <w:p>
            <w:pPr>
              <w:spacing w:after="20" w:line="252" w:lineRule="auto"/>
            </w:pPr>
            <w:r>
              <w:rPr>
                <w:b w:val="0"/>
                <w:i w:val="0"/>
                <w:sz w:val="15"/>
              </w:rPr>
              <w:t>1 to 168</w:t>
            </w:r>
          </w:p>
        </w:tc>
        <w:tc>
          <w:tcPr>
            <w:tcW w:type="dxa" w:w="4535"/>
            <w:vAlign w:val="top"/>
            <w:shd w:val="clear" w:color="auto" w:fill="FDF0F7"/>
          </w:tcPr>
          <w:p>
            <w:pPr>
              <w:spacing w:after="20" w:line="252" w:lineRule="auto"/>
            </w:pPr>
            <w:r>
              <w:rPr>
                <w:b w:val="0"/>
                <w:i w:val="0"/>
                <w:sz w:val="15"/>
              </w:rPr>
              <w:t>Medium issue response target (hours)</w:t>
            </w:r>
          </w:p>
        </w:tc>
      </w:tr>
      <w:tr>
        <w:trPr>
          <w:cantSplit/>
        </w:trPr>
        <w:tc>
          <w:tcPr>
            <w:tcW w:type="dxa" w:w="3061"/>
            <w:vAlign w:val="top"/>
          </w:tcPr>
          <w:p>
            <w:pPr>
              <w:spacing w:after="20" w:line="252" w:lineRule="auto"/>
            </w:pPr>
            <w:r>
              <w:rPr>
                <w:b w:val="0"/>
                <w:i w:val="0"/>
                <w:sz w:val="15"/>
              </w:rPr>
              <w:t>sla.medium.resolution_hours</w:t>
            </w:r>
          </w:p>
        </w:tc>
        <w:tc>
          <w:tcPr>
            <w:tcW w:type="dxa" w:w="907"/>
            <w:vAlign w:val="top"/>
          </w:tcPr>
          <w:p>
            <w:pPr>
              <w:spacing w:after="20" w:line="252" w:lineRule="auto"/>
            </w:pPr>
            <w:r>
              <w:rPr>
                <w:b w:val="0"/>
                <w:i w:val="0"/>
                <w:sz w:val="15"/>
              </w:rPr>
              <w:t>72</w:t>
            </w:r>
          </w:p>
        </w:tc>
        <w:tc>
          <w:tcPr>
            <w:tcW w:type="dxa" w:w="1134"/>
            <w:vAlign w:val="top"/>
          </w:tcPr>
          <w:p>
            <w:pPr>
              <w:spacing w:after="20" w:line="252" w:lineRule="auto"/>
            </w:pPr>
            <w:r>
              <w:rPr>
                <w:b w:val="0"/>
                <w:i w:val="0"/>
                <w:sz w:val="15"/>
              </w:rPr>
              <w:t>1 to 720</w:t>
            </w:r>
          </w:p>
        </w:tc>
        <w:tc>
          <w:tcPr>
            <w:tcW w:type="dxa" w:w="4535"/>
            <w:vAlign w:val="top"/>
          </w:tcPr>
          <w:p>
            <w:pPr>
              <w:spacing w:after="20" w:line="252" w:lineRule="auto"/>
            </w:pPr>
            <w:r>
              <w:rPr>
                <w:b w:val="0"/>
                <w:i w:val="0"/>
                <w:sz w:val="15"/>
              </w:rPr>
              <w:t>Medium issue resolution target (hours)</w:t>
            </w:r>
          </w:p>
        </w:tc>
      </w:tr>
      <w:tr>
        <w:trPr>
          <w:cantSplit/>
        </w:trPr>
        <w:tc>
          <w:tcPr>
            <w:tcW w:type="dxa" w:w="3061"/>
            <w:vAlign w:val="top"/>
            <w:shd w:val="clear" w:color="auto" w:fill="FDF0F7"/>
          </w:tcPr>
          <w:p>
            <w:pPr>
              <w:spacing w:after="20" w:line="252" w:lineRule="auto"/>
            </w:pPr>
            <w:r>
              <w:rPr>
                <w:b w:val="0"/>
                <w:i w:val="0"/>
                <w:sz w:val="15"/>
              </w:rPr>
              <w:t>sla.low.response_hours</w:t>
            </w:r>
          </w:p>
        </w:tc>
        <w:tc>
          <w:tcPr>
            <w:tcW w:type="dxa" w:w="907"/>
            <w:vAlign w:val="top"/>
            <w:shd w:val="clear" w:color="auto" w:fill="FDF0F7"/>
          </w:tcPr>
          <w:p>
            <w:pPr>
              <w:spacing w:after="20" w:line="252" w:lineRule="auto"/>
            </w:pPr>
            <w:r>
              <w:rPr>
                <w:b w:val="0"/>
                <w:i w:val="0"/>
                <w:sz w:val="15"/>
              </w:rPr>
              <w:t>24</w:t>
            </w:r>
          </w:p>
        </w:tc>
        <w:tc>
          <w:tcPr>
            <w:tcW w:type="dxa" w:w="1134"/>
            <w:vAlign w:val="top"/>
            <w:shd w:val="clear" w:color="auto" w:fill="FDF0F7"/>
          </w:tcPr>
          <w:p>
            <w:pPr>
              <w:spacing w:after="20" w:line="252" w:lineRule="auto"/>
            </w:pPr>
            <w:r>
              <w:rPr>
                <w:b w:val="0"/>
                <w:i w:val="0"/>
                <w:sz w:val="15"/>
              </w:rPr>
              <w:t>1 to 336</w:t>
            </w:r>
          </w:p>
        </w:tc>
        <w:tc>
          <w:tcPr>
            <w:tcW w:type="dxa" w:w="4535"/>
            <w:vAlign w:val="top"/>
            <w:shd w:val="clear" w:color="auto" w:fill="FDF0F7"/>
          </w:tcPr>
          <w:p>
            <w:pPr>
              <w:spacing w:after="20" w:line="252" w:lineRule="auto"/>
            </w:pPr>
            <w:r>
              <w:rPr>
                <w:b w:val="0"/>
                <w:i w:val="0"/>
                <w:sz w:val="15"/>
              </w:rPr>
              <w:t>Low issue response target (hours)</w:t>
            </w:r>
          </w:p>
        </w:tc>
      </w:tr>
      <w:tr>
        <w:trPr>
          <w:cantSplit/>
        </w:trPr>
        <w:tc>
          <w:tcPr>
            <w:tcW w:type="dxa" w:w="3061"/>
            <w:vAlign w:val="top"/>
          </w:tcPr>
          <w:p>
            <w:pPr>
              <w:spacing w:after="20" w:line="252" w:lineRule="auto"/>
            </w:pPr>
            <w:r>
              <w:rPr>
                <w:b w:val="0"/>
                <w:i w:val="0"/>
                <w:sz w:val="15"/>
              </w:rPr>
              <w:t>sla.low.resolution_hours</w:t>
            </w:r>
          </w:p>
        </w:tc>
        <w:tc>
          <w:tcPr>
            <w:tcW w:type="dxa" w:w="907"/>
            <w:vAlign w:val="top"/>
          </w:tcPr>
          <w:p>
            <w:pPr>
              <w:spacing w:after="20" w:line="252" w:lineRule="auto"/>
            </w:pPr>
            <w:r>
              <w:rPr>
                <w:b w:val="0"/>
                <w:i w:val="0"/>
                <w:sz w:val="15"/>
              </w:rPr>
              <w:t>168</w:t>
            </w:r>
          </w:p>
        </w:tc>
        <w:tc>
          <w:tcPr>
            <w:tcW w:type="dxa" w:w="1134"/>
            <w:vAlign w:val="top"/>
          </w:tcPr>
          <w:p>
            <w:pPr>
              <w:spacing w:after="20" w:line="252" w:lineRule="auto"/>
            </w:pPr>
            <w:r>
              <w:rPr>
                <w:b w:val="0"/>
                <w:i w:val="0"/>
                <w:sz w:val="15"/>
              </w:rPr>
              <w:t>1 to 2160</w:t>
            </w:r>
          </w:p>
        </w:tc>
        <w:tc>
          <w:tcPr>
            <w:tcW w:type="dxa" w:w="4535"/>
            <w:vAlign w:val="top"/>
          </w:tcPr>
          <w:p>
            <w:pPr>
              <w:spacing w:after="20" w:line="252" w:lineRule="auto"/>
            </w:pPr>
            <w:r>
              <w:rPr>
                <w:b w:val="0"/>
                <w:i w:val="0"/>
                <w:sz w:val="15"/>
              </w:rPr>
              <w:t>Low issue resolution target (hours)</w:t>
            </w:r>
          </w:p>
        </w:tc>
      </w:tr>
      <w:tr>
        <w:trPr>
          <w:cantSplit/>
        </w:trPr>
        <w:tc>
          <w:tcPr>
            <w:tcW w:type="dxa" w:w="3061"/>
            <w:vAlign w:val="top"/>
            <w:shd w:val="clear" w:color="auto" w:fill="FDF0F7"/>
          </w:tcPr>
          <w:p>
            <w:pPr>
              <w:spacing w:after="20" w:line="252" w:lineRule="auto"/>
            </w:pPr>
            <w:r>
              <w:rPr>
                <w:b w:val="0"/>
                <w:i w:val="0"/>
                <w:sz w:val="15"/>
              </w:rPr>
              <w:t>integration.max_attempts</w:t>
            </w:r>
          </w:p>
        </w:tc>
        <w:tc>
          <w:tcPr>
            <w:tcW w:type="dxa" w:w="907"/>
            <w:vAlign w:val="top"/>
            <w:shd w:val="clear" w:color="auto" w:fill="FDF0F7"/>
          </w:tcPr>
          <w:p>
            <w:pPr>
              <w:spacing w:after="20" w:line="252" w:lineRule="auto"/>
            </w:pPr>
            <w:r>
              <w:rPr>
                <w:b w:val="0"/>
                <w:i w:val="0"/>
                <w:sz w:val="15"/>
              </w:rPr>
              <w:t>6</w:t>
            </w:r>
          </w:p>
        </w:tc>
        <w:tc>
          <w:tcPr>
            <w:tcW w:type="dxa" w:w="1134"/>
            <w:vAlign w:val="top"/>
            <w:shd w:val="clear" w:color="auto" w:fill="FDF0F7"/>
          </w:tcPr>
          <w:p>
            <w:pPr>
              <w:spacing w:after="20" w:line="252" w:lineRule="auto"/>
            </w:pPr>
            <w:r>
              <w:rPr>
                <w:b w:val="0"/>
                <w:i w:val="0"/>
                <w:sz w:val="15"/>
              </w:rPr>
              <w:t>1 to 20</w:t>
            </w:r>
          </w:p>
        </w:tc>
        <w:tc>
          <w:tcPr>
            <w:tcW w:type="dxa" w:w="4535"/>
            <w:vAlign w:val="top"/>
            <w:shd w:val="clear" w:color="auto" w:fill="FDF0F7"/>
          </w:tcPr>
          <w:p>
            <w:pPr>
              <w:spacing w:after="20" w:line="252" w:lineRule="auto"/>
            </w:pPr>
            <w:r>
              <w:rPr>
                <w:b w:val="0"/>
                <w:i w:val="0"/>
                <w:sz w:val="15"/>
              </w:rPr>
              <w:t>Delivery attempts before an integration message is moved to dead-letter</w:t>
            </w:r>
          </w:p>
        </w:tc>
      </w:tr>
      <w:tr>
        <w:trPr>
          <w:cantSplit/>
        </w:trPr>
        <w:tc>
          <w:tcPr>
            <w:tcW w:type="dxa" w:w="3061"/>
            <w:vAlign w:val="top"/>
          </w:tcPr>
          <w:p>
            <w:pPr>
              <w:spacing w:after="20" w:line="252" w:lineRule="auto"/>
            </w:pPr>
            <w:r>
              <w:rPr>
                <w:b w:val="0"/>
                <w:i w:val="0"/>
                <w:sz w:val="15"/>
              </w:rPr>
              <w:t>notification.max_attempts</w:t>
            </w:r>
          </w:p>
        </w:tc>
        <w:tc>
          <w:tcPr>
            <w:tcW w:type="dxa" w:w="907"/>
            <w:vAlign w:val="top"/>
          </w:tcPr>
          <w:p>
            <w:pPr>
              <w:spacing w:after="20" w:line="252" w:lineRule="auto"/>
            </w:pPr>
            <w:r>
              <w:rPr>
                <w:b w:val="0"/>
                <w:i w:val="0"/>
                <w:sz w:val="15"/>
              </w:rPr>
              <w:t>5</w:t>
            </w:r>
          </w:p>
        </w:tc>
        <w:tc>
          <w:tcPr>
            <w:tcW w:type="dxa" w:w="1134"/>
            <w:vAlign w:val="top"/>
          </w:tcPr>
          <w:p>
            <w:pPr>
              <w:spacing w:after="20" w:line="252" w:lineRule="auto"/>
            </w:pPr>
            <w:r>
              <w:rPr>
                <w:b w:val="0"/>
                <w:i w:val="0"/>
                <w:sz w:val="15"/>
              </w:rPr>
              <w:t>1 to 20</w:t>
            </w:r>
          </w:p>
        </w:tc>
        <w:tc>
          <w:tcPr>
            <w:tcW w:type="dxa" w:w="4535"/>
            <w:vAlign w:val="top"/>
          </w:tcPr>
          <w:p>
            <w:pPr>
              <w:spacing w:after="20" w:line="252" w:lineRule="auto"/>
            </w:pPr>
            <w:r>
              <w:rPr>
                <w:b w:val="0"/>
                <w:i w:val="0"/>
                <w:sz w:val="15"/>
              </w:rPr>
              <w:t>Email/SMS delivery attempts before giving up</w:t>
            </w:r>
          </w:p>
        </w:tc>
      </w:tr>
      <w:tr>
        <w:trPr>
          <w:cantSplit/>
        </w:trPr>
        <w:tc>
          <w:tcPr>
            <w:tcW w:type="dxa" w:w="3061"/>
            <w:vAlign w:val="top"/>
            <w:shd w:val="clear" w:color="auto" w:fill="FDF0F7"/>
          </w:tcPr>
          <w:p>
            <w:pPr>
              <w:spacing w:after="20" w:line="252" w:lineRule="auto"/>
            </w:pPr>
            <w:r>
              <w:rPr>
                <w:b w:val="0"/>
                <w:i w:val="0"/>
                <w:sz w:val="15"/>
              </w:rPr>
              <w:t>document.expiry_warning_days</w:t>
            </w:r>
          </w:p>
        </w:tc>
        <w:tc>
          <w:tcPr>
            <w:tcW w:type="dxa" w:w="907"/>
            <w:vAlign w:val="top"/>
            <w:shd w:val="clear" w:color="auto" w:fill="FDF0F7"/>
          </w:tcPr>
          <w:p>
            <w:pPr>
              <w:spacing w:after="20" w:line="252" w:lineRule="auto"/>
            </w:pPr>
            <w:r>
              <w:rPr>
                <w:b w:val="0"/>
                <w:i w:val="0"/>
                <w:sz w:val="15"/>
              </w:rPr>
              <w:t>30</w:t>
            </w:r>
          </w:p>
        </w:tc>
        <w:tc>
          <w:tcPr>
            <w:tcW w:type="dxa" w:w="1134"/>
            <w:vAlign w:val="top"/>
            <w:shd w:val="clear" w:color="auto" w:fill="FDF0F7"/>
          </w:tcPr>
          <w:p>
            <w:pPr>
              <w:spacing w:after="20" w:line="252" w:lineRule="auto"/>
            </w:pPr>
            <w:r>
              <w:rPr>
                <w:b w:val="0"/>
                <w:i w:val="0"/>
                <w:sz w:val="15"/>
              </w:rPr>
              <w:t>1 to 180</w:t>
            </w:r>
          </w:p>
        </w:tc>
        <w:tc>
          <w:tcPr>
            <w:tcW w:type="dxa" w:w="4535"/>
            <w:vAlign w:val="top"/>
            <w:shd w:val="clear" w:color="auto" w:fill="FDF0F7"/>
          </w:tcPr>
          <w:p>
            <w:pPr>
              <w:spacing w:after="20" w:line="252" w:lineRule="auto"/>
            </w:pPr>
            <w:r>
              <w:rPr>
                <w:b w:val="0"/>
                <w:i w:val="0"/>
                <w:sz w:val="15"/>
              </w:rPr>
              <w:t>Days before expiry that documents are flagged</w:t>
            </w:r>
          </w:p>
        </w:tc>
      </w:tr>
    </w:tbl>
    <w:p>
      <w:pPr>
        <w:pStyle w:val="Caption"/>
        <w:jc w:val="center"/>
      </w:pPr>
      <w:r>
        <w:rPr>
          <w:b w:val="0"/>
          <w:i w:val="0"/>
        </w:rPr>
        <w:t>Table 13: Business parameters and defaults</w:t>
      </w:r>
    </w:p>
    <w:p>
      <w:pPr>
        <w:pStyle w:val="Heading2"/>
      </w:pPr>
      <w:r>
        <w:t>6.9 Retention and archival</w:t>
      </w:r>
    </w:p>
    <w:p>
      <w:pPr>
        <w:keepNext w:val="0"/>
      </w:pPr>
      <w:r>
        <w:rPr>
          <w:b w:val="0"/>
          <w:i w:val="0"/>
        </w:rPr>
        <w:t>Proposed retention periods are below. They are confirmed with IIFT Compliance against the PDPO 2025, AMBD requirements and AML/CFT record-keeping rules during design. The retention job that applies them, with an archive schema and audit of every purge, is delivered during implementation. Expired sessions are already pruned automatically.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742"/>
        <w:gridCol w:w="3061"/>
        <w:gridCol w:w="2835"/>
      </w:tblGrid>
      <w:tr>
        <w:trPr>
          <w:cantSplit/>
          <w:tblHeader/>
        </w:trPr>
        <w:tc>
          <w:tcPr>
            <w:tcW w:type="dxa" w:w="3742"/>
            <w:shd w:val="clear" w:color="auto" w:fill="E1058C"/>
            <w:vAlign w:val="center"/>
          </w:tcPr>
          <w:p>
            <w:pPr>
              <w:spacing w:after="0"/>
            </w:pPr>
            <w:r>
              <w:rPr>
                <w:b/>
                <w:i w:val="0"/>
                <w:color w:val="FFFFFF"/>
                <w:sz w:val="16"/>
              </w:rPr>
              <w:t>Data</w:t>
            </w:r>
          </w:p>
        </w:tc>
        <w:tc>
          <w:tcPr>
            <w:tcW w:type="dxa" w:w="3061"/>
            <w:shd w:val="clear" w:color="auto" w:fill="E1058C"/>
            <w:vAlign w:val="center"/>
          </w:tcPr>
          <w:p>
            <w:pPr>
              <w:spacing w:after="0"/>
            </w:pPr>
            <w:r>
              <w:rPr>
                <w:b/>
                <w:i w:val="0"/>
                <w:color w:val="FFFFFF"/>
                <w:sz w:val="16"/>
              </w:rPr>
              <w:t>Retention</w:t>
            </w:r>
          </w:p>
        </w:tc>
        <w:tc>
          <w:tcPr>
            <w:tcW w:type="dxa" w:w="2835"/>
            <w:shd w:val="clear" w:color="auto" w:fill="E1058C"/>
            <w:vAlign w:val="center"/>
          </w:tcPr>
          <w:p>
            <w:pPr>
              <w:spacing w:after="0"/>
            </w:pPr>
            <w:r>
              <w:rPr>
                <w:b/>
                <w:i w:val="0"/>
                <w:color w:val="FFFFFF"/>
                <w:sz w:val="16"/>
              </w:rPr>
              <w:t>Mechanism</w:t>
            </w:r>
          </w:p>
        </w:tc>
      </w:tr>
      <w:tr>
        <w:trPr>
          <w:cantSplit/>
        </w:trPr>
        <w:tc>
          <w:tcPr>
            <w:tcW w:type="dxa" w:w="3742"/>
            <w:vAlign w:val="top"/>
          </w:tcPr>
          <w:p>
            <w:pPr>
              <w:spacing w:after="20" w:line="252" w:lineRule="auto"/>
            </w:pPr>
            <w:r>
              <w:rPr>
                <w:b w:val="0"/>
                <w:i w:val="0"/>
                <w:sz w:val="16"/>
              </w:rPr>
              <w:t>Policies, quotations taken up, nominees, policy events</w:t>
            </w:r>
          </w:p>
        </w:tc>
        <w:tc>
          <w:tcPr>
            <w:tcW w:type="dxa" w:w="3061"/>
            <w:vAlign w:val="top"/>
          </w:tcPr>
          <w:p>
            <w:pPr>
              <w:spacing w:after="20" w:line="252" w:lineRule="auto"/>
            </w:pPr>
            <w:r>
              <w:rPr>
                <w:b w:val="0"/>
                <w:i w:val="0"/>
                <w:sz w:val="16"/>
              </w:rPr>
              <w:t>7 years after policy end or cancellation</w:t>
            </w:r>
          </w:p>
        </w:tc>
        <w:tc>
          <w:tcPr>
            <w:tcW w:type="dxa" w:w="2835"/>
            <w:vAlign w:val="top"/>
          </w:tcPr>
          <w:p>
            <w:pPr>
              <w:spacing w:after="20" w:line="252" w:lineRule="auto"/>
            </w:pPr>
            <w:r>
              <w:rPr>
                <w:b w:val="0"/>
                <w:i w:val="0"/>
                <w:sz w:val="16"/>
              </w:rPr>
              <w:t>Archive to read-only schema, then delete</w:t>
            </w:r>
          </w:p>
        </w:tc>
      </w:tr>
      <w:tr>
        <w:trPr>
          <w:cantSplit/>
        </w:trPr>
        <w:tc>
          <w:tcPr>
            <w:tcW w:type="dxa" w:w="3742"/>
            <w:vAlign w:val="top"/>
            <w:shd w:val="clear" w:color="auto" w:fill="FDF0F7"/>
          </w:tcPr>
          <w:p>
            <w:pPr>
              <w:spacing w:after="20" w:line="252" w:lineRule="auto"/>
            </w:pPr>
            <w:r>
              <w:rPr>
                <w:b w:val="0"/>
                <w:i w:val="0"/>
                <w:sz w:val="16"/>
              </w:rPr>
              <w:t>Quotations not taken up (DRAFT, REJECTED)</w:t>
            </w:r>
          </w:p>
        </w:tc>
        <w:tc>
          <w:tcPr>
            <w:tcW w:type="dxa" w:w="3061"/>
            <w:vAlign w:val="top"/>
            <w:shd w:val="clear" w:color="auto" w:fill="FDF0F7"/>
          </w:tcPr>
          <w:p>
            <w:pPr>
              <w:spacing w:after="20" w:line="252" w:lineRule="auto"/>
            </w:pPr>
            <w:r>
              <w:rPr>
                <w:b w:val="0"/>
                <w:i w:val="0"/>
                <w:sz w:val="16"/>
              </w:rPr>
              <w:t>2 years after last change</w:t>
            </w:r>
          </w:p>
        </w:tc>
        <w:tc>
          <w:tcPr>
            <w:tcW w:type="dxa" w:w="2835"/>
            <w:vAlign w:val="top"/>
            <w:shd w:val="clear" w:color="auto" w:fill="FDF0F7"/>
          </w:tcPr>
          <w:p>
            <w:pPr>
              <w:spacing w:after="20" w:line="252" w:lineRule="auto"/>
            </w:pPr>
            <w:r>
              <w:rPr>
                <w:b w:val="0"/>
                <w:i w:val="0"/>
                <w:sz w:val="16"/>
              </w:rPr>
              <w:t>Delete with documents</w:t>
            </w:r>
          </w:p>
        </w:tc>
      </w:tr>
      <w:tr>
        <w:trPr>
          <w:cantSplit/>
        </w:trPr>
        <w:tc>
          <w:tcPr>
            <w:tcW w:type="dxa" w:w="3742"/>
            <w:vAlign w:val="top"/>
          </w:tcPr>
          <w:p>
            <w:pPr>
              <w:spacing w:after="20" w:line="252" w:lineRule="auto"/>
            </w:pPr>
            <w:r>
              <w:rPr>
                <w:b w:val="0"/>
                <w:i w:val="0"/>
                <w:sz w:val="16"/>
              </w:rPr>
              <w:t>Participants and AML screenings</w:t>
            </w:r>
          </w:p>
        </w:tc>
        <w:tc>
          <w:tcPr>
            <w:tcW w:type="dxa" w:w="3061"/>
            <w:vAlign w:val="top"/>
          </w:tcPr>
          <w:p>
            <w:pPr>
              <w:spacing w:after="20" w:line="252" w:lineRule="auto"/>
            </w:pPr>
            <w:r>
              <w:rPr>
                <w:b w:val="0"/>
                <w:i w:val="0"/>
                <w:sz w:val="16"/>
              </w:rPr>
              <w:t>7 years after the last policy ends (AML/CFT record keeping)</w:t>
            </w:r>
          </w:p>
        </w:tc>
        <w:tc>
          <w:tcPr>
            <w:tcW w:type="dxa" w:w="2835"/>
            <w:vAlign w:val="top"/>
          </w:tcPr>
          <w:p>
            <w:pPr>
              <w:spacing w:after="20" w:line="252" w:lineRule="auto"/>
            </w:pPr>
            <w:r>
              <w:rPr>
                <w:b w:val="0"/>
                <w:i w:val="0"/>
                <w:sz w:val="16"/>
              </w:rPr>
              <w:t>Archive, then delete</w:t>
            </w:r>
          </w:p>
        </w:tc>
      </w:tr>
      <w:tr>
        <w:trPr>
          <w:cantSplit/>
        </w:trPr>
        <w:tc>
          <w:tcPr>
            <w:tcW w:type="dxa" w:w="3742"/>
            <w:vAlign w:val="top"/>
            <w:shd w:val="clear" w:color="auto" w:fill="FDF0F7"/>
          </w:tcPr>
          <w:p>
            <w:pPr>
              <w:spacing w:after="20" w:line="252" w:lineRule="auto"/>
            </w:pPr>
            <w:r>
              <w:rPr>
                <w:b w:val="0"/>
                <w:i w:val="0"/>
                <w:sz w:val="16"/>
              </w:rPr>
              <w:t>Payments, receipts, commissions, EOD runs, FIN files</w:t>
            </w:r>
          </w:p>
        </w:tc>
        <w:tc>
          <w:tcPr>
            <w:tcW w:type="dxa" w:w="3061"/>
            <w:vAlign w:val="top"/>
            <w:shd w:val="clear" w:color="auto" w:fill="FDF0F7"/>
          </w:tcPr>
          <w:p>
            <w:pPr>
              <w:spacing w:after="20" w:line="252" w:lineRule="auto"/>
            </w:pPr>
            <w:r>
              <w:rPr>
                <w:b w:val="0"/>
                <w:i w:val="0"/>
                <w:sz w:val="16"/>
              </w:rPr>
              <w:t>7 years after the financial year</w:t>
            </w:r>
          </w:p>
        </w:tc>
        <w:tc>
          <w:tcPr>
            <w:tcW w:type="dxa" w:w="2835"/>
            <w:vAlign w:val="top"/>
            <w:shd w:val="clear" w:color="auto" w:fill="FDF0F7"/>
          </w:tcPr>
          <w:p>
            <w:pPr>
              <w:spacing w:after="20" w:line="252" w:lineRule="auto"/>
            </w:pPr>
            <w:r>
              <w:rPr>
                <w:b w:val="0"/>
                <w:i w:val="0"/>
                <w:sz w:val="16"/>
              </w:rPr>
              <w:t>Archive, then delete</w:t>
            </w:r>
          </w:p>
        </w:tc>
      </w:tr>
      <w:tr>
        <w:trPr>
          <w:cantSplit/>
        </w:trPr>
        <w:tc>
          <w:tcPr>
            <w:tcW w:type="dxa" w:w="3742"/>
            <w:vAlign w:val="top"/>
          </w:tcPr>
          <w:p>
            <w:pPr>
              <w:spacing w:after="20" w:line="252" w:lineRule="auto"/>
            </w:pPr>
            <w:r>
              <w:rPr>
                <w:b w:val="0"/>
                <w:i w:val="0"/>
                <w:sz w:val="16"/>
              </w:rPr>
              <w:t>Audit log</w:t>
            </w:r>
          </w:p>
        </w:tc>
        <w:tc>
          <w:tcPr>
            <w:tcW w:type="dxa" w:w="3061"/>
            <w:vAlign w:val="top"/>
          </w:tcPr>
          <w:p>
            <w:pPr>
              <w:spacing w:after="20" w:line="252" w:lineRule="auto"/>
            </w:pPr>
            <w:r>
              <w:rPr>
                <w:b w:val="0"/>
                <w:i w:val="0"/>
                <w:sz w:val="16"/>
              </w:rPr>
              <w:t>7 years online or in archive</w:t>
            </w:r>
          </w:p>
        </w:tc>
        <w:tc>
          <w:tcPr>
            <w:tcW w:type="dxa" w:w="2835"/>
            <w:vAlign w:val="top"/>
          </w:tcPr>
          <w:p>
            <w:pPr>
              <w:spacing w:after="20" w:line="252" w:lineRule="auto"/>
            </w:pPr>
            <w:r>
              <w:rPr>
                <w:b w:val="0"/>
                <w:i w:val="0"/>
                <w:sz w:val="16"/>
              </w:rPr>
              <w:t>Controlled archive procedure (trigger blocks normal deletion)</w:t>
            </w:r>
          </w:p>
        </w:tc>
      </w:tr>
      <w:tr>
        <w:trPr>
          <w:cantSplit/>
        </w:trPr>
        <w:tc>
          <w:tcPr>
            <w:tcW w:type="dxa" w:w="3742"/>
            <w:vAlign w:val="top"/>
            <w:shd w:val="clear" w:color="auto" w:fill="FDF0F7"/>
          </w:tcPr>
          <w:p>
            <w:pPr>
              <w:spacing w:after="20" w:line="252" w:lineRule="auto"/>
            </w:pPr>
            <w:r>
              <w:rPr>
                <w:b w:val="0"/>
                <w:i w:val="0"/>
                <w:sz w:val="16"/>
              </w:rPr>
              <w:t>Integration log, delivered outbox messages</w:t>
            </w:r>
          </w:p>
        </w:tc>
        <w:tc>
          <w:tcPr>
            <w:tcW w:type="dxa" w:w="3061"/>
            <w:vAlign w:val="top"/>
            <w:shd w:val="clear" w:color="auto" w:fill="FDF0F7"/>
          </w:tcPr>
          <w:p>
            <w:pPr>
              <w:spacing w:after="20" w:line="252" w:lineRule="auto"/>
            </w:pPr>
            <w:r>
              <w:rPr>
                <w:b w:val="0"/>
                <w:i w:val="0"/>
                <w:sz w:val="16"/>
              </w:rPr>
              <w:t>2 years</w:t>
            </w:r>
          </w:p>
        </w:tc>
        <w:tc>
          <w:tcPr>
            <w:tcW w:type="dxa" w:w="2835"/>
            <w:vAlign w:val="top"/>
            <w:shd w:val="clear" w:color="auto" w:fill="FDF0F7"/>
          </w:tcPr>
          <w:p>
            <w:pPr>
              <w:spacing w:after="20" w:line="252" w:lineRule="auto"/>
            </w:pPr>
            <w:r>
              <w:rPr>
                <w:b w:val="0"/>
                <w:i w:val="0"/>
                <w:sz w:val="16"/>
              </w:rPr>
              <w:t>Delete</w:t>
            </w:r>
          </w:p>
        </w:tc>
      </w:tr>
      <w:tr>
        <w:trPr>
          <w:cantSplit/>
        </w:trPr>
        <w:tc>
          <w:tcPr>
            <w:tcW w:type="dxa" w:w="3742"/>
            <w:vAlign w:val="top"/>
          </w:tcPr>
          <w:p>
            <w:pPr>
              <w:spacing w:after="20" w:line="252" w:lineRule="auto"/>
            </w:pPr>
            <w:r>
              <w:rPr>
                <w:b w:val="0"/>
                <w:i w:val="0"/>
                <w:sz w:val="16"/>
              </w:rPr>
              <w:t>Notifications</w:t>
            </w:r>
          </w:p>
        </w:tc>
        <w:tc>
          <w:tcPr>
            <w:tcW w:type="dxa" w:w="3061"/>
            <w:vAlign w:val="top"/>
          </w:tcPr>
          <w:p>
            <w:pPr>
              <w:spacing w:after="20" w:line="252" w:lineRule="auto"/>
            </w:pPr>
            <w:r>
              <w:rPr>
                <w:b w:val="0"/>
                <w:i w:val="0"/>
                <w:sz w:val="16"/>
              </w:rPr>
              <w:t>1 year (sensitive bodies already removed after delivery)</w:t>
            </w:r>
          </w:p>
        </w:tc>
        <w:tc>
          <w:tcPr>
            <w:tcW w:type="dxa" w:w="2835"/>
            <w:vAlign w:val="top"/>
          </w:tcPr>
          <w:p>
            <w:pPr>
              <w:spacing w:after="20" w:line="252" w:lineRule="auto"/>
            </w:pPr>
            <w:r>
              <w:rPr>
                <w:b w:val="0"/>
                <w:i w:val="0"/>
                <w:sz w:val="16"/>
              </w:rPr>
              <w:t>Delete</w:t>
            </w:r>
          </w:p>
        </w:tc>
      </w:tr>
      <w:tr>
        <w:trPr>
          <w:cantSplit/>
        </w:trPr>
        <w:tc>
          <w:tcPr>
            <w:tcW w:type="dxa" w:w="3742"/>
            <w:vAlign w:val="top"/>
            <w:shd w:val="clear" w:color="auto" w:fill="FDF0F7"/>
          </w:tcPr>
          <w:p>
            <w:pPr>
              <w:spacing w:after="20" w:line="252" w:lineRule="auto"/>
            </w:pPr>
            <w:r>
              <w:rPr>
                <w:b w:val="0"/>
                <w:i w:val="0"/>
                <w:sz w:val="16"/>
              </w:rPr>
              <w:t>Issues and comments</w:t>
            </w:r>
          </w:p>
        </w:tc>
        <w:tc>
          <w:tcPr>
            <w:tcW w:type="dxa" w:w="3061"/>
            <w:vAlign w:val="top"/>
            <w:shd w:val="clear" w:color="auto" w:fill="FDF0F7"/>
          </w:tcPr>
          <w:p>
            <w:pPr>
              <w:spacing w:after="20" w:line="252" w:lineRule="auto"/>
            </w:pPr>
            <w:r>
              <w:rPr>
                <w:b w:val="0"/>
                <w:i w:val="0"/>
                <w:sz w:val="16"/>
              </w:rPr>
              <w:t>3 years after closure</w:t>
            </w:r>
          </w:p>
        </w:tc>
        <w:tc>
          <w:tcPr>
            <w:tcW w:type="dxa" w:w="2835"/>
            <w:vAlign w:val="top"/>
            <w:shd w:val="clear" w:color="auto" w:fill="FDF0F7"/>
          </w:tcPr>
          <w:p>
            <w:pPr>
              <w:spacing w:after="20" w:line="252" w:lineRule="auto"/>
            </w:pPr>
            <w:r>
              <w:rPr>
                <w:b w:val="0"/>
                <w:i w:val="0"/>
                <w:sz w:val="16"/>
              </w:rPr>
              <w:t>Delete</w:t>
            </w:r>
          </w:p>
        </w:tc>
      </w:tr>
      <w:tr>
        <w:trPr>
          <w:cantSplit/>
        </w:trPr>
        <w:tc>
          <w:tcPr>
            <w:tcW w:type="dxa" w:w="3742"/>
            <w:vAlign w:val="top"/>
          </w:tcPr>
          <w:p>
            <w:pPr>
              <w:spacing w:after="20" w:line="252" w:lineRule="auto"/>
            </w:pPr>
            <w:r>
              <w:rPr>
                <w:b w:val="0"/>
                <w:i w:val="0"/>
                <w:sz w:val="16"/>
              </w:rPr>
              <w:t>Sessions</w:t>
            </w:r>
          </w:p>
        </w:tc>
        <w:tc>
          <w:tcPr>
            <w:tcW w:type="dxa" w:w="3061"/>
            <w:vAlign w:val="top"/>
          </w:tcPr>
          <w:p>
            <w:pPr>
              <w:spacing w:after="20" w:line="252" w:lineRule="auto"/>
            </w:pPr>
            <w:r>
              <w:rPr>
                <w:b w:val="0"/>
                <w:i w:val="0"/>
                <w:sz w:val="16"/>
              </w:rPr>
              <w:t>Until expiry</w:t>
            </w:r>
          </w:p>
        </w:tc>
        <w:tc>
          <w:tcPr>
            <w:tcW w:type="dxa" w:w="2835"/>
            <w:vAlign w:val="top"/>
          </w:tcPr>
          <w:p>
            <w:pPr>
              <w:spacing w:after="20" w:line="252" w:lineRule="auto"/>
            </w:pPr>
            <w:r>
              <w:rPr>
                <w:b w:val="0"/>
                <w:i w:val="0"/>
                <w:sz w:val="16"/>
              </w:rPr>
              <w:t>Pruned every 15 minutes (running today)</w:t>
            </w:r>
          </w:p>
        </w:tc>
      </w:tr>
    </w:tbl>
    <w:p>
      <w:pPr>
        <w:pStyle w:val="Caption"/>
        <w:jc w:val="center"/>
      </w:pPr>
      <w:r>
        <w:rPr>
          <w:b w:val="0"/>
          <w:i w:val="0"/>
        </w:rPr>
        <w:t>Table 14: Proposed retention</w:t>
      </w:r>
    </w:p>
    <w:p>
      <w:pPr>
        <w:pStyle w:val="Heading2"/>
      </w:pPr>
      <w:r>
        <w:t>6.10 Data migration</w:t>
      </w:r>
    </w:p>
    <w:p>
      <w:pPr>
        <w:keepNext w:val="0"/>
      </w:pPr>
      <w:r>
        <w:rPr>
          <w:b w:val="0"/>
          <w:i w:val="0"/>
        </w:rPr>
        <w:t>Legacy agents, agencies, participants and in-force policies are loaded through the same services the application uses, so encryption, blind indexes, numbering and audit apply to migrated records. Each rehearsal produces a reconciliation of counts and amounts that IIFT signs off (DEL-19); the migration tooling is delivered during implementation.</w:t>
      </w:r>
    </w:p>
    <w:p>
      <w:pPr>
        <w:pStyle w:val="Heading1"/>
        <w:pageBreakBefore/>
        <w:pBdr>
          <w:bottom w:val="single" w:sz="12" w:space="4" w:color="F58220"/>
        </w:pBdr>
      </w:pPr>
      <w:r>
        <w:t>7. Integration Architecture</w:t>
      </w:r>
    </w:p>
    <w:p>
      <w:pPr>
        <w:pStyle w:val="Heading2"/>
      </w:pPr>
      <w:r>
        <w:t>7.1 Approach</w:t>
      </w:r>
    </w:p>
    <w:p>
      <w:pPr>
        <w:keepNext w:val="0"/>
      </w:pPr>
      <w:r>
        <w:rPr>
          <w:b w:val="0"/>
          <w:i w:val="0"/>
        </w:rPr>
        <w:t>Outbound business events to the core and financial systems use a transactional outbox. Calls that need an answer at once (AML screening, directory sign-in, FIN posted receipts) are synchronous with timeouts. E-mail and SMS go through the notification table and its own dispatcher. Core and FIN call the portal through a small set of API-key-protected endpoints. Every call in either direction is written to integration_log, which feeds the integration monitor (INT-11, INT-14).</w:t>
      </w:r>
    </w:p>
    <w:p>
      <w:pPr>
        <w:keepNext/>
        <w:spacing w:after="0"/>
        <w:jc w:val="center"/>
      </w:pPr>
      <w:r>
        <w:drawing>
          <wp:inline xmlns:a="http://schemas.openxmlformats.org/drawingml/2006/main" xmlns:pic="http://schemas.openxmlformats.org/drawingml/2006/picture">
            <wp:extent cx="5760000" cy="4854857"/>
            <wp:docPr id="10" name="Picture 10"/>
            <wp:cNvGraphicFramePr>
              <a:graphicFrameLocks noChangeAspect="1"/>
            </wp:cNvGraphicFramePr>
            <a:graphic>
              <a:graphicData uri="http://schemas.openxmlformats.org/drawingml/2006/picture">
                <pic:pic>
                  <pic:nvPicPr>
                    <pic:cNvPr id="0" name="tech-integration.png"/>
                    <pic:cNvPicPr/>
                  </pic:nvPicPr>
                  <pic:blipFill>
                    <a:blip r:embed="rId20"/>
                    <a:stretch>
                      <a:fillRect/>
                    </a:stretch>
                  </pic:blipFill>
                  <pic:spPr>
                    <a:xfrm>
                      <a:off x="0" y="0"/>
                      <a:ext cx="5760000" cy="4854857"/>
                    </a:xfrm>
                    <a:prstGeom prst="rect"/>
                  </pic:spPr>
                </pic:pic>
              </a:graphicData>
            </a:graphic>
          </wp:inline>
        </w:drawing>
      </w:r>
    </w:p>
    <w:p>
      <w:pPr>
        <w:pStyle w:val="Caption"/>
        <w:jc w:val="center"/>
      </w:pPr>
      <w:r>
        <w:rPr>
          <w:b w:val="0"/>
          <w:i w:val="0"/>
        </w:rPr>
        <w:t>Figure 7: Outbox delivery, retry and dead-letter</w:t>
      </w:r>
    </w:p>
    <w:p>
      <w:pPr>
        <w:pStyle w:val="Heading2"/>
      </w:pPr>
      <w:r>
        <w:t>7.2 Delivery guarantees</w:t>
      </w:r>
    </w:p>
    <w:p>
      <w:pPr>
        <w:pStyle w:val="ListBullet"/>
      </w:pPr>
      <w:r>
        <w:rPr>
          <w:b/>
          <w:i w:val="0"/>
        </w:rPr>
        <w:t>Atomic capture.</w:t>
      </w:r>
      <w:r>
        <w:rPr>
          <w:b w:val="0"/>
          <w:i w:val="0"/>
        </w:rPr>
        <w:t xml:space="preserve"> The outbox row is inserted in the same transaction as the business change, so a message is never lost and never sent for a change that rolled back.</w:t>
      </w:r>
    </w:p>
    <w:p>
      <w:pPr>
        <w:pStyle w:val="ListBullet"/>
      </w:pPr>
      <w:r>
        <w:rPr>
          <w:b/>
          <w:i w:val="0"/>
        </w:rPr>
        <w:t>At-least-once delivery with idempotency.</w:t>
      </w:r>
      <w:r>
        <w:rPr>
          <w:b w:val="0"/>
          <w:i w:val="0"/>
        </w:rPr>
        <w:t xml:space="preserve"> The outbox id is sent as the Idempotency-Key header, unless the payload carries its own business key (EOD postings), which is sent instead; the receiver must ignore a key it has already processed. This is part of the interface specification.</w:t>
      </w:r>
    </w:p>
    <w:p>
      <w:pPr>
        <w:pStyle w:val="ListBullet"/>
      </w:pPr>
      <w:r>
        <w:rPr>
          <w:b/>
          <w:i w:val="0"/>
        </w:rPr>
        <w:t>Retry with back-off.</w:t>
      </w:r>
      <w:r>
        <w:rPr>
          <w:b w:val="0"/>
          <w:i w:val="0"/>
        </w:rPr>
        <w:t xml:space="preserve"> Connection errors, timeouts, HTTP 5xx, 408 and 429 are retried after 1, 2, 4, 8 ... minutes, capped at 60 minutes. Other 4xx responses mean the message is wrong and go straight to dead-letter.</w:t>
      </w:r>
    </w:p>
    <w:p>
      <w:pPr>
        <w:pStyle w:val="ListBullet"/>
      </w:pPr>
      <w:r>
        <w:rPr>
          <w:b/>
          <w:i w:val="0"/>
        </w:rPr>
        <w:t>Dead-letter and alert.</w:t>
      </w:r>
      <w:r>
        <w:rPr>
          <w:b w:val="0"/>
          <w:i w:val="0"/>
        </w:rPr>
        <w:t xml:space="preserve"> After integration.max_attempts attempts (6 by default) the message becomes DEAD and every holder of bo.integration.manage receives an e-mail. The integration monitor shows the message and error; Retry resets it to PENDING.</w:t>
      </w:r>
    </w:p>
    <w:p>
      <w:pPr>
        <w:pStyle w:val="ListBullet"/>
      </w:pPr>
      <w:r>
        <w:rPr>
          <w:b/>
          <w:i w:val="0"/>
        </w:rPr>
        <w:t>Ordering.</w:t>
      </w:r>
      <w:r>
        <w:rPr>
          <w:b w:val="0"/>
          <w:i w:val="0"/>
        </w:rPr>
        <w:t xml:space="preserve"> Due messages are taken oldest first in batches of 25 by a single dispatcher (advisory lock), so events for one record are delivered in order unless one of them is retrying.</w:t>
      </w:r>
    </w:p>
    <w:p>
      <w:pPr>
        <w:pStyle w:val="ListBullet"/>
      </w:pPr>
      <w:r>
        <w:rPr>
          <w:b/>
          <w:i w:val="0"/>
        </w:rPr>
        <w:t>Timeouts.</w:t>
      </w:r>
      <w:r>
        <w:rPr>
          <w:b w:val="0"/>
          <w:i w:val="0"/>
        </w:rPr>
        <w:t xml:space="preserve"> Each endpoint has its own timeout (15 seconds by default).</w:t>
      </w:r>
    </w:p>
    <w:p>
      <w:pPr>
        <w:pStyle w:val="Heading2"/>
      </w:pPr>
      <w:r>
        <w:t>7.3 Outbound operations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134"/>
        <w:gridCol w:w="2268"/>
        <w:gridCol w:w="2835"/>
        <w:gridCol w:w="3402"/>
      </w:tblGrid>
      <w:tr>
        <w:trPr>
          <w:cantSplit/>
          <w:tblHeader/>
        </w:trPr>
        <w:tc>
          <w:tcPr>
            <w:tcW w:type="dxa" w:w="1134"/>
            <w:shd w:val="clear" w:color="auto" w:fill="E1058C"/>
            <w:vAlign w:val="center"/>
          </w:tcPr>
          <w:p>
            <w:pPr>
              <w:spacing w:after="0"/>
            </w:pPr>
            <w:r>
              <w:rPr>
                <w:b/>
                <w:i w:val="0"/>
                <w:color w:val="FFFFFF"/>
                <w:sz w:val="16"/>
              </w:rPr>
              <w:t>System</w:t>
            </w:r>
          </w:p>
        </w:tc>
        <w:tc>
          <w:tcPr>
            <w:tcW w:type="dxa" w:w="2268"/>
            <w:shd w:val="clear" w:color="auto" w:fill="E1058C"/>
            <w:vAlign w:val="center"/>
          </w:tcPr>
          <w:p>
            <w:pPr>
              <w:spacing w:after="0"/>
            </w:pPr>
            <w:r>
              <w:rPr>
                <w:b/>
                <w:i w:val="0"/>
                <w:color w:val="FFFFFF"/>
                <w:sz w:val="16"/>
              </w:rPr>
              <w:t>Operation</w:t>
            </w:r>
          </w:p>
        </w:tc>
        <w:tc>
          <w:tcPr>
            <w:tcW w:type="dxa" w:w="2835"/>
            <w:shd w:val="clear" w:color="auto" w:fill="E1058C"/>
            <w:vAlign w:val="center"/>
          </w:tcPr>
          <w:p>
            <w:pPr>
              <w:spacing w:after="0"/>
            </w:pPr>
            <w:r>
              <w:rPr>
                <w:b/>
                <w:i w:val="0"/>
                <w:color w:val="FFFFFF"/>
                <w:sz w:val="16"/>
              </w:rPr>
              <w:t>Endpoint (base URL from configuration)</w:t>
            </w:r>
          </w:p>
        </w:tc>
        <w:tc>
          <w:tcPr>
            <w:tcW w:type="dxa" w:w="3402"/>
            <w:shd w:val="clear" w:color="auto" w:fill="E1058C"/>
            <w:vAlign w:val="center"/>
          </w:tcPr>
          <w:p>
            <w:pPr>
              <w:spacing w:after="0"/>
            </w:pPr>
            <w:r>
              <w:rPr>
                <w:b/>
                <w:i w:val="0"/>
                <w:color w:val="FFFFFF"/>
                <w:sz w:val="16"/>
              </w:rPr>
              <w:t>Raised when</w:t>
            </w:r>
          </w:p>
        </w:tc>
      </w:tr>
      <w:tr>
        <w:trPr>
          <w:cantSplit/>
        </w:trPr>
        <w:tc>
          <w:tcPr>
            <w:tcW w:type="dxa" w:w="1134"/>
            <w:vAlign w:val="top"/>
          </w:tcPr>
          <w:p>
            <w:pPr>
              <w:spacing w:after="20" w:line="252" w:lineRule="auto"/>
            </w:pPr>
            <w:r>
              <w:rPr>
                <w:b w:val="0"/>
                <w:i w:val="0"/>
                <w:sz w:val="16"/>
              </w:rPr>
              <w:t>CORE</w:t>
            </w:r>
          </w:p>
        </w:tc>
        <w:tc>
          <w:tcPr>
            <w:tcW w:type="dxa" w:w="2268"/>
            <w:vAlign w:val="top"/>
          </w:tcPr>
          <w:p>
            <w:pPr>
              <w:spacing w:after="20" w:line="252" w:lineRule="auto"/>
            </w:pPr>
            <w:r>
              <w:rPr>
                <w:b w:val="0"/>
                <w:i w:val="0"/>
                <w:sz w:val="16"/>
              </w:rPr>
              <w:t>AGENT_UPSERT</w:t>
            </w:r>
          </w:p>
        </w:tc>
        <w:tc>
          <w:tcPr>
            <w:tcW w:type="dxa" w:w="2835"/>
            <w:vAlign w:val="top"/>
          </w:tcPr>
          <w:p>
            <w:pPr>
              <w:spacing w:after="20" w:line="252" w:lineRule="auto"/>
            </w:pPr>
            <w:r>
              <w:rPr>
                <w:b w:val="0"/>
                <w:i w:val="0"/>
                <w:sz w:val="16"/>
              </w:rPr>
              <w:t>POST /agents</w:t>
            </w:r>
          </w:p>
        </w:tc>
        <w:tc>
          <w:tcPr>
            <w:tcW w:type="dxa" w:w="3402"/>
            <w:vAlign w:val="top"/>
          </w:tcPr>
          <w:p>
            <w:pPr>
              <w:spacing w:after="20" w:line="252" w:lineRule="auto"/>
            </w:pPr>
            <w:r>
              <w:rPr>
                <w:b w:val="0"/>
                <w:i w:val="0"/>
                <w:sz w:val="16"/>
              </w:rPr>
              <w:t>Agent registration, profile update or status change approved</w:t>
            </w:r>
          </w:p>
        </w:tc>
      </w:tr>
      <w:tr>
        <w:trPr>
          <w:cantSplit/>
        </w:trPr>
        <w:tc>
          <w:tcPr>
            <w:tcW w:type="dxa" w:w="1134"/>
            <w:vAlign w:val="top"/>
            <w:shd w:val="clear" w:color="auto" w:fill="FDF0F7"/>
          </w:tcPr>
          <w:p>
            <w:pPr>
              <w:spacing w:after="20" w:line="252" w:lineRule="auto"/>
            </w:pPr>
            <w:r>
              <w:rPr>
                <w:b w:val="0"/>
                <w:i w:val="0"/>
                <w:sz w:val="16"/>
              </w:rPr>
              <w:t>CORE</w:t>
            </w:r>
          </w:p>
        </w:tc>
        <w:tc>
          <w:tcPr>
            <w:tcW w:type="dxa" w:w="2268"/>
            <w:vAlign w:val="top"/>
            <w:shd w:val="clear" w:color="auto" w:fill="FDF0F7"/>
          </w:tcPr>
          <w:p>
            <w:pPr>
              <w:spacing w:after="20" w:line="252" w:lineRule="auto"/>
            </w:pPr>
            <w:r>
              <w:rPr>
                <w:b w:val="0"/>
                <w:i w:val="0"/>
                <w:sz w:val="16"/>
              </w:rPr>
              <w:t>PARTICIPANT_UPSERT</w:t>
            </w:r>
          </w:p>
        </w:tc>
        <w:tc>
          <w:tcPr>
            <w:tcW w:type="dxa" w:w="2835"/>
            <w:vAlign w:val="top"/>
            <w:shd w:val="clear" w:color="auto" w:fill="FDF0F7"/>
          </w:tcPr>
          <w:p>
            <w:pPr>
              <w:spacing w:after="20" w:line="252" w:lineRule="auto"/>
            </w:pPr>
            <w:r>
              <w:rPr>
                <w:b w:val="0"/>
                <w:i w:val="0"/>
                <w:sz w:val="16"/>
              </w:rPr>
              <w:t>POST /participants</w:t>
            </w:r>
          </w:p>
        </w:tc>
        <w:tc>
          <w:tcPr>
            <w:tcW w:type="dxa" w:w="3402"/>
            <w:vAlign w:val="top"/>
            <w:shd w:val="clear" w:color="auto" w:fill="FDF0F7"/>
          </w:tcPr>
          <w:p>
            <w:pPr>
              <w:spacing w:after="20" w:line="252" w:lineRule="auto"/>
            </w:pPr>
            <w:r>
              <w:rPr>
                <w:b w:val="0"/>
                <w:i w:val="0"/>
                <w:sz w:val="16"/>
              </w:rPr>
              <w:t>Participant update approved</w:t>
            </w:r>
          </w:p>
        </w:tc>
      </w:tr>
      <w:tr>
        <w:trPr>
          <w:cantSplit/>
        </w:trPr>
        <w:tc>
          <w:tcPr>
            <w:tcW w:type="dxa" w:w="1134"/>
            <w:vAlign w:val="top"/>
          </w:tcPr>
          <w:p>
            <w:pPr>
              <w:spacing w:after="20" w:line="252" w:lineRule="auto"/>
            </w:pPr>
            <w:r>
              <w:rPr>
                <w:b w:val="0"/>
                <w:i w:val="0"/>
                <w:sz w:val="16"/>
              </w:rPr>
              <w:t>CORE</w:t>
            </w:r>
          </w:p>
        </w:tc>
        <w:tc>
          <w:tcPr>
            <w:tcW w:type="dxa" w:w="2268"/>
            <w:vAlign w:val="top"/>
          </w:tcPr>
          <w:p>
            <w:pPr>
              <w:spacing w:after="20" w:line="252" w:lineRule="auto"/>
            </w:pPr>
            <w:r>
              <w:rPr>
                <w:b w:val="0"/>
                <w:i w:val="0"/>
                <w:sz w:val="16"/>
              </w:rPr>
              <w:t>POLICY_ISSUED</w:t>
            </w:r>
          </w:p>
        </w:tc>
        <w:tc>
          <w:tcPr>
            <w:tcW w:type="dxa" w:w="2835"/>
            <w:vAlign w:val="top"/>
          </w:tcPr>
          <w:p>
            <w:pPr>
              <w:spacing w:after="20" w:line="252" w:lineRule="auto"/>
            </w:pPr>
            <w:r>
              <w:rPr>
                <w:b w:val="0"/>
                <w:i w:val="0"/>
                <w:sz w:val="16"/>
              </w:rPr>
              <w:t>POST /policies</w:t>
            </w:r>
          </w:p>
        </w:tc>
        <w:tc>
          <w:tcPr>
            <w:tcW w:type="dxa" w:w="3402"/>
            <w:vAlign w:val="top"/>
          </w:tcPr>
          <w:p>
            <w:pPr>
              <w:spacing w:after="20" w:line="252" w:lineRule="auto"/>
            </w:pPr>
            <w:r>
              <w:rPr>
                <w:b w:val="0"/>
                <w:i w:val="0"/>
                <w:sz w:val="16"/>
              </w:rPr>
              <w:t>Policy issued: directly, after referral approval or after payment verification</w:t>
            </w:r>
          </w:p>
        </w:tc>
      </w:tr>
      <w:tr>
        <w:trPr>
          <w:cantSplit/>
        </w:trPr>
        <w:tc>
          <w:tcPr>
            <w:tcW w:type="dxa" w:w="1134"/>
            <w:vAlign w:val="top"/>
            <w:shd w:val="clear" w:color="auto" w:fill="FDF0F7"/>
          </w:tcPr>
          <w:p>
            <w:pPr>
              <w:spacing w:after="20" w:line="252" w:lineRule="auto"/>
            </w:pPr>
            <w:r>
              <w:rPr>
                <w:b w:val="0"/>
                <w:i w:val="0"/>
                <w:sz w:val="16"/>
              </w:rPr>
              <w:t>CORE</w:t>
            </w:r>
          </w:p>
        </w:tc>
        <w:tc>
          <w:tcPr>
            <w:tcW w:type="dxa" w:w="2268"/>
            <w:vAlign w:val="top"/>
            <w:shd w:val="clear" w:color="auto" w:fill="FDF0F7"/>
          </w:tcPr>
          <w:p>
            <w:pPr>
              <w:spacing w:after="20" w:line="252" w:lineRule="auto"/>
            </w:pPr>
            <w:r>
              <w:rPr>
                <w:b w:val="0"/>
                <w:i w:val="0"/>
                <w:sz w:val="16"/>
              </w:rPr>
              <w:t>POLICY_ENDORSED</w:t>
            </w:r>
          </w:p>
        </w:tc>
        <w:tc>
          <w:tcPr>
            <w:tcW w:type="dxa" w:w="2835"/>
            <w:vAlign w:val="top"/>
            <w:shd w:val="clear" w:color="auto" w:fill="FDF0F7"/>
          </w:tcPr>
          <w:p>
            <w:pPr>
              <w:spacing w:after="20" w:line="252" w:lineRule="auto"/>
            </w:pPr>
            <w:r>
              <w:rPr>
                <w:b w:val="0"/>
                <w:i w:val="0"/>
                <w:sz w:val="16"/>
              </w:rPr>
              <w:t>POST /policies/endorsements</w:t>
            </w:r>
          </w:p>
        </w:tc>
        <w:tc>
          <w:tcPr>
            <w:tcW w:type="dxa" w:w="3402"/>
            <w:vAlign w:val="top"/>
            <w:shd w:val="clear" w:color="auto" w:fill="FDF0F7"/>
          </w:tcPr>
          <w:p>
            <w:pPr>
              <w:spacing w:after="20" w:line="252" w:lineRule="auto"/>
            </w:pPr>
            <w:r>
              <w:rPr>
                <w:b w:val="0"/>
                <w:i w:val="0"/>
                <w:sz w:val="16"/>
              </w:rPr>
              <w:t>Endorsement approved</w:t>
            </w:r>
          </w:p>
        </w:tc>
      </w:tr>
      <w:tr>
        <w:trPr>
          <w:cantSplit/>
        </w:trPr>
        <w:tc>
          <w:tcPr>
            <w:tcW w:type="dxa" w:w="1134"/>
            <w:vAlign w:val="top"/>
          </w:tcPr>
          <w:p>
            <w:pPr>
              <w:spacing w:after="20" w:line="252" w:lineRule="auto"/>
            </w:pPr>
            <w:r>
              <w:rPr>
                <w:b w:val="0"/>
                <w:i w:val="0"/>
                <w:sz w:val="16"/>
              </w:rPr>
              <w:t>CORE</w:t>
            </w:r>
          </w:p>
        </w:tc>
        <w:tc>
          <w:tcPr>
            <w:tcW w:type="dxa" w:w="2268"/>
            <w:vAlign w:val="top"/>
          </w:tcPr>
          <w:p>
            <w:pPr>
              <w:spacing w:after="20" w:line="252" w:lineRule="auto"/>
            </w:pPr>
            <w:r>
              <w:rPr>
                <w:b w:val="0"/>
                <w:i w:val="0"/>
                <w:sz w:val="16"/>
              </w:rPr>
              <w:t>POLICY_CANCELLED</w:t>
            </w:r>
          </w:p>
        </w:tc>
        <w:tc>
          <w:tcPr>
            <w:tcW w:type="dxa" w:w="2835"/>
            <w:vAlign w:val="top"/>
          </w:tcPr>
          <w:p>
            <w:pPr>
              <w:spacing w:after="20" w:line="252" w:lineRule="auto"/>
            </w:pPr>
            <w:r>
              <w:rPr>
                <w:b w:val="0"/>
                <w:i w:val="0"/>
                <w:sz w:val="16"/>
              </w:rPr>
              <w:t>POST /policies/cancellations</w:t>
            </w:r>
          </w:p>
        </w:tc>
        <w:tc>
          <w:tcPr>
            <w:tcW w:type="dxa" w:w="3402"/>
            <w:vAlign w:val="top"/>
          </w:tcPr>
          <w:p>
            <w:pPr>
              <w:spacing w:after="20" w:line="252" w:lineRule="auto"/>
            </w:pPr>
            <w:r>
              <w:rPr>
                <w:b w:val="0"/>
                <w:i w:val="0"/>
                <w:sz w:val="16"/>
              </w:rPr>
              <w:t>Cancellation approved</w:t>
            </w:r>
          </w:p>
        </w:tc>
      </w:tr>
      <w:tr>
        <w:trPr>
          <w:cantSplit/>
        </w:trPr>
        <w:tc>
          <w:tcPr>
            <w:tcW w:type="dxa" w:w="1134"/>
            <w:vAlign w:val="top"/>
            <w:shd w:val="clear" w:color="auto" w:fill="FDF0F7"/>
          </w:tcPr>
          <w:p>
            <w:pPr>
              <w:spacing w:after="20" w:line="252" w:lineRule="auto"/>
            </w:pPr>
            <w:r>
              <w:rPr>
                <w:b w:val="0"/>
                <w:i w:val="0"/>
                <w:sz w:val="16"/>
              </w:rPr>
              <w:t>CORE</w:t>
            </w:r>
          </w:p>
        </w:tc>
        <w:tc>
          <w:tcPr>
            <w:tcW w:type="dxa" w:w="2268"/>
            <w:vAlign w:val="top"/>
            <w:shd w:val="clear" w:color="auto" w:fill="FDF0F7"/>
          </w:tcPr>
          <w:p>
            <w:pPr>
              <w:spacing w:after="20" w:line="252" w:lineRule="auto"/>
            </w:pPr>
            <w:r>
              <w:rPr>
                <w:b w:val="0"/>
                <w:i w:val="0"/>
                <w:sz w:val="16"/>
              </w:rPr>
              <w:t>CLAIM_NOTIFIED</w:t>
            </w:r>
          </w:p>
        </w:tc>
        <w:tc>
          <w:tcPr>
            <w:tcW w:type="dxa" w:w="2835"/>
            <w:vAlign w:val="top"/>
            <w:shd w:val="clear" w:color="auto" w:fill="FDF0F7"/>
          </w:tcPr>
          <w:p>
            <w:pPr>
              <w:spacing w:after="20" w:line="252" w:lineRule="auto"/>
            </w:pPr>
            <w:r>
              <w:rPr>
                <w:b w:val="0"/>
                <w:i w:val="0"/>
                <w:sz w:val="16"/>
              </w:rPr>
              <w:t>POST /claims</w:t>
            </w:r>
          </w:p>
        </w:tc>
        <w:tc>
          <w:tcPr>
            <w:tcW w:type="dxa" w:w="3402"/>
            <w:vAlign w:val="top"/>
            <w:shd w:val="clear" w:color="auto" w:fill="FDF0F7"/>
          </w:tcPr>
          <w:p>
            <w:pPr>
              <w:spacing w:after="20" w:line="252" w:lineRule="auto"/>
            </w:pPr>
            <w:r>
              <w:rPr>
                <w:b w:val="0"/>
                <w:i w:val="0"/>
                <w:sz w:val="16"/>
              </w:rPr>
              <w:t>Claim notification submitted</w:t>
            </w:r>
          </w:p>
        </w:tc>
      </w:tr>
      <w:tr>
        <w:trPr>
          <w:cantSplit/>
        </w:trPr>
        <w:tc>
          <w:tcPr>
            <w:tcW w:type="dxa" w:w="1134"/>
            <w:vAlign w:val="top"/>
          </w:tcPr>
          <w:p>
            <w:pPr>
              <w:spacing w:after="20" w:line="252" w:lineRule="auto"/>
            </w:pPr>
            <w:r>
              <w:rPr>
                <w:b w:val="0"/>
                <w:i w:val="0"/>
                <w:sz w:val="16"/>
              </w:rPr>
              <w:t>FINANCE</w:t>
            </w:r>
          </w:p>
        </w:tc>
        <w:tc>
          <w:tcPr>
            <w:tcW w:type="dxa" w:w="2268"/>
            <w:vAlign w:val="top"/>
          </w:tcPr>
          <w:p>
            <w:pPr>
              <w:spacing w:after="20" w:line="252" w:lineRule="auto"/>
            </w:pPr>
            <w:r>
              <w:rPr>
                <w:b w:val="0"/>
                <w:i w:val="0"/>
                <w:sz w:val="16"/>
              </w:rPr>
              <w:t>RECEIPT_POSTED</w:t>
            </w:r>
          </w:p>
        </w:tc>
        <w:tc>
          <w:tcPr>
            <w:tcW w:type="dxa" w:w="2835"/>
            <w:vAlign w:val="top"/>
          </w:tcPr>
          <w:p>
            <w:pPr>
              <w:spacing w:after="20" w:line="252" w:lineRule="auto"/>
            </w:pPr>
            <w:r>
              <w:rPr>
                <w:b w:val="0"/>
                <w:i w:val="0"/>
                <w:sz w:val="16"/>
              </w:rPr>
              <w:t>POST /receipts</w:t>
            </w:r>
          </w:p>
        </w:tc>
        <w:tc>
          <w:tcPr>
            <w:tcW w:type="dxa" w:w="3402"/>
            <w:vAlign w:val="top"/>
          </w:tcPr>
          <w:p>
            <w:pPr>
              <w:spacing w:after="20" w:line="252" w:lineRule="auto"/>
            </w:pPr>
            <w:r>
              <w:rPr>
                <w:b w:val="0"/>
                <w:i w:val="0"/>
                <w:sz w:val="16"/>
              </w:rPr>
              <w:t>Payment verified and receipt issued</w:t>
            </w:r>
          </w:p>
        </w:tc>
      </w:tr>
      <w:tr>
        <w:trPr>
          <w:cantSplit/>
        </w:trPr>
        <w:tc>
          <w:tcPr>
            <w:tcW w:type="dxa" w:w="1134"/>
            <w:vAlign w:val="top"/>
            <w:shd w:val="clear" w:color="auto" w:fill="FDF0F7"/>
          </w:tcPr>
          <w:p>
            <w:pPr>
              <w:spacing w:after="20" w:line="252" w:lineRule="auto"/>
            </w:pPr>
            <w:r>
              <w:rPr>
                <w:b w:val="0"/>
                <w:i w:val="0"/>
                <w:sz w:val="16"/>
              </w:rPr>
              <w:t>FINANCE</w:t>
            </w:r>
          </w:p>
        </w:tc>
        <w:tc>
          <w:tcPr>
            <w:tcW w:type="dxa" w:w="2268"/>
            <w:vAlign w:val="top"/>
            <w:shd w:val="clear" w:color="auto" w:fill="FDF0F7"/>
          </w:tcPr>
          <w:p>
            <w:pPr>
              <w:spacing w:after="20" w:line="252" w:lineRule="auto"/>
            </w:pPr>
            <w:r>
              <w:rPr>
                <w:b w:val="0"/>
                <w:i w:val="0"/>
                <w:sz w:val="16"/>
              </w:rPr>
              <w:t>REFUND_REQUESTED</w:t>
            </w:r>
          </w:p>
        </w:tc>
        <w:tc>
          <w:tcPr>
            <w:tcW w:type="dxa" w:w="2835"/>
            <w:vAlign w:val="top"/>
            <w:shd w:val="clear" w:color="auto" w:fill="FDF0F7"/>
          </w:tcPr>
          <w:p>
            <w:pPr>
              <w:spacing w:after="20" w:line="252" w:lineRule="auto"/>
            </w:pPr>
            <w:r>
              <w:rPr>
                <w:b w:val="0"/>
                <w:i w:val="0"/>
                <w:sz w:val="16"/>
              </w:rPr>
              <w:t>POST /refunds</w:t>
            </w:r>
          </w:p>
        </w:tc>
        <w:tc>
          <w:tcPr>
            <w:tcW w:type="dxa" w:w="3402"/>
            <w:vAlign w:val="top"/>
            <w:shd w:val="clear" w:color="auto" w:fill="FDF0F7"/>
          </w:tcPr>
          <w:p>
            <w:pPr>
              <w:spacing w:after="20" w:line="252" w:lineRule="auto"/>
            </w:pPr>
            <w:r>
              <w:rPr>
                <w:b w:val="0"/>
                <w:i w:val="0"/>
                <w:sz w:val="16"/>
              </w:rPr>
              <w:t>Cancellation approved with a refund due</w:t>
            </w:r>
          </w:p>
        </w:tc>
      </w:tr>
      <w:tr>
        <w:trPr>
          <w:cantSplit/>
        </w:trPr>
        <w:tc>
          <w:tcPr>
            <w:tcW w:type="dxa" w:w="1134"/>
            <w:vAlign w:val="top"/>
          </w:tcPr>
          <w:p>
            <w:pPr>
              <w:spacing w:after="20" w:line="252" w:lineRule="auto"/>
            </w:pPr>
            <w:r>
              <w:rPr>
                <w:b w:val="0"/>
                <w:i w:val="0"/>
                <w:sz w:val="16"/>
              </w:rPr>
              <w:t>FINANCE</w:t>
            </w:r>
          </w:p>
        </w:tc>
        <w:tc>
          <w:tcPr>
            <w:tcW w:type="dxa" w:w="2268"/>
            <w:vAlign w:val="top"/>
          </w:tcPr>
          <w:p>
            <w:pPr>
              <w:spacing w:after="20" w:line="252" w:lineRule="auto"/>
            </w:pPr>
            <w:r>
              <w:rPr>
                <w:b w:val="0"/>
                <w:i w:val="0"/>
                <w:sz w:val="16"/>
              </w:rPr>
              <w:t>COMMISSION_ACCRUED</w:t>
            </w:r>
          </w:p>
        </w:tc>
        <w:tc>
          <w:tcPr>
            <w:tcW w:type="dxa" w:w="2835"/>
            <w:vAlign w:val="top"/>
          </w:tcPr>
          <w:p>
            <w:pPr>
              <w:spacing w:after="20" w:line="252" w:lineRule="auto"/>
            </w:pPr>
            <w:r>
              <w:rPr>
                <w:b w:val="0"/>
                <w:i w:val="0"/>
                <w:sz w:val="16"/>
              </w:rPr>
              <w:t>POST /commissions</w:t>
            </w:r>
          </w:p>
        </w:tc>
        <w:tc>
          <w:tcPr>
            <w:tcW w:type="dxa" w:w="3402"/>
            <w:vAlign w:val="top"/>
          </w:tcPr>
          <w:p>
            <w:pPr>
              <w:spacing w:after="20" w:line="252" w:lineRule="auto"/>
            </w:pPr>
            <w:r>
              <w:rPr>
                <w:b w:val="0"/>
                <w:i w:val="0"/>
                <w:sz w:val="16"/>
              </w:rPr>
              <w:t>Commission accrued at issuance</w:t>
            </w:r>
          </w:p>
        </w:tc>
      </w:tr>
      <w:tr>
        <w:trPr>
          <w:cantSplit/>
        </w:trPr>
        <w:tc>
          <w:tcPr>
            <w:tcW w:type="dxa" w:w="1134"/>
            <w:vAlign w:val="top"/>
            <w:shd w:val="clear" w:color="auto" w:fill="FDF0F7"/>
          </w:tcPr>
          <w:p>
            <w:pPr>
              <w:spacing w:after="20" w:line="252" w:lineRule="auto"/>
            </w:pPr>
            <w:r>
              <w:rPr>
                <w:b w:val="0"/>
                <w:i w:val="0"/>
                <w:sz w:val="16"/>
              </w:rPr>
              <w:t>FINANCE</w:t>
            </w:r>
          </w:p>
        </w:tc>
        <w:tc>
          <w:tcPr>
            <w:tcW w:type="dxa" w:w="2268"/>
            <w:vAlign w:val="top"/>
            <w:shd w:val="clear" w:color="auto" w:fill="FDF0F7"/>
          </w:tcPr>
          <w:p>
            <w:pPr>
              <w:spacing w:after="20" w:line="252" w:lineRule="auto"/>
            </w:pPr>
            <w:r>
              <w:rPr>
                <w:b w:val="0"/>
                <w:i w:val="0"/>
                <w:sz w:val="16"/>
              </w:rPr>
              <w:t>EOD_POSTING</w:t>
            </w:r>
          </w:p>
        </w:tc>
        <w:tc>
          <w:tcPr>
            <w:tcW w:type="dxa" w:w="2835"/>
            <w:vAlign w:val="top"/>
            <w:shd w:val="clear" w:color="auto" w:fill="FDF0F7"/>
          </w:tcPr>
          <w:p>
            <w:pPr>
              <w:spacing w:after="20" w:line="252" w:lineRule="auto"/>
            </w:pPr>
            <w:r>
              <w:rPr>
                <w:b w:val="0"/>
                <w:i w:val="0"/>
                <w:sz w:val="16"/>
              </w:rPr>
              <w:t>POST /eod-postings</w:t>
            </w:r>
          </w:p>
        </w:tc>
        <w:tc>
          <w:tcPr>
            <w:tcW w:type="dxa" w:w="3402"/>
            <w:vAlign w:val="top"/>
            <w:shd w:val="clear" w:color="auto" w:fill="FDF0F7"/>
          </w:tcPr>
          <w:p>
            <w:pPr>
              <w:spacing w:after="20" w:line="252" w:lineRule="auto"/>
            </w:pPr>
            <w:r>
              <w:rPr>
                <w:b w:val="0"/>
                <w:i w:val="0"/>
                <w:sz w:val="16"/>
              </w:rPr>
              <w:t>End-of-day run completed</w:t>
            </w:r>
          </w:p>
        </w:tc>
      </w:tr>
    </w:tbl>
    <w:p>
      <w:pPr>
        <w:pStyle w:val="Caption"/>
        <w:jc w:val="center"/>
      </w:pPr>
      <w:r>
        <w:rPr>
          <w:b w:val="0"/>
          <w:i w:val="0"/>
        </w:rPr>
        <w:t>Table 15: Outbox operations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474"/>
        <w:gridCol w:w="2154"/>
        <w:gridCol w:w="2721"/>
        <w:gridCol w:w="3288"/>
      </w:tblGrid>
      <w:tr>
        <w:trPr>
          <w:cantSplit/>
          <w:tblHeader/>
        </w:trPr>
        <w:tc>
          <w:tcPr>
            <w:tcW w:type="dxa" w:w="1474"/>
            <w:shd w:val="clear" w:color="auto" w:fill="E1058C"/>
            <w:vAlign w:val="center"/>
          </w:tcPr>
          <w:p>
            <w:pPr>
              <w:spacing w:after="0"/>
            </w:pPr>
            <w:r>
              <w:rPr>
                <w:b/>
                <w:i w:val="0"/>
                <w:color w:val="FFFFFF"/>
                <w:sz w:val="16"/>
              </w:rPr>
              <w:t>System</w:t>
            </w:r>
          </w:p>
        </w:tc>
        <w:tc>
          <w:tcPr>
            <w:tcW w:type="dxa" w:w="2154"/>
            <w:shd w:val="clear" w:color="auto" w:fill="E1058C"/>
            <w:vAlign w:val="center"/>
          </w:tcPr>
          <w:p>
            <w:pPr>
              <w:spacing w:after="0"/>
            </w:pPr>
            <w:r>
              <w:rPr>
                <w:b/>
                <w:i w:val="0"/>
                <w:color w:val="FFFFFF"/>
                <w:sz w:val="16"/>
              </w:rPr>
              <w:t>Call</w:t>
            </w:r>
          </w:p>
        </w:tc>
        <w:tc>
          <w:tcPr>
            <w:tcW w:type="dxa" w:w="2721"/>
            <w:shd w:val="clear" w:color="auto" w:fill="E1058C"/>
            <w:vAlign w:val="center"/>
          </w:tcPr>
          <w:p>
            <w:pPr>
              <w:spacing w:after="0"/>
            </w:pPr>
            <w:r>
              <w:rPr>
                <w:b/>
                <w:i w:val="0"/>
                <w:color w:val="FFFFFF"/>
                <w:sz w:val="16"/>
              </w:rPr>
              <w:t>Used by</w:t>
            </w:r>
          </w:p>
        </w:tc>
        <w:tc>
          <w:tcPr>
            <w:tcW w:type="dxa" w:w="3288"/>
            <w:shd w:val="clear" w:color="auto" w:fill="E1058C"/>
            <w:vAlign w:val="center"/>
          </w:tcPr>
          <w:p>
            <w:pPr>
              <w:spacing w:after="0"/>
            </w:pPr>
            <w:r>
              <w:rPr>
                <w:b/>
                <w:i w:val="0"/>
                <w:color w:val="FFFFFF"/>
                <w:sz w:val="16"/>
              </w:rPr>
              <w:t>Content</w:t>
            </w:r>
          </w:p>
        </w:tc>
      </w:tr>
      <w:tr>
        <w:trPr>
          <w:cantSplit/>
        </w:trPr>
        <w:tc>
          <w:tcPr>
            <w:tcW w:type="dxa" w:w="1474"/>
            <w:vAlign w:val="top"/>
          </w:tcPr>
          <w:p>
            <w:pPr>
              <w:spacing w:after="20" w:line="252" w:lineRule="auto"/>
            </w:pPr>
            <w:r>
              <w:rPr>
                <w:b w:val="0"/>
                <w:i w:val="0"/>
                <w:sz w:val="16"/>
              </w:rPr>
              <w:t>FIN</w:t>
            </w:r>
          </w:p>
        </w:tc>
        <w:tc>
          <w:tcPr>
            <w:tcW w:type="dxa" w:w="2154"/>
            <w:vAlign w:val="top"/>
          </w:tcPr>
          <w:p>
            <w:pPr>
              <w:spacing w:after="20" w:line="252" w:lineRule="auto"/>
            </w:pPr>
            <w:r>
              <w:rPr>
                <w:b w:val="0"/>
                <w:i w:val="0"/>
                <w:sz w:val="16"/>
              </w:rPr>
              <w:t>GET /receipts/posted?date=</w:t>
            </w:r>
          </w:p>
        </w:tc>
        <w:tc>
          <w:tcPr>
            <w:tcW w:type="dxa" w:w="2721"/>
            <w:vAlign w:val="top"/>
          </w:tcPr>
          <w:p>
            <w:pPr>
              <w:spacing w:after="20" w:line="252" w:lineRule="auto"/>
            </w:pPr>
            <w:r>
              <w:rPr>
                <w:b w:val="0"/>
                <w:i w:val="0"/>
                <w:sz w:val="16"/>
              </w:rPr>
              <w:t>Reconciliation in live mode</w:t>
            </w:r>
          </w:p>
        </w:tc>
        <w:tc>
          <w:tcPr>
            <w:tcW w:type="dxa" w:w="3288"/>
            <w:vAlign w:val="top"/>
          </w:tcPr>
          <w:p>
            <w:pPr>
              <w:spacing w:after="20" w:line="252" w:lineRule="auto"/>
            </w:pPr>
            <w:r>
              <w:rPr>
                <w:b w:val="0"/>
                <w:i w:val="0"/>
                <w:sz w:val="16"/>
              </w:rPr>
              <w:t>Receipt references posted for a date</w:t>
            </w:r>
          </w:p>
        </w:tc>
      </w:tr>
      <w:tr>
        <w:trPr>
          <w:cantSplit/>
        </w:trPr>
        <w:tc>
          <w:tcPr>
            <w:tcW w:type="dxa" w:w="1474"/>
            <w:vAlign w:val="top"/>
            <w:shd w:val="clear" w:color="auto" w:fill="FDF0F7"/>
          </w:tcPr>
          <w:p>
            <w:pPr>
              <w:spacing w:after="20" w:line="252" w:lineRule="auto"/>
            </w:pPr>
            <w:r>
              <w:rPr>
                <w:b w:val="0"/>
                <w:i w:val="0"/>
                <w:sz w:val="16"/>
              </w:rPr>
              <w:t>AML provider</w:t>
            </w:r>
          </w:p>
        </w:tc>
        <w:tc>
          <w:tcPr>
            <w:tcW w:type="dxa" w:w="2154"/>
            <w:vAlign w:val="top"/>
            <w:shd w:val="clear" w:color="auto" w:fill="FDF0F7"/>
          </w:tcPr>
          <w:p>
            <w:pPr>
              <w:spacing w:after="20" w:line="252" w:lineRule="auto"/>
            </w:pPr>
            <w:r>
              <w:rPr>
                <w:b w:val="0"/>
                <w:i w:val="0"/>
                <w:sz w:val="16"/>
              </w:rPr>
              <w:t>POST /screen</w:t>
            </w:r>
          </w:p>
        </w:tc>
        <w:tc>
          <w:tcPr>
            <w:tcW w:type="dxa" w:w="2721"/>
            <w:vAlign w:val="top"/>
            <w:shd w:val="clear" w:color="auto" w:fill="FDF0F7"/>
          </w:tcPr>
          <w:p>
            <w:pPr>
              <w:spacing w:after="20" w:line="252" w:lineRule="auto"/>
            </w:pPr>
            <w:r>
              <w:rPr>
                <w:b w:val="0"/>
                <w:i w:val="0"/>
                <w:sz w:val="16"/>
              </w:rPr>
              <w:t>Agent or participant screening (when AML_API_BASE_URL is set)</w:t>
            </w:r>
          </w:p>
        </w:tc>
        <w:tc>
          <w:tcPr>
            <w:tcW w:type="dxa" w:w="3288"/>
            <w:vAlign w:val="top"/>
            <w:shd w:val="clear" w:color="auto" w:fill="FDF0F7"/>
          </w:tcPr>
          <w:p>
            <w:pPr>
              <w:spacing w:after="20" w:line="252" w:lineRule="auto"/>
            </w:pPr>
            <w:r>
              <w:rPr>
                <w:b w:val="0"/>
                <w:i w:val="0"/>
                <w:sz w:val="16"/>
              </w:rPr>
              <w:t>Name, identification number, date of birth, nationality; returns matches with scores</w:t>
            </w:r>
          </w:p>
        </w:tc>
      </w:tr>
      <w:tr>
        <w:trPr>
          <w:cantSplit/>
        </w:trPr>
        <w:tc>
          <w:tcPr>
            <w:tcW w:type="dxa" w:w="1474"/>
            <w:vAlign w:val="top"/>
          </w:tcPr>
          <w:p>
            <w:pPr>
              <w:spacing w:after="20" w:line="252" w:lineRule="auto"/>
            </w:pPr>
            <w:r>
              <w:rPr>
                <w:b w:val="0"/>
                <w:i w:val="0"/>
                <w:sz w:val="16"/>
              </w:rPr>
              <w:t>SMS gateway</w:t>
            </w:r>
          </w:p>
        </w:tc>
        <w:tc>
          <w:tcPr>
            <w:tcW w:type="dxa" w:w="2154"/>
            <w:vAlign w:val="top"/>
          </w:tcPr>
          <w:p>
            <w:pPr>
              <w:spacing w:after="20" w:line="252" w:lineRule="auto"/>
            </w:pPr>
            <w:r>
              <w:rPr>
                <w:b w:val="0"/>
                <w:i w:val="0"/>
                <w:sz w:val="16"/>
              </w:rPr>
              <w:t>POST /messages</w:t>
            </w:r>
          </w:p>
        </w:tc>
        <w:tc>
          <w:tcPr>
            <w:tcW w:type="dxa" w:w="2721"/>
            <w:vAlign w:val="top"/>
          </w:tcPr>
          <w:p>
            <w:pPr>
              <w:spacing w:after="20" w:line="252" w:lineRule="auto"/>
            </w:pPr>
            <w:r>
              <w:rPr>
                <w:b w:val="0"/>
                <w:i w:val="0"/>
                <w:sz w:val="16"/>
              </w:rPr>
              <w:t>Notification dispatcher</w:t>
            </w:r>
          </w:p>
        </w:tc>
        <w:tc>
          <w:tcPr>
            <w:tcW w:type="dxa" w:w="3288"/>
            <w:vAlign w:val="top"/>
          </w:tcPr>
          <w:p>
            <w:pPr>
              <w:spacing w:after="20" w:line="252" w:lineRule="auto"/>
            </w:pPr>
            <w:r>
              <w:rPr>
                <w:b w:val="0"/>
                <w:i w:val="0"/>
                <w:sz w:val="16"/>
              </w:rPr>
              <w:t>Sender id, mobile number, text up to 480 characters</w:t>
            </w:r>
          </w:p>
        </w:tc>
      </w:tr>
      <w:tr>
        <w:trPr>
          <w:cantSplit/>
        </w:trPr>
        <w:tc>
          <w:tcPr>
            <w:tcW w:type="dxa" w:w="1474"/>
            <w:vAlign w:val="top"/>
            <w:shd w:val="clear" w:color="auto" w:fill="FDF0F7"/>
          </w:tcPr>
          <w:p>
            <w:pPr>
              <w:spacing w:after="20" w:line="252" w:lineRule="auto"/>
            </w:pPr>
            <w:r>
              <w:rPr>
                <w:b w:val="0"/>
                <w:i w:val="0"/>
                <w:sz w:val="16"/>
              </w:rPr>
              <w:t>SMTP relay</w:t>
            </w:r>
          </w:p>
        </w:tc>
        <w:tc>
          <w:tcPr>
            <w:tcW w:type="dxa" w:w="2154"/>
            <w:vAlign w:val="top"/>
            <w:shd w:val="clear" w:color="auto" w:fill="FDF0F7"/>
          </w:tcPr>
          <w:p>
            <w:pPr>
              <w:spacing w:after="20" w:line="252" w:lineRule="auto"/>
            </w:pPr>
            <w:r>
              <w:rPr>
                <w:b w:val="0"/>
                <w:i w:val="0"/>
                <w:sz w:val="16"/>
              </w:rPr>
              <w:t>SMTP, STARTTLS required</w:t>
            </w:r>
          </w:p>
        </w:tc>
        <w:tc>
          <w:tcPr>
            <w:tcW w:type="dxa" w:w="2721"/>
            <w:vAlign w:val="top"/>
            <w:shd w:val="clear" w:color="auto" w:fill="FDF0F7"/>
          </w:tcPr>
          <w:p>
            <w:pPr>
              <w:spacing w:after="20" w:line="252" w:lineRule="auto"/>
            </w:pPr>
            <w:r>
              <w:rPr>
                <w:b w:val="0"/>
                <w:i w:val="0"/>
                <w:sz w:val="16"/>
              </w:rPr>
              <w:t>Notification dispatcher</w:t>
            </w:r>
          </w:p>
        </w:tc>
        <w:tc>
          <w:tcPr>
            <w:tcW w:type="dxa" w:w="3288"/>
            <w:vAlign w:val="top"/>
            <w:shd w:val="clear" w:color="auto" w:fill="FDF0F7"/>
          </w:tcPr>
          <w:p>
            <w:pPr>
              <w:spacing w:after="20" w:line="252" w:lineRule="auto"/>
            </w:pPr>
            <w:r>
              <w:rPr>
                <w:b w:val="0"/>
                <w:i w:val="0"/>
                <w:sz w:val="16"/>
              </w:rPr>
              <w:t>Message with optional attachments</w:t>
            </w:r>
          </w:p>
        </w:tc>
      </w:tr>
      <w:tr>
        <w:trPr>
          <w:cantSplit/>
        </w:trPr>
        <w:tc>
          <w:tcPr>
            <w:tcW w:type="dxa" w:w="1474"/>
            <w:vAlign w:val="top"/>
          </w:tcPr>
          <w:p>
            <w:pPr>
              <w:spacing w:after="20" w:line="252" w:lineRule="auto"/>
            </w:pPr>
            <w:r>
              <w:rPr>
                <w:b w:val="0"/>
                <w:i w:val="0"/>
                <w:sz w:val="16"/>
              </w:rPr>
              <w:t>Active Directory</w:t>
            </w:r>
          </w:p>
        </w:tc>
        <w:tc>
          <w:tcPr>
            <w:tcW w:type="dxa" w:w="2154"/>
            <w:vAlign w:val="top"/>
          </w:tcPr>
          <w:p>
            <w:pPr>
              <w:spacing w:after="20" w:line="252" w:lineRule="auto"/>
            </w:pPr>
            <w:r>
              <w:rPr>
                <w:b w:val="0"/>
                <w:i w:val="0"/>
                <w:sz w:val="16"/>
              </w:rPr>
              <w:t>LDAP bind and search</w:t>
            </w:r>
          </w:p>
        </w:tc>
        <w:tc>
          <w:tcPr>
            <w:tcW w:type="dxa" w:w="2721"/>
            <w:vAlign w:val="top"/>
          </w:tcPr>
          <w:p>
            <w:pPr>
              <w:spacing w:after="20" w:line="252" w:lineRule="auto"/>
            </w:pPr>
            <w:r>
              <w:rPr>
                <w:b w:val="0"/>
                <w:i w:val="0"/>
                <w:sz w:val="16"/>
              </w:rPr>
              <w:t>Back-office sign-in of DIRECTORY users</w:t>
            </w:r>
          </w:p>
        </w:tc>
        <w:tc>
          <w:tcPr>
            <w:tcW w:type="dxa" w:w="3288"/>
            <w:vAlign w:val="top"/>
          </w:tcPr>
          <w:p>
            <w:pPr>
              <w:spacing w:after="20" w:line="252" w:lineRule="auto"/>
            </w:pPr>
            <w:r>
              <w:rPr>
                <w:b w:val="0"/>
                <w:i w:val="0"/>
                <w:sz w:val="16"/>
              </w:rPr>
              <w:t>Service bind, user search with escaped filter, user bind</w:t>
            </w:r>
          </w:p>
        </w:tc>
      </w:tr>
    </w:tbl>
    <w:p>
      <w:pPr>
        <w:pStyle w:val="Caption"/>
        <w:jc w:val="center"/>
      </w:pPr>
      <w:r>
        <w:rPr>
          <w:b w:val="0"/>
          <w:i w:val="0"/>
        </w:rPr>
        <w:t>Table 16: Synchronous and notification calls</w:t>
      </w:r>
    </w:p>
    <w:p>
      <w:pPr>
        <w:keepNext w:val="0"/>
      </w:pPr>
      <w:r>
        <w:rPr>
          <w:b w:val="0"/>
          <w:i w:val="0"/>
        </w:rPr>
        <w:t>Endpoint paths, payload fields and the FIN interface file layout shown here are the working defaults. They are confirmed or mapped to IITH's formats in the Interface Specification (DEL-09) during design.</w:t>
      </w:r>
    </w:p>
    <w:p>
      <w:pPr>
        <w:pStyle w:val="Heading2"/>
      </w:pPr>
      <w:r>
        <w:t>7.4 Inbound system APIs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907"/>
        <w:gridCol w:w="793"/>
        <w:gridCol w:w="2381"/>
        <w:gridCol w:w="2721"/>
      </w:tblGrid>
      <w:tr>
        <w:trPr>
          <w:cantSplit/>
          <w:tblHeader/>
        </w:trPr>
        <w:tc>
          <w:tcPr>
            <w:tcW w:type="dxa" w:w="2835"/>
            <w:shd w:val="clear" w:color="auto" w:fill="E1058C"/>
            <w:vAlign w:val="center"/>
          </w:tcPr>
          <w:p>
            <w:pPr>
              <w:spacing w:after="0"/>
            </w:pPr>
            <w:r>
              <w:rPr>
                <w:b/>
                <w:i w:val="0"/>
                <w:color w:val="FFFFFF"/>
                <w:sz w:val="16"/>
              </w:rPr>
              <w:t>Endpoint</w:t>
            </w:r>
          </w:p>
        </w:tc>
        <w:tc>
          <w:tcPr>
            <w:tcW w:type="dxa" w:w="907"/>
            <w:shd w:val="clear" w:color="auto" w:fill="E1058C"/>
            <w:vAlign w:val="center"/>
          </w:tcPr>
          <w:p>
            <w:pPr>
              <w:spacing w:after="0"/>
            </w:pPr>
            <w:r>
              <w:rPr>
                <w:b/>
                <w:i w:val="0"/>
                <w:color w:val="FFFFFF"/>
                <w:sz w:val="16"/>
              </w:rPr>
              <w:t>Caller</w:t>
            </w:r>
          </w:p>
        </w:tc>
        <w:tc>
          <w:tcPr>
            <w:tcW w:type="dxa" w:w="794"/>
            <w:shd w:val="clear" w:color="auto" w:fill="E1058C"/>
            <w:vAlign w:val="center"/>
          </w:tcPr>
          <w:p>
            <w:pPr>
              <w:spacing w:after="0"/>
            </w:pPr>
            <w:r>
              <w:rPr>
                <w:b/>
                <w:i w:val="0"/>
                <w:color w:val="FFFFFF"/>
                <w:sz w:val="16"/>
              </w:rPr>
              <w:t>RFP</w:t>
            </w:r>
          </w:p>
        </w:tc>
        <w:tc>
          <w:tcPr>
            <w:tcW w:type="dxa" w:w="2381"/>
            <w:shd w:val="clear" w:color="auto" w:fill="E1058C"/>
            <w:vAlign w:val="center"/>
          </w:tcPr>
          <w:p>
            <w:pPr>
              <w:spacing w:after="0"/>
            </w:pPr>
            <w:r>
              <w:rPr>
                <w:b/>
                <w:i w:val="0"/>
                <w:color w:val="FFFFFF"/>
                <w:sz w:val="16"/>
              </w:rPr>
              <w:t>Input</w:t>
            </w:r>
          </w:p>
        </w:tc>
        <w:tc>
          <w:tcPr>
            <w:tcW w:type="dxa" w:w="2721"/>
            <w:shd w:val="clear" w:color="auto" w:fill="E1058C"/>
            <w:vAlign w:val="center"/>
          </w:tcPr>
          <w:p>
            <w:pPr>
              <w:spacing w:after="0"/>
            </w:pPr>
            <w:r>
              <w:rPr>
                <w:b/>
                <w:i w:val="0"/>
                <w:color w:val="FFFFFF"/>
                <w:sz w:val="16"/>
              </w:rPr>
              <w:t>Effect</w:t>
            </w:r>
          </w:p>
        </w:tc>
      </w:tr>
      <w:tr>
        <w:trPr>
          <w:cantSplit/>
        </w:trPr>
        <w:tc>
          <w:tcPr>
            <w:tcW w:type="dxa" w:w="2835"/>
            <w:vAlign w:val="top"/>
          </w:tcPr>
          <w:p>
            <w:pPr>
              <w:spacing w:after="20" w:line="252" w:lineRule="auto"/>
            </w:pPr>
            <w:r>
              <w:rPr>
                <w:b w:val="0"/>
                <w:i w:val="0"/>
                <w:sz w:val="16"/>
              </w:rPr>
              <w:t>PUT /api/v1/integration/agents/{agentCode}/status</w:t>
            </w:r>
          </w:p>
        </w:tc>
        <w:tc>
          <w:tcPr>
            <w:tcW w:type="dxa" w:w="907"/>
            <w:vAlign w:val="top"/>
          </w:tcPr>
          <w:p>
            <w:pPr>
              <w:spacing w:after="20" w:line="252" w:lineRule="auto"/>
            </w:pPr>
            <w:r>
              <w:rPr>
                <w:b w:val="0"/>
                <w:i w:val="0"/>
                <w:sz w:val="16"/>
              </w:rPr>
              <w:t>Core</w:t>
            </w:r>
          </w:p>
        </w:tc>
        <w:tc>
          <w:tcPr>
            <w:tcW w:type="dxa" w:w="794"/>
            <w:vAlign w:val="top"/>
          </w:tcPr>
          <w:p>
            <w:pPr>
              <w:spacing w:after="20" w:line="252" w:lineRule="auto"/>
            </w:pPr>
            <w:r>
              <w:rPr>
                <w:b w:val="0"/>
                <w:i w:val="0"/>
                <w:sz w:val="16"/>
              </w:rPr>
              <w:t>INT-02</w:t>
            </w:r>
          </w:p>
        </w:tc>
        <w:tc>
          <w:tcPr>
            <w:tcW w:type="dxa" w:w="2381"/>
            <w:vAlign w:val="top"/>
          </w:tcPr>
          <w:p>
            <w:pPr>
              <w:spacing w:after="20" w:line="252" w:lineRule="auto"/>
            </w:pPr>
            <w:r>
              <w:rPr>
                <w:b w:val="0"/>
                <w:i w:val="0"/>
                <w:sz w:val="16"/>
              </w:rPr>
              <w:t>{status, reason}; status ACTIVE, INACTIVE, SUSPENDED or TERMINATED</w:t>
            </w:r>
          </w:p>
        </w:tc>
        <w:tc>
          <w:tcPr>
            <w:tcW w:type="dxa" w:w="2721"/>
            <w:vAlign w:val="top"/>
          </w:tcPr>
          <w:p>
            <w:pPr>
              <w:spacing w:after="20" w:line="252" w:lineRule="auto"/>
            </w:pPr>
            <w:r>
              <w:rPr>
                <w:b w:val="0"/>
                <w:i w:val="0"/>
                <w:sz w:val="16"/>
              </w:rPr>
              <w:t>Updates the agent and its user; ends all sessions of a deactivated agent</w:t>
            </w:r>
          </w:p>
        </w:tc>
      </w:tr>
      <w:tr>
        <w:trPr>
          <w:cantSplit/>
        </w:trPr>
        <w:tc>
          <w:tcPr>
            <w:tcW w:type="dxa" w:w="2835"/>
            <w:vAlign w:val="top"/>
            <w:shd w:val="clear" w:color="auto" w:fill="FDF0F7"/>
          </w:tcPr>
          <w:p>
            <w:pPr>
              <w:spacing w:after="20" w:line="252" w:lineRule="auto"/>
            </w:pPr>
            <w:r>
              <w:rPr>
                <w:b w:val="0"/>
                <w:i w:val="0"/>
                <w:sz w:val="16"/>
              </w:rPr>
              <w:t>GET /api/v1/integration/policies?issuedOn=YYYY-MM-DD</w:t>
            </w:r>
          </w:p>
        </w:tc>
        <w:tc>
          <w:tcPr>
            <w:tcW w:type="dxa" w:w="907"/>
            <w:vAlign w:val="top"/>
            <w:shd w:val="clear" w:color="auto" w:fill="FDF0F7"/>
          </w:tcPr>
          <w:p>
            <w:pPr>
              <w:spacing w:after="20" w:line="252" w:lineRule="auto"/>
            </w:pPr>
            <w:r>
              <w:rPr>
                <w:b w:val="0"/>
                <w:i w:val="0"/>
                <w:sz w:val="16"/>
              </w:rPr>
              <w:t>Core, FIN</w:t>
            </w:r>
          </w:p>
        </w:tc>
        <w:tc>
          <w:tcPr>
            <w:tcW w:type="dxa" w:w="794"/>
            <w:vAlign w:val="top"/>
            <w:shd w:val="clear" w:color="auto" w:fill="FDF0F7"/>
          </w:tcPr>
          <w:p>
            <w:pPr>
              <w:spacing w:after="20" w:line="252" w:lineRule="auto"/>
            </w:pPr>
            <w:r>
              <w:rPr>
                <w:b w:val="0"/>
                <w:i w:val="0"/>
                <w:sz w:val="16"/>
              </w:rPr>
              <w:t>INT-09</w:t>
            </w:r>
          </w:p>
        </w:tc>
        <w:tc>
          <w:tcPr>
            <w:tcW w:type="dxa" w:w="2381"/>
            <w:vAlign w:val="top"/>
            <w:shd w:val="clear" w:color="auto" w:fill="FDF0F7"/>
          </w:tcPr>
          <w:p>
            <w:pPr>
              <w:spacing w:after="20" w:line="252" w:lineRule="auto"/>
            </w:pPr>
            <w:r>
              <w:rPr>
                <w:b w:val="0"/>
                <w:i w:val="0"/>
                <w:sz w:val="16"/>
              </w:rPr>
              <w:t>Business date</w:t>
            </w:r>
          </w:p>
        </w:tc>
        <w:tc>
          <w:tcPr>
            <w:tcW w:type="dxa" w:w="2721"/>
            <w:vAlign w:val="top"/>
            <w:shd w:val="clear" w:color="auto" w:fill="FDF0F7"/>
          </w:tcPr>
          <w:p>
            <w:pPr>
              <w:spacing w:after="20" w:line="252" w:lineRule="auto"/>
            </w:pPr>
            <w:r>
              <w:rPr>
                <w:b w:val="0"/>
                <w:i w:val="0"/>
                <w:sz w:val="16"/>
              </w:rPr>
              <w:t>Policies issued that day with product, participant, agent, agency, amounts and dates</w:t>
            </w:r>
          </w:p>
        </w:tc>
      </w:tr>
      <w:tr>
        <w:trPr>
          <w:cantSplit/>
        </w:trPr>
        <w:tc>
          <w:tcPr>
            <w:tcW w:type="dxa" w:w="2835"/>
            <w:vAlign w:val="top"/>
          </w:tcPr>
          <w:p>
            <w:pPr>
              <w:spacing w:after="20" w:line="252" w:lineRule="auto"/>
            </w:pPr>
            <w:r>
              <w:rPr>
                <w:b w:val="0"/>
                <w:i w:val="0"/>
                <w:sz w:val="16"/>
              </w:rPr>
              <w:t>POST /api/v1/integration/commissions/paid</w:t>
            </w:r>
          </w:p>
        </w:tc>
        <w:tc>
          <w:tcPr>
            <w:tcW w:type="dxa" w:w="907"/>
            <w:vAlign w:val="top"/>
          </w:tcPr>
          <w:p>
            <w:pPr>
              <w:spacing w:after="20" w:line="252" w:lineRule="auto"/>
            </w:pPr>
            <w:r>
              <w:rPr>
                <w:b w:val="0"/>
                <w:i w:val="0"/>
                <w:sz w:val="16"/>
              </w:rPr>
              <w:t>FIN</w:t>
            </w:r>
          </w:p>
        </w:tc>
        <w:tc>
          <w:tcPr>
            <w:tcW w:type="dxa" w:w="794"/>
            <w:vAlign w:val="top"/>
          </w:tcPr>
          <w:p>
            <w:pPr>
              <w:spacing w:after="20" w:line="252" w:lineRule="auto"/>
            </w:pPr>
            <w:r>
              <w:rPr>
                <w:b w:val="0"/>
                <w:i w:val="0"/>
                <w:sz w:val="16"/>
              </w:rPr>
              <w:t>INT-05</w:t>
            </w:r>
          </w:p>
        </w:tc>
        <w:tc>
          <w:tcPr>
            <w:tcW w:type="dxa" w:w="2381"/>
            <w:vAlign w:val="top"/>
          </w:tcPr>
          <w:p>
            <w:pPr>
              <w:spacing w:after="20" w:line="252" w:lineRule="auto"/>
            </w:pPr>
            <w:r>
              <w:rPr>
                <w:b w:val="0"/>
                <w:i w:val="0"/>
                <w:sz w:val="16"/>
              </w:rPr>
              <w:t>items: list of {policyNo, agentCode, paidOn}, up to 1,000 items</w:t>
            </w:r>
          </w:p>
        </w:tc>
        <w:tc>
          <w:tcPr>
            <w:tcW w:type="dxa" w:w="2721"/>
            <w:vAlign w:val="top"/>
          </w:tcPr>
          <w:p>
            <w:pPr>
              <w:spacing w:after="20" w:line="252" w:lineRule="auto"/>
            </w:pPr>
            <w:r>
              <w:rPr>
                <w:b w:val="0"/>
                <w:i w:val="0"/>
                <w:sz w:val="16"/>
              </w:rPr>
              <w:t>Marks commissions PAID; returns updated count and unmatched items</w:t>
            </w:r>
          </w:p>
        </w:tc>
      </w:tr>
    </w:tbl>
    <w:p>
      <w:pPr>
        <w:pStyle w:val="Caption"/>
        <w:jc w:val="center"/>
      </w:pPr>
      <w:r>
        <w:rPr>
          <w:b w:val="0"/>
          <w:i w:val="0"/>
        </w:rPr>
        <w:t>Table 17: Inbound endpoints</w:t>
      </w:r>
    </w:p>
    <w:p>
      <w:pPr>
        <w:keepNext w:val="0"/>
      </w:pPr>
      <w:r>
        <w:rPr>
          <w:b w:val="0"/>
          <w:i w:val="0"/>
        </w:rPr>
        <w:t>Callers present x-api-key. The API holds only the SHA-256 of the key (INBOUND_API_KEY_SHA256) and compares in constant time; if no hash is configured the endpoints answer 503. nginx or the firewall restricts /api/v1/integration to the Core and FIN host addresses. Each call is logged as INBOUND with its outcome and duration.</w:t>
      </w:r>
    </w:p>
    <w:p>
      <w:pPr>
        <w:pStyle w:val="Heading2"/>
      </w:pPr>
      <w:r>
        <w:t>7.5 End-of-day and reconciliation</w:t>
      </w:r>
    </w:p>
    <w:p>
      <w:pPr>
        <w:keepNext w:val="0"/>
      </w:pPr>
      <w:r>
        <w:rPr>
          <w:b w:val="0"/>
          <w:i w:val="0"/>
        </w:rPr>
        <w:t>At 23:30 Brunei time (EOD_CRON) the end-of-day job selects policies issued and receipts issued during the business day and, in one transaction, stores the EOD issuance report (Excel: summary by product, policies issued, receipts), stores the FIN interface file (CSV: one PI line per policy and one RC line per receipt with amounts in BND), queues an EOD_POSTING message with the day's totals and records the run. It then reconciles receipts: in live mode against the receipt references FIN reports as posted for that date; in simulated mode against RECEIPT_POSTED messages delivered from the outbox. The result is MATCHED or MISMATCH with the unmatched receipt numbers. Finance can re-run EOD for any past date from the back-office; the eod_run row for the date is updated, not duplicated. Each posting carries a revision number, the idempotency key EOD-&lt;date&gt;-R&lt;n&gt; and replacesPreviousRevision (true from the second revision). The dispatcher sends that key to FIN, so FIN can reject a repeated delivery of the same revision and replace the earlier revision for the date; the interface specification sets out this behaviour.</w:t>
      </w:r>
    </w:p>
    <w:p>
      <w:pPr>
        <w:pStyle w:val="Heading2"/>
      </w:pPr>
      <w:r>
        <w:t>7.6 Simulated and live modes</w:t>
      </w:r>
    </w:p>
    <w:p>
      <w:pPr>
        <w:keepNext w:val="0"/>
      </w:pPr>
      <w:r>
        <w:rPr>
          <w:b w:val="0"/>
          <w:i w:val="0"/>
        </w:rPr>
        <w:t>INTEGRATION_MODE=simulated records every outbound message and marks its reference as simulated without calling external systems, so the full flow can be built and tested before IITH endpoints exist. In live mode the configured endpoints are called; a production instance in live mode refuses to start without the Core, FIN, SMTP and inbound key settings. E-mail and SMS are sent only when SMTP_HOST and SMS_API_BASE_URL are set, independent of the mode.</w:t>
      </w:r>
    </w:p>
    <w:p>
      <w:pPr>
        <w:pStyle w:val="Heading1"/>
        <w:pageBreakBefore/>
        <w:pBdr>
          <w:bottom w:val="single" w:sz="12" w:space="4" w:color="F58220"/>
        </w:pBdr>
      </w:pPr>
      <w:r>
        <w:t>8. Security Architecture</w:t>
      </w:r>
    </w:p>
    <w:p>
      <w:pPr>
        <w:keepNext w:val="0"/>
      </w:pPr>
      <w:r>
        <w:rPr>
          <w:b w:val="0"/>
          <w:i w:val="0"/>
        </w:rPr>
        <w:t>Controls are layered so that no single failure exposes data. They are aligned with OWASP ASVS Level 2 and the OWASP Top 10, the Brunei Personal Data Protection Order 2025 and AMBD technology-risk expectations. The Security Assessment Report records the test evidence.</w:t>
      </w:r>
    </w:p>
    <w:p>
      <w:pPr>
        <w:keepNext/>
        <w:spacing w:after="0"/>
        <w:jc w:val="center"/>
      </w:pPr>
      <w:r>
        <w:drawing>
          <wp:inline xmlns:a="http://schemas.openxmlformats.org/drawingml/2006/main" xmlns:pic="http://schemas.openxmlformats.org/drawingml/2006/picture">
            <wp:extent cx="5580000" cy="4224857"/>
            <wp:docPr id="11" name="Picture 11"/>
            <wp:cNvGraphicFramePr>
              <a:graphicFrameLocks noChangeAspect="1"/>
            </wp:cNvGraphicFramePr>
            <a:graphic>
              <a:graphicData uri="http://schemas.openxmlformats.org/drawingml/2006/picture">
                <pic:pic>
                  <pic:nvPicPr>
                    <pic:cNvPr id="0" name="tech-security-layers.png"/>
                    <pic:cNvPicPr/>
                  </pic:nvPicPr>
                  <pic:blipFill>
                    <a:blip r:embed="rId21"/>
                    <a:stretch>
                      <a:fillRect/>
                    </a:stretch>
                  </pic:blipFill>
                  <pic:spPr>
                    <a:xfrm>
                      <a:off x="0" y="0"/>
                      <a:ext cx="5580000" cy="4224857"/>
                    </a:xfrm>
                    <a:prstGeom prst="rect"/>
                  </pic:spPr>
                </pic:pic>
              </a:graphicData>
            </a:graphic>
          </wp:inline>
        </w:drawing>
      </w:r>
    </w:p>
    <w:p>
      <w:pPr>
        <w:pStyle w:val="Caption"/>
        <w:jc w:val="center"/>
      </w:pPr>
      <w:r>
        <w:rPr>
          <w:b w:val="0"/>
          <w:i w:val="0"/>
        </w:rPr>
        <w:t>Figure 8: Defence in depth</w:t>
      </w:r>
    </w:p>
    <w:p>
      <w:pPr>
        <w:pStyle w:val="Heading2"/>
      </w:pPr>
      <w:r>
        <w:t>8.1 Control catalogue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587"/>
        <w:gridCol w:w="6577"/>
        <w:gridCol w:w="1474"/>
      </w:tblGrid>
      <w:tr>
        <w:trPr>
          <w:cantSplit/>
          <w:tblHeader/>
        </w:trPr>
        <w:tc>
          <w:tcPr>
            <w:tcW w:type="dxa" w:w="1587"/>
            <w:shd w:val="clear" w:color="auto" w:fill="E1058C"/>
            <w:vAlign w:val="center"/>
          </w:tcPr>
          <w:p>
            <w:pPr>
              <w:spacing w:after="0"/>
            </w:pPr>
            <w:r>
              <w:rPr>
                <w:b/>
                <w:i w:val="0"/>
                <w:color w:val="FFFFFF"/>
                <w:sz w:val="16"/>
              </w:rPr>
              <w:t>Control</w:t>
            </w:r>
          </w:p>
        </w:tc>
        <w:tc>
          <w:tcPr>
            <w:tcW w:type="dxa" w:w="6576"/>
            <w:shd w:val="clear" w:color="auto" w:fill="E1058C"/>
            <w:vAlign w:val="center"/>
          </w:tcPr>
          <w:p>
            <w:pPr>
              <w:spacing w:after="0"/>
            </w:pPr>
            <w:r>
              <w:rPr>
                <w:b/>
                <w:i w:val="0"/>
                <w:color w:val="FFFFFF"/>
                <w:sz w:val="16"/>
              </w:rPr>
              <w:t>Implementation</w:t>
            </w:r>
          </w:p>
        </w:tc>
        <w:tc>
          <w:tcPr>
            <w:tcW w:type="dxa" w:w="1474"/>
            <w:shd w:val="clear" w:color="auto" w:fill="E1058C"/>
            <w:vAlign w:val="center"/>
          </w:tcPr>
          <w:p>
            <w:pPr>
              <w:spacing w:after="0"/>
            </w:pPr>
            <w:r>
              <w:rPr>
                <w:b/>
                <w:i w:val="0"/>
                <w:color w:val="FFFFFF"/>
                <w:sz w:val="16"/>
              </w:rPr>
              <w:t>RFP</w:t>
            </w:r>
          </w:p>
        </w:tc>
      </w:tr>
      <w:tr>
        <w:trPr>
          <w:cantSplit/>
        </w:trPr>
        <w:tc>
          <w:tcPr>
            <w:tcW w:type="dxa" w:w="1587"/>
            <w:vAlign w:val="top"/>
          </w:tcPr>
          <w:p>
            <w:pPr>
              <w:spacing w:after="20" w:line="252" w:lineRule="auto"/>
            </w:pPr>
            <w:r>
              <w:rPr>
                <w:b/>
                <w:i w:val="0"/>
                <w:sz w:val="16"/>
              </w:rPr>
              <w:t>Passwords</w:t>
            </w:r>
          </w:p>
        </w:tc>
        <w:tc>
          <w:tcPr>
            <w:tcW w:type="dxa" w:w="6576"/>
            <w:vAlign w:val="top"/>
          </w:tcPr>
          <w:p>
            <w:pPr>
              <w:spacing w:after="20" w:line="252" w:lineRule="auto"/>
            </w:pPr>
            <w:r>
              <w:rPr>
                <w:b w:val="0"/>
                <w:i w:val="0"/>
                <w:sz w:val="16"/>
              </w:rPr>
              <w:t>Argon2id (19 MiB memory, 2 iterations, parallelism 1). Policy: 12+ characters, upper, lower, digit, symbol, must not contain the user name, last 5 not reusable, 90-day expiry, forced change after reset. All values are parameters.</w:t>
            </w:r>
          </w:p>
        </w:tc>
        <w:tc>
          <w:tcPr>
            <w:tcW w:type="dxa" w:w="1474"/>
            <w:vAlign w:val="top"/>
          </w:tcPr>
          <w:p>
            <w:pPr>
              <w:spacing w:after="20" w:line="252" w:lineRule="auto"/>
            </w:pPr>
            <w:r>
              <w:rPr>
                <w:b w:val="0"/>
                <w:i w:val="0"/>
                <w:sz w:val="16"/>
              </w:rPr>
              <w:t>AP-02, NFR-09</w:t>
            </w:r>
          </w:p>
        </w:tc>
      </w:tr>
      <w:tr>
        <w:trPr>
          <w:cantSplit/>
        </w:trPr>
        <w:tc>
          <w:tcPr>
            <w:tcW w:type="dxa" w:w="1587"/>
            <w:vAlign w:val="top"/>
            <w:shd w:val="clear" w:color="auto" w:fill="FDF0F7"/>
          </w:tcPr>
          <w:p>
            <w:pPr>
              <w:spacing w:after="20" w:line="252" w:lineRule="auto"/>
            </w:pPr>
            <w:r>
              <w:rPr>
                <w:b/>
                <w:i w:val="0"/>
                <w:sz w:val="16"/>
              </w:rPr>
              <w:t>Lockout</w:t>
            </w:r>
          </w:p>
        </w:tc>
        <w:tc>
          <w:tcPr>
            <w:tcW w:type="dxa" w:w="6576"/>
            <w:vAlign w:val="top"/>
            <w:shd w:val="clear" w:color="auto" w:fill="FDF0F7"/>
          </w:tcPr>
          <w:p>
            <w:pPr>
              <w:spacing w:after="20" w:line="252" w:lineRule="auto"/>
            </w:pPr>
            <w:r>
              <w:rPr>
                <w:b w:val="0"/>
                <w:i w:val="0"/>
                <w:sz w:val="16"/>
              </w:rPr>
              <w:t>5 failed attempts lock the account for 30 minutes (parameters); unknown user names take the same time to reject; every success, failure and lock is audited; administrators can unlock.</w:t>
            </w:r>
          </w:p>
        </w:tc>
        <w:tc>
          <w:tcPr>
            <w:tcW w:type="dxa" w:w="1474"/>
            <w:vAlign w:val="top"/>
            <w:shd w:val="clear" w:color="auto" w:fill="FDF0F7"/>
          </w:tcPr>
          <w:p>
            <w:pPr>
              <w:spacing w:after="20" w:line="252" w:lineRule="auto"/>
            </w:pPr>
            <w:r>
              <w:rPr>
                <w:b w:val="0"/>
                <w:i w:val="0"/>
                <w:sz w:val="16"/>
              </w:rPr>
              <w:t>AP-04</w:t>
            </w:r>
          </w:p>
        </w:tc>
      </w:tr>
      <w:tr>
        <w:trPr>
          <w:cantSplit/>
        </w:trPr>
        <w:tc>
          <w:tcPr>
            <w:tcW w:type="dxa" w:w="1587"/>
            <w:vAlign w:val="top"/>
          </w:tcPr>
          <w:p>
            <w:pPr>
              <w:spacing w:after="20" w:line="252" w:lineRule="auto"/>
            </w:pPr>
            <w:r>
              <w:rPr>
                <w:b/>
                <w:i w:val="0"/>
                <w:sz w:val="16"/>
              </w:rPr>
              <w:t>Sessions</w:t>
            </w:r>
          </w:p>
        </w:tc>
        <w:tc>
          <w:tcPr>
            <w:tcW w:type="dxa" w:w="6576"/>
            <w:vAlign w:val="top"/>
          </w:tcPr>
          <w:p>
            <w:pPr>
              <w:spacing w:after="20" w:line="252" w:lineRule="auto"/>
            </w:pPr>
            <w:r>
              <w:rPr>
                <w:b w:val="0"/>
                <w:i w:val="0"/>
                <w:sz w:val="16"/>
              </w:rPr>
              <w:t>Server-side in PostgreSQL; cookie HttpOnly, Secure, SameSite=Strict, path /; id regenerated at sign-in; idle timeout 15 minutes and absolute 8 hours (parameters); single active session option; sign-out and password change revoke sessions on the server.</w:t>
            </w:r>
          </w:p>
        </w:tc>
        <w:tc>
          <w:tcPr>
            <w:tcW w:type="dxa" w:w="1474"/>
            <w:vAlign w:val="top"/>
          </w:tcPr>
          <w:p>
            <w:pPr>
              <w:spacing w:after="20" w:line="252" w:lineRule="auto"/>
            </w:pPr>
            <w:r>
              <w:rPr>
                <w:b w:val="0"/>
                <w:i w:val="0"/>
                <w:sz w:val="16"/>
              </w:rPr>
              <w:t>AP-03</w:t>
            </w:r>
          </w:p>
        </w:tc>
      </w:tr>
      <w:tr>
        <w:trPr>
          <w:cantSplit/>
        </w:trPr>
        <w:tc>
          <w:tcPr>
            <w:tcW w:type="dxa" w:w="1587"/>
            <w:vAlign w:val="top"/>
            <w:shd w:val="clear" w:color="auto" w:fill="FDF0F7"/>
          </w:tcPr>
          <w:p>
            <w:pPr>
              <w:spacing w:after="20" w:line="252" w:lineRule="auto"/>
            </w:pPr>
            <w:r>
              <w:rPr>
                <w:b/>
                <w:i w:val="0"/>
                <w:sz w:val="16"/>
              </w:rPr>
              <w:t>CSRF</w:t>
            </w:r>
          </w:p>
        </w:tc>
        <w:tc>
          <w:tcPr>
            <w:tcW w:type="dxa" w:w="6576"/>
            <w:vAlign w:val="top"/>
            <w:shd w:val="clear" w:color="auto" w:fill="FDF0F7"/>
          </w:tcPr>
          <w:p>
            <w:pPr>
              <w:spacing w:after="20" w:line="252" w:lineRule="auto"/>
            </w:pPr>
            <w:r>
              <w:rPr>
                <w:b w:val="0"/>
                <w:i w:val="0"/>
                <w:sz w:val="16"/>
              </w:rPr>
              <w:t>Synchroniser token: 32 random bytes created at sign-in, held in the session, returned to the SPA and required in X-CSRF-Token on every state-changing request; compared in constant time.</w:t>
            </w:r>
          </w:p>
        </w:tc>
        <w:tc>
          <w:tcPr>
            <w:tcW w:type="dxa" w:w="1474"/>
            <w:vAlign w:val="top"/>
            <w:shd w:val="clear" w:color="auto" w:fill="FDF0F7"/>
          </w:tcPr>
          <w:p>
            <w:pPr>
              <w:spacing w:after="20" w:line="252" w:lineRule="auto"/>
            </w:pPr>
            <w:r>
              <w:rPr>
                <w:b w:val="0"/>
                <w:i w:val="0"/>
                <w:sz w:val="16"/>
              </w:rPr>
              <w:t>NFR-14</w:t>
            </w:r>
          </w:p>
        </w:tc>
      </w:tr>
      <w:tr>
        <w:trPr>
          <w:cantSplit/>
        </w:trPr>
        <w:tc>
          <w:tcPr>
            <w:tcW w:type="dxa" w:w="1587"/>
            <w:vAlign w:val="top"/>
          </w:tcPr>
          <w:p>
            <w:pPr>
              <w:spacing w:after="20" w:line="252" w:lineRule="auto"/>
            </w:pPr>
            <w:r>
              <w:rPr>
                <w:b/>
                <w:i w:val="0"/>
                <w:sz w:val="16"/>
              </w:rPr>
              <w:t>Authorisation</w:t>
            </w:r>
          </w:p>
        </w:tc>
        <w:tc>
          <w:tcPr>
            <w:tcW w:type="dxa" w:w="6576"/>
            <w:vAlign w:val="top"/>
          </w:tcPr>
          <w:p>
            <w:pPr>
              <w:spacing w:after="20" w:line="252" w:lineRule="auto"/>
            </w:pPr>
            <w:r>
              <w:rPr>
                <w:b w:val="0"/>
                <w:i w:val="0"/>
                <w:sz w:val="16"/>
              </w:rPr>
              <w:t>48 permission codes grouped into configurable roles; portal and back-office permissions cannot be mixed in one role; every route declares its audience and permissions; deny by default.</w:t>
            </w:r>
          </w:p>
        </w:tc>
        <w:tc>
          <w:tcPr>
            <w:tcW w:type="dxa" w:w="1474"/>
            <w:vAlign w:val="top"/>
          </w:tcPr>
          <w:p>
            <w:pPr>
              <w:spacing w:after="20" w:line="252" w:lineRule="auto"/>
            </w:pPr>
            <w:r>
              <w:rPr>
                <w:b w:val="0"/>
                <w:i w:val="0"/>
                <w:sz w:val="16"/>
              </w:rPr>
              <w:t>AP-59, BO-02, NFR-10</w:t>
            </w:r>
          </w:p>
        </w:tc>
      </w:tr>
      <w:tr>
        <w:trPr>
          <w:cantSplit/>
        </w:trPr>
        <w:tc>
          <w:tcPr>
            <w:tcW w:type="dxa" w:w="1587"/>
            <w:vAlign w:val="top"/>
            <w:shd w:val="clear" w:color="auto" w:fill="FDF0F7"/>
          </w:tcPr>
          <w:p>
            <w:pPr>
              <w:spacing w:after="20" w:line="252" w:lineRule="auto"/>
            </w:pPr>
            <w:r>
              <w:rPr>
                <w:b/>
                <w:i w:val="0"/>
                <w:sz w:val="16"/>
              </w:rPr>
              <w:t>Data scope</w:t>
            </w:r>
          </w:p>
        </w:tc>
        <w:tc>
          <w:tcPr>
            <w:tcW w:type="dxa" w:w="6576"/>
            <w:vAlign w:val="top"/>
            <w:shd w:val="clear" w:color="auto" w:fill="FDF0F7"/>
          </w:tcPr>
          <w:p>
            <w:pPr>
              <w:spacing w:after="20" w:line="252" w:lineRule="auto"/>
            </w:pPr>
            <w:r>
              <w:rPr>
                <w:b w:val="0"/>
                <w:i w:val="0"/>
                <w:sz w:val="16"/>
              </w:rPr>
              <w:t>Back-office: all records. Portal users with agency-wide permission: their agency or bank. Main agents: themselves and sub-agents two levels down. Others: own records. Applied in every portal query.</w:t>
            </w:r>
          </w:p>
        </w:tc>
        <w:tc>
          <w:tcPr>
            <w:tcW w:type="dxa" w:w="1474"/>
            <w:vAlign w:val="top"/>
            <w:shd w:val="clear" w:color="auto" w:fill="FDF0F7"/>
          </w:tcPr>
          <w:p>
            <w:pPr>
              <w:spacing w:after="20" w:line="252" w:lineRule="auto"/>
            </w:pPr>
            <w:r>
              <w:rPr>
                <w:b w:val="0"/>
                <w:i w:val="0"/>
                <w:sz w:val="16"/>
              </w:rPr>
              <w:t>AP-09, AP-12, COM-02</w:t>
            </w:r>
          </w:p>
        </w:tc>
      </w:tr>
      <w:tr>
        <w:trPr>
          <w:cantSplit/>
        </w:trPr>
        <w:tc>
          <w:tcPr>
            <w:tcW w:type="dxa" w:w="1587"/>
            <w:vAlign w:val="top"/>
          </w:tcPr>
          <w:p>
            <w:pPr>
              <w:spacing w:after="20" w:line="252" w:lineRule="auto"/>
            </w:pPr>
            <w:r>
              <w:rPr>
                <w:b/>
                <w:i w:val="0"/>
                <w:sz w:val="16"/>
              </w:rPr>
              <w:t>Maker-checker</w:t>
            </w:r>
          </w:p>
        </w:tc>
        <w:tc>
          <w:tcPr>
            <w:tcW w:type="dxa" w:w="6576"/>
            <w:vAlign w:val="top"/>
          </w:tcPr>
          <w:p>
            <w:pPr>
              <w:spacing w:after="20" w:line="252" w:lineRule="auto"/>
            </w:pPr>
            <w:r>
              <w:rPr>
                <w:b w:val="0"/>
                <w:i w:val="0"/>
                <w:sz w:val="16"/>
              </w:rPr>
              <w:t>Maker cannot approve own request; one person cannot approve two levels; remarks on rejection; levels fixed at submission.</w:t>
            </w:r>
          </w:p>
        </w:tc>
        <w:tc>
          <w:tcPr>
            <w:tcW w:type="dxa" w:w="1474"/>
            <w:vAlign w:val="top"/>
          </w:tcPr>
          <w:p>
            <w:pPr>
              <w:spacing w:after="20" w:line="252" w:lineRule="auto"/>
            </w:pPr>
            <w:r>
              <w:rPr>
                <w:b w:val="0"/>
                <w:i w:val="0"/>
                <w:sz w:val="16"/>
              </w:rPr>
              <w:t>BO-17, COM-04</w:t>
            </w:r>
          </w:p>
        </w:tc>
      </w:tr>
      <w:tr>
        <w:trPr>
          <w:cantSplit/>
        </w:trPr>
        <w:tc>
          <w:tcPr>
            <w:tcW w:type="dxa" w:w="1587"/>
            <w:vAlign w:val="top"/>
            <w:shd w:val="clear" w:color="auto" w:fill="FDF0F7"/>
          </w:tcPr>
          <w:p>
            <w:pPr>
              <w:spacing w:after="20" w:line="252" w:lineRule="auto"/>
            </w:pPr>
            <w:r>
              <w:rPr>
                <w:b/>
                <w:i w:val="0"/>
                <w:sz w:val="16"/>
              </w:rPr>
              <w:t>In transit</w:t>
            </w:r>
          </w:p>
        </w:tc>
        <w:tc>
          <w:tcPr>
            <w:tcW w:type="dxa" w:w="6576"/>
            <w:vAlign w:val="top"/>
            <w:shd w:val="clear" w:color="auto" w:fill="FDF0F7"/>
          </w:tcPr>
          <w:p>
            <w:pPr>
              <w:spacing w:after="20" w:line="252" w:lineRule="auto"/>
            </w:pPr>
            <w:r>
              <w:rPr>
                <w:b w:val="0"/>
                <w:i w:val="0"/>
                <w:sz w:val="16"/>
              </w:rPr>
              <w:t>TLS 1.2 or later at the load balancer or nginx with HSTS; TLS to PostgreSQL (sslmode=require), STARTTLS to SMTP, LDAPS, HTTPS to all APIs.</w:t>
            </w:r>
          </w:p>
        </w:tc>
        <w:tc>
          <w:tcPr>
            <w:tcW w:type="dxa" w:w="1474"/>
            <w:vAlign w:val="top"/>
            <w:shd w:val="clear" w:color="auto" w:fill="FDF0F7"/>
          </w:tcPr>
          <w:p>
            <w:pPr>
              <w:spacing w:after="20" w:line="252" w:lineRule="auto"/>
            </w:pPr>
            <w:r>
              <w:rPr>
                <w:b w:val="0"/>
                <w:i w:val="0"/>
                <w:sz w:val="16"/>
              </w:rPr>
              <w:t>NFR-08, COM-10</w:t>
            </w:r>
          </w:p>
        </w:tc>
      </w:tr>
      <w:tr>
        <w:trPr>
          <w:cantSplit/>
        </w:trPr>
        <w:tc>
          <w:tcPr>
            <w:tcW w:type="dxa" w:w="1587"/>
            <w:vAlign w:val="top"/>
          </w:tcPr>
          <w:p>
            <w:pPr>
              <w:spacing w:after="20" w:line="252" w:lineRule="auto"/>
            </w:pPr>
            <w:r>
              <w:rPr>
                <w:b/>
                <w:i w:val="0"/>
                <w:sz w:val="16"/>
              </w:rPr>
              <w:t>At rest</w:t>
            </w:r>
          </w:p>
        </w:tc>
        <w:tc>
          <w:tcPr>
            <w:tcW w:type="dxa" w:w="6576"/>
            <w:vAlign w:val="top"/>
          </w:tcPr>
          <w:p>
            <w:pPr>
              <w:spacing w:after="20" w:line="252" w:lineRule="auto"/>
            </w:pPr>
            <w:r>
              <w:rPr>
                <w:b w:val="0"/>
                <w:i w:val="0"/>
                <w:sz w:val="16"/>
              </w:rPr>
              <w:t>AES-256-GCM for identification numbers and documents with keys outside the database; HMAC-SHA256 blind index; encrypted volumes and backups (infrastructure).</w:t>
            </w:r>
          </w:p>
        </w:tc>
        <w:tc>
          <w:tcPr>
            <w:tcW w:type="dxa" w:w="1474"/>
            <w:vAlign w:val="top"/>
          </w:tcPr>
          <w:p>
            <w:pPr>
              <w:spacing w:after="20" w:line="252" w:lineRule="auto"/>
            </w:pPr>
            <w:r>
              <w:rPr>
                <w:b w:val="0"/>
                <w:i w:val="0"/>
                <w:sz w:val="16"/>
              </w:rPr>
              <w:t>COM-01, COM-10, NFR-08</w:t>
            </w:r>
          </w:p>
        </w:tc>
      </w:tr>
      <w:tr>
        <w:trPr>
          <w:cantSplit/>
        </w:trPr>
        <w:tc>
          <w:tcPr>
            <w:tcW w:type="dxa" w:w="1587"/>
            <w:vAlign w:val="top"/>
            <w:shd w:val="clear" w:color="auto" w:fill="FDF0F7"/>
          </w:tcPr>
          <w:p>
            <w:pPr>
              <w:spacing w:after="20" w:line="252" w:lineRule="auto"/>
            </w:pPr>
            <w:r>
              <w:rPr>
                <w:b/>
                <w:i w:val="0"/>
                <w:sz w:val="16"/>
              </w:rPr>
              <w:t>Uploads</w:t>
            </w:r>
          </w:p>
        </w:tc>
        <w:tc>
          <w:tcPr>
            <w:tcW w:type="dxa" w:w="6576"/>
            <w:vAlign w:val="top"/>
            <w:shd w:val="clear" w:color="auto" w:fill="FDF0F7"/>
          </w:tcPr>
          <w:p>
            <w:pPr>
              <w:spacing w:after="20" w:line="252" w:lineRule="auto"/>
            </w:pPr>
            <w:r>
              <w:rPr>
                <w:b w:val="0"/>
                <w:i w:val="0"/>
                <w:sz w:val="16"/>
              </w:rPr>
              <w:t>Content type from magic bytes (PDF, PNG, JPEG only); MAX_UPLOAD_MB (10 MB) limit; file name sanitised and extension forced to match content; SHA-256 recorded; ClamAV INSTREAM scan, and the upload fails if the scanner cannot be reached. CLAMAV_HOST is mandatory in production.</w:t>
            </w:r>
          </w:p>
        </w:tc>
        <w:tc>
          <w:tcPr>
            <w:tcW w:type="dxa" w:w="1474"/>
            <w:vAlign w:val="top"/>
            <w:shd w:val="clear" w:color="auto" w:fill="FDF0F7"/>
          </w:tcPr>
          <w:p>
            <w:pPr>
              <w:spacing w:after="20" w:line="252" w:lineRule="auto"/>
            </w:pPr>
            <w:r>
              <w:rPr>
                <w:b w:val="0"/>
                <w:i w:val="0"/>
                <w:sz w:val="16"/>
              </w:rPr>
              <w:t>AP-46, COM-06</w:t>
            </w:r>
          </w:p>
        </w:tc>
      </w:tr>
      <w:tr>
        <w:trPr>
          <w:cantSplit/>
        </w:trPr>
        <w:tc>
          <w:tcPr>
            <w:tcW w:type="dxa" w:w="1587"/>
            <w:vAlign w:val="top"/>
          </w:tcPr>
          <w:p>
            <w:pPr>
              <w:spacing w:after="20" w:line="252" w:lineRule="auto"/>
            </w:pPr>
            <w:r>
              <w:rPr>
                <w:b/>
                <w:i w:val="0"/>
                <w:sz w:val="16"/>
              </w:rPr>
              <w:t>Rate limiting</w:t>
            </w:r>
          </w:p>
        </w:tc>
        <w:tc>
          <w:tcPr>
            <w:tcW w:type="dxa" w:w="6576"/>
            <w:vAlign w:val="top"/>
          </w:tcPr>
          <w:p>
            <w:pPr>
              <w:spacing w:after="20" w:line="252" w:lineRule="auto"/>
            </w:pPr>
            <w:r>
              <w:rPr>
                <w:b w:val="0"/>
                <w:i w:val="0"/>
                <w:sz w:val="16"/>
              </w:rPr>
              <w:t>nginx 20 requests/second per IP (burst 40) on /api; API 300 requests/minute per IP; sign-in and password change 10/minute.</w:t>
            </w:r>
          </w:p>
        </w:tc>
        <w:tc>
          <w:tcPr>
            <w:tcW w:type="dxa" w:w="1474"/>
            <w:vAlign w:val="top"/>
          </w:tcPr>
          <w:p>
            <w:pPr>
              <w:spacing w:after="20" w:line="252" w:lineRule="auto"/>
            </w:pPr>
            <w:r>
              <w:rPr>
                <w:b w:val="0"/>
                <w:i w:val="0"/>
                <w:sz w:val="16"/>
              </w:rPr>
              <w:t>NFR-14</w:t>
            </w:r>
          </w:p>
        </w:tc>
      </w:tr>
      <w:tr>
        <w:trPr>
          <w:cantSplit/>
        </w:trPr>
        <w:tc>
          <w:tcPr>
            <w:tcW w:type="dxa" w:w="1587"/>
            <w:vAlign w:val="top"/>
            <w:shd w:val="clear" w:color="auto" w:fill="FDF0F7"/>
          </w:tcPr>
          <w:p>
            <w:pPr>
              <w:spacing w:after="20" w:line="252" w:lineRule="auto"/>
            </w:pPr>
            <w:r>
              <w:rPr>
                <w:b/>
                <w:i w:val="0"/>
                <w:sz w:val="16"/>
              </w:rPr>
              <w:t>Headers</w:t>
            </w:r>
          </w:p>
        </w:tc>
        <w:tc>
          <w:tcPr>
            <w:tcW w:type="dxa" w:w="6576"/>
            <w:vAlign w:val="top"/>
            <w:shd w:val="clear" w:color="auto" w:fill="FDF0F7"/>
          </w:tcPr>
          <w:p>
            <w:pPr>
              <w:spacing w:after="20" w:line="252" w:lineRule="auto"/>
            </w:pPr>
            <w:r>
              <w:rPr>
                <w:b w:val="0"/>
                <w:i w:val="0"/>
                <w:sz w:val="16"/>
              </w:rPr>
              <w:t>helmet on API responses, with X-Frame-Options DENY and a CSP of default-src 'none' and frame-ancestors 'none'; nginx adds HSTS, CSP (self only, frame-ancestors none), X-Frame-Options DENY, nosniff, Referrer-Policy and Permissions-Policy; server tokens and x-powered-by removed.</w:t>
            </w:r>
          </w:p>
        </w:tc>
        <w:tc>
          <w:tcPr>
            <w:tcW w:type="dxa" w:w="1474"/>
            <w:vAlign w:val="top"/>
            <w:shd w:val="clear" w:color="auto" w:fill="FDF0F7"/>
          </w:tcPr>
          <w:p>
            <w:pPr>
              <w:spacing w:after="20" w:line="252" w:lineRule="auto"/>
            </w:pPr>
            <w:r>
              <w:rPr>
                <w:b w:val="0"/>
                <w:i w:val="0"/>
                <w:sz w:val="16"/>
              </w:rPr>
              <w:t>NFR-14</w:t>
            </w:r>
          </w:p>
        </w:tc>
      </w:tr>
      <w:tr>
        <w:trPr>
          <w:cantSplit/>
        </w:trPr>
        <w:tc>
          <w:tcPr>
            <w:tcW w:type="dxa" w:w="1587"/>
            <w:vAlign w:val="top"/>
          </w:tcPr>
          <w:p>
            <w:pPr>
              <w:spacing w:after="20" w:line="252" w:lineRule="auto"/>
            </w:pPr>
            <w:r>
              <w:rPr>
                <w:b/>
                <w:i w:val="0"/>
                <w:sz w:val="16"/>
              </w:rPr>
              <w:t>Errors</w:t>
            </w:r>
          </w:p>
        </w:tc>
        <w:tc>
          <w:tcPr>
            <w:tcW w:type="dxa" w:w="6576"/>
            <w:vAlign w:val="top"/>
          </w:tcPr>
          <w:p>
            <w:pPr>
              <w:spacing w:after="20" w:line="252" w:lineRule="auto"/>
            </w:pPr>
            <w:r>
              <w:rPr>
                <w:b w:val="0"/>
                <w:i w:val="0"/>
                <w:sz w:val="16"/>
              </w:rPr>
              <w:t>Generic message plus correlation id to the client; full details only in server logs.</w:t>
            </w:r>
          </w:p>
        </w:tc>
        <w:tc>
          <w:tcPr>
            <w:tcW w:type="dxa" w:w="1474"/>
            <w:vAlign w:val="top"/>
          </w:tcPr>
          <w:p>
            <w:pPr>
              <w:spacing w:after="20" w:line="252" w:lineRule="auto"/>
            </w:pPr>
            <w:r>
              <w:rPr>
                <w:b w:val="0"/>
                <w:i w:val="0"/>
                <w:sz w:val="16"/>
              </w:rPr>
              <w:t>NFR-15</w:t>
            </w:r>
          </w:p>
        </w:tc>
      </w:tr>
      <w:tr>
        <w:trPr>
          <w:cantSplit/>
        </w:trPr>
        <w:tc>
          <w:tcPr>
            <w:tcW w:type="dxa" w:w="1587"/>
            <w:vAlign w:val="top"/>
            <w:shd w:val="clear" w:color="auto" w:fill="FDF0F7"/>
          </w:tcPr>
          <w:p>
            <w:pPr>
              <w:spacing w:after="20" w:line="252" w:lineRule="auto"/>
            </w:pPr>
            <w:r>
              <w:rPr>
                <w:b/>
                <w:i w:val="0"/>
                <w:sz w:val="16"/>
              </w:rPr>
              <w:t>Logging</w:t>
            </w:r>
          </w:p>
        </w:tc>
        <w:tc>
          <w:tcPr>
            <w:tcW w:type="dxa" w:w="6576"/>
            <w:vAlign w:val="top"/>
            <w:shd w:val="clear" w:color="auto" w:fill="FDF0F7"/>
          </w:tcPr>
          <w:p>
            <w:pPr>
              <w:spacing w:after="20" w:line="252" w:lineRule="auto"/>
            </w:pPr>
            <w:r>
              <w:rPr>
                <w:b w:val="0"/>
                <w:i w:val="0"/>
                <w:sz w:val="16"/>
              </w:rPr>
              <w:t>JSON logs; cookie, authorization, CSRF and set-cookie headers redacted; audit values redacted.</w:t>
            </w:r>
          </w:p>
        </w:tc>
        <w:tc>
          <w:tcPr>
            <w:tcW w:type="dxa" w:w="1474"/>
            <w:vAlign w:val="top"/>
            <w:shd w:val="clear" w:color="auto" w:fill="FDF0F7"/>
          </w:tcPr>
          <w:p>
            <w:pPr>
              <w:spacing w:after="20" w:line="252" w:lineRule="auto"/>
            </w:pPr>
            <w:r>
              <w:rPr>
                <w:b w:val="0"/>
                <w:i w:val="0"/>
                <w:sz w:val="16"/>
              </w:rPr>
              <w:t>NFR-11, NFR-28</w:t>
            </w:r>
          </w:p>
        </w:tc>
      </w:tr>
      <w:tr>
        <w:trPr>
          <w:cantSplit/>
        </w:trPr>
        <w:tc>
          <w:tcPr>
            <w:tcW w:type="dxa" w:w="1587"/>
            <w:vAlign w:val="top"/>
          </w:tcPr>
          <w:p>
            <w:pPr>
              <w:spacing w:after="20" w:line="252" w:lineRule="auto"/>
            </w:pPr>
            <w:r>
              <w:rPr>
                <w:b/>
                <w:i w:val="0"/>
                <w:sz w:val="16"/>
              </w:rPr>
              <w:t>System APIs</w:t>
            </w:r>
          </w:p>
        </w:tc>
        <w:tc>
          <w:tcPr>
            <w:tcW w:type="dxa" w:w="6576"/>
            <w:vAlign w:val="top"/>
          </w:tcPr>
          <w:p>
            <w:pPr>
              <w:spacing w:after="20" w:line="252" w:lineRule="auto"/>
            </w:pPr>
            <w:r>
              <w:rPr>
                <w:b w:val="0"/>
                <w:i w:val="0"/>
                <w:sz w:val="16"/>
              </w:rPr>
              <w:t>API key compared by SHA-256 in constant time; only the hash is configured; IP allow-list at nginx or the firewall; every call logged.</w:t>
            </w:r>
          </w:p>
        </w:tc>
        <w:tc>
          <w:tcPr>
            <w:tcW w:type="dxa" w:w="1474"/>
            <w:vAlign w:val="top"/>
          </w:tcPr>
          <w:p>
            <w:pPr>
              <w:spacing w:after="20" w:line="252" w:lineRule="auto"/>
            </w:pPr>
            <w:r>
              <w:rPr>
                <w:b w:val="0"/>
                <w:i w:val="0"/>
                <w:sz w:val="16"/>
              </w:rPr>
              <w:t>INT-10</w:t>
            </w:r>
          </w:p>
        </w:tc>
      </w:tr>
      <w:tr>
        <w:trPr>
          <w:cantSplit/>
        </w:trPr>
        <w:tc>
          <w:tcPr>
            <w:tcW w:type="dxa" w:w="1587"/>
            <w:vAlign w:val="top"/>
            <w:shd w:val="clear" w:color="auto" w:fill="FDF0F7"/>
          </w:tcPr>
          <w:p>
            <w:pPr>
              <w:spacing w:after="20" w:line="252" w:lineRule="auto"/>
            </w:pPr>
            <w:r>
              <w:rPr>
                <w:b/>
                <w:i w:val="0"/>
                <w:sz w:val="16"/>
              </w:rPr>
              <w:t>Production guard</w:t>
            </w:r>
          </w:p>
        </w:tc>
        <w:tc>
          <w:tcPr>
            <w:tcW w:type="dxa" w:w="6576"/>
            <w:vAlign w:val="top"/>
            <w:shd w:val="clear" w:color="auto" w:fill="FDF0F7"/>
          </w:tcPr>
          <w:p>
            <w:pPr>
              <w:spacing w:after="20" w:line="252" w:lineRule="auto"/>
            </w:pPr>
            <w:r>
              <w:rPr>
                <w:b w:val="0"/>
                <w:i w:val="0"/>
                <w:sz w:val="16"/>
              </w:rPr>
              <w:t>The API refuses to start in production with a non-secure cookie, API docs enabled, no CLAMAV_HOST, or live integration without Core, FIN, SMTP and inbound key settings.</w:t>
            </w:r>
          </w:p>
        </w:tc>
        <w:tc>
          <w:tcPr>
            <w:tcW w:type="dxa" w:w="1474"/>
            <w:vAlign w:val="top"/>
            <w:shd w:val="clear" w:color="auto" w:fill="FDF0F7"/>
          </w:tcPr>
          <w:p>
            <w:pPr>
              <w:spacing w:after="20" w:line="252" w:lineRule="auto"/>
            </w:pPr>
            <w:r>
              <w:rPr>
                <w:b w:val="0"/>
                <w:i w:val="0"/>
                <w:sz w:val="16"/>
              </w:rPr>
              <w:t>NFR-14</w:t>
            </w:r>
          </w:p>
        </w:tc>
      </w:tr>
      <w:tr>
        <w:trPr>
          <w:cantSplit/>
        </w:trPr>
        <w:tc>
          <w:tcPr>
            <w:tcW w:type="dxa" w:w="1587"/>
            <w:vAlign w:val="top"/>
          </w:tcPr>
          <w:p>
            <w:pPr>
              <w:spacing w:after="20" w:line="252" w:lineRule="auto"/>
            </w:pPr>
            <w:r>
              <w:rPr>
                <w:b/>
                <w:i w:val="0"/>
                <w:sz w:val="16"/>
              </w:rPr>
              <w:t>Multi-factor authentication</w:t>
            </w:r>
          </w:p>
        </w:tc>
        <w:tc>
          <w:tcPr>
            <w:tcW w:type="dxa" w:w="6576"/>
            <w:vAlign w:val="top"/>
          </w:tcPr>
          <w:p>
            <w:pPr>
              <w:spacing w:after="20" w:line="252" w:lineRule="auto"/>
            </w:pPr>
            <w:r>
              <w:rPr>
                <w:b w:val="0"/>
                <w:i w:val="0"/>
                <w:sz w:val="16"/>
              </w:rPr>
              <w:t>E-mail one-time code or authenticator app for back-office users; optional for portal users. Delivered during implementation.</w:t>
            </w:r>
          </w:p>
        </w:tc>
        <w:tc>
          <w:tcPr>
            <w:tcW w:type="dxa" w:w="1474"/>
            <w:vAlign w:val="top"/>
          </w:tcPr>
          <w:p>
            <w:pPr>
              <w:spacing w:after="20" w:line="252" w:lineRule="auto"/>
            </w:pPr>
            <w:r>
              <w:rPr>
                <w:b w:val="0"/>
                <w:i w:val="0"/>
                <w:sz w:val="16"/>
              </w:rPr>
              <w:t>NFR-09</w:t>
            </w:r>
          </w:p>
        </w:tc>
      </w:tr>
    </w:tbl>
    <w:p>
      <w:pPr>
        <w:pStyle w:val="Caption"/>
        <w:jc w:val="center"/>
      </w:pPr>
      <w:r>
        <w:rPr>
          <w:b w:val="0"/>
          <w:i w:val="0"/>
        </w:rPr>
        <w:t>Table 18: Security controls</w:t>
      </w:r>
    </w:p>
    <w:p>
      <w:pPr>
        <w:pStyle w:val="Heading2"/>
      </w:pPr>
      <w:r>
        <w:t>8.2 Roles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381"/>
        <w:gridCol w:w="2381"/>
        <w:gridCol w:w="1134"/>
        <w:gridCol w:w="3742"/>
      </w:tblGrid>
      <w:tr>
        <w:trPr>
          <w:cantSplit/>
          <w:tblHeader/>
        </w:trPr>
        <w:tc>
          <w:tcPr>
            <w:tcW w:type="dxa" w:w="2381"/>
            <w:shd w:val="clear" w:color="auto" w:fill="E1058C"/>
            <w:vAlign w:val="center"/>
          </w:tcPr>
          <w:p>
            <w:pPr>
              <w:spacing w:after="0"/>
            </w:pPr>
            <w:r>
              <w:rPr>
                <w:b/>
                <w:i w:val="0"/>
                <w:color w:val="FFFFFF"/>
                <w:sz w:val="16"/>
              </w:rPr>
              <w:t>Code</w:t>
            </w:r>
          </w:p>
        </w:tc>
        <w:tc>
          <w:tcPr>
            <w:tcW w:type="dxa" w:w="2381"/>
            <w:shd w:val="clear" w:color="auto" w:fill="E1058C"/>
            <w:vAlign w:val="center"/>
          </w:tcPr>
          <w:p>
            <w:pPr>
              <w:spacing w:after="0"/>
            </w:pPr>
            <w:r>
              <w:rPr>
                <w:b/>
                <w:i w:val="0"/>
                <w:color w:val="FFFFFF"/>
                <w:sz w:val="16"/>
              </w:rPr>
              <w:t>Role</w:t>
            </w:r>
          </w:p>
        </w:tc>
        <w:tc>
          <w:tcPr>
            <w:tcW w:type="dxa" w:w="1134"/>
            <w:shd w:val="clear" w:color="auto" w:fill="E1058C"/>
            <w:vAlign w:val="center"/>
          </w:tcPr>
          <w:p>
            <w:pPr>
              <w:spacing w:after="0"/>
            </w:pPr>
            <w:r>
              <w:rPr>
                <w:b/>
                <w:i w:val="0"/>
                <w:color w:val="FFFFFF"/>
                <w:sz w:val="16"/>
              </w:rPr>
              <w:t>Audience</w:t>
            </w:r>
          </w:p>
        </w:tc>
        <w:tc>
          <w:tcPr>
            <w:tcW w:type="dxa" w:w="3742"/>
            <w:shd w:val="clear" w:color="auto" w:fill="E1058C"/>
            <w:vAlign w:val="center"/>
          </w:tcPr>
          <w:p>
            <w:pPr>
              <w:spacing w:after="0"/>
            </w:pPr>
            <w:r>
              <w:rPr>
                <w:b/>
                <w:i w:val="0"/>
                <w:color w:val="FFFFFF"/>
                <w:sz w:val="16"/>
              </w:rPr>
              <w:t>Purpose</w:t>
            </w:r>
          </w:p>
        </w:tc>
      </w:tr>
      <w:tr>
        <w:trPr>
          <w:cantSplit/>
        </w:trPr>
        <w:tc>
          <w:tcPr>
            <w:tcW w:type="dxa" w:w="2381"/>
            <w:vAlign w:val="top"/>
          </w:tcPr>
          <w:p>
            <w:pPr>
              <w:spacing w:after="20" w:line="252" w:lineRule="auto"/>
            </w:pPr>
            <w:r>
              <w:rPr>
                <w:b w:val="0"/>
                <w:i w:val="0"/>
                <w:sz w:val="16"/>
              </w:rPr>
              <w:t>AGENCY_PRINCIPAL</w:t>
            </w:r>
          </w:p>
        </w:tc>
        <w:tc>
          <w:tcPr>
            <w:tcW w:type="dxa" w:w="2381"/>
            <w:vAlign w:val="top"/>
          </w:tcPr>
          <w:p>
            <w:pPr>
              <w:spacing w:after="20" w:line="252" w:lineRule="auto"/>
            </w:pPr>
            <w:r>
              <w:rPr>
                <w:b w:val="0"/>
                <w:i w:val="0"/>
                <w:sz w:val="16"/>
              </w:rPr>
              <w:t>Agency principal / main agent</w:t>
            </w:r>
          </w:p>
        </w:tc>
        <w:tc>
          <w:tcPr>
            <w:tcW w:type="dxa" w:w="1134"/>
            <w:vAlign w:val="top"/>
          </w:tcPr>
          <w:p>
            <w:pPr>
              <w:spacing w:after="20" w:line="252" w:lineRule="auto"/>
            </w:pPr>
            <w:r>
              <w:rPr>
                <w:b w:val="0"/>
                <w:i w:val="0"/>
                <w:sz w:val="16"/>
              </w:rPr>
              <w:t>Portal</w:t>
            </w:r>
          </w:p>
        </w:tc>
        <w:tc>
          <w:tcPr>
            <w:tcW w:type="dxa" w:w="3742"/>
            <w:vAlign w:val="top"/>
          </w:tcPr>
          <w:p>
            <w:pPr>
              <w:spacing w:after="20" w:line="252" w:lineRule="auto"/>
            </w:pPr>
            <w:r>
              <w:rPr>
                <w:b w:val="0"/>
                <w:i w:val="0"/>
                <w:sz w:val="16"/>
              </w:rPr>
              <w:t>Main agent: own business, sub-agents and agency-wide view; registers sub-agents</w:t>
            </w:r>
          </w:p>
        </w:tc>
      </w:tr>
      <w:tr>
        <w:trPr>
          <w:cantSplit/>
        </w:trPr>
        <w:tc>
          <w:tcPr>
            <w:tcW w:type="dxa" w:w="2381"/>
            <w:vAlign w:val="top"/>
            <w:shd w:val="clear" w:color="auto" w:fill="FDF0F7"/>
          </w:tcPr>
          <w:p>
            <w:pPr>
              <w:spacing w:after="20" w:line="252" w:lineRule="auto"/>
            </w:pPr>
            <w:r>
              <w:rPr>
                <w:b w:val="0"/>
                <w:i w:val="0"/>
                <w:sz w:val="16"/>
              </w:rPr>
              <w:t>AGENT</w:t>
            </w:r>
          </w:p>
        </w:tc>
        <w:tc>
          <w:tcPr>
            <w:tcW w:type="dxa" w:w="2381"/>
            <w:vAlign w:val="top"/>
            <w:shd w:val="clear" w:color="auto" w:fill="FDF0F7"/>
          </w:tcPr>
          <w:p>
            <w:pPr>
              <w:spacing w:after="20" w:line="252" w:lineRule="auto"/>
            </w:pPr>
            <w:r>
              <w:rPr>
                <w:b w:val="0"/>
                <w:i w:val="0"/>
                <w:sz w:val="16"/>
              </w:rPr>
              <w:t>Agent</w:t>
            </w:r>
          </w:p>
        </w:tc>
        <w:tc>
          <w:tcPr>
            <w:tcW w:type="dxa" w:w="1134"/>
            <w:vAlign w:val="top"/>
            <w:shd w:val="clear" w:color="auto" w:fill="FDF0F7"/>
          </w:tcPr>
          <w:p>
            <w:pPr>
              <w:spacing w:after="20" w:line="252" w:lineRule="auto"/>
            </w:pPr>
            <w:r>
              <w:rPr>
                <w:b w:val="0"/>
                <w:i w:val="0"/>
                <w:sz w:val="16"/>
              </w:rPr>
              <w:t>Portal</w:t>
            </w:r>
          </w:p>
        </w:tc>
        <w:tc>
          <w:tcPr>
            <w:tcW w:type="dxa" w:w="3742"/>
            <w:vAlign w:val="top"/>
            <w:shd w:val="clear" w:color="auto" w:fill="FDF0F7"/>
          </w:tcPr>
          <w:p>
            <w:pPr>
              <w:spacing w:after="20" w:line="252" w:lineRule="auto"/>
            </w:pPr>
            <w:r>
              <w:rPr>
                <w:b w:val="0"/>
                <w:i w:val="0"/>
                <w:sz w:val="16"/>
              </w:rPr>
              <w:t>Sub-agent: own quotations, policies, payments and claims</w:t>
            </w:r>
          </w:p>
        </w:tc>
      </w:tr>
      <w:tr>
        <w:trPr>
          <w:cantSplit/>
        </w:trPr>
        <w:tc>
          <w:tcPr>
            <w:tcW w:type="dxa" w:w="2381"/>
            <w:vAlign w:val="top"/>
          </w:tcPr>
          <w:p>
            <w:pPr>
              <w:spacing w:after="20" w:line="252" w:lineRule="auto"/>
            </w:pPr>
            <w:r>
              <w:rPr>
                <w:b w:val="0"/>
                <w:i w:val="0"/>
                <w:sz w:val="16"/>
              </w:rPr>
              <w:t>BANCA_OFFICER</w:t>
            </w:r>
          </w:p>
        </w:tc>
        <w:tc>
          <w:tcPr>
            <w:tcW w:type="dxa" w:w="2381"/>
            <w:vAlign w:val="top"/>
          </w:tcPr>
          <w:p>
            <w:pPr>
              <w:spacing w:after="20" w:line="252" w:lineRule="auto"/>
            </w:pPr>
            <w:r>
              <w:rPr>
                <w:b w:val="0"/>
                <w:i w:val="0"/>
                <w:sz w:val="16"/>
              </w:rPr>
              <w:t>Bank officer (banca)</w:t>
            </w:r>
          </w:p>
        </w:tc>
        <w:tc>
          <w:tcPr>
            <w:tcW w:type="dxa" w:w="1134"/>
            <w:vAlign w:val="top"/>
          </w:tcPr>
          <w:p>
            <w:pPr>
              <w:spacing w:after="20" w:line="252" w:lineRule="auto"/>
            </w:pPr>
            <w:r>
              <w:rPr>
                <w:b w:val="0"/>
                <w:i w:val="0"/>
                <w:sz w:val="16"/>
              </w:rPr>
              <w:t>Portal</w:t>
            </w:r>
          </w:p>
        </w:tc>
        <w:tc>
          <w:tcPr>
            <w:tcW w:type="dxa" w:w="3742"/>
            <w:vAlign w:val="top"/>
          </w:tcPr>
          <w:p>
            <w:pPr>
              <w:spacing w:after="20" w:line="252" w:lineRule="auto"/>
            </w:pPr>
            <w:r>
              <w:rPr>
                <w:b w:val="0"/>
                <w:i w:val="0"/>
                <w:sz w:val="16"/>
              </w:rPr>
              <w:t>Bank officer selling financing takaful at the branch</w:t>
            </w:r>
          </w:p>
        </w:tc>
      </w:tr>
      <w:tr>
        <w:trPr>
          <w:cantSplit/>
        </w:trPr>
        <w:tc>
          <w:tcPr>
            <w:tcW w:type="dxa" w:w="2381"/>
            <w:vAlign w:val="top"/>
            <w:shd w:val="clear" w:color="auto" w:fill="FDF0F7"/>
          </w:tcPr>
          <w:p>
            <w:pPr>
              <w:spacing w:after="20" w:line="252" w:lineRule="auto"/>
            </w:pPr>
            <w:r>
              <w:rPr>
                <w:b w:val="0"/>
                <w:i w:val="0"/>
                <w:sz w:val="16"/>
              </w:rPr>
              <w:t>BANCA_SUPERVISOR</w:t>
            </w:r>
          </w:p>
        </w:tc>
        <w:tc>
          <w:tcPr>
            <w:tcW w:type="dxa" w:w="2381"/>
            <w:vAlign w:val="top"/>
            <w:shd w:val="clear" w:color="auto" w:fill="FDF0F7"/>
          </w:tcPr>
          <w:p>
            <w:pPr>
              <w:spacing w:after="20" w:line="252" w:lineRule="auto"/>
            </w:pPr>
            <w:r>
              <w:rPr>
                <w:b w:val="0"/>
                <w:i w:val="0"/>
                <w:sz w:val="16"/>
              </w:rPr>
              <w:t>Bank supervisor (banca)</w:t>
            </w:r>
          </w:p>
        </w:tc>
        <w:tc>
          <w:tcPr>
            <w:tcW w:type="dxa" w:w="1134"/>
            <w:vAlign w:val="top"/>
            <w:shd w:val="clear" w:color="auto" w:fill="FDF0F7"/>
          </w:tcPr>
          <w:p>
            <w:pPr>
              <w:spacing w:after="20" w:line="252" w:lineRule="auto"/>
            </w:pPr>
            <w:r>
              <w:rPr>
                <w:b w:val="0"/>
                <w:i w:val="0"/>
                <w:sz w:val="16"/>
              </w:rPr>
              <w:t>Portal</w:t>
            </w:r>
          </w:p>
        </w:tc>
        <w:tc>
          <w:tcPr>
            <w:tcW w:type="dxa" w:w="3742"/>
            <w:vAlign w:val="top"/>
            <w:shd w:val="clear" w:color="auto" w:fill="FDF0F7"/>
          </w:tcPr>
          <w:p>
            <w:pPr>
              <w:spacing w:after="20" w:line="252" w:lineRule="auto"/>
            </w:pPr>
            <w:r>
              <w:rPr>
                <w:b w:val="0"/>
                <w:i w:val="0"/>
                <w:sz w:val="16"/>
              </w:rPr>
              <w:t>Bank branch supervisor: bank-wide view and officer registration</w:t>
            </w:r>
          </w:p>
        </w:tc>
      </w:tr>
      <w:tr>
        <w:trPr>
          <w:cantSplit/>
        </w:trPr>
        <w:tc>
          <w:tcPr>
            <w:tcW w:type="dxa" w:w="2381"/>
            <w:vAlign w:val="top"/>
          </w:tcPr>
          <w:p>
            <w:pPr>
              <w:spacing w:after="20" w:line="252" w:lineRule="auto"/>
            </w:pPr>
            <w:r>
              <w:rPr>
                <w:b w:val="0"/>
                <w:i w:val="0"/>
                <w:sz w:val="16"/>
              </w:rPr>
              <w:t>SYSTEM_ADMINISTRATOR</w:t>
            </w:r>
          </w:p>
        </w:tc>
        <w:tc>
          <w:tcPr>
            <w:tcW w:type="dxa" w:w="2381"/>
            <w:vAlign w:val="top"/>
          </w:tcPr>
          <w:p>
            <w:pPr>
              <w:spacing w:after="20" w:line="252" w:lineRule="auto"/>
            </w:pPr>
            <w:r>
              <w:rPr>
                <w:b w:val="0"/>
                <w:i w:val="0"/>
                <w:sz w:val="16"/>
              </w:rPr>
              <w:t>System administrator</w:t>
            </w:r>
          </w:p>
        </w:tc>
        <w:tc>
          <w:tcPr>
            <w:tcW w:type="dxa" w:w="1134"/>
            <w:vAlign w:val="top"/>
          </w:tcPr>
          <w:p>
            <w:pPr>
              <w:spacing w:after="20" w:line="252" w:lineRule="auto"/>
            </w:pPr>
            <w:r>
              <w:rPr>
                <w:b w:val="0"/>
                <w:i w:val="0"/>
                <w:sz w:val="16"/>
              </w:rPr>
              <w:t>Back-office</w:t>
            </w:r>
          </w:p>
        </w:tc>
        <w:tc>
          <w:tcPr>
            <w:tcW w:type="dxa" w:w="3742"/>
            <w:vAlign w:val="top"/>
          </w:tcPr>
          <w:p>
            <w:pPr>
              <w:spacing w:after="20" w:line="252" w:lineRule="auto"/>
            </w:pPr>
            <w:r>
              <w:rPr>
                <w:b w:val="0"/>
                <w:i w:val="0"/>
                <w:sz w:val="16"/>
              </w:rPr>
              <w:t>Users, roles, parameters, master data, workflows, products and integration</w:t>
            </w:r>
          </w:p>
        </w:tc>
      </w:tr>
      <w:tr>
        <w:trPr>
          <w:cantSplit/>
        </w:trPr>
        <w:tc>
          <w:tcPr>
            <w:tcW w:type="dxa" w:w="2381"/>
            <w:vAlign w:val="top"/>
            <w:shd w:val="clear" w:color="auto" w:fill="FDF0F7"/>
          </w:tcPr>
          <w:p>
            <w:pPr>
              <w:spacing w:after="20" w:line="252" w:lineRule="auto"/>
            </w:pPr>
            <w:r>
              <w:rPr>
                <w:b w:val="0"/>
                <w:i w:val="0"/>
                <w:sz w:val="16"/>
              </w:rPr>
              <w:t>OPERATIONS_OFFICER</w:t>
            </w:r>
          </w:p>
        </w:tc>
        <w:tc>
          <w:tcPr>
            <w:tcW w:type="dxa" w:w="2381"/>
            <w:vAlign w:val="top"/>
            <w:shd w:val="clear" w:color="auto" w:fill="FDF0F7"/>
          </w:tcPr>
          <w:p>
            <w:pPr>
              <w:spacing w:after="20" w:line="252" w:lineRule="auto"/>
            </w:pPr>
            <w:r>
              <w:rPr>
                <w:b w:val="0"/>
                <w:i w:val="0"/>
                <w:sz w:val="16"/>
              </w:rPr>
              <w:t>Operations officer (maker)</w:t>
            </w:r>
          </w:p>
        </w:tc>
        <w:tc>
          <w:tcPr>
            <w:tcW w:type="dxa" w:w="1134"/>
            <w:vAlign w:val="top"/>
            <w:shd w:val="clear" w:color="auto" w:fill="FDF0F7"/>
          </w:tcPr>
          <w:p>
            <w:pPr>
              <w:spacing w:after="20" w:line="252" w:lineRule="auto"/>
            </w:pPr>
            <w:r>
              <w:rPr>
                <w:b w:val="0"/>
                <w:i w:val="0"/>
                <w:sz w:val="16"/>
              </w:rPr>
              <w:t>Back-office</w:t>
            </w:r>
          </w:p>
        </w:tc>
        <w:tc>
          <w:tcPr>
            <w:tcW w:type="dxa" w:w="3742"/>
            <w:vAlign w:val="top"/>
            <w:shd w:val="clear" w:color="auto" w:fill="FDF0F7"/>
          </w:tcPr>
          <w:p>
            <w:pPr>
              <w:spacing w:after="20" w:line="252" w:lineRule="auto"/>
            </w:pPr>
            <w:r>
              <w:rPr>
                <w:b w:val="0"/>
                <w:i w:val="0"/>
                <w:sz w:val="16"/>
              </w:rPr>
              <w:t>Agent and agency administration, document checks, claims and issues</w:t>
            </w:r>
          </w:p>
        </w:tc>
      </w:tr>
      <w:tr>
        <w:trPr>
          <w:cantSplit/>
        </w:trPr>
        <w:tc>
          <w:tcPr>
            <w:tcW w:type="dxa" w:w="2381"/>
            <w:vAlign w:val="top"/>
          </w:tcPr>
          <w:p>
            <w:pPr>
              <w:spacing w:after="20" w:line="252" w:lineRule="auto"/>
            </w:pPr>
            <w:r>
              <w:rPr>
                <w:b w:val="0"/>
                <w:i w:val="0"/>
                <w:sz w:val="16"/>
              </w:rPr>
              <w:t>OPERATIONS_SUPERVISOR</w:t>
            </w:r>
          </w:p>
        </w:tc>
        <w:tc>
          <w:tcPr>
            <w:tcW w:type="dxa" w:w="2381"/>
            <w:vAlign w:val="top"/>
          </w:tcPr>
          <w:p>
            <w:pPr>
              <w:spacing w:after="20" w:line="252" w:lineRule="auto"/>
            </w:pPr>
            <w:r>
              <w:rPr>
                <w:b w:val="0"/>
                <w:i w:val="0"/>
                <w:sz w:val="16"/>
              </w:rPr>
              <w:t>Operations supervisor (checker)</w:t>
            </w:r>
          </w:p>
        </w:tc>
        <w:tc>
          <w:tcPr>
            <w:tcW w:type="dxa" w:w="1134"/>
            <w:vAlign w:val="top"/>
          </w:tcPr>
          <w:p>
            <w:pPr>
              <w:spacing w:after="20" w:line="252" w:lineRule="auto"/>
            </w:pPr>
            <w:r>
              <w:rPr>
                <w:b w:val="0"/>
                <w:i w:val="0"/>
                <w:sz w:val="16"/>
              </w:rPr>
              <w:t>Back-office</w:t>
            </w:r>
          </w:p>
        </w:tc>
        <w:tc>
          <w:tcPr>
            <w:tcW w:type="dxa" w:w="3742"/>
            <w:vAlign w:val="top"/>
          </w:tcPr>
          <w:p>
            <w:pPr>
              <w:spacing w:after="20" w:line="252" w:lineRule="auto"/>
            </w:pPr>
            <w:r>
              <w:rPr>
                <w:b w:val="0"/>
                <w:i w:val="0"/>
                <w:sz w:val="16"/>
              </w:rPr>
              <w:t>Approves agent, participant and servicing requests</w:t>
            </w:r>
          </w:p>
        </w:tc>
      </w:tr>
      <w:tr>
        <w:trPr>
          <w:cantSplit/>
        </w:trPr>
        <w:tc>
          <w:tcPr>
            <w:tcW w:type="dxa" w:w="2381"/>
            <w:vAlign w:val="top"/>
            <w:shd w:val="clear" w:color="auto" w:fill="FDF0F7"/>
          </w:tcPr>
          <w:p>
            <w:pPr>
              <w:spacing w:after="20" w:line="252" w:lineRule="auto"/>
            </w:pPr>
            <w:r>
              <w:rPr>
                <w:b w:val="0"/>
                <w:i w:val="0"/>
                <w:sz w:val="16"/>
              </w:rPr>
              <w:t>UNDERWRITER</w:t>
            </w:r>
          </w:p>
        </w:tc>
        <w:tc>
          <w:tcPr>
            <w:tcW w:type="dxa" w:w="2381"/>
            <w:vAlign w:val="top"/>
            <w:shd w:val="clear" w:color="auto" w:fill="FDF0F7"/>
          </w:tcPr>
          <w:p>
            <w:pPr>
              <w:spacing w:after="20" w:line="252" w:lineRule="auto"/>
            </w:pPr>
            <w:r>
              <w:rPr>
                <w:b w:val="0"/>
                <w:i w:val="0"/>
                <w:sz w:val="16"/>
              </w:rPr>
              <w:t>Underwriter / quality check</w:t>
            </w:r>
          </w:p>
        </w:tc>
        <w:tc>
          <w:tcPr>
            <w:tcW w:type="dxa" w:w="1134"/>
            <w:vAlign w:val="top"/>
            <w:shd w:val="clear" w:color="auto" w:fill="FDF0F7"/>
          </w:tcPr>
          <w:p>
            <w:pPr>
              <w:spacing w:after="20" w:line="252" w:lineRule="auto"/>
            </w:pPr>
            <w:r>
              <w:rPr>
                <w:b w:val="0"/>
                <w:i w:val="0"/>
                <w:sz w:val="16"/>
              </w:rPr>
              <w:t>Back-office</w:t>
            </w:r>
          </w:p>
        </w:tc>
        <w:tc>
          <w:tcPr>
            <w:tcW w:type="dxa" w:w="3742"/>
            <w:vAlign w:val="top"/>
            <w:shd w:val="clear" w:color="auto" w:fill="FDF0F7"/>
          </w:tcPr>
          <w:p>
            <w:pPr>
              <w:spacing w:after="20" w:line="252" w:lineRule="auto"/>
            </w:pPr>
            <w:r>
              <w:rPr>
                <w:b w:val="0"/>
                <w:i w:val="0"/>
                <w:sz w:val="16"/>
              </w:rPr>
              <w:t>Approves referred quotations and performs quality checks before issuance</w:t>
            </w:r>
          </w:p>
        </w:tc>
      </w:tr>
      <w:tr>
        <w:trPr>
          <w:cantSplit/>
        </w:trPr>
        <w:tc>
          <w:tcPr>
            <w:tcW w:type="dxa" w:w="2381"/>
            <w:vAlign w:val="top"/>
          </w:tcPr>
          <w:p>
            <w:pPr>
              <w:spacing w:after="20" w:line="252" w:lineRule="auto"/>
            </w:pPr>
            <w:r>
              <w:rPr>
                <w:b w:val="0"/>
                <w:i w:val="0"/>
                <w:sz w:val="16"/>
              </w:rPr>
              <w:t>FINANCE_OFFICER</w:t>
            </w:r>
          </w:p>
        </w:tc>
        <w:tc>
          <w:tcPr>
            <w:tcW w:type="dxa" w:w="2381"/>
            <w:vAlign w:val="top"/>
          </w:tcPr>
          <w:p>
            <w:pPr>
              <w:spacing w:after="20" w:line="252" w:lineRule="auto"/>
            </w:pPr>
            <w:r>
              <w:rPr>
                <w:b w:val="0"/>
                <w:i w:val="0"/>
                <w:sz w:val="16"/>
              </w:rPr>
              <w:t>Finance officer</w:t>
            </w:r>
          </w:p>
        </w:tc>
        <w:tc>
          <w:tcPr>
            <w:tcW w:type="dxa" w:w="1134"/>
            <w:vAlign w:val="top"/>
          </w:tcPr>
          <w:p>
            <w:pPr>
              <w:spacing w:after="20" w:line="252" w:lineRule="auto"/>
            </w:pPr>
            <w:r>
              <w:rPr>
                <w:b w:val="0"/>
                <w:i w:val="0"/>
                <w:sz w:val="16"/>
              </w:rPr>
              <w:t>Back-office</w:t>
            </w:r>
          </w:p>
        </w:tc>
        <w:tc>
          <w:tcPr>
            <w:tcW w:type="dxa" w:w="3742"/>
            <w:vAlign w:val="top"/>
          </w:tcPr>
          <w:p>
            <w:pPr>
              <w:spacing w:after="20" w:line="252" w:lineRule="auto"/>
            </w:pPr>
            <w:r>
              <w:rPr>
                <w:b w:val="0"/>
                <w:i w:val="0"/>
                <w:sz w:val="16"/>
              </w:rPr>
              <w:t>Verifies payments, issues receipts, runs end-of-day and reconciliation</w:t>
            </w:r>
          </w:p>
        </w:tc>
      </w:tr>
      <w:tr>
        <w:trPr>
          <w:cantSplit/>
        </w:trPr>
        <w:tc>
          <w:tcPr>
            <w:tcW w:type="dxa" w:w="2381"/>
            <w:vAlign w:val="top"/>
            <w:shd w:val="clear" w:color="auto" w:fill="FDF0F7"/>
          </w:tcPr>
          <w:p>
            <w:pPr>
              <w:spacing w:after="20" w:line="252" w:lineRule="auto"/>
            </w:pPr>
            <w:r>
              <w:rPr>
                <w:b w:val="0"/>
                <w:i w:val="0"/>
                <w:sz w:val="16"/>
              </w:rPr>
              <w:t>COMPLIANCE_OFFICER</w:t>
            </w:r>
          </w:p>
        </w:tc>
        <w:tc>
          <w:tcPr>
            <w:tcW w:type="dxa" w:w="2381"/>
            <w:vAlign w:val="top"/>
            <w:shd w:val="clear" w:color="auto" w:fill="FDF0F7"/>
          </w:tcPr>
          <w:p>
            <w:pPr>
              <w:spacing w:after="20" w:line="252" w:lineRule="auto"/>
            </w:pPr>
            <w:r>
              <w:rPr>
                <w:b w:val="0"/>
                <w:i w:val="0"/>
                <w:sz w:val="16"/>
              </w:rPr>
              <w:t>Compliance officer</w:t>
            </w:r>
          </w:p>
        </w:tc>
        <w:tc>
          <w:tcPr>
            <w:tcW w:type="dxa" w:w="1134"/>
            <w:vAlign w:val="top"/>
            <w:shd w:val="clear" w:color="auto" w:fill="FDF0F7"/>
          </w:tcPr>
          <w:p>
            <w:pPr>
              <w:spacing w:after="20" w:line="252" w:lineRule="auto"/>
            </w:pPr>
            <w:r>
              <w:rPr>
                <w:b w:val="0"/>
                <w:i w:val="0"/>
                <w:sz w:val="16"/>
              </w:rPr>
              <w:t>Back-office</w:t>
            </w:r>
          </w:p>
        </w:tc>
        <w:tc>
          <w:tcPr>
            <w:tcW w:type="dxa" w:w="3742"/>
            <w:vAlign w:val="top"/>
            <w:shd w:val="clear" w:color="auto" w:fill="FDF0F7"/>
          </w:tcPr>
          <w:p>
            <w:pPr>
              <w:spacing w:after="20" w:line="252" w:lineRule="auto"/>
            </w:pPr>
            <w:r>
              <w:rPr>
                <w:b w:val="0"/>
                <w:i w:val="0"/>
                <w:sz w:val="16"/>
              </w:rPr>
              <w:t>Reviews AML/KYC cases and maintains watch-lists</w:t>
            </w:r>
          </w:p>
        </w:tc>
      </w:tr>
      <w:tr>
        <w:trPr>
          <w:cantSplit/>
        </w:trPr>
        <w:tc>
          <w:tcPr>
            <w:tcW w:type="dxa" w:w="2381"/>
            <w:vAlign w:val="top"/>
          </w:tcPr>
          <w:p>
            <w:pPr>
              <w:spacing w:after="20" w:line="252" w:lineRule="auto"/>
            </w:pPr>
            <w:r>
              <w:rPr>
                <w:b w:val="0"/>
                <w:i w:val="0"/>
                <w:sz w:val="16"/>
              </w:rPr>
              <w:t>MANAGEMENT</w:t>
            </w:r>
          </w:p>
        </w:tc>
        <w:tc>
          <w:tcPr>
            <w:tcW w:type="dxa" w:w="2381"/>
            <w:vAlign w:val="top"/>
          </w:tcPr>
          <w:p>
            <w:pPr>
              <w:spacing w:after="20" w:line="252" w:lineRule="auto"/>
            </w:pPr>
            <w:r>
              <w:rPr>
                <w:b w:val="0"/>
                <w:i w:val="0"/>
                <w:sz w:val="16"/>
              </w:rPr>
              <w:t>Management</w:t>
            </w:r>
          </w:p>
        </w:tc>
        <w:tc>
          <w:tcPr>
            <w:tcW w:type="dxa" w:w="1134"/>
            <w:vAlign w:val="top"/>
          </w:tcPr>
          <w:p>
            <w:pPr>
              <w:spacing w:after="20" w:line="252" w:lineRule="auto"/>
            </w:pPr>
            <w:r>
              <w:rPr>
                <w:b w:val="0"/>
                <w:i w:val="0"/>
                <w:sz w:val="16"/>
              </w:rPr>
              <w:t>Back-office</w:t>
            </w:r>
          </w:p>
        </w:tc>
        <w:tc>
          <w:tcPr>
            <w:tcW w:type="dxa" w:w="3742"/>
            <w:vAlign w:val="top"/>
          </w:tcPr>
          <w:p>
            <w:pPr>
              <w:spacing w:after="20" w:line="252" w:lineRule="auto"/>
            </w:pPr>
            <w:r>
              <w:rPr>
                <w:b w:val="0"/>
                <w:i w:val="0"/>
                <w:sz w:val="16"/>
              </w:rPr>
              <w:t>Management dashboard, KPIs and reports (read-only)</w:t>
            </w:r>
          </w:p>
        </w:tc>
      </w:tr>
      <w:tr>
        <w:trPr>
          <w:cantSplit/>
        </w:trPr>
        <w:tc>
          <w:tcPr>
            <w:tcW w:type="dxa" w:w="2381"/>
            <w:vAlign w:val="top"/>
            <w:shd w:val="clear" w:color="auto" w:fill="FDF0F7"/>
          </w:tcPr>
          <w:p>
            <w:pPr>
              <w:spacing w:after="20" w:line="252" w:lineRule="auto"/>
            </w:pPr>
            <w:r>
              <w:rPr>
                <w:b w:val="0"/>
                <w:i w:val="0"/>
                <w:sz w:val="16"/>
              </w:rPr>
              <w:t>SUPPORT_DESK</w:t>
            </w:r>
          </w:p>
        </w:tc>
        <w:tc>
          <w:tcPr>
            <w:tcW w:type="dxa" w:w="2381"/>
            <w:vAlign w:val="top"/>
            <w:shd w:val="clear" w:color="auto" w:fill="FDF0F7"/>
          </w:tcPr>
          <w:p>
            <w:pPr>
              <w:spacing w:after="20" w:line="252" w:lineRule="auto"/>
            </w:pPr>
            <w:r>
              <w:rPr>
                <w:b w:val="0"/>
                <w:i w:val="0"/>
                <w:sz w:val="16"/>
              </w:rPr>
              <w:t>Support desk</w:t>
            </w:r>
          </w:p>
        </w:tc>
        <w:tc>
          <w:tcPr>
            <w:tcW w:type="dxa" w:w="1134"/>
            <w:vAlign w:val="top"/>
            <w:shd w:val="clear" w:color="auto" w:fill="FDF0F7"/>
          </w:tcPr>
          <w:p>
            <w:pPr>
              <w:spacing w:after="20" w:line="252" w:lineRule="auto"/>
            </w:pPr>
            <w:r>
              <w:rPr>
                <w:b w:val="0"/>
                <w:i w:val="0"/>
                <w:sz w:val="16"/>
              </w:rPr>
              <w:t>Back-office</w:t>
            </w:r>
          </w:p>
        </w:tc>
        <w:tc>
          <w:tcPr>
            <w:tcW w:type="dxa" w:w="3742"/>
            <w:vAlign w:val="top"/>
            <w:shd w:val="clear" w:color="auto" w:fill="FDF0F7"/>
          </w:tcPr>
          <w:p>
            <w:pPr>
              <w:spacing w:after="20" w:line="252" w:lineRule="auto"/>
            </w:pPr>
            <w:r>
              <w:rPr>
                <w:b w:val="0"/>
                <w:i w:val="0"/>
                <w:sz w:val="16"/>
              </w:rPr>
              <w:t>Handles issues reported through the portal</w:t>
            </w:r>
          </w:p>
        </w:tc>
      </w:tr>
      <w:tr>
        <w:trPr>
          <w:cantSplit/>
        </w:trPr>
        <w:tc>
          <w:tcPr>
            <w:tcW w:type="dxa" w:w="2381"/>
            <w:vAlign w:val="top"/>
          </w:tcPr>
          <w:p>
            <w:pPr>
              <w:spacing w:after="20" w:line="252" w:lineRule="auto"/>
            </w:pPr>
            <w:r>
              <w:rPr>
                <w:b w:val="0"/>
                <w:i w:val="0"/>
                <w:sz w:val="16"/>
              </w:rPr>
              <w:t>AUDITOR</w:t>
            </w:r>
          </w:p>
        </w:tc>
        <w:tc>
          <w:tcPr>
            <w:tcW w:type="dxa" w:w="2381"/>
            <w:vAlign w:val="top"/>
          </w:tcPr>
          <w:p>
            <w:pPr>
              <w:spacing w:after="20" w:line="252" w:lineRule="auto"/>
            </w:pPr>
            <w:r>
              <w:rPr>
                <w:b w:val="0"/>
                <w:i w:val="0"/>
                <w:sz w:val="16"/>
              </w:rPr>
              <w:t>Internal auditor</w:t>
            </w:r>
          </w:p>
        </w:tc>
        <w:tc>
          <w:tcPr>
            <w:tcW w:type="dxa" w:w="1134"/>
            <w:vAlign w:val="top"/>
          </w:tcPr>
          <w:p>
            <w:pPr>
              <w:spacing w:after="20" w:line="252" w:lineRule="auto"/>
            </w:pPr>
            <w:r>
              <w:rPr>
                <w:b w:val="0"/>
                <w:i w:val="0"/>
                <w:sz w:val="16"/>
              </w:rPr>
              <w:t>Back-office</w:t>
            </w:r>
          </w:p>
        </w:tc>
        <w:tc>
          <w:tcPr>
            <w:tcW w:type="dxa" w:w="3742"/>
            <w:vAlign w:val="top"/>
          </w:tcPr>
          <w:p>
            <w:pPr>
              <w:spacing w:after="20" w:line="252" w:lineRule="auto"/>
            </w:pPr>
            <w:r>
              <w:rPr>
                <w:b w:val="0"/>
                <w:i w:val="0"/>
                <w:sz w:val="16"/>
              </w:rPr>
              <w:t>Read-only access to records and the audit trail</w:t>
            </w:r>
          </w:p>
        </w:tc>
      </w:tr>
    </w:tbl>
    <w:p>
      <w:pPr>
        <w:pStyle w:val="Caption"/>
        <w:jc w:val="center"/>
      </w:pPr>
      <w:r>
        <w:rPr>
          <w:b w:val="0"/>
          <w:i w:val="0"/>
        </w:rPr>
        <w:t>Table 19: Default roles (seed data, editable in the back-office)</w:t>
      </w:r>
    </w:p>
    <w:p>
      <w:pPr>
        <w:pStyle w:val="Heading2"/>
      </w:pPr>
      <w:r>
        <w:t>8.3 Keys and secrets</w:t>
      </w:r>
    </w:p>
    <w:p>
      <w:pPr>
        <w:keepNext w:val="0"/>
      </w:pPr>
      <w:r>
        <w:rPr>
          <w:b w:val="0"/>
          <w:i w:val="0"/>
        </w:rPr>
        <w:t>All secrets are supplied as environment variables from the platform's secret store (HashiCorp Vault or the IITH equivalent on-premise; AWS Secrets Manager or Azure Key Vault in the cloud) and never stored in the repository or images. Encryption keys are 256-bit random values, base64 encoded; the API checks their length at start-up.</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721"/>
        <w:gridCol w:w="2948"/>
        <w:gridCol w:w="3969"/>
      </w:tblGrid>
      <w:tr>
        <w:trPr>
          <w:cantSplit/>
          <w:tblHeader/>
        </w:trPr>
        <w:tc>
          <w:tcPr>
            <w:tcW w:type="dxa" w:w="2721"/>
            <w:shd w:val="clear" w:color="auto" w:fill="E1058C"/>
            <w:vAlign w:val="center"/>
          </w:tcPr>
          <w:p>
            <w:pPr>
              <w:spacing w:after="0"/>
            </w:pPr>
            <w:r>
              <w:rPr>
                <w:b/>
                <w:i w:val="0"/>
                <w:color w:val="FFFFFF"/>
                <w:sz w:val="16"/>
              </w:rPr>
              <w:t>Secret</w:t>
            </w:r>
          </w:p>
        </w:tc>
        <w:tc>
          <w:tcPr>
            <w:tcW w:type="dxa" w:w="2948"/>
            <w:shd w:val="clear" w:color="auto" w:fill="E1058C"/>
            <w:vAlign w:val="center"/>
          </w:tcPr>
          <w:p>
            <w:pPr>
              <w:spacing w:after="0"/>
            </w:pPr>
            <w:r>
              <w:rPr>
                <w:b/>
                <w:i w:val="0"/>
                <w:color w:val="FFFFFF"/>
                <w:sz w:val="16"/>
              </w:rPr>
              <w:t>Purpose</w:t>
            </w:r>
          </w:p>
        </w:tc>
        <w:tc>
          <w:tcPr>
            <w:tcW w:type="dxa" w:w="3969"/>
            <w:shd w:val="clear" w:color="auto" w:fill="E1058C"/>
            <w:vAlign w:val="center"/>
          </w:tcPr>
          <w:p>
            <w:pPr>
              <w:spacing w:after="0"/>
            </w:pPr>
            <w:r>
              <w:rPr>
                <w:b/>
                <w:i w:val="0"/>
                <w:color w:val="FFFFFF"/>
                <w:sz w:val="16"/>
              </w:rPr>
              <w:t>Rotation</w:t>
            </w:r>
          </w:p>
        </w:tc>
      </w:tr>
      <w:tr>
        <w:trPr>
          <w:cantSplit/>
        </w:trPr>
        <w:tc>
          <w:tcPr>
            <w:tcW w:type="dxa" w:w="2721"/>
            <w:vAlign w:val="top"/>
          </w:tcPr>
          <w:p>
            <w:pPr>
              <w:spacing w:after="20" w:line="252" w:lineRule="auto"/>
            </w:pPr>
            <w:r>
              <w:rPr>
                <w:b w:val="0"/>
                <w:i w:val="0"/>
                <w:sz w:val="16"/>
              </w:rPr>
              <w:t>SESSION_SECRET</w:t>
            </w:r>
          </w:p>
        </w:tc>
        <w:tc>
          <w:tcPr>
            <w:tcW w:type="dxa" w:w="2948"/>
            <w:vAlign w:val="top"/>
          </w:tcPr>
          <w:p>
            <w:pPr>
              <w:spacing w:after="20" w:line="252" w:lineRule="auto"/>
            </w:pPr>
            <w:r>
              <w:rPr>
                <w:b w:val="0"/>
                <w:i w:val="0"/>
                <w:sz w:val="16"/>
              </w:rPr>
              <w:t>Signs the session cookie</w:t>
            </w:r>
          </w:p>
        </w:tc>
        <w:tc>
          <w:tcPr>
            <w:tcW w:type="dxa" w:w="3969"/>
            <w:vAlign w:val="top"/>
          </w:tcPr>
          <w:p>
            <w:pPr>
              <w:spacing w:after="20" w:line="252" w:lineRule="auto"/>
            </w:pPr>
            <w:r>
              <w:rPr>
                <w:b w:val="0"/>
                <w:i w:val="0"/>
                <w:sz w:val="16"/>
              </w:rPr>
              <w:t>Rotate yearly or on staff change; all users sign in again</w:t>
            </w:r>
          </w:p>
        </w:tc>
      </w:tr>
      <w:tr>
        <w:trPr>
          <w:cantSplit/>
        </w:trPr>
        <w:tc>
          <w:tcPr>
            <w:tcW w:type="dxa" w:w="2721"/>
            <w:vAlign w:val="top"/>
            <w:shd w:val="clear" w:color="auto" w:fill="FDF0F7"/>
          </w:tcPr>
          <w:p>
            <w:pPr>
              <w:spacing w:after="20" w:line="252" w:lineRule="auto"/>
            </w:pPr>
            <w:r>
              <w:rPr>
                <w:b w:val="0"/>
                <w:i w:val="0"/>
                <w:sz w:val="16"/>
              </w:rPr>
              <w:t>FIELD_ENCRYPTION_KEY</w:t>
            </w:r>
          </w:p>
        </w:tc>
        <w:tc>
          <w:tcPr>
            <w:tcW w:type="dxa" w:w="2948"/>
            <w:vAlign w:val="top"/>
            <w:shd w:val="clear" w:color="auto" w:fill="FDF0F7"/>
          </w:tcPr>
          <w:p>
            <w:pPr>
              <w:spacing w:after="20" w:line="252" w:lineRule="auto"/>
            </w:pPr>
            <w:r>
              <w:rPr>
                <w:b w:val="0"/>
                <w:i w:val="0"/>
                <w:sz w:val="16"/>
              </w:rPr>
              <w:t>Encrypts identification numbers</w:t>
            </w:r>
          </w:p>
        </w:tc>
        <w:tc>
          <w:tcPr>
            <w:tcW w:type="dxa" w:w="3969"/>
            <w:vAlign w:val="top"/>
            <w:shd w:val="clear" w:color="auto" w:fill="FDF0F7"/>
          </w:tcPr>
          <w:p>
            <w:pPr>
              <w:spacing w:after="20" w:line="252" w:lineRule="auto"/>
            </w:pPr>
            <w:r>
              <w:rPr>
                <w:b w:val="0"/>
                <w:i w:val="0"/>
                <w:sz w:val="16"/>
              </w:rPr>
              <w:t>Version prefix v1 in each value; re-encryption tool for a v2 key delivered during implementation</w:t>
            </w:r>
          </w:p>
        </w:tc>
      </w:tr>
      <w:tr>
        <w:trPr>
          <w:cantSplit/>
        </w:trPr>
        <w:tc>
          <w:tcPr>
            <w:tcW w:type="dxa" w:w="2721"/>
            <w:vAlign w:val="top"/>
          </w:tcPr>
          <w:p>
            <w:pPr>
              <w:spacing w:after="20" w:line="252" w:lineRule="auto"/>
            </w:pPr>
            <w:r>
              <w:rPr>
                <w:b w:val="0"/>
                <w:i w:val="0"/>
                <w:sz w:val="16"/>
              </w:rPr>
              <w:t>FIELD_HASH_KEY</w:t>
            </w:r>
          </w:p>
        </w:tc>
        <w:tc>
          <w:tcPr>
            <w:tcW w:type="dxa" w:w="2948"/>
            <w:vAlign w:val="top"/>
          </w:tcPr>
          <w:p>
            <w:pPr>
              <w:spacing w:after="20" w:line="252" w:lineRule="auto"/>
            </w:pPr>
            <w:r>
              <w:rPr>
                <w:b w:val="0"/>
                <w:i w:val="0"/>
                <w:sz w:val="16"/>
              </w:rPr>
              <w:t>Blind index of identification numbers</w:t>
            </w:r>
          </w:p>
        </w:tc>
        <w:tc>
          <w:tcPr>
            <w:tcW w:type="dxa" w:w="3969"/>
            <w:vAlign w:val="top"/>
          </w:tcPr>
          <w:p>
            <w:pPr>
              <w:spacing w:after="20" w:line="252" w:lineRule="auto"/>
            </w:pPr>
            <w:r>
              <w:rPr>
                <w:b w:val="0"/>
                <w:i w:val="0"/>
                <w:sz w:val="16"/>
              </w:rPr>
              <w:t>Rotation needs every blind index recomputed; same tool</w:t>
            </w:r>
          </w:p>
        </w:tc>
      </w:tr>
      <w:tr>
        <w:trPr>
          <w:cantSplit/>
        </w:trPr>
        <w:tc>
          <w:tcPr>
            <w:tcW w:type="dxa" w:w="2721"/>
            <w:vAlign w:val="top"/>
            <w:shd w:val="clear" w:color="auto" w:fill="FDF0F7"/>
          </w:tcPr>
          <w:p>
            <w:pPr>
              <w:spacing w:after="20" w:line="252" w:lineRule="auto"/>
            </w:pPr>
            <w:r>
              <w:rPr>
                <w:b w:val="0"/>
                <w:i w:val="0"/>
                <w:sz w:val="16"/>
              </w:rPr>
              <w:t>DOCUMENT_ENCRYPTION_KEY</w:t>
            </w:r>
          </w:p>
        </w:tc>
        <w:tc>
          <w:tcPr>
            <w:tcW w:type="dxa" w:w="2948"/>
            <w:vAlign w:val="top"/>
            <w:shd w:val="clear" w:color="auto" w:fill="FDF0F7"/>
          </w:tcPr>
          <w:p>
            <w:pPr>
              <w:spacing w:after="20" w:line="252" w:lineRule="auto"/>
            </w:pPr>
            <w:r>
              <w:rPr>
                <w:b w:val="0"/>
                <w:i w:val="0"/>
                <w:sz w:val="16"/>
              </w:rPr>
              <w:t>Encrypts stored files</w:t>
            </w:r>
          </w:p>
        </w:tc>
        <w:tc>
          <w:tcPr>
            <w:tcW w:type="dxa" w:w="3969"/>
            <w:vAlign w:val="top"/>
            <w:shd w:val="clear" w:color="auto" w:fill="FDF0F7"/>
          </w:tcPr>
          <w:p>
            <w:pPr>
              <w:spacing w:after="20" w:line="252" w:lineRule="auto"/>
            </w:pPr>
            <w:r>
              <w:rPr>
                <w:b w:val="0"/>
                <w:i w:val="0"/>
                <w:sz w:val="16"/>
              </w:rPr>
              <w:t>Rotation re-encrypts the store; tool delivered during implementation</w:t>
            </w:r>
          </w:p>
        </w:tc>
      </w:tr>
      <w:tr>
        <w:trPr>
          <w:cantSplit/>
        </w:trPr>
        <w:tc>
          <w:tcPr>
            <w:tcW w:type="dxa" w:w="2721"/>
            <w:vAlign w:val="top"/>
          </w:tcPr>
          <w:p>
            <w:pPr>
              <w:spacing w:after="20" w:line="252" w:lineRule="auto"/>
            </w:pPr>
            <w:r>
              <w:rPr>
                <w:b w:val="0"/>
                <w:i w:val="0"/>
                <w:sz w:val="16"/>
              </w:rPr>
              <w:t>INBOUND_API_KEY_SHA256</w:t>
            </w:r>
          </w:p>
        </w:tc>
        <w:tc>
          <w:tcPr>
            <w:tcW w:type="dxa" w:w="2948"/>
            <w:vAlign w:val="top"/>
          </w:tcPr>
          <w:p>
            <w:pPr>
              <w:spacing w:after="20" w:line="252" w:lineRule="auto"/>
            </w:pPr>
            <w:r>
              <w:rPr>
                <w:b w:val="0"/>
                <w:i w:val="0"/>
                <w:sz w:val="16"/>
              </w:rPr>
              <w:t>Hash of the key Core and FIN present</w:t>
            </w:r>
          </w:p>
        </w:tc>
        <w:tc>
          <w:tcPr>
            <w:tcW w:type="dxa" w:w="3969"/>
            <w:vAlign w:val="top"/>
          </w:tcPr>
          <w:p>
            <w:pPr>
              <w:spacing w:after="20" w:line="252" w:lineRule="auto"/>
            </w:pPr>
            <w:r>
              <w:rPr>
                <w:b w:val="0"/>
                <w:i w:val="0"/>
                <w:sz w:val="16"/>
              </w:rPr>
              <w:t>Rotate yearly; issue new key, update hash, retire old key</w:t>
            </w:r>
          </w:p>
        </w:tc>
      </w:tr>
      <w:tr>
        <w:trPr>
          <w:cantSplit/>
        </w:trPr>
        <w:tc>
          <w:tcPr>
            <w:tcW w:type="dxa" w:w="2721"/>
            <w:vAlign w:val="top"/>
            <w:shd w:val="clear" w:color="auto" w:fill="FDF0F7"/>
          </w:tcPr>
          <w:p>
            <w:pPr>
              <w:spacing w:after="20" w:line="252" w:lineRule="auto"/>
            </w:pPr>
            <w:r>
              <w:rPr>
                <w:b w:val="0"/>
                <w:i w:val="0"/>
                <w:sz w:val="16"/>
              </w:rPr>
              <w:t>CORE/FINANCE/AML/SMS API keys</w:t>
            </w:r>
          </w:p>
        </w:tc>
        <w:tc>
          <w:tcPr>
            <w:tcW w:type="dxa" w:w="2948"/>
            <w:vAlign w:val="top"/>
            <w:shd w:val="clear" w:color="auto" w:fill="FDF0F7"/>
          </w:tcPr>
          <w:p>
            <w:pPr>
              <w:spacing w:after="20" w:line="252" w:lineRule="auto"/>
            </w:pPr>
            <w:r>
              <w:rPr>
                <w:b w:val="0"/>
                <w:i w:val="0"/>
                <w:sz w:val="16"/>
              </w:rPr>
              <w:t>Outbound authentication</w:t>
            </w:r>
          </w:p>
        </w:tc>
        <w:tc>
          <w:tcPr>
            <w:tcW w:type="dxa" w:w="3969"/>
            <w:vAlign w:val="top"/>
            <w:shd w:val="clear" w:color="auto" w:fill="FDF0F7"/>
          </w:tcPr>
          <w:p>
            <w:pPr>
              <w:spacing w:after="20" w:line="252" w:lineRule="auto"/>
            </w:pPr>
            <w:r>
              <w:rPr>
                <w:b w:val="0"/>
                <w:i w:val="0"/>
                <w:sz w:val="16"/>
              </w:rPr>
              <w:t>Per provider policy</w:t>
            </w:r>
          </w:p>
        </w:tc>
      </w:tr>
      <w:tr>
        <w:trPr>
          <w:cantSplit/>
        </w:trPr>
        <w:tc>
          <w:tcPr>
            <w:tcW w:type="dxa" w:w="2721"/>
            <w:vAlign w:val="top"/>
          </w:tcPr>
          <w:p>
            <w:pPr>
              <w:spacing w:after="20" w:line="252" w:lineRule="auto"/>
            </w:pPr>
            <w:r>
              <w:rPr>
                <w:b w:val="0"/>
                <w:i w:val="0"/>
                <w:sz w:val="16"/>
              </w:rPr>
              <w:t>SMTP_PASSWORD, LDAP_BIND_PASSWORD</w:t>
            </w:r>
          </w:p>
        </w:tc>
        <w:tc>
          <w:tcPr>
            <w:tcW w:type="dxa" w:w="2948"/>
            <w:vAlign w:val="top"/>
          </w:tcPr>
          <w:p>
            <w:pPr>
              <w:spacing w:after="20" w:line="252" w:lineRule="auto"/>
            </w:pPr>
            <w:r>
              <w:rPr>
                <w:b w:val="0"/>
                <w:i w:val="0"/>
                <w:sz w:val="16"/>
              </w:rPr>
              <w:t>Relay and directory service accounts</w:t>
            </w:r>
          </w:p>
        </w:tc>
        <w:tc>
          <w:tcPr>
            <w:tcW w:type="dxa" w:w="3969"/>
            <w:vAlign w:val="top"/>
          </w:tcPr>
          <w:p>
            <w:pPr>
              <w:spacing w:after="20" w:line="252" w:lineRule="auto"/>
            </w:pPr>
            <w:r>
              <w:rPr>
                <w:b w:val="0"/>
                <w:i w:val="0"/>
                <w:sz w:val="16"/>
              </w:rPr>
              <w:t>Per IITH policy</w:t>
            </w:r>
          </w:p>
        </w:tc>
      </w:tr>
      <w:tr>
        <w:trPr>
          <w:cantSplit/>
        </w:trPr>
        <w:tc>
          <w:tcPr>
            <w:tcW w:type="dxa" w:w="2721"/>
            <w:vAlign w:val="top"/>
            <w:shd w:val="clear" w:color="auto" w:fill="FDF0F7"/>
          </w:tcPr>
          <w:p>
            <w:pPr>
              <w:spacing w:after="20" w:line="252" w:lineRule="auto"/>
            </w:pPr>
            <w:r>
              <w:rPr>
                <w:b w:val="0"/>
                <w:i w:val="0"/>
                <w:sz w:val="16"/>
              </w:rPr>
              <w:t>Database passwords</w:t>
            </w:r>
          </w:p>
        </w:tc>
        <w:tc>
          <w:tcPr>
            <w:tcW w:type="dxa" w:w="2948"/>
            <w:vAlign w:val="top"/>
            <w:shd w:val="clear" w:color="auto" w:fill="FDF0F7"/>
          </w:tcPr>
          <w:p>
            <w:pPr>
              <w:spacing w:after="20" w:line="252" w:lineRule="auto"/>
            </w:pPr>
            <w:r>
              <w:rPr>
                <w:b w:val="0"/>
                <w:i w:val="0"/>
                <w:sz w:val="16"/>
              </w:rPr>
              <w:t>Application and migration roles</w:t>
            </w:r>
          </w:p>
        </w:tc>
        <w:tc>
          <w:tcPr>
            <w:tcW w:type="dxa" w:w="3969"/>
            <w:vAlign w:val="top"/>
            <w:shd w:val="clear" w:color="auto" w:fill="FDF0F7"/>
          </w:tcPr>
          <w:p>
            <w:pPr>
              <w:spacing w:after="20" w:line="252" w:lineRule="auto"/>
            </w:pPr>
            <w:r>
              <w:rPr>
                <w:b w:val="0"/>
                <w:i w:val="0"/>
                <w:sz w:val="16"/>
              </w:rPr>
              <w:t>Per IITH policy</w:t>
            </w:r>
          </w:p>
        </w:tc>
      </w:tr>
      <w:tr>
        <w:trPr>
          <w:cantSplit/>
        </w:trPr>
        <w:tc>
          <w:tcPr>
            <w:tcW w:type="dxa" w:w="2721"/>
            <w:vAlign w:val="top"/>
          </w:tcPr>
          <w:p>
            <w:pPr>
              <w:spacing w:after="20" w:line="252" w:lineRule="auto"/>
            </w:pPr>
            <w:r>
              <w:rPr>
                <w:b w:val="0"/>
                <w:i w:val="0"/>
                <w:sz w:val="16"/>
              </w:rPr>
              <w:t>METRICS_TOKEN</w:t>
            </w:r>
          </w:p>
        </w:tc>
        <w:tc>
          <w:tcPr>
            <w:tcW w:type="dxa" w:w="2948"/>
            <w:vAlign w:val="top"/>
          </w:tcPr>
          <w:p>
            <w:pPr>
              <w:spacing w:after="20" w:line="252" w:lineRule="auto"/>
            </w:pPr>
            <w:r>
              <w:rPr>
                <w:b w:val="0"/>
                <w:i w:val="0"/>
                <w:sz w:val="16"/>
              </w:rPr>
              <w:t>Protects /metrics</w:t>
            </w:r>
          </w:p>
        </w:tc>
        <w:tc>
          <w:tcPr>
            <w:tcW w:type="dxa" w:w="3969"/>
            <w:vAlign w:val="top"/>
          </w:tcPr>
          <w:p>
            <w:pPr>
              <w:spacing w:after="20" w:line="252" w:lineRule="auto"/>
            </w:pPr>
            <w:r>
              <w:rPr>
                <w:b w:val="0"/>
                <w:i w:val="0"/>
                <w:sz w:val="16"/>
              </w:rPr>
              <w:t>Yearly</w:t>
            </w:r>
          </w:p>
        </w:tc>
      </w:tr>
    </w:tbl>
    <w:p>
      <w:pPr>
        <w:pStyle w:val="Caption"/>
        <w:jc w:val="center"/>
      </w:pPr>
      <w:r>
        <w:rPr>
          <w:b w:val="0"/>
          <w:i w:val="0"/>
        </w:rPr>
        <w:t>Table 20: Secrets</w:t>
      </w:r>
    </w:p>
    <w:p>
      <w:pPr>
        <w:pStyle w:val="Heading2"/>
      </w:pPr>
      <w:r>
        <w:t>8.4 Security testing</w:t>
      </w:r>
    </w:p>
    <w:p>
      <w:pPr>
        <w:pStyle w:val="ListBullet"/>
      </w:pPr>
      <w:r>
        <w:rPr>
          <w:b w:val="0"/>
          <w:i w:val="0"/>
        </w:rPr>
        <w:t>End-to-end tests cover authentication, access control across audiences and data scopes, and the policy lifecycle against a real database on every CI run.</w:t>
      </w:r>
    </w:p>
    <w:p>
      <w:pPr>
        <w:pStyle w:val="ListBullet"/>
      </w:pPr>
      <w:r>
        <w:rPr>
          <w:b w:val="0"/>
          <w:i w:val="0"/>
        </w:rPr>
        <w:t>tools/security/security-checks.mjs runs repeatable OWASP Top 10 checks against a test environment before each release.</w:t>
      </w:r>
    </w:p>
    <w:p>
      <w:pPr>
        <w:pStyle w:val="ListBullet"/>
      </w:pPr>
      <w:r>
        <w:rPr>
          <w:b w:val="0"/>
          <w:i w:val="0"/>
        </w:rPr>
        <w:t>CI runs CodeQL (security-extended queries) and a gitleaks secret scan of the full history on every push and pull request, and blocks a release on moderate or higher npm audit findings and on unfixed critical or high container image findings.</w:t>
      </w:r>
    </w:p>
    <w:p>
      <w:pPr>
        <w:pStyle w:val="ListBullet"/>
      </w:pPr>
      <w:r>
        <w:rPr>
          <w:b w:val="0"/>
          <w:i w:val="0"/>
        </w:rPr>
        <w:t>An independent VAPT is performed before go-live; no critical or high finding may remain open (NFR-13).</w:t>
      </w:r>
    </w:p>
    <w:p>
      <w:pPr>
        <w:pStyle w:val="Heading1"/>
        <w:pageBreakBefore/>
        <w:pBdr>
          <w:bottom w:val="single" w:sz="12" w:space="4" w:color="F58220"/>
        </w:pBdr>
      </w:pPr>
      <w:r>
        <w:t>9. Deployment Architecture</w:t>
      </w:r>
    </w:p>
    <w:p>
      <w:pPr>
        <w:keepNext w:val="0"/>
      </w:pPr>
      <w:r>
        <w:rPr>
          <w:b w:val="0"/>
          <w:i w:val="0"/>
        </w:rPr>
        <w:t>SalesVerse 2.0 ships as container images and runs unchanged in the IIFT/IITH data centre or in a cloud account. The two deployment models match the commercial options of the proposal: Option A, on-premise on infrastructure that IIFT procures to the sizing in chapter 10, under a perpetual licence; and Option B, hosted and managed by iorta in a cloud account dedicated to IIFT, under a subscription. A hybrid variant of Option A keeps all data on-premise and places only the portal's web tier at the edge. Option C of the proposal (source code handover) does not change the deployment; the Production Support Handover describes that transition.</w:t>
      </w:r>
    </w:p>
    <w:p>
      <w:pPr>
        <w:pStyle w:val="Heading2"/>
      </w:pPr>
      <w:r>
        <w:t>9.1 Environments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680"/>
        <w:gridCol w:w="1701"/>
        <w:gridCol w:w="2041"/>
        <w:gridCol w:w="1814"/>
        <w:gridCol w:w="1247"/>
        <w:gridCol w:w="1247"/>
        <w:gridCol w:w="907"/>
      </w:tblGrid>
      <w:tr>
        <w:trPr>
          <w:cantSplit/>
          <w:tblHeader/>
        </w:trPr>
        <w:tc>
          <w:tcPr>
            <w:tcW w:type="dxa" w:w="680"/>
            <w:shd w:val="clear" w:color="auto" w:fill="E1058C"/>
            <w:vAlign w:val="center"/>
          </w:tcPr>
          <w:p>
            <w:pPr>
              <w:spacing w:after="0"/>
            </w:pPr>
            <w:r>
              <w:rPr>
                <w:b/>
                <w:i w:val="0"/>
                <w:color w:val="FFFFFF"/>
                <w:sz w:val="15"/>
              </w:rPr>
              <w:t>Env.</w:t>
            </w:r>
          </w:p>
        </w:tc>
        <w:tc>
          <w:tcPr>
            <w:tcW w:type="dxa" w:w="1701"/>
            <w:shd w:val="clear" w:color="auto" w:fill="E1058C"/>
            <w:vAlign w:val="center"/>
          </w:tcPr>
          <w:p>
            <w:pPr>
              <w:spacing w:after="0"/>
            </w:pPr>
            <w:r>
              <w:rPr>
                <w:b/>
                <w:i w:val="0"/>
                <w:color w:val="FFFFFF"/>
                <w:sz w:val="15"/>
              </w:rPr>
              <w:t>Purpose</w:t>
            </w:r>
          </w:p>
        </w:tc>
        <w:tc>
          <w:tcPr>
            <w:tcW w:type="dxa" w:w="2041"/>
            <w:shd w:val="clear" w:color="auto" w:fill="E1058C"/>
            <w:vAlign w:val="center"/>
          </w:tcPr>
          <w:p>
            <w:pPr>
              <w:spacing w:after="0"/>
            </w:pPr>
            <w:r>
              <w:rPr>
                <w:b/>
                <w:i w:val="0"/>
                <w:color w:val="FFFFFF"/>
                <w:sz w:val="15"/>
              </w:rPr>
              <w:t>Hosted by</w:t>
            </w:r>
          </w:p>
        </w:tc>
        <w:tc>
          <w:tcPr>
            <w:tcW w:type="dxa" w:w="1814"/>
            <w:shd w:val="clear" w:color="auto" w:fill="E1058C"/>
            <w:vAlign w:val="center"/>
          </w:tcPr>
          <w:p>
            <w:pPr>
              <w:spacing w:after="0"/>
            </w:pPr>
            <w:r>
              <w:rPr>
                <w:b/>
                <w:i w:val="0"/>
                <w:color w:val="FFFFFF"/>
                <w:sz w:val="15"/>
              </w:rPr>
              <w:t>Shape</w:t>
            </w:r>
          </w:p>
        </w:tc>
        <w:tc>
          <w:tcPr>
            <w:tcW w:type="dxa" w:w="1247"/>
            <w:shd w:val="clear" w:color="auto" w:fill="E1058C"/>
            <w:vAlign w:val="center"/>
          </w:tcPr>
          <w:p>
            <w:pPr>
              <w:spacing w:after="0"/>
            </w:pPr>
            <w:r>
              <w:rPr>
                <w:b/>
                <w:i w:val="0"/>
                <w:color w:val="FFFFFF"/>
                <w:sz w:val="15"/>
              </w:rPr>
              <w:t>Data</w:t>
            </w:r>
          </w:p>
        </w:tc>
        <w:tc>
          <w:tcPr>
            <w:tcW w:type="dxa" w:w="1247"/>
            <w:shd w:val="clear" w:color="auto" w:fill="E1058C"/>
            <w:vAlign w:val="center"/>
          </w:tcPr>
          <w:p>
            <w:pPr>
              <w:spacing w:after="0"/>
            </w:pPr>
            <w:r>
              <w:rPr>
                <w:b/>
                <w:i w:val="0"/>
                <w:color w:val="FFFFFF"/>
                <w:sz w:val="15"/>
              </w:rPr>
              <w:t>Integration</w:t>
            </w:r>
          </w:p>
        </w:tc>
        <w:tc>
          <w:tcPr>
            <w:tcW w:type="dxa" w:w="907"/>
            <w:shd w:val="clear" w:color="auto" w:fill="E1058C"/>
            <w:vAlign w:val="center"/>
          </w:tcPr>
          <w:p>
            <w:pPr>
              <w:spacing w:after="0"/>
            </w:pPr>
            <w:r>
              <w:rPr>
                <w:b/>
                <w:i w:val="0"/>
                <w:color w:val="FFFFFF"/>
                <w:sz w:val="15"/>
              </w:rPr>
              <w:t>API docs</w:t>
            </w:r>
          </w:p>
        </w:tc>
      </w:tr>
      <w:tr>
        <w:trPr>
          <w:cantSplit/>
        </w:trPr>
        <w:tc>
          <w:tcPr>
            <w:tcW w:type="dxa" w:w="680"/>
            <w:vAlign w:val="top"/>
          </w:tcPr>
          <w:p>
            <w:pPr>
              <w:spacing w:after="20" w:line="252" w:lineRule="auto"/>
            </w:pPr>
            <w:r>
              <w:rPr>
                <w:b/>
                <w:i w:val="0"/>
                <w:sz w:val="15"/>
              </w:rPr>
              <w:t>DEV</w:t>
            </w:r>
          </w:p>
        </w:tc>
        <w:tc>
          <w:tcPr>
            <w:tcW w:type="dxa" w:w="1701"/>
            <w:vAlign w:val="top"/>
          </w:tcPr>
          <w:p>
            <w:pPr>
              <w:spacing w:after="20" w:line="252" w:lineRule="auto"/>
            </w:pPr>
            <w:r>
              <w:rPr>
                <w:b w:val="0"/>
                <w:i w:val="0"/>
                <w:sz w:val="15"/>
              </w:rPr>
              <w:t>Development, sprint demos</w:t>
            </w:r>
          </w:p>
        </w:tc>
        <w:tc>
          <w:tcPr>
            <w:tcW w:type="dxa" w:w="2041"/>
            <w:vAlign w:val="top"/>
          </w:tcPr>
          <w:p>
            <w:pPr>
              <w:spacing w:after="20" w:line="252" w:lineRule="auto"/>
            </w:pPr>
            <w:r>
              <w:rPr>
                <w:b w:val="0"/>
                <w:i w:val="0"/>
                <w:sz w:val="15"/>
              </w:rPr>
              <w:t>iorta (both options)</w:t>
            </w:r>
          </w:p>
        </w:tc>
        <w:tc>
          <w:tcPr>
            <w:tcW w:type="dxa" w:w="1814"/>
            <w:vAlign w:val="top"/>
          </w:tcPr>
          <w:p>
            <w:pPr>
              <w:spacing w:after="20" w:line="252" w:lineRule="auto"/>
            </w:pPr>
            <w:r>
              <w:rPr>
                <w:b w:val="0"/>
                <w:i w:val="0"/>
                <w:sz w:val="15"/>
              </w:rPr>
              <w:t>1 VM or laptop compose</w:t>
            </w:r>
          </w:p>
        </w:tc>
        <w:tc>
          <w:tcPr>
            <w:tcW w:type="dxa" w:w="1247"/>
            <w:vAlign w:val="top"/>
          </w:tcPr>
          <w:p>
            <w:pPr>
              <w:spacing w:after="20" w:line="252" w:lineRule="auto"/>
            </w:pPr>
            <w:r>
              <w:rPr>
                <w:b w:val="0"/>
                <w:i w:val="0"/>
                <w:sz w:val="15"/>
              </w:rPr>
              <w:t>Synthetic, demo seed</w:t>
            </w:r>
          </w:p>
        </w:tc>
        <w:tc>
          <w:tcPr>
            <w:tcW w:type="dxa" w:w="1247"/>
            <w:vAlign w:val="top"/>
          </w:tcPr>
          <w:p>
            <w:pPr>
              <w:spacing w:after="20" w:line="252" w:lineRule="auto"/>
            </w:pPr>
            <w:r>
              <w:rPr>
                <w:b w:val="0"/>
                <w:i w:val="0"/>
                <w:sz w:val="15"/>
              </w:rPr>
              <w:t>simulated</w:t>
            </w:r>
          </w:p>
        </w:tc>
        <w:tc>
          <w:tcPr>
            <w:tcW w:type="dxa" w:w="907"/>
            <w:vAlign w:val="top"/>
          </w:tcPr>
          <w:p>
            <w:pPr>
              <w:spacing w:after="20" w:line="252" w:lineRule="auto"/>
            </w:pPr>
            <w:r>
              <w:rPr>
                <w:b w:val="0"/>
                <w:i w:val="0"/>
                <w:sz w:val="15"/>
              </w:rPr>
              <w:t>Enabled</w:t>
            </w:r>
          </w:p>
        </w:tc>
      </w:tr>
      <w:tr>
        <w:trPr>
          <w:cantSplit/>
        </w:trPr>
        <w:tc>
          <w:tcPr>
            <w:tcW w:type="dxa" w:w="680"/>
            <w:vAlign w:val="top"/>
            <w:shd w:val="clear" w:color="auto" w:fill="FDF0F7"/>
          </w:tcPr>
          <w:p>
            <w:pPr>
              <w:spacing w:after="20" w:line="252" w:lineRule="auto"/>
            </w:pPr>
            <w:r>
              <w:rPr>
                <w:b/>
                <w:i w:val="0"/>
                <w:sz w:val="15"/>
              </w:rPr>
              <w:t>SIT</w:t>
            </w:r>
          </w:p>
        </w:tc>
        <w:tc>
          <w:tcPr>
            <w:tcW w:type="dxa" w:w="1701"/>
            <w:vAlign w:val="top"/>
            <w:shd w:val="clear" w:color="auto" w:fill="FDF0F7"/>
          </w:tcPr>
          <w:p>
            <w:pPr>
              <w:spacing w:after="20" w:line="252" w:lineRule="auto"/>
            </w:pPr>
            <w:r>
              <w:rPr>
                <w:b w:val="0"/>
                <w:i w:val="0"/>
                <w:sz w:val="15"/>
              </w:rPr>
              <w:t>Integration and performance testing</w:t>
            </w:r>
          </w:p>
        </w:tc>
        <w:tc>
          <w:tcPr>
            <w:tcW w:type="dxa" w:w="2041"/>
            <w:vAlign w:val="top"/>
            <w:shd w:val="clear" w:color="auto" w:fill="FDF0F7"/>
          </w:tcPr>
          <w:p>
            <w:pPr>
              <w:spacing w:after="20" w:line="252" w:lineRule="auto"/>
            </w:pPr>
            <w:r>
              <w:rPr>
                <w:b w:val="0"/>
                <w:i w:val="0"/>
                <w:sz w:val="15"/>
              </w:rPr>
              <w:t>A: IIFT data centre (iorta until the VM is ready). B: cloud account</w:t>
            </w:r>
          </w:p>
        </w:tc>
        <w:tc>
          <w:tcPr>
            <w:tcW w:type="dxa" w:w="1814"/>
            <w:vAlign w:val="top"/>
            <w:shd w:val="clear" w:color="auto" w:fill="FDF0F7"/>
          </w:tcPr>
          <w:p>
            <w:pPr>
              <w:spacing w:after="20" w:line="252" w:lineRule="auto"/>
            </w:pPr>
            <w:r>
              <w:rPr>
                <w:b w:val="0"/>
                <w:i w:val="0"/>
                <w:sz w:val="15"/>
              </w:rPr>
              <w:t>1 VM, compose; B: 1 task</w:t>
            </w:r>
          </w:p>
        </w:tc>
        <w:tc>
          <w:tcPr>
            <w:tcW w:type="dxa" w:w="1247"/>
            <w:vAlign w:val="top"/>
            <w:shd w:val="clear" w:color="auto" w:fill="FDF0F7"/>
          </w:tcPr>
          <w:p>
            <w:pPr>
              <w:spacing w:after="20" w:line="252" w:lineRule="auto"/>
            </w:pPr>
            <w:r>
              <w:rPr>
                <w:b w:val="0"/>
                <w:i w:val="0"/>
                <w:sz w:val="15"/>
              </w:rPr>
              <w:t>Synthetic and masked</w:t>
            </w:r>
          </w:p>
        </w:tc>
        <w:tc>
          <w:tcPr>
            <w:tcW w:type="dxa" w:w="1247"/>
            <w:vAlign w:val="top"/>
            <w:shd w:val="clear" w:color="auto" w:fill="FDF0F7"/>
          </w:tcPr>
          <w:p>
            <w:pPr>
              <w:spacing w:after="20" w:line="252" w:lineRule="auto"/>
            </w:pPr>
            <w:r>
              <w:rPr>
                <w:b w:val="0"/>
                <w:i w:val="0"/>
                <w:sz w:val="15"/>
              </w:rPr>
              <w:t>live (test endpoints)</w:t>
            </w:r>
          </w:p>
        </w:tc>
        <w:tc>
          <w:tcPr>
            <w:tcW w:type="dxa" w:w="907"/>
            <w:vAlign w:val="top"/>
            <w:shd w:val="clear" w:color="auto" w:fill="FDF0F7"/>
          </w:tcPr>
          <w:p>
            <w:pPr>
              <w:spacing w:after="20" w:line="252" w:lineRule="auto"/>
            </w:pPr>
            <w:r>
              <w:rPr>
                <w:b w:val="0"/>
                <w:i w:val="0"/>
                <w:sz w:val="15"/>
              </w:rPr>
              <w:t>Enabled</w:t>
            </w:r>
          </w:p>
        </w:tc>
      </w:tr>
      <w:tr>
        <w:trPr>
          <w:cantSplit/>
        </w:trPr>
        <w:tc>
          <w:tcPr>
            <w:tcW w:type="dxa" w:w="680"/>
            <w:vAlign w:val="top"/>
          </w:tcPr>
          <w:p>
            <w:pPr>
              <w:spacing w:after="20" w:line="252" w:lineRule="auto"/>
            </w:pPr>
            <w:r>
              <w:rPr>
                <w:b/>
                <w:i w:val="0"/>
                <w:sz w:val="15"/>
              </w:rPr>
              <w:t>UAT</w:t>
            </w:r>
          </w:p>
        </w:tc>
        <w:tc>
          <w:tcPr>
            <w:tcW w:type="dxa" w:w="1701"/>
            <w:vAlign w:val="top"/>
          </w:tcPr>
          <w:p>
            <w:pPr>
              <w:spacing w:after="20" w:line="252" w:lineRule="auto"/>
            </w:pPr>
            <w:r>
              <w:rPr>
                <w:b w:val="0"/>
                <w:i w:val="0"/>
                <w:sz w:val="15"/>
              </w:rPr>
              <w:t>Acceptance, training, release rehearsal</w:t>
            </w:r>
          </w:p>
        </w:tc>
        <w:tc>
          <w:tcPr>
            <w:tcW w:type="dxa" w:w="2041"/>
            <w:vAlign w:val="top"/>
          </w:tcPr>
          <w:p>
            <w:pPr>
              <w:spacing w:after="20" w:line="252" w:lineRule="auto"/>
            </w:pPr>
            <w:r>
              <w:rPr>
                <w:b w:val="0"/>
                <w:i w:val="0"/>
                <w:sz w:val="15"/>
              </w:rPr>
              <w:t>A: IIFT data centre. B: cloud account</w:t>
            </w:r>
          </w:p>
        </w:tc>
        <w:tc>
          <w:tcPr>
            <w:tcW w:type="dxa" w:w="1814"/>
            <w:vAlign w:val="top"/>
          </w:tcPr>
          <w:p>
            <w:pPr>
              <w:spacing w:after="20" w:line="252" w:lineRule="auto"/>
            </w:pPr>
            <w:r>
              <w:rPr>
                <w:b w:val="0"/>
                <w:i w:val="0"/>
                <w:sz w:val="15"/>
              </w:rPr>
              <w:t>1 VM, compose; B: 1 task, small database</w:t>
            </w:r>
          </w:p>
        </w:tc>
        <w:tc>
          <w:tcPr>
            <w:tcW w:type="dxa" w:w="1247"/>
            <w:vAlign w:val="top"/>
          </w:tcPr>
          <w:p>
            <w:pPr>
              <w:spacing w:after="20" w:line="252" w:lineRule="auto"/>
            </w:pPr>
            <w:r>
              <w:rPr>
                <w:b w:val="0"/>
                <w:i w:val="0"/>
                <w:sz w:val="15"/>
              </w:rPr>
              <w:t>Masked or migrated</w:t>
            </w:r>
          </w:p>
        </w:tc>
        <w:tc>
          <w:tcPr>
            <w:tcW w:type="dxa" w:w="1247"/>
            <w:vAlign w:val="top"/>
          </w:tcPr>
          <w:p>
            <w:pPr>
              <w:spacing w:after="20" w:line="252" w:lineRule="auto"/>
            </w:pPr>
            <w:r>
              <w:rPr>
                <w:b w:val="0"/>
                <w:i w:val="0"/>
                <w:sz w:val="15"/>
              </w:rPr>
              <w:t>live (test endpoints)</w:t>
            </w:r>
          </w:p>
        </w:tc>
        <w:tc>
          <w:tcPr>
            <w:tcW w:type="dxa" w:w="907"/>
            <w:vAlign w:val="top"/>
          </w:tcPr>
          <w:p>
            <w:pPr>
              <w:spacing w:after="20" w:line="252" w:lineRule="auto"/>
            </w:pPr>
            <w:r>
              <w:rPr>
                <w:b w:val="0"/>
                <w:i w:val="0"/>
                <w:sz w:val="15"/>
              </w:rPr>
              <w:t>Disabled</w:t>
            </w:r>
          </w:p>
        </w:tc>
      </w:tr>
      <w:tr>
        <w:trPr>
          <w:cantSplit/>
        </w:trPr>
        <w:tc>
          <w:tcPr>
            <w:tcW w:type="dxa" w:w="680"/>
            <w:vAlign w:val="top"/>
            <w:shd w:val="clear" w:color="auto" w:fill="FDF0F7"/>
          </w:tcPr>
          <w:p>
            <w:pPr>
              <w:spacing w:after="20" w:line="252" w:lineRule="auto"/>
            </w:pPr>
            <w:r>
              <w:rPr>
                <w:b/>
                <w:i w:val="0"/>
                <w:sz w:val="15"/>
              </w:rPr>
              <w:t>PROD</w:t>
            </w:r>
          </w:p>
        </w:tc>
        <w:tc>
          <w:tcPr>
            <w:tcW w:type="dxa" w:w="1701"/>
            <w:vAlign w:val="top"/>
            <w:shd w:val="clear" w:color="auto" w:fill="FDF0F7"/>
          </w:tcPr>
          <w:p>
            <w:pPr>
              <w:spacing w:after="20" w:line="252" w:lineRule="auto"/>
            </w:pPr>
            <w:r>
              <w:rPr>
                <w:b w:val="0"/>
                <w:i w:val="0"/>
                <w:sz w:val="15"/>
              </w:rPr>
              <w:t>Live operation</w:t>
            </w:r>
          </w:p>
        </w:tc>
        <w:tc>
          <w:tcPr>
            <w:tcW w:type="dxa" w:w="2041"/>
            <w:vAlign w:val="top"/>
            <w:shd w:val="clear" w:color="auto" w:fill="FDF0F7"/>
          </w:tcPr>
          <w:p>
            <w:pPr>
              <w:spacing w:after="20" w:line="252" w:lineRule="auto"/>
            </w:pPr>
            <w:r>
              <w:rPr>
                <w:b w:val="0"/>
                <w:i w:val="0"/>
                <w:sz w:val="15"/>
              </w:rPr>
              <w:t>A: IIFT/IITH data centre. B: cloud, Malaysia region</w:t>
            </w:r>
          </w:p>
        </w:tc>
        <w:tc>
          <w:tcPr>
            <w:tcW w:type="dxa" w:w="1814"/>
            <w:vAlign w:val="top"/>
            <w:shd w:val="clear" w:color="auto" w:fill="FDF0F7"/>
          </w:tcPr>
          <w:p>
            <w:pPr>
              <w:spacing w:after="20" w:line="252" w:lineRule="auto"/>
            </w:pPr>
            <w:r>
              <w:rPr>
                <w:b w:val="0"/>
                <w:i w:val="0"/>
                <w:sz w:val="15"/>
              </w:rPr>
              <w:t>2 app + 2 DB VMs; B: 2 tasks in 2 zones, Multi-AZ database</w:t>
            </w:r>
          </w:p>
        </w:tc>
        <w:tc>
          <w:tcPr>
            <w:tcW w:type="dxa" w:w="1247"/>
            <w:vAlign w:val="top"/>
            <w:shd w:val="clear" w:color="auto" w:fill="FDF0F7"/>
          </w:tcPr>
          <w:p>
            <w:pPr>
              <w:spacing w:after="20" w:line="252" w:lineRule="auto"/>
            </w:pPr>
            <w:r>
              <w:rPr>
                <w:b w:val="0"/>
                <w:i w:val="0"/>
                <w:sz w:val="15"/>
              </w:rPr>
              <w:t>Production</w:t>
            </w:r>
          </w:p>
        </w:tc>
        <w:tc>
          <w:tcPr>
            <w:tcW w:type="dxa" w:w="1247"/>
            <w:vAlign w:val="top"/>
            <w:shd w:val="clear" w:color="auto" w:fill="FDF0F7"/>
          </w:tcPr>
          <w:p>
            <w:pPr>
              <w:spacing w:after="20" w:line="252" w:lineRule="auto"/>
            </w:pPr>
            <w:r>
              <w:rPr>
                <w:b w:val="0"/>
                <w:i w:val="0"/>
                <w:sz w:val="15"/>
              </w:rPr>
              <w:t>live</w:t>
            </w:r>
          </w:p>
        </w:tc>
        <w:tc>
          <w:tcPr>
            <w:tcW w:type="dxa" w:w="907"/>
            <w:vAlign w:val="top"/>
            <w:shd w:val="clear" w:color="auto" w:fill="FDF0F7"/>
          </w:tcPr>
          <w:p>
            <w:pPr>
              <w:spacing w:after="20" w:line="252" w:lineRule="auto"/>
            </w:pPr>
            <w:r>
              <w:rPr>
                <w:b w:val="0"/>
                <w:i w:val="0"/>
                <w:sz w:val="15"/>
              </w:rPr>
              <w:t>Disabled</w:t>
            </w:r>
          </w:p>
        </w:tc>
      </w:tr>
      <w:tr>
        <w:trPr>
          <w:cantSplit/>
        </w:trPr>
        <w:tc>
          <w:tcPr>
            <w:tcW w:type="dxa" w:w="680"/>
            <w:vAlign w:val="top"/>
          </w:tcPr>
          <w:p>
            <w:pPr>
              <w:spacing w:after="20" w:line="252" w:lineRule="auto"/>
            </w:pPr>
            <w:r>
              <w:rPr>
                <w:b/>
                <w:i w:val="0"/>
                <w:sz w:val="15"/>
              </w:rPr>
              <w:t>DR</w:t>
            </w:r>
          </w:p>
        </w:tc>
        <w:tc>
          <w:tcPr>
            <w:tcW w:type="dxa" w:w="1701"/>
            <w:vAlign w:val="top"/>
          </w:tcPr>
          <w:p>
            <w:pPr>
              <w:spacing w:after="20" w:line="252" w:lineRule="auto"/>
            </w:pPr>
            <w:r>
              <w:rPr>
                <w:b w:val="0"/>
                <w:i w:val="0"/>
                <w:sz w:val="15"/>
              </w:rPr>
              <w:t>Disaster recovery</w:t>
            </w:r>
          </w:p>
        </w:tc>
        <w:tc>
          <w:tcPr>
            <w:tcW w:type="dxa" w:w="2041"/>
            <w:vAlign w:val="top"/>
          </w:tcPr>
          <w:p>
            <w:pPr>
              <w:spacing w:after="20" w:line="252" w:lineRule="auto"/>
            </w:pPr>
            <w:r>
              <w:rPr>
                <w:b w:val="0"/>
                <w:i w:val="0"/>
                <w:sz w:val="15"/>
              </w:rPr>
              <w:t>A: IIFT/IITH DR site. B: second cloud region</w:t>
            </w:r>
          </w:p>
        </w:tc>
        <w:tc>
          <w:tcPr>
            <w:tcW w:type="dxa" w:w="1814"/>
            <w:vAlign w:val="top"/>
          </w:tcPr>
          <w:p>
            <w:pPr>
              <w:spacing w:after="20" w:line="252" w:lineRule="auto"/>
            </w:pPr>
            <w:r>
              <w:rPr>
                <w:b w:val="0"/>
                <w:i w:val="0"/>
                <w:sz w:val="15"/>
              </w:rPr>
              <w:t>1 app + 1 DB VM; B: pilot light</w:t>
            </w:r>
          </w:p>
        </w:tc>
        <w:tc>
          <w:tcPr>
            <w:tcW w:type="dxa" w:w="1247"/>
            <w:vAlign w:val="top"/>
          </w:tcPr>
          <w:p>
            <w:pPr>
              <w:spacing w:after="20" w:line="252" w:lineRule="auto"/>
            </w:pPr>
            <w:r>
              <w:rPr>
                <w:b w:val="0"/>
                <w:i w:val="0"/>
                <w:sz w:val="15"/>
              </w:rPr>
              <w:t>Replica of PROD</w:t>
            </w:r>
          </w:p>
        </w:tc>
        <w:tc>
          <w:tcPr>
            <w:tcW w:type="dxa" w:w="1247"/>
            <w:vAlign w:val="top"/>
          </w:tcPr>
          <w:p>
            <w:pPr>
              <w:spacing w:after="20" w:line="252" w:lineRule="auto"/>
            </w:pPr>
            <w:r>
              <w:rPr>
                <w:b w:val="0"/>
                <w:i w:val="0"/>
                <w:sz w:val="15"/>
              </w:rPr>
              <w:t>live (on invocation)</w:t>
            </w:r>
          </w:p>
        </w:tc>
        <w:tc>
          <w:tcPr>
            <w:tcW w:type="dxa" w:w="907"/>
            <w:vAlign w:val="top"/>
          </w:tcPr>
          <w:p>
            <w:pPr>
              <w:spacing w:after="20" w:line="252" w:lineRule="auto"/>
            </w:pPr>
            <w:r>
              <w:rPr>
                <w:b w:val="0"/>
                <w:i w:val="0"/>
                <w:sz w:val="15"/>
              </w:rPr>
              <w:t>Disabled</w:t>
            </w:r>
          </w:p>
        </w:tc>
      </w:tr>
    </w:tbl>
    <w:p>
      <w:pPr>
        <w:pStyle w:val="Caption"/>
        <w:jc w:val="center"/>
      </w:pPr>
      <w:r>
        <w:rPr>
          <w:b w:val="0"/>
          <w:i w:val="0"/>
        </w:rPr>
        <w:t>Table 21: Environments</w:t>
      </w:r>
    </w:p>
    <w:p>
      <w:pPr>
        <w:keepNext w:val="0"/>
      </w:pPr>
      <w:r>
        <w:rPr>
          <w:b w:val="0"/>
          <w:i w:val="0"/>
        </w:rPr>
        <w:t>Every environment runs the same images; only configuration differs. Promotion is DEV to SIT to UAT to PROD, and nothing reaches PROD that has not passed UAT. DEV stays with iorta under both options.</w:t>
      </w:r>
    </w:p>
    <w:p>
      <w:pPr>
        <w:pStyle w:val="Heading2"/>
      </w:pPr>
      <w:r>
        <w:t>9.2 Option A: on-premise high availability (recommended)</w:t>
      </w:r>
    </w:p>
    <w:p>
      <w:pPr>
        <w:keepNext w:val="0"/>
      </w:pPr>
      <w:r>
        <w:rPr>
          <w:b w:val="0"/>
          <w:i w:val="0"/>
        </w:rPr>
        <w:t>Two application VMs sit behind an external WAF and load balancer pair for internet users and an internal load balancer for staff and IITH systems. Each application VM runs the web, API and ClamAV containers. PostgreSQL runs natively on a primary VM with a hot standby fed by streaming replication. Documents are on an NFS share mounted by both application VMs. Losing one application VM leaves the service running; losing the database primary is handled by promoting the standby. IIFT procures the servers, storage, network and DR capacity to the sizing in chapter 10 (the proposal's bill of materials lists the same items); IITH operates the infrastructure and iorta installs, configures and supports the application and database under the maintenance agreement.</w:t>
      </w:r>
    </w:p>
    <w:p>
      <w:pPr>
        <w:keepNext/>
        <w:spacing w:after="0"/>
        <w:jc w:val="center"/>
      </w:pPr>
      <w:r>
        <w:drawing>
          <wp:inline xmlns:a="http://schemas.openxmlformats.org/drawingml/2006/main" xmlns:pic="http://schemas.openxmlformats.org/drawingml/2006/picture">
            <wp:extent cx="5760000" cy="5842285"/>
            <wp:docPr id="12" name="Picture 12"/>
            <wp:cNvGraphicFramePr>
              <a:graphicFrameLocks noChangeAspect="1"/>
            </wp:cNvGraphicFramePr>
            <a:graphic>
              <a:graphicData uri="http://schemas.openxmlformats.org/drawingml/2006/picture">
                <pic:pic>
                  <pic:nvPicPr>
                    <pic:cNvPr id="0" name="tech-on-prem.png"/>
                    <pic:cNvPicPr/>
                  </pic:nvPicPr>
                  <pic:blipFill>
                    <a:blip r:embed="rId22"/>
                    <a:stretch>
                      <a:fillRect/>
                    </a:stretch>
                  </pic:blipFill>
                  <pic:spPr>
                    <a:xfrm>
                      <a:off x="0" y="0"/>
                      <a:ext cx="5760000" cy="5842285"/>
                    </a:xfrm>
                    <a:prstGeom prst="rect"/>
                  </pic:spPr>
                </pic:pic>
              </a:graphicData>
            </a:graphic>
          </wp:inline>
        </w:drawing>
      </w:r>
    </w:p>
    <w:p>
      <w:pPr>
        <w:pStyle w:val="Caption"/>
        <w:jc w:val="center"/>
      </w:pPr>
      <w:r>
        <w:rPr>
          <w:b w:val="0"/>
          <w:i w:val="0"/>
        </w:rPr>
        <w:t>Figure 9: Option A: on-premise deployment</w:t>
      </w:r>
    </w:p>
    <w:p>
      <w:pPr>
        <w:pStyle w:val="Heading3"/>
      </w:pPr>
      <w:r>
        <w:t>Hybrid variant of Option A</w:t>
      </w:r>
    </w:p>
    <w:p>
      <w:pPr>
        <w:keepNext w:val="0"/>
      </w:pPr>
      <w:r>
        <w:rPr>
          <w:b w:val="0"/>
          <w:i w:val="0"/>
        </w:rPr>
        <w:t>The back-office, API, database and documents stay in the IITH data centre; only the web tier for internet users (nginx with the SPA) runs in the DMZ or at a cloud edge and forwards /api calls over a private encrypted link. Personal data never leaves the data centre, so no cloud outsourcing step is needed. It is sized and priced as Option A; any edge hosting is at actuals.</w:t>
      </w:r>
    </w:p>
    <w:p>
      <w:pPr>
        <w:pStyle w:val="Heading2"/>
      </w:pPr>
      <w:r>
        <w:t>9.3 Option B: iorta-hosted cloud</w:t>
      </w:r>
    </w:p>
    <w:p>
      <w:pPr>
        <w:keepNext w:val="0"/>
      </w:pPr>
      <w:r>
        <w:rPr>
          <w:b w:val="0"/>
          <w:i w:val="0"/>
        </w:rPr>
        <w:t>iorta hosts and operates the solution in a cloud account dedicated to IIFT in AWS Asia Pacific (Malaysia) or Azure Malaysia West, with production across two availability zones and a pilot-light DR environment in a second region approved by IIFT (the reference regions are AWS Asia Pacific (Malaysia) and Azure Malaysia West). The account may be held by iorta and recharged at cost, or held by IIFT in its own name with iorta operating it through delegated access; the design is the same. The AWS reference design is shown below and the Azure equivalent is listed in the table.</w:t>
      </w:r>
    </w:p>
    <w:p>
      <w:pPr>
        <w:keepNext/>
        <w:spacing w:after="0"/>
        <w:jc w:val="center"/>
      </w:pPr>
      <w:r>
        <w:drawing>
          <wp:inline xmlns:a="http://schemas.openxmlformats.org/drawingml/2006/main" xmlns:pic="http://schemas.openxmlformats.org/drawingml/2006/picture">
            <wp:extent cx="5760000" cy="6171428"/>
            <wp:docPr id="13" name="Picture 13"/>
            <wp:cNvGraphicFramePr>
              <a:graphicFrameLocks noChangeAspect="1"/>
            </wp:cNvGraphicFramePr>
            <a:graphic>
              <a:graphicData uri="http://schemas.openxmlformats.org/drawingml/2006/picture">
                <pic:pic>
                  <pic:nvPicPr>
                    <pic:cNvPr id="0" name="tech-cloud.png"/>
                    <pic:cNvPicPr/>
                  </pic:nvPicPr>
                  <pic:blipFill>
                    <a:blip r:embed="rId23"/>
                    <a:stretch>
                      <a:fillRect/>
                    </a:stretch>
                  </pic:blipFill>
                  <pic:spPr>
                    <a:xfrm>
                      <a:off x="0" y="0"/>
                      <a:ext cx="5760000" cy="6171428"/>
                    </a:xfrm>
                    <a:prstGeom prst="rect"/>
                  </pic:spPr>
                </pic:pic>
              </a:graphicData>
            </a:graphic>
          </wp:inline>
        </w:drawing>
      </w:r>
    </w:p>
    <w:p>
      <w:pPr>
        <w:pStyle w:val="Caption"/>
        <w:jc w:val="center"/>
      </w:pPr>
      <w:r>
        <w:rPr>
          <w:b w:val="0"/>
          <w:i w:val="0"/>
        </w:rPr>
        <w:t>Figure 10: Option B: cloud reference deployment (AWS Asia Pacific (Malaysia))</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4195"/>
        <w:gridCol w:w="3742"/>
      </w:tblGrid>
      <w:tr>
        <w:trPr>
          <w:cantSplit/>
          <w:tblHeader/>
        </w:trPr>
        <w:tc>
          <w:tcPr>
            <w:tcW w:type="dxa" w:w="1701"/>
            <w:shd w:val="clear" w:color="auto" w:fill="E1058C"/>
            <w:vAlign w:val="center"/>
          </w:tcPr>
          <w:p>
            <w:pPr>
              <w:spacing w:after="0"/>
            </w:pPr>
            <w:r>
              <w:rPr>
                <w:b/>
                <w:i w:val="0"/>
                <w:color w:val="FFFFFF"/>
                <w:sz w:val="16"/>
              </w:rPr>
              <w:t>Component</w:t>
            </w:r>
          </w:p>
        </w:tc>
        <w:tc>
          <w:tcPr>
            <w:tcW w:type="dxa" w:w="4195"/>
            <w:shd w:val="clear" w:color="auto" w:fill="E1058C"/>
            <w:vAlign w:val="center"/>
          </w:tcPr>
          <w:p>
            <w:pPr>
              <w:spacing w:after="0"/>
            </w:pPr>
            <w:r>
              <w:rPr>
                <w:b/>
                <w:i w:val="0"/>
                <w:color w:val="FFFFFF"/>
                <w:sz w:val="16"/>
              </w:rPr>
              <w:t>AWS Asia Pacific (Malaysia)</w:t>
            </w:r>
          </w:p>
        </w:tc>
        <w:tc>
          <w:tcPr>
            <w:tcW w:type="dxa" w:w="3742"/>
            <w:shd w:val="clear" w:color="auto" w:fill="E1058C"/>
            <w:vAlign w:val="center"/>
          </w:tcPr>
          <w:p>
            <w:pPr>
              <w:spacing w:after="0"/>
            </w:pPr>
            <w:r>
              <w:rPr>
                <w:b/>
                <w:i w:val="0"/>
                <w:color w:val="FFFFFF"/>
                <w:sz w:val="16"/>
              </w:rPr>
              <w:t>Azure Malaysia West</w:t>
            </w:r>
          </w:p>
        </w:tc>
      </w:tr>
      <w:tr>
        <w:trPr>
          <w:cantSplit/>
        </w:trPr>
        <w:tc>
          <w:tcPr>
            <w:tcW w:type="dxa" w:w="1701"/>
            <w:vAlign w:val="top"/>
          </w:tcPr>
          <w:p>
            <w:pPr>
              <w:spacing w:after="20" w:line="252" w:lineRule="auto"/>
            </w:pPr>
            <w:r>
              <w:rPr>
                <w:b/>
                <w:i w:val="0"/>
                <w:sz w:val="16"/>
              </w:rPr>
              <w:t>Edge</w:t>
            </w:r>
          </w:p>
        </w:tc>
        <w:tc>
          <w:tcPr>
            <w:tcW w:type="dxa" w:w="4195"/>
            <w:vAlign w:val="top"/>
          </w:tcPr>
          <w:p>
            <w:pPr>
              <w:spacing w:after="20" w:line="252" w:lineRule="auto"/>
            </w:pPr>
            <w:r>
              <w:rPr>
                <w:b w:val="0"/>
                <w:i w:val="0"/>
                <w:sz w:val="16"/>
              </w:rPr>
              <w:t>Application Load Balancer, AWS WAF with managed OWASP rules, ACM certificate</w:t>
            </w:r>
          </w:p>
        </w:tc>
        <w:tc>
          <w:tcPr>
            <w:tcW w:type="dxa" w:w="3742"/>
            <w:vAlign w:val="top"/>
          </w:tcPr>
          <w:p>
            <w:pPr>
              <w:spacing w:after="20" w:line="252" w:lineRule="auto"/>
            </w:pPr>
            <w:r>
              <w:rPr>
                <w:b w:val="0"/>
                <w:i w:val="0"/>
                <w:sz w:val="16"/>
              </w:rPr>
              <w:t>Application Gateway with WAF</w:t>
            </w:r>
          </w:p>
        </w:tc>
      </w:tr>
      <w:tr>
        <w:trPr>
          <w:cantSplit/>
        </w:trPr>
        <w:tc>
          <w:tcPr>
            <w:tcW w:type="dxa" w:w="1701"/>
            <w:vAlign w:val="top"/>
            <w:shd w:val="clear" w:color="auto" w:fill="FDF0F7"/>
          </w:tcPr>
          <w:p>
            <w:pPr>
              <w:spacing w:after="20" w:line="252" w:lineRule="auto"/>
            </w:pPr>
            <w:r>
              <w:rPr>
                <w:b/>
                <w:i w:val="0"/>
                <w:sz w:val="16"/>
              </w:rPr>
              <w:t>Containers</w:t>
            </w:r>
          </w:p>
        </w:tc>
        <w:tc>
          <w:tcPr>
            <w:tcW w:type="dxa" w:w="4195"/>
            <w:vAlign w:val="top"/>
            <w:shd w:val="clear" w:color="auto" w:fill="FDF0F7"/>
          </w:tcPr>
          <w:p>
            <w:pPr>
              <w:spacing w:after="20" w:line="252" w:lineRule="auto"/>
            </w:pPr>
            <w:r>
              <w:rPr>
                <w:b w:val="0"/>
                <w:i w:val="0"/>
                <w:sz w:val="16"/>
              </w:rPr>
              <w:t>ECS Fargate, 2 tasks in 2 availability zones</w:t>
            </w:r>
          </w:p>
        </w:tc>
        <w:tc>
          <w:tcPr>
            <w:tcW w:type="dxa" w:w="3742"/>
            <w:vAlign w:val="top"/>
            <w:shd w:val="clear" w:color="auto" w:fill="FDF0F7"/>
          </w:tcPr>
          <w:p>
            <w:pPr>
              <w:spacing w:after="20" w:line="252" w:lineRule="auto"/>
            </w:pPr>
            <w:r>
              <w:rPr>
                <w:b w:val="0"/>
                <w:i w:val="0"/>
                <w:sz w:val="16"/>
              </w:rPr>
              <w:t>Container Apps or AKS, 2 replicas in 2 zones</w:t>
            </w:r>
          </w:p>
        </w:tc>
      </w:tr>
      <w:tr>
        <w:trPr>
          <w:cantSplit/>
        </w:trPr>
        <w:tc>
          <w:tcPr>
            <w:tcW w:type="dxa" w:w="1701"/>
            <w:vAlign w:val="top"/>
          </w:tcPr>
          <w:p>
            <w:pPr>
              <w:spacing w:after="20" w:line="252" w:lineRule="auto"/>
            </w:pPr>
            <w:r>
              <w:rPr>
                <w:b/>
                <w:i w:val="0"/>
                <w:sz w:val="16"/>
              </w:rPr>
              <w:t>Database</w:t>
            </w:r>
          </w:p>
        </w:tc>
        <w:tc>
          <w:tcPr>
            <w:tcW w:type="dxa" w:w="4195"/>
            <w:vAlign w:val="top"/>
          </w:tcPr>
          <w:p>
            <w:pPr>
              <w:spacing w:after="20" w:line="252" w:lineRule="auto"/>
            </w:pPr>
            <w:r>
              <w:rPr>
                <w:b w:val="0"/>
                <w:i w:val="0"/>
                <w:sz w:val="16"/>
              </w:rPr>
              <w:t>RDS for PostgreSQL 16, Multi-AZ, 35-day backups and PITR</w:t>
            </w:r>
          </w:p>
        </w:tc>
        <w:tc>
          <w:tcPr>
            <w:tcW w:type="dxa" w:w="3742"/>
            <w:vAlign w:val="top"/>
          </w:tcPr>
          <w:p>
            <w:pPr>
              <w:spacing w:after="20" w:line="252" w:lineRule="auto"/>
            </w:pPr>
            <w:r>
              <w:rPr>
                <w:b w:val="0"/>
                <w:i w:val="0"/>
                <w:sz w:val="16"/>
              </w:rPr>
              <w:t>Azure Database for PostgreSQL flexible server, zone-redundant HA</w:t>
            </w:r>
          </w:p>
        </w:tc>
      </w:tr>
      <w:tr>
        <w:trPr>
          <w:cantSplit/>
        </w:trPr>
        <w:tc>
          <w:tcPr>
            <w:tcW w:type="dxa" w:w="1701"/>
            <w:vAlign w:val="top"/>
            <w:shd w:val="clear" w:color="auto" w:fill="FDF0F7"/>
          </w:tcPr>
          <w:p>
            <w:pPr>
              <w:spacing w:after="20" w:line="252" w:lineRule="auto"/>
            </w:pPr>
            <w:r>
              <w:rPr>
                <w:b/>
                <w:i w:val="0"/>
                <w:sz w:val="16"/>
              </w:rPr>
              <w:t>Documents</w:t>
            </w:r>
          </w:p>
        </w:tc>
        <w:tc>
          <w:tcPr>
            <w:tcW w:type="dxa" w:w="4195"/>
            <w:vAlign w:val="top"/>
            <w:shd w:val="clear" w:color="auto" w:fill="FDF0F7"/>
          </w:tcPr>
          <w:p>
            <w:pPr>
              <w:spacing w:after="20" w:line="252" w:lineRule="auto"/>
            </w:pPr>
            <w:r>
              <w:rPr>
                <w:b w:val="0"/>
                <w:i w:val="0"/>
                <w:sz w:val="16"/>
              </w:rPr>
              <w:t>Amazon EFS, encrypted, mounted at /data/documents</w:t>
            </w:r>
          </w:p>
        </w:tc>
        <w:tc>
          <w:tcPr>
            <w:tcW w:type="dxa" w:w="3742"/>
            <w:vAlign w:val="top"/>
            <w:shd w:val="clear" w:color="auto" w:fill="FDF0F7"/>
          </w:tcPr>
          <w:p>
            <w:pPr>
              <w:spacing w:after="20" w:line="252" w:lineRule="auto"/>
            </w:pPr>
            <w:r>
              <w:rPr>
                <w:b w:val="0"/>
                <w:i w:val="0"/>
                <w:sz w:val="16"/>
              </w:rPr>
              <w:t>Azure Files, encrypted</w:t>
            </w:r>
          </w:p>
        </w:tc>
      </w:tr>
      <w:tr>
        <w:trPr>
          <w:cantSplit/>
        </w:trPr>
        <w:tc>
          <w:tcPr>
            <w:tcW w:type="dxa" w:w="1701"/>
            <w:vAlign w:val="top"/>
          </w:tcPr>
          <w:p>
            <w:pPr>
              <w:spacing w:after="20" w:line="252" w:lineRule="auto"/>
            </w:pPr>
            <w:r>
              <w:rPr>
                <w:b/>
                <w:i w:val="0"/>
                <w:sz w:val="16"/>
              </w:rPr>
              <w:t>Backups and exports</w:t>
            </w:r>
          </w:p>
        </w:tc>
        <w:tc>
          <w:tcPr>
            <w:tcW w:type="dxa" w:w="4195"/>
            <w:vAlign w:val="top"/>
          </w:tcPr>
          <w:p>
            <w:pPr>
              <w:spacing w:after="20" w:line="252" w:lineRule="auto"/>
            </w:pPr>
            <w:r>
              <w:rPr>
                <w:b w:val="0"/>
                <w:i w:val="0"/>
                <w:sz w:val="16"/>
              </w:rPr>
              <w:t>S3 with SSE-KMS, replicated to the DR region</w:t>
            </w:r>
          </w:p>
        </w:tc>
        <w:tc>
          <w:tcPr>
            <w:tcW w:type="dxa" w:w="3742"/>
            <w:vAlign w:val="top"/>
          </w:tcPr>
          <w:p>
            <w:pPr>
              <w:spacing w:after="20" w:line="252" w:lineRule="auto"/>
            </w:pPr>
            <w:r>
              <w:rPr>
                <w:b w:val="0"/>
                <w:i w:val="0"/>
                <w:sz w:val="16"/>
              </w:rPr>
              <w:t>Blob Storage, geo-redundant</w:t>
            </w:r>
          </w:p>
        </w:tc>
      </w:tr>
      <w:tr>
        <w:trPr>
          <w:cantSplit/>
        </w:trPr>
        <w:tc>
          <w:tcPr>
            <w:tcW w:type="dxa" w:w="1701"/>
            <w:vAlign w:val="top"/>
            <w:shd w:val="clear" w:color="auto" w:fill="FDF0F7"/>
          </w:tcPr>
          <w:p>
            <w:pPr>
              <w:spacing w:after="20" w:line="252" w:lineRule="auto"/>
            </w:pPr>
            <w:r>
              <w:rPr>
                <w:b/>
                <w:i w:val="0"/>
                <w:sz w:val="16"/>
              </w:rPr>
              <w:t>Secrets and keys</w:t>
            </w:r>
          </w:p>
        </w:tc>
        <w:tc>
          <w:tcPr>
            <w:tcW w:type="dxa" w:w="4195"/>
            <w:vAlign w:val="top"/>
            <w:shd w:val="clear" w:color="auto" w:fill="FDF0F7"/>
          </w:tcPr>
          <w:p>
            <w:pPr>
              <w:spacing w:after="20" w:line="252" w:lineRule="auto"/>
            </w:pPr>
            <w:r>
              <w:rPr>
                <w:b w:val="0"/>
                <w:i w:val="0"/>
                <w:sz w:val="16"/>
              </w:rPr>
              <w:t>Secrets Manager and KMS (customer-managed keys)</w:t>
            </w:r>
          </w:p>
        </w:tc>
        <w:tc>
          <w:tcPr>
            <w:tcW w:type="dxa" w:w="3742"/>
            <w:vAlign w:val="top"/>
            <w:shd w:val="clear" w:color="auto" w:fill="FDF0F7"/>
          </w:tcPr>
          <w:p>
            <w:pPr>
              <w:spacing w:after="20" w:line="252" w:lineRule="auto"/>
            </w:pPr>
            <w:r>
              <w:rPr>
                <w:b w:val="0"/>
                <w:i w:val="0"/>
                <w:sz w:val="16"/>
              </w:rPr>
              <w:t>Key Vault</w:t>
            </w:r>
          </w:p>
        </w:tc>
      </w:tr>
      <w:tr>
        <w:trPr>
          <w:cantSplit/>
        </w:trPr>
        <w:tc>
          <w:tcPr>
            <w:tcW w:type="dxa" w:w="1701"/>
            <w:vAlign w:val="top"/>
          </w:tcPr>
          <w:p>
            <w:pPr>
              <w:spacing w:after="20" w:line="252" w:lineRule="auto"/>
            </w:pPr>
            <w:r>
              <w:rPr>
                <w:b/>
                <w:i w:val="0"/>
                <w:sz w:val="16"/>
              </w:rPr>
              <w:t>Monitoring and security</w:t>
            </w:r>
          </w:p>
        </w:tc>
        <w:tc>
          <w:tcPr>
            <w:tcW w:type="dxa" w:w="4195"/>
            <w:vAlign w:val="top"/>
          </w:tcPr>
          <w:p>
            <w:pPr>
              <w:spacing w:after="20" w:line="252" w:lineRule="auto"/>
            </w:pPr>
            <w:r>
              <w:rPr>
                <w:b w:val="0"/>
                <w:i w:val="0"/>
                <w:sz w:val="16"/>
              </w:rPr>
              <w:t>CloudWatch logs, metrics, alarms; GuardDuty; Security Hub</w:t>
            </w:r>
          </w:p>
        </w:tc>
        <w:tc>
          <w:tcPr>
            <w:tcW w:type="dxa" w:w="3742"/>
            <w:vAlign w:val="top"/>
          </w:tcPr>
          <w:p>
            <w:pPr>
              <w:spacing w:after="20" w:line="252" w:lineRule="auto"/>
            </w:pPr>
            <w:r>
              <w:rPr>
                <w:b w:val="0"/>
                <w:i w:val="0"/>
                <w:sz w:val="16"/>
              </w:rPr>
              <w:t>Azure Monitor, Log Analytics, Defender for Cloud</w:t>
            </w:r>
          </w:p>
        </w:tc>
      </w:tr>
      <w:tr>
        <w:trPr>
          <w:cantSplit/>
        </w:trPr>
        <w:tc>
          <w:tcPr>
            <w:tcW w:type="dxa" w:w="1701"/>
            <w:vAlign w:val="top"/>
            <w:shd w:val="clear" w:color="auto" w:fill="FDF0F7"/>
          </w:tcPr>
          <w:p>
            <w:pPr>
              <w:spacing w:after="20" w:line="252" w:lineRule="auto"/>
            </w:pPr>
            <w:r>
              <w:rPr>
                <w:b/>
                <w:i w:val="0"/>
                <w:sz w:val="16"/>
              </w:rPr>
              <w:t>Connectivity</w:t>
            </w:r>
          </w:p>
        </w:tc>
        <w:tc>
          <w:tcPr>
            <w:tcW w:type="dxa" w:w="4195"/>
            <w:vAlign w:val="top"/>
            <w:shd w:val="clear" w:color="auto" w:fill="FDF0F7"/>
          </w:tcPr>
          <w:p>
            <w:pPr>
              <w:spacing w:after="20" w:line="252" w:lineRule="auto"/>
            </w:pPr>
            <w:r>
              <w:rPr>
                <w:b w:val="0"/>
                <w:i w:val="0"/>
                <w:sz w:val="16"/>
              </w:rPr>
              <w:t>Site-to-site VPN to the IITH data centre (Direct Connect optional)</w:t>
            </w:r>
          </w:p>
        </w:tc>
        <w:tc>
          <w:tcPr>
            <w:tcW w:type="dxa" w:w="3742"/>
            <w:vAlign w:val="top"/>
            <w:shd w:val="clear" w:color="auto" w:fill="FDF0F7"/>
          </w:tcPr>
          <w:p>
            <w:pPr>
              <w:spacing w:after="20" w:line="252" w:lineRule="auto"/>
            </w:pPr>
            <w:r>
              <w:rPr>
                <w:b w:val="0"/>
                <w:i w:val="0"/>
                <w:sz w:val="16"/>
              </w:rPr>
              <w:t>VPN Gateway (ExpressRoute optional)</w:t>
            </w:r>
          </w:p>
        </w:tc>
      </w:tr>
      <w:tr>
        <w:trPr>
          <w:cantSplit/>
        </w:trPr>
        <w:tc>
          <w:tcPr>
            <w:tcW w:type="dxa" w:w="1701"/>
            <w:vAlign w:val="top"/>
          </w:tcPr>
          <w:p>
            <w:pPr>
              <w:spacing w:after="20" w:line="252" w:lineRule="auto"/>
            </w:pPr>
            <w:r>
              <w:rPr>
                <w:b/>
                <w:i w:val="0"/>
                <w:sz w:val="16"/>
              </w:rPr>
              <w:t>DR</w:t>
            </w:r>
          </w:p>
        </w:tc>
        <w:tc>
          <w:tcPr>
            <w:tcW w:type="dxa" w:w="4195"/>
            <w:vAlign w:val="top"/>
          </w:tcPr>
          <w:p>
            <w:pPr>
              <w:spacing w:after="20" w:line="252" w:lineRule="auto"/>
            </w:pPr>
            <w:r>
              <w:rPr>
                <w:b w:val="0"/>
                <w:i w:val="0"/>
                <w:sz w:val="16"/>
              </w:rPr>
              <w:t>Cross-region read replica, replicated S3, standby task definitions in the second region</w:t>
            </w:r>
          </w:p>
        </w:tc>
        <w:tc>
          <w:tcPr>
            <w:tcW w:type="dxa" w:w="3742"/>
            <w:vAlign w:val="top"/>
          </w:tcPr>
          <w:p>
            <w:pPr>
              <w:spacing w:after="20" w:line="252" w:lineRule="auto"/>
            </w:pPr>
            <w:r>
              <w:rPr>
                <w:b w:val="0"/>
                <w:i w:val="0"/>
                <w:sz w:val="16"/>
              </w:rPr>
              <w:t>Geo-replica, geo-redundant storage, standby revision in the second region</w:t>
            </w:r>
          </w:p>
        </w:tc>
      </w:tr>
    </w:tbl>
    <w:p>
      <w:pPr>
        <w:pStyle w:val="Caption"/>
        <w:jc w:val="center"/>
      </w:pPr>
      <w:r>
        <w:rPr>
          <w:b w:val="0"/>
          <w:i w:val="0"/>
        </w:rPr>
        <w:t>Table 22: Cloud services by provider</w:t>
      </w:r>
    </w:p>
    <w:p>
      <w:pPr>
        <w:pStyle w:val="Heading3"/>
      </w:pPr>
      <w:r>
        <w:t>Landing zone</w:t>
      </w:r>
    </w:p>
    <w:p>
      <w:pPr>
        <w:keepNext w:val="0"/>
      </w:pPr>
      <w:r>
        <w:rPr>
          <w:b w:val="0"/>
          <w:i w:val="0"/>
        </w:rPr>
        <w:t>The one-off cloud set-up in the proposal builds the landing zone before the environments: a dedicated account (or subscription) for IIFT with no other tenant; separate production and non-production networks (VPC or VNet) with public subnets for the load balancer only and private subnets for tasks and databases; identity with named administrators, multi-factor authentication, least-privilege roles and no long-lived access keys; customer-managed encryption keys for database, storage and backups; central logging with 90-day retention and an immutable audit trail of console and API activity; the site-to-site VPN to the IITH data centre; a private container registry; and the security baseline (CIS benchmark checks, threat detection, vulnerability scanning) with alerts to the managed services roster. Everything is defined as infrastructure code held in the repository, so the estate can be rebuilt in the DR region or handed to IIFT.</w:t>
      </w:r>
    </w:p>
    <w:p>
      <w:pPr>
        <w:pStyle w:val="Heading3"/>
      </w:pPr>
      <w:r>
        <w:t>Environments and DR region</w:t>
      </w:r>
    </w:p>
    <w:p>
      <w:pPr>
        <w:keepNext w:val="0"/>
      </w:pPr>
      <w:r>
        <w:rPr>
          <w:b w:val="0"/>
          <w:i w:val="0"/>
        </w:rPr>
        <w:t>PROD runs two tasks across two availability zones with a Multi-AZ managed database. UAT is a single task with a small single-zone database, stopped outside test periods; SIT is the same shape during the project. The DR environment in the second region is a pilot light: a cross-region database replica, replicated backups and documents, and standby task definitions scaled from zero. Invocation promotes the replica, scales the tasks up and switches DNS; the Production Support Handover gives the procedure and the yearly drill. RPO and RTO are the same as for Option A (chapter 10).</w:t>
      </w:r>
    </w:p>
    <w:p>
      <w:pPr>
        <w:pStyle w:val="Heading3"/>
      </w:pPr>
      <w:r>
        <w:t>Cost controls</w:t>
      </w:r>
    </w:p>
    <w:p>
      <w:pPr>
        <w:pStyle w:val="ListBullet"/>
      </w:pPr>
      <w:r>
        <w:rPr>
          <w:b w:val="0"/>
          <w:i w:val="0"/>
        </w:rPr>
        <w:t>Cloud charges are recharged at the provider's cost without mark-up, or paid by IIFT directly when it holds the account; the estimate in chapter 10 is for budgeting.</w:t>
      </w:r>
    </w:p>
    <w:p>
      <w:pPr>
        <w:pStyle w:val="ListBullet"/>
      </w:pPr>
      <w:r>
        <w:rPr>
          <w:b w:val="0"/>
          <w:i w:val="0"/>
        </w:rPr>
        <w:t>Budget alerts at 80% and 100% of the monthly estimate go to iorta and the IIFT application owner.</w:t>
      </w:r>
    </w:p>
    <w:p>
      <w:pPr>
        <w:pStyle w:val="ListBullet"/>
      </w:pPr>
      <w:r>
        <w:rPr>
          <w:b w:val="0"/>
          <w:i w:val="0"/>
        </w:rPr>
        <w:t>A monthly cost report by service and environment accompanies the monthly service report.</w:t>
      </w:r>
    </w:p>
    <w:p>
      <w:pPr>
        <w:pStyle w:val="ListBullet"/>
      </w:pPr>
      <w:r>
        <w:rPr>
          <w:b w:val="0"/>
          <w:i w:val="0"/>
        </w:rPr>
        <w:t>A quarterly right-sizing review adjusts task sizes, database class and storage tiers; reserved capacity is bought only with IIFT's approval, and the saving passes to IIFT.</w:t>
      </w:r>
    </w:p>
    <w:p>
      <w:pPr>
        <w:pStyle w:val="ListBullet"/>
      </w:pPr>
      <w:r>
        <w:rPr>
          <w:b w:val="0"/>
          <w:i w:val="0"/>
        </w:rPr>
        <w:t>Non-production environments are stopped outside test periods; log retention and backup lifecycle rules are enforced by policy.</w:t>
      </w:r>
    </w:p>
    <w:p>
      <w:pPr>
        <w:pStyle w:val="Heading3"/>
      </w:pPr>
      <w:r>
        <w:t>Shared responsibility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2041"/>
        <w:gridCol w:w="2041"/>
        <w:gridCol w:w="1701"/>
        <w:gridCol w:w="1814"/>
      </w:tblGrid>
      <w:tr>
        <w:trPr>
          <w:cantSplit/>
          <w:tblHeader/>
        </w:trPr>
        <w:tc>
          <w:tcPr>
            <w:tcW w:type="dxa" w:w="2041"/>
            <w:shd w:val="clear" w:color="auto" w:fill="E1058C"/>
            <w:vAlign w:val="center"/>
          </w:tcPr>
          <w:p>
            <w:pPr>
              <w:spacing w:after="0"/>
            </w:pPr>
            <w:r>
              <w:rPr>
                <w:b/>
                <w:i w:val="0"/>
                <w:color w:val="FFFFFF"/>
                <w:sz w:val="15"/>
              </w:rPr>
              <w:t>Area</w:t>
            </w:r>
          </w:p>
        </w:tc>
        <w:tc>
          <w:tcPr>
            <w:tcW w:type="dxa" w:w="2041"/>
            <w:shd w:val="clear" w:color="auto" w:fill="E1058C"/>
            <w:vAlign w:val="center"/>
          </w:tcPr>
          <w:p>
            <w:pPr>
              <w:spacing w:after="0"/>
            </w:pPr>
            <w:r>
              <w:rPr>
                <w:b/>
                <w:i w:val="0"/>
                <w:color w:val="FFFFFF"/>
                <w:sz w:val="15"/>
              </w:rPr>
              <w:t>Option A: IIFT / IITH and iorta</w:t>
            </w:r>
          </w:p>
        </w:tc>
        <w:tc>
          <w:tcPr>
            <w:tcW w:type="dxa" w:w="2041"/>
            <w:shd w:val="clear" w:color="auto" w:fill="E1058C"/>
            <w:vAlign w:val="center"/>
          </w:tcPr>
          <w:p>
            <w:pPr>
              <w:spacing w:after="0"/>
            </w:pPr>
            <w:r>
              <w:rPr>
                <w:b/>
                <w:i w:val="0"/>
                <w:color w:val="FFFFFF"/>
                <w:sz w:val="15"/>
              </w:rPr>
              <w:t>Option B: iorta managed services</w:t>
            </w:r>
          </w:p>
        </w:tc>
        <w:tc>
          <w:tcPr>
            <w:tcW w:type="dxa" w:w="1701"/>
            <w:shd w:val="clear" w:color="auto" w:fill="E1058C"/>
            <w:vAlign w:val="center"/>
          </w:tcPr>
          <w:p>
            <w:pPr>
              <w:spacing w:after="0"/>
            </w:pPr>
            <w:r>
              <w:rPr>
                <w:b/>
                <w:i w:val="0"/>
                <w:color w:val="FFFFFF"/>
                <w:sz w:val="15"/>
              </w:rPr>
              <w:t>Option B: cloud provider</w:t>
            </w:r>
          </w:p>
        </w:tc>
        <w:tc>
          <w:tcPr>
            <w:tcW w:type="dxa" w:w="1814"/>
            <w:shd w:val="clear" w:color="auto" w:fill="E1058C"/>
            <w:vAlign w:val="center"/>
          </w:tcPr>
          <w:p>
            <w:pPr>
              <w:spacing w:after="0"/>
            </w:pPr>
            <w:r>
              <w:rPr>
                <w:b/>
                <w:i w:val="0"/>
                <w:color w:val="FFFFFF"/>
                <w:sz w:val="15"/>
              </w:rPr>
              <w:t>Option B: IIFT</w:t>
            </w:r>
          </w:p>
        </w:tc>
      </w:tr>
      <w:tr>
        <w:trPr>
          <w:cantSplit/>
        </w:trPr>
        <w:tc>
          <w:tcPr>
            <w:tcW w:type="dxa" w:w="2041"/>
            <w:vAlign w:val="top"/>
          </w:tcPr>
          <w:p>
            <w:pPr>
              <w:spacing w:after="20" w:line="252" w:lineRule="auto"/>
            </w:pPr>
            <w:r>
              <w:rPr>
                <w:b/>
                <w:i w:val="0"/>
                <w:sz w:val="15"/>
              </w:rPr>
              <w:t>Physical facilities, hardware, hypervisor</w:t>
            </w:r>
          </w:p>
        </w:tc>
        <w:tc>
          <w:tcPr>
            <w:tcW w:type="dxa" w:w="2041"/>
            <w:vAlign w:val="top"/>
          </w:tcPr>
          <w:p>
            <w:pPr>
              <w:spacing w:after="20" w:line="252" w:lineRule="auto"/>
            </w:pPr>
            <w:r>
              <w:rPr>
                <w:b w:val="0"/>
                <w:i w:val="0"/>
                <w:sz w:val="15"/>
              </w:rPr>
              <w:t>IITH</w:t>
            </w:r>
          </w:p>
        </w:tc>
        <w:tc>
          <w:tcPr>
            <w:tcW w:type="dxa" w:w="2041"/>
            <w:vAlign w:val="top"/>
          </w:tcPr>
          <w:p>
            <w:pPr>
              <w:spacing w:after="20" w:line="252" w:lineRule="auto"/>
            </w:pPr>
            <w:r>
              <w:rPr>
                <w:b w:val="0"/>
                <w:i w:val="0"/>
                <w:sz w:val="15"/>
              </w:rPr>
              <w:t>–</w:t>
            </w:r>
          </w:p>
        </w:tc>
        <w:tc>
          <w:tcPr>
            <w:tcW w:type="dxa" w:w="1701"/>
            <w:vAlign w:val="top"/>
          </w:tcPr>
          <w:p>
            <w:pPr>
              <w:spacing w:after="20" w:line="252" w:lineRule="auto"/>
            </w:pPr>
            <w:r>
              <w:rPr>
                <w:b w:val="0"/>
                <w:i w:val="0"/>
                <w:sz w:val="15"/>
              </w:rPr>
              <w:t>Provider</w:t>
            </w:r>
          </w:p>
        </w:tc>
        <w:tc>
          <w:tcPr>
            <w:tcW w:type="dxa" w:w="1814"/>
            <w:vAlign w:val="top"/>
          </w:tcPr>
          <w:p>
            <w:pPr>
              <w:spacing w:after="20" w:line="252" w:lineRule="auto"/>
            </w:pPr>
            <w:r>
              <w:rPr>
                <w:b w:val="0"/>
                <w:i w:val="0"/>
                <w:sz w:val="15"/>
              </w:rPr>
              <w:t>–</w:t>
            </w:r>
          </w:p>
        </w:tc>
      </w:tr>
      <w:tr>
        <w:trPr>
          <w:cantSplit/>
        </w:trPr>
        <w:tc>
          <w:tcPr>
            <w:tcW w:type="dxa" w:w="2041"/>
            <w:vAlign w:val="top"/>
            <w:shd w:val="clear" w:color="auto" w:fill="FDF0F7"/>
          </w:tcPr>
          <w:p>
            <w:pPr>
              <w:spacing w:after="20" w:line="252" w:lineRule="auto"/>
            </w:pPr>
            <w:r>
              <w:rPr>
                <w:b/>
                <w:i w:val="0"/>
                <w:sz w:val="15"/>
              </w:rPr>
              <w:t>Network, firewall, load balancer, WAF rules</w:t>
            </w:r>
          </w:p>
        </w:tc>
        <w:tc>
          <w:tcPr>
            <w:tcW w:type="dxa" w:w="2041"/>
            <w:vAlign w:val="top"/>
            <w:shd w:val="clear" w:color="auto" w:fill="FDF0F7"/>
          </w:tcPr>
          <w:p>
            <w:pPr>
              <w:spacing w:after="20" w:line="252" w:lineRule="auto"/>
            </w:pPr>
            <w:r>
              <w:rPr>
                <w:b w:val="0"/>
                <w:i w:val="0"/>
                <w:sz w:val="15"/>
              </w:rPr>
              <w:t>IITH (iorta specifies)</w:t>
            </w:r>
          </w:p>
        </w:tc>
        <w:tc>
          <w:tcPr>
            <w:tcW w:type="dxa" w:w="2041"/>
            <w:vAlign w:val="top"/>
            <w:shd w:val="clear" w:color="auto" w:fill="FDF0F7"/>
          </w:tcPr>
          <w:p>
            <w:pPr>
              <w:spacing w:after="20" w:line="252" w:lineRule="auto"/>
            </w:pPr>
            <w:r>
              <w:rPr>
                <w:b w:val="0"/>
                <w:i w:val="0"/>
                <w:sz w:val="15"/>
              </w:rPr>
              <w:t>Configure and operate</w:t>
            </w:r>
          </w:p>
        </w:tc>
        <w:tc>
          <w:tcPr>
            <w:tcW w:type="dxa" w:w="1701"/>
            <w:vAlign w:val="top"/>
            <w:shd w:val="clear" w:color="auto" w:fill="FDF0F7"/>
          </w:tcPr>
          <w:p>
            <w:pPr>
              <w:spacing w:after="20" w:line="252" w:lineRule="auto"/>
            </w:pPr>
            <w:r>
              <w:rPr>
                <w:b w:val="0"/>
                <w:i w:val="0"/>
                <w:sz w:val="15"/>
              </w:rPr>
              <w:t>Managed services</w:t>
            </w:r>
          </w:p>
        </w:tc>
        <w:tc>
          <w:tcPr>
            <w:tcW w:type="dxa" w:w="1814"/>
            <w:vAlign w:val="top"/>
            <w:shd w:val="clear" w:color="auto" w:fill="FDF0F7"/>
          </w:tcPr>
          <w:p>
            <w:pPr>
              <w:spacing w:after="20" w:line="252" w:lineRule="auto"/>
            </w:pPr>
            <w:r>
              <w:rPr>
                <w:b w:val="0"/>
                <w:i w:val="0"/>
                <w:sz w:val="15"/>
              </w:rPr>
              <w:t>Approve rules</w:t>
            </w:r>
          </w:p>
        </w:tc>
      </w:tr>
      <w:tr>
        <w:trPr>
          <w:cantSplit/>
        </w:trPr>
        <w:tc>
          <w:tcPr>
            <w:tcW w:type="dxa" w:w="2041"/>
            <w:vAlign w:val="top"/>
          </w:tcPr>
          <w:p>
            <w:pPr>
              <w:spacing w:after="20" w:line="252" w:lineRule="auto"/>
            </w:pPr>
            <w:r>
              <w:rPr>
                <w:b/>
                <w:i w:val="0"/>
                <w:sz w:val="15"/>
              </w:rPr>
              <w:t>Operating system and container runtime patching</w:t>
            </w:r>
          </w:p>
        </w:tc>
        <w:tc>
          <w:tcPr>
            <w:tcW w:type="dxa" w:w="2041"/>
            <w:vAlign w:val="top"/>
          </w:tcPr>
          <w:p>
            <w:pPr>
              <w:spacing w:after="20" w:line="252" w:lineRule="auto"/>
            </w:pPr>
            <w:r>
              <w:rPr>
                <w:b w:val="0"/>
                <w:i w:val="0"/>
                <w:sz w:val="15"/>
              </w:rPr>
              <w:t>IITH (OS); iorta (containers)</w:t>
            </w:r>
          </w:p>
        </w:tc>
        <w:tc>
          <w:tcPr>
            <w:tcW w:type="dxa" w:w="2041"/>
            <w:vAlign w:val="top"/>
          </w:tcPr>
          <w:p>
            <w:pPr>
              <w:spacing w:after="20" w:line="252" w:lineRule="auto"/>
            </w:pPr>
            <w:r>
              <w:rPr>
                <w:b w:val="0"/>
                <w:i w:val="0"/>
                <w:sz w:val="15"/>
              </w:rPr>
              <w:t>Patch in agreed windows</w:t>
            </w:r>
          </w:p>
        </w:tc>
        <w:tc>
          <w:tcPr>
            <w:tcW w:type="dxa" w:w="1701"/>
            <w:vAlign w:val="top"/>
          </w:tcPr>
          <w:p>
            <w:pPr>
              <w:spacing w:after="20" w:line="252" w:lineRule="auto"/>
            </w:pPr>
            <w:r>
              <w:rPr>
                <w:b w:val="0"/>
                <w:i w:val="0"/>
                <w:sz w:val="15"/>
              </w:rPr>
              <w:t>Serverless container platform</w:t>
            </w:r>
          </w:p>
        </w:tc>
        <w:tc>
          <w:tcPr>
            <w:tcW w:type="dxa" w:w="1814"/>
            <w:vAlign w:val="top"/>
          </w:tcPr>
          <w:p>
            <w:pPr>
              <w:spacing w:after="20" w:line="252" w:lineRule="auto"/>
            </w:pPr>
            <w:r>
              <w:rPr>
                <w:b w:val="0"/>
                <w:i w:val="0"/>
                <w:sz w:val="15"/>
              </w:rPr>
              <w:t>Approve windows</w:t>
            </w:r>
          </w:p>
        </w:tc>
      </w:tr>
      <w:tr>
        <w:trPr>
          <w:cantSplit/>
        </w:trPr>
        <w:tc>
          <w:tcPr>
            <w:tcW w:type="dxa" w:w="2041"/>
            <w:vAlign w:val="top"/>
            <w:shd w:val="clear" w:color="auto" w:fill="FDF0F7"/>
          </w:tcPr>
          <w:p>
            <w:pPr>
              <w:spacing w:after="20" w:line="252" w:lineRule="auto"/>
            </w:pPr>
            <w:r>
              <w:rPr>
                <w:b/>
                <w:i w:val="0"/>
                <w:sz w:val="15"/>
              </w:rPr>
              <w:t>PostgreSQL install, replication, backups, PITR</w:t>
            </w:r>
          </w:p>
        </w:tc>
        <w:tc>
          <w:tcPr>
            <w:tcW w:type="dxa" w:w="2041"/>
            <w:vAlign w:val="top"/>
            <w:shd w:val="clear" w:color="auto" w:fill="FDF0F7"/>
          </w:tcPr>
          <w:p>
            <w:pPr>
              <w:spacing w:after="20" w:line="252" w:lineRule="auto"/>
            </w:pPr>
            <w:r>
              <w:rPr>
                <w:b w:val="0"/>
                <w:i w:val="0"/>
                <w:sz w:val="15"/>
              </w:rPr>
              <w:t>IITH runs backups; iorta configures</w:t>
            </w:r>
          </w:p>
        </w:tc>
        <w:tc>
          <w:tcPr>
            <w:tcW w:type="dxa" w:w="2041"/>
            <w:vAlign w:val="top"/>
            <w:shd w:val="clear" w:color="auto" w:fill="FDF0F7"/>
          </w:tcPr>
          <w:p>
            <w:pPr>
              <w:spacing w:after="20" w:line="252" w:lineRule="auto"/>
            </w:pPr>
            <w:r>
              <w:rPr>
                <w:b w:val="0"/>
                <w:i w:val="0"/>
                <w:sz w:val="15"/>
              </w:rPr>
              <w:t>Configure, verify, restore tests</w:t>
            </w:r>
          </w:p>
        </w:tc>
        <w:tc>
          <w:tcPr>
            <w:tcW w:type="dxa" w:w="1701"/>
            <w:vAlign w:val="top"/>
            <w:shd w:val="clear" w:color="auto" w:fill="FDF0F7"/>
          </w:tcPr>
          <w:p>
            <w:pPr>
              <w:spacing w:after="20" w:line="252" w:lineRule="auto"/>
            </w:pPr>
            <w:r>
              <w:rPr>
                <w:b w:val="0"/>
                <w:i w:val="0"/>
                <w:sz w:val="15"/>
              </w:rPr>
              <w:t>Managed database engine</w:t>
            </w:r>
          </w:p>
        </w:tc>
        <w:tc>
          <w:tcPr>
            <w:tcW w:type="dxa" w:w="1814"/>
            <w:vAlign w:val="top"/>
            <w:shd w:val="clear" w:color="auto" w:fill="FDF0F7"/>
          </w:tcPr>
          <w:p>
            <w:pPr>
              <w:spacing w:after="20" w:line="252" w:lineRule="auto"/>
            </w:pPr>
            <w:r>
              <w:rPr>
                <w:b w:val="0"/>
                <w:i w:val="0"/>
                <w:sz w:val="15"/>
              </w:rPr>
              <w:t>Approve restore drills</w:t>
            </w:r>
          </w:p>
        </w:tc>
      </w:tr>
      <w:tr>
        <w:trPr>
          <w:cantSplit/>
        </w:trPr>
        <w:tc>
          <w:tcPr>
            <w:tcW w:type="dxa" w:w="2041"/>
            <w:vAlign w:val="top"/>
          </w:tcPr>
          <w:p>
            <w:pPr>
              <w:spacing w:after="20" w:line="252" w:lineRule="auto"/>
            </w:pPr>
            <w:r>
              <w:rPr>
                <w:b/>
                <w:i w:val="0"/>
                <w:sz w:val="15"/>
              </w:rPr>
              <w:t>Application deployment and configuration</w:t>
            </w:r>
          </w:p>
        </w:tc>
        <w:tc>
          <w:tcPr>
            <w:tcW w:type="dxa" w:w="2041"/>
            <w:vAlign w:val="top"/>
          </w:tcPr>
          <w:p>
            <w:pPr>
              <w:spacing w:after="20" w:line="252" w:lineRule="auto"/>
            </w:pPr>
            <w:r>
              <w:rPr>
                <w:b w:val="0"/>
                <w:i w:val="0"/>
                <w:sz w:val="15"/>
              </w:rPr>
              <w:t>iorta under IIFT change control</w:t>
            </w:r>
          </w:p>
        </w:tc>
        <w:tc>
          <w:tcPr>
            <w:tcW w:type="dxa" w:w="2041"/>
            <w:vAlign w:val="top"/>
          </w:tcPr>
          <w:p>
            <w:pPr>
              <w:spacing w:after="20" w:line="252" w:lineRule="auto"/>
            </w:pPr>
            <w:r>
              <w:rPr>
                <w:b w:val="0"/>
                <w:i w:val="0"/>
                <w:sz w:val="15"/>
              </w:rPr>
              <w:t>iorta under IIFT change control</w:t>
            </w:r>
          </w:p>
        </w:tc>
        <w:tc>
          <w:tcPr>
            <w:tcW w:type="dxa" w:w="1701"/>
            <w:vAlign w:val="top"/>
          </w:tcPr>
          <w:p>
            <w:pPr>
              <w:spacing w:after="20" w:line="252" w:lineRule="auto"/>
            </w:pPr>
            <w:r>
              <w:rPr>
                <w:b w:val="0"/>
                <w:i w:val="0"/>
                <w:sz w:val="15"/>
              </w:rPr>
              <w:t>–</w:t>
            </w:r>
          </w:p>
        </w:tc>
        <w:tc>
          <w:tcPr>
            <w:tcW w:type="dxa" w:w="1814"/>
            <w:vAlign w:val="top"/>
          </w:tcPr>
          <w:p>
            <w:pPr>
              <w:spacing w:after="20" w:line="252" w:lineRule="auto"/>
            </w:pPr>
            <w:r>
              <w:rPr>
                <w:b w:val="0"/>
                <w:i w:val="0"/>
                <w:sz w:val="15"/>
              </w:rPr>
              <w:t>Change approval (CAB)</w:t>
            </w:r>
          </w:p>
        </w:tc>
      </w:tr>
      <w:tr>
        <w:trPr>
          <w:cantSplit/>
        </w:trPr>
        <w:tc>
          <w:tcPr>
            <w:tcW w:type="dxa" w:w="2041"/>
            <w:vAlign w:val="top"/>
            <w:shd w:val="clear" w:color="auto" w:fill="FDF0F7"/>
          </w:tcPr>
          <w:p>
            <w:pPr>
              <w:spacing w:after="20" w:line="252" w:lineRule="auto"/>
            </w:pPr>
            <w:r>
              <w:rPr>
                <w:b/>
                <w:i w:val="0"/>
                <w:sz w:val="15"/>
              </w:rPr>
              <w:t>Monitoring and alerting</w:t>
            </w:r>
          </w:p>
        </w:tc>
        <w:tc>
          <w:tcPr>
            <w:tcW w:type="dxa" w:w="2041"/>
            <w:vAlign w:val="top"/>
            <w:shd w:val="clear" w:color="auto" w:fill="FDF0F7"/>
          </w:tcPr>
          <w:p>
            <w:pPr>
              <w:spacing w:after="20" w:line="252" w:lineRule="auto"/>
            </w:pPr>
            <w:r>
              <w:rPr>
                <w:b w:val="0"/>
                <w:i w:val="0"/>
                <w:sz w:val="15"/>
              </w:rPr>
              <w:t>IITH (infrastructure); iorta (application)</w:t>
            </w:r>
          </w:p>
        </w:tc>
        <w:tc>
          <w:tcPr>
            <w:tcW w:type="dxa" w:w="2041"/>
            <w:vAlign w:val="top"/>
            <w:shd w:val="clear" w:color="auto" w:fill="FDF0F7"/>
          </w:tcPr>
          <w:p>
            <w:pPr>
              <w:spacing w:after="20" w:line="252" w:lineRule="auto"/>
            </w:pPr>
            <w:r>
              <w:rPr>
                <w:b w:val="0"/>
                <w:i w:val="0"/>
                <w:sz w:val="15"/>
              </w:rPr>
              <w:t>24x7 infrastructure and application</w:t>
            </w:r>
          </w:p>
        </w:tc>
        <w:tc>
          <w:tcPr>
            <w:tcW w:type="dxa" w:w="1701"/>
            <w:vAlign w:val="top"/>
            <w:shd w:val="clear" w:color="auto" w:fill="FDF0F7"/>
          </w:tcPr>
          <w:p>
            <w:pPr>
              <w:spacing w:after="20" w:line="252" w:lineRule="auto"/>
            </w:pPr>
            <w:r>
              <w:rPr>
                <w:b w:val="0"/>
                <w:i w:val="0"/>
                <w:sz w:val="15"/>
              </w:rPr>
              <w:t>Platform metrics and logs</w:t>
            </w:r>
          </w:p>
        </w:tc>
        <w:tc>
          <w:tcPr>
            <w:tcW w:type="dxa" w:w="1814"/>
            <w:vAlign w:val="top"/>
            <w:shd w:val="clear" w:color="auto" w:fill="FDF0F7"/>
          </w:tcPr>
          <w:p>
            <w:pPr>
              <w:spacing w:after="20" w:line="252" w:lineRule="auto"/>
            </w:pPr>
            <w:r>
              <w:rPr>
                <w:b w:val="0"/>
                <w:i w:val="0"/>
                <w:sz w:val="15"/>
              </w:rPr>
              <w:t>Receive reports and alerts</w:t>
            </w:r>
          </w:p>
        </w:tc>
      </w:tr>
      <w:tr>
        <w:trPr>
          <w:cantSplit/>
        </w:trPr>
        <w:tc>
          <w:tcPr>
            <w:tcW w:type="dxa" w:w="2041"/>
            <w:vAlign w:val="top"/>
          </w:tcPr>
          <w:p>
            <w:pPr>
              <w:spacing w:after="20" w:line="252" w:lineRule="auto"/>
            </w:pPr>
            <w:r>
              <w:rPr>
                <w:b/>
                <w:i w:val="0"/>
                <w:sz w:val="15"/>
              </w:rPr>
              <w:t>Security monitoring and vulnerability scanning</w:t>
            </w:r>
          </w:p>
        </w:tc>
        <w:tc>
          <w:tcPr>
            <w:tcW w:type="dxa" w:w="2041"/>
            <w:vAlign w:val="top"/>
          </w:tcPr>
          <w:p>
            <w:pPr>
              <w:spacing w:after="20" w:line="252" w:lineRule="auto"/>
            </w:pPr>
            <w:r>
              <w:rPr>
                <w:b w:val="0"/>
                <w:i w:val="0"/>
                <w:sz w:val="15"/>
              </w:rPr>
              <w:t>IITH SIEM; iorta scans images</w:t>
            </w:r>
          </w:p>
        </w:tc>
        <w:tc>
          <w:tcPr>
            <w:tcW w:type="dxa" w:w="2041"/>
            <w:vAlign w:val="top"/>
          </w:tcPr>
          <w:p>
            <w:pPr>
              <w:spacing w:after="20" w:line="252" w:lineRule="auto"/>
            </w:pPr>
            <w:r>
              <w:rPr>
                <w:b w:val="0"/>
                <w:i w:val="0"/>
                <w:sz w:val="15"/>
              </w:rPr>
              <w:t>WAF, threat detection, scans of the estate</w:t>
            </w:r>
          </w:p>
        </w:tc>
        <w:tc>
          <w:tcPr>
            <w:tcW w:type="dxa" w:w="1701"/>
            <w:vAlign w:val="top"/>
          </w:tcPr>
          <w:p>
            <w:pPr>
              <w:spacing w:after="20" w:line="252" w:lineRule="auto"/>
            </w:pPr>
            <w:r>
              <w:rPr>
                <w:b w:val="0"/>
                <w:i w:val="0"/>
                <w:sz w:val="15"/>
              </w:rPr>
              <w:t>Threat detection service</w:t>
            </w:r>
          </w:p>
        </w:tc>
        <w:tc>
          <w:tcPr>
            <w:tcW w:type="dxa" w:w="1814"/>
            <w:vAlign w:val="top"/>
          </w:tcPr>
          <w:p>
            <w:pPr>
              <w:spacing w:after="20" w:line="252" w:lineRule="auto"/>
            </w:pPr>
            <w:r>
              <w:rPr>
                <w:b w:val="0"/>
                <w:i w:val="0"/>
                <w:sz w:val="15"/>
              </w:rPr>
              <w:t>Security review; VAPT sponsor</w:t>
            </w:r>
          </w:p>
        </w:tc>
      </w:tr>
      <w:tr>
        <w:trPr>
          <w:cantSplit/>
        </w:trPr>
        <w:tc>
          <w:tcPr>
            <w:tcW w:type="dxa" w:w="2041"/>
            <w:vAlign w:val="top"/>
            <w:shd w:val="clear" w:color="auto" w:fill="FDF0F7"/>
          </w:tcPr>
          <w:p>
            <w:pPr>
              <w:spacing w:after="20" w:line="252" w:lineRule="auto"/>
            </w:pPr>
            <w:r>
              <w:rPr>
                <w:b/>
                <w:i w:val="0"/>
                <w:sz w:val="15"/>
              </w:rPr>
              <w:t>Encryption keys and secrets</w:t>
            </w:r>
          </w:p>
        </w:tc>
        <w:tc>
          <w:tcPr>
            <w:tcW w:type="dxa" w:w="2041"/>
            <w:vAlign w:val="top"/>
            <w:shd w:val="clear" w:color="auto" w:fill="FDF0F7"/>
          </w:tcPr>
          <w:p>
            <w:pPr>
              <w:spacing w:after="20" w:line="252" w:lineRule="auto"/>
            </w:pPr>
            <w:r>
              <w:rPr>
                <w:b w:val="0"/>
                <w:i w:val="0"/>
                <w:sz w:val="15"/>
              </w:rPr>
              <w:t>IITH vault</w:t>
            </w:r>
          </w:p>
        </w:tc>
        <w:tc>
          <w:tcPr>
            <w:tcW w:type="dxa" w:w="2041"/>
            <w:vAlign w:val="top"/>
            <w:shd w:val="clear" w:color="auto" w:fill="FDF0F7"/>
          </w:tcPr>
          <w:p>
            <w:pPr>
              <w:spacing w:after="20" w:line="252" w:lineRule="auto"/>
            </w:pPr>
            <w:r>
              <w:rPr>
                <w:b w:val="0"/>
                <w:i w:val="0"/>
                <w:sz w:val="15"/>
              </w:rPr>
              <w:t>Key management service in IIFT's account</w:t>
            </w:r>
          </w:p>
        </w:tc>
        <w:tc>
          <w:tcPr>
            <w:tcW w:type="dxa" w:w="1701"/>
            <w:vAlign w:val="top"/>
            <w:shd w:val="clear" w:color="auto" w:fill="FDF0F7"/>
          </w:tcPr>
          <w:p>
            <w:pPr>
              <w:spacing w:after="20" w:line="252" w:lineRule="auto"/>
            </w:pPr>
            <w:r>
              <w:rPr>
                <w:b w:val="0"/>
                <w:i w:val="0"/>
                <w:sz w:val="15"/>
              </w:rPr>
              <w:t>Key management service</w:t>
            </w:r>
          </w:p>
        </w:tc>
        <w:tc>
          <w:tcPr>
            <w:tcW w:type="dxa" w:w="1814"/>
            <w:vAlign w:val="top"/>
            <w:shd w:val="clear" w:color="auto" w:fill="FDF0F7"/>
          </w:tcPr>
          <w:p>
            <w:pPr>
              <w:spacing w:after="20" w:line="252" w:lineRule="auto"/>
            </w:pPr>
            <w:r>
              <w:rPr>
                <w:b w:val="0"/>
                <w:i w:val="0"/>
                <w:sz w:val="15"/>
              </w:rPr>
              <w:t>Key ownership; access reviews</w:t>
            </w:r>
          </w:p>
        </w:tc>
      </w:tr>
      <w:tr>
        <w:trPr>
          <w:cantSplit/>
        </w:trPr>
        <w:tc>
          <w:tcPr>
            <w:tcW w:type="dxa" w:w="2041"/>
            <w:vAlign w:val="top"/>
          </w:tcPr>
          <w:p>
            <w:pPr>
              <w:spacing w:after="20" w:line="252" w:lineRule="auto"/>
            </w:pPr>
            <w:r>
              <w:rPr>
                <w:b/>
                <w:i w:val="0"/>
                <w:sz w:val="15"/>
              </w:rPr>
              <w:t>DR site or region and the yearly DR test</w:t>
            </w:r>
          </w:p>
        </w:tc>
        <w:tc>
          <w:tcPr>
            <w:tcW w:type="dxa" w:w="2041"/>
            <w:vAlign w:val="top"/>
          </w:tcPr>
          <w:p>
            <w:pPr>
              <w:spacing w:after="20" w:line="252" w:lineRule="auto"/>
            </w:pPr>
            <w:r>
              <w:rPr>
                <w:b w:val="0"/>
                <w:i w:val="0"/>
                <w:sz w:val="15"/>
              </w:rPr>
              <w:t>IITH provides; iorta takes part</w:t>
            </w:r>
          </w:p>
        </w:tc>
        <w:tc>
          <w:tcPr>
            <w:tcW w:type="dxa" w:w="2041"/>
            <w:vAlign w:val="top"/>
          </w:tcPr>
          <w:p>
            <w:pPr>
              <w:spacing w:after="20" w:line="252" w:lineRule="auto"/>
            </w:pPr>
            <w:r>
              <w:rPr>
                <w:b w:val="0"/>
                <w:i w:val="0"/>
                <w:sz w:val="15"/>
              </w:rPr>
              <w:t>Pilot light, replication, annual drill</w:t>
            </w:r>
          </w:p>
        </w:tc>
        <w:tc>
          <w:tcPr>
            <w:tcW w:type="dxa" w:w="1701"/>
            <w:vAlign w:val="top"/>
          </w:tcPr>
          <w:p>
            <w:pPr>
              <w:spacing w:after="20" w:line="252" w:lineRule="auto"/>
            </w:pPr>
            <w:r>
              <w:rPr>
                <w:b w:val="0"/>
                <w:i w:val="0"/>
                <w:sz w:val="15"/>
              </w:rPr>
              <w:t>Second region</w:t>
            </w:r>
          </w:p>
        </w:tc>
        <w:tc>
          <w:tcPr>
            <w:tcW w:type="dxa" w:w="1814"/>
            <w:vAlign w:val="top"/>
          </w:tcPr>
          <w:p>
            <w:pPr>
              <w:spacing w:after="20" w:line="252" w:lineRule="auto"/>
            </w:pPr>
            <w:r>
              <w:rPr>
                <w:b w:val="0"/>
                <w:i w:val="0"/>
                <w:sz w:val="15"/>
              </w:rPr>
              <w:t>Approve the DR region; take part</w:t>
            </w:r>
          </w:p>
        </w:tc>
      </w:tr>
      <w:tr>
        <w:trPr>
          <w:cantSplit/>
        </w:trPr>
        <w:tc>
          <w:tcPr>
            <w:tcW w:type="dxa" w:w="2041"/>
            <w:vAlign w:val="top"/>
            <w:shd w:val="clear" w:color="auto" w:fill="FDF0F7"/>
          </w:tcPr>
          <w:p>
            <w:pPr>
              <w:spacing w:after="20" w:line="252" w:lineRule="auto"/>
            </w:pPr>
            <w:r>
              <w:rPr>
                <w:b/>
                <w:i w:val="0"/>
                <w:sz w:val="15"/>
              </w:rPr>
              <w:t>Cloud account, budget and cost control</w:t>
            </w:r>
          </w:p>
        </w:tc>
        <w:tc>
          <w:tcPr>
            <w:tcW w:type="dxa" w:w="2041"/>
            <w:vAlign w:val="top"/>
            <w:shd w:val="clear" w:color="auto" w:fill="FDF0F7"/>
          </w:tcPr>
          <w:p>
            <w:pPr>
              <w:spacing w:after="20" w:line="252" w:lineRule="auto"/>
            </w:pPr>
            <w:r>
              <w:rPr>
                <w:b w:val="0"/>
                <w:i w:val="0"/>
                <w:sz w:val="15"/>
              </w:rPr>
              <w:t>–</w:t>
            </w:r>
          </w:p>
        </w:tc>
        <w:tc>
          <w:tcPr>
            <w:tcW w:type="dxa" w:w="2041"/>
            <w:vAlign w:val="top"/>
            <w:shd w:val="clear" w:color="auto" w:fill="FDF0F7"/>
          </w:tcPr>
          <w:p>
            <w:pPr>
              <w:spacing w:after="20" w:line="252" w:lineRule="auto"/>
            </w:pPr>
            <w:r>
              <w:rPr>
                <w:b w:val="0"/>
                <w:i w:val="0"/>
                <w:sz w:val="15"/>
              </w:rPr>
              <w:t>Budget alerts, monthly cost report, right-sizing</w:t>
            </w:r>
          </w:p>
        </w:tc>
        <w:tc>
          <w:tcPr>
            <w:tcW w:type="dxa" w:w="1701"/>
            <w:vAlign w:val="top"/>
            <w:shd w:val="clear" w:color="auto" w:fill="FDF0F7"/>
          </w:tcPr>
          <w:p>
            <w:pPr>
              <w:spacing w:after="20" w:line="252" w:lineRule="auto"/>
            </w:pPr>
            <w:r>
              <w:rPr>
                <w:b w:val="0"/>
                <w:i w:val="0"/>
                <w:sz w:val="15"/>
              </w:rPr>
              <w:t>Billing</w:t>
            </w:r>
          </w:p>
        </w:tc>
        <w:tc>
          <w:tcPr>
            <w:tcW w:type="dxa" w:w="1814"/>
            <w:vAlign w:val="top"/>
            <w:shd w:val="clear" w:color="auto" w:fill="FDF0F7"/>
          </w:tcPr>
          <w:p>
            <w:pPr>
              <w:spacing w:after="20" w:line="252" w:lineRule="auto"/>
            </w:pPr>
            <w:r>
              <w:rPr>
                <w:b w:val="0"/>
                <w:i w:val="0"/>
                <w:sz w:val="15"/>
              </w:rPr>
              <w:t>Account holder (optional); approves reserved capacity</w:t>
            </w:r>
          </w:p>
        </w:tc>
      </w:tr>
      <w:tr>
        <w:trPr>
          <w:cantSplit/>
        </w:trPr>
        <w:tc>
          <w:tcPr>
            <w:tcW w:type="dxa" w:w="2041"/>
            <w:vAlign w:val="top"/>
          </w:tcPr>
          <w:p>
            <w:pPr>
              <w:spacing w:after="20" w:line="252" w:lineRule="auto"/>
            </w:pPr>
            <w:r>
              <w:rPr>
                <w:b/>
                <w:i w:val="0"/>
                <w:sz w:val="15"/>
              </w:rPr>
              <w:t>Regulatory notification (outsourcing, cloud)</w:t>
            </w:r>
          </w:p>
        </w:tc>
        <w:tc>
          <w:tcPr>
            <w:tcW w:type="dxa" w:w="2041"/>
            <w:vAlign w:val="top"/>
          </w:tcPr>
          <w:p>
            <w:pPr>
              <w:spacing w:after="20" w:line="252" w:lineRule="auto"/>
            </w:pPr>
            <w:r>
              <w:rPr>
                <w:b w:val="0"/>
                <w:i w:val="0"/>
                <w:sz w:val="15"/>
              </w:rPr>
              <w:t>Not needed</w:t>
            </w:r>
          </w:p>
        </w:tc>
        <w:tc>
          <w:tcPr>
            <w:tcW w:type="dxa" w:w="2041"/>
            <w:vAlign w:val="top"/>
          </w:tcPr>
          <w:p>
            <w:pPr>
              <w:spacing w:after="20" w:line="252" w:lineRule="auto"/>
            </w:pPr>
            <w:r>
              <w:rPr>
                <w:b w:val="0"/>
                <w:i w:val="0"/>
                <w:sz w:val="15"/>
              </w:rPr>
              <w:t>Supporting documents</w:t>
            </w:r>
          </w:p>
        </w:tc>
        <w:tc>
          <w:tcPr>
            <w:tcW w:type="dxa" w:w="1701"/>
            <w:vAlign w:val="top"/>
          </w:tcPr>
          <w:p>
            <w:pPr>
              <w:spacing w:after="20" w:line="252" w:lineRule="auto"/>
            </w:pPr>
            <w:r>
              <w:rPr>
                <w:b w:val="0"/>
                <w:i w:val="0"/>
                <w:sz w:val="15"/>
              </w:rPr>
              <w:t>Certifications</w:t>
            </w:r>
          </w:p>
        </w:tc>
        <w:tc>
          <w:tcPr>
            <w:tcW w:type="dxa" w:w="1814"/>
            <w:vAlign w:val="top"/>
          </w:tcPr>
          <w:p>
            <w:pPr>
              <w:spacing w:after="20" w:line="252" w:lineRule="auto"/>
            </w:pPr>
            <w:r>
              <w:rPr>
                <w:b w:val="0"/>
                <w:i w:val="0"/>
                <w:sz w:val="15"/>
              </w:rPr>
              <w:t>AMBD notification</w:t>
            </w:r>
          </w:p>
        </w:tc>
      </w:tr>
      <w:tr>
        <w:trPr>
          <w:cantSplit/>
        </w:trPr>
        <w:tc>
          <w:tcPr>
            <w:tcW w:type="dxa" w:w="2041"/>
            <w:vAlign w:val="top"/>
            <w:shd w:val="clear" w:color="auto" w:fill="FDF0F7"/>
          </w:tcPr>
          <w:p>
            <w:pPr>
              <w:spacing w:after="20" w:line="252" w:lineRule="auto"/>
            </w:pPr>
            <w:r>
              <w:rPr>
                <w:b/>
                <w:i w:val="0"/>
                <w:sz w:val="15"/>
              </w:rPr>
              <w:t>Data ownership, export and deletion at exit</w:t>
            </w:r>
          </w:p>
        </w:tc>
        <w:tc>
          <w:tcPr>
            <w:tcW w:type="dxa" w:w="2041"/>
            <w:vAlign w:val="top"/>
            <w:shd w:val="clear" w:color="auto" w:fill="FDF0F7"/>
          </w:tcPr>
          <w:p>
            <w:pPr>
              <w:spacing w:after="20" w:line="252" w:lineRule="auto"/>
            </w:pPr>
            <w:r>
              <w:rPr>
                <w:b w:val="0"/>
                <w:i w:val="0"/>
                <w:sz w:val="15"/>
              </w:rPr>
              <w:t>IIFT</w:t>
            </w:r>
          </w:p>
        </w:tc>
        <w:tc>
          <w:tcPr>
            <w:tcW w:type="dxa" w:w="2041"/>
            <w:vAlign w:val="top"/>
            <w:shd w:val="clear" w:color="auto" w:fill="FDF0F7"/>
          </w:tcPr>
          <w:p>
            <w:pPr>
              <w:spacing w:after="20" w:line="252" w:lineRule="auto"/>
            </w:pPr>
            <w:r>
              <w:rPr>
                <w:b w:val="0"/>
                <w:i w:val="0"/>
                <w:sz w:val="15"/>
              </w:rPr>
              <w:t>Export, deletion certificate</w:t>
            </w:r>
          </w:p>
        </w:tc>
        <w:tc>
          <w:tcPr>
            <w:tcW w:type="dxa" w:w="1701"/>
            <w:vAlign w:val="top"/>
            <w:shd w:val="clear" w:color="auto" w:fill="FDF0F7"/>
          </w:tcPr>
          <w:p>
            <w:pPr>
              <w:spacing w:after="20" w:line="252" w:lineRule="auto"/>
            </w:pPr>
            <w:r>
              <w:rPr>
                <w:b w:val="0"/>
                <w:i w:val="0"/>
                <w:sz w:val="15"/>
              </w:rPr>
              <w:t>–</w:t>
            </w:r>
          </w:p>
        </w:tc>
        <w:tc>
          <w:tcPr>
            <w:tcW w:type="dxa" w:w="1814"/>
            <w:vAlign w:val="top"/>
            <w:shd w:val="clear" w:color="auto" w:fill="FDF0F7"/>
          </w:tcPr>
          <w:p>
            <w:pPr>
              <w:spacing w:after="20" w:line="252" w:lineRule="auto"/>
            </w:pPr>
            <w:r>
              <w:rPr>
                <w:b w:val="0"/>
                <w:i w:val="0"/>
                <w:sz w:val="15"/>
              </w:rPr>
              <w:t>IIFT</w:t>
            </w:r>
          </w:p>
        </w:tc>
      </w:tr>
    </w:tbl>
    <w:p>
      <w:pPr>
        <w:pStyle w:val="Caption"/>
        <w:jc w:val="center"/>
      </w:pPr>
      <w:r>
        <w:rPr>
          <w:b w:val="0"/>
          <w:i w:val="0"/>
        </w:rPr>
        <w:t>Table 23: Shared responsibility by option</w:t>
      </w:r>
    </w:p>
    <w:p>
      <w:pPr>
        <w:keepNext w:val="0"/>
      </w:pPr>
      <w:r>
        <w:rPr>
          <w:b w:val="0"/>
          <w:i w:val="0"/>
        </w:rPr>
        <w:t>Under Option B the managed services cover 24x7 infrastructure and availability monitoring, patching in agreed windows, backups with monthly restore tests and the yearly DR drill, security monitoring of the cloud estate, capacity and cost management with a monthly report, and infrastructure incident response with the cloud provider. The scope and fee are in the proposal; the operating model is in the Production Support Handover.</w:t>
      </w:r>
    </w:p>
    <w:p>
      <w:pPr>
        <w:pStyle w:val="Heading3"/>
      </w:pPr>
      <w:r>
        <w:t>Data residency and regulatory notification</w:t>
      </w:r>
    </w:p>
    <w:p>
      <w:pPr>
        <w:keepNext w:val="0"/>
      </w:pPr>
      <w:r>
        <w:rPr>
          <w:b w:val="0"/>
          <w:i w:val="0"/>
        </w:rPr>
        <w:t>Under Option B, personal data of agents, participants and staff is stored in Malaysia with copies in the DR region, encrypted at rest with keys held in IIFT's account and in transit with TLS; back-office traffic and the Core, FIN, AD and SMTP integrations run over the VPN to the IITH data centre. Cloud hosting is an outsourcing arrangement for IIFT: IIFT approves the regions and makes the AMBD outsourcing and cloud notification before production data is loaded, and iorta provides the supporting material (this architecture, the control catalogue in chapter 8, the exit plan and the provider's certifications). A Brunei-hosted alternative can be designed on request. Option A needs no such step.</w:t>
      </w:r>
    </w:p>
    <w:p>
      <w:pPr>
        <w:pStyle w:val="Heading2"/>
      </w:pPr>
      <w:r>
        <w:t>9.4 Disaster recovery</w:t>
      </w:r>
    </w:p>
    <w:p>
      <w:pPr>
        <w:keepNext/>
        <w:spacing w:after="0"/>
        <w:jc w:val="center"/>
      </w:pPr>
      <w:r>
        <w:drawing>
          <wp:inline xmlns:a="http://schemas.openxmlformats.org/drawingml/2006/main" xmlns:pic="http://schemas.openxmlformats.org/drawingml/2006/picture">
            <wp:extent cx="5580000" cy="3906000"/>
            <wp:docPr id="14" name="Picture 14"/>
            <wp:cNvGraphicFramePr>
              <a:graphicFrameLocks noChangeAspect="1"/>
            </wp:cNvGraphicFramePr>
            <a:graphic>
              <a:graphicData uri="http://schemas.openxmlformats.org/drawingml/2006/picture">
                <pic:pic>
                  <pic:nvPicPr>
                    <pic:cNvPr id="0" name="tech-dr.png"/>
                    <pic:cNvPicPr/>
                  </pic:nvPicPr>
                  <pic:blipFill>
                    <a:blip r:embed="rId24"/>
                    <a:stretch>
                      <a:fillRect/>
                    </a:stretch>
                  </pic:blipFill>
                  <pic:spPr>
                    <a:xfrm>
                      <a:off x="0" y="0"/>
                      <a:ext cx="5580000" cy="3906000"/>
                    </a:xfrm>
                    <a:prstGeom prst="rect"/>
                  </pic:spPr>
                </pic:pic>
              </a:graphicData>
            </a:graphic>
          </wp:inline>
        </w:drawing>
      </w:r>
    </w:p>
    <w:p>
      <w:pPr>
        <w:pStyle w:val="Caption"/>
        <w:jc w:val="center"/>
      </w:pPr>
      <w:r>
        <w:rPr>
          <w:b w:val="0"/>
          <w:i w:val="0"/>
        </w:rPr>
        <w:t>Figure 11: Disaster recovery topology</w:t>
      </w:r>
    </w:p>
    <w:p>
      <w:pPr>
        <w:keepNext w:val="0"/>
      </w:pPr>
      <w:r>
        <w:rPr>
          <w:b w:val="0"/>
          <w:i w:val="0"/>
        </w:rPr>
        <w:t>Under Option A the DR site holds an asynchronous PostgreSQL replica, a copy of the document store refreshed every 15 minutes, copies of the backups, and a cold application VM with the current images. Invocation promotes the replica, mounts the document copy, starts the containers with DR configuration and moves DNS or the load-balancer VIP. Under Option B the same pattern spans two regions with managed services. The Production Support Handover gives the step-by-step procedure and the test schedule.</w:t>
      </w:r>
    </w:p>
    <w:p>
      <w:pPr>
        <w:pStyle w:val="Heading2"/>
      </w:pPr>
      <w:r>
        <w:t>9.5 Container images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268"/>
        <w:gridCol w:w="2721"/>
        <w:gridCol w:w="4649"/>
      </w:tblGrid>
      <w:tr>
        <w:trPr>
          <w:cantSplit/>
          <w:tblHeader/>
        </w:trPr>
        <w:tc>
          <w:tcPr>
            <w:tcW w:type="dxa" w:w="2268"/>
            <w:shd w:val="clear" w:color="auto" w:fill="E1058C"/>
            <w:vAlign w:val="center"/>
          </w:tcPr>
          <w:p>
            <w:pPr>
              <w:spacing w:after="0"/>
            </w:pPr>
            <w:r>
              <w:rPr>
                <w:b/>
                <w:i w:val="0"/>
                <w:color w:val="FFFFFF"/>
                <w:sz w:val="16"/>
              </w:rPr>
              <w:t>Image</w:t>
            </w:r>
          </w:p>
        </w:tc>
        <w:tc>
          <w:tcPr>
            <w:tcW w:type="dxa" w:w="2721"/>
            <w:shd w:val="clear" w:color="auto" w:fill="E1058C"/>
            <w:vAlign w:val="center"/>
          </w:tcPr>
          <w:p>
            <w:pPr>
              <w:spacing w:after="0"/>
            </w:pPr>
            <w:r>
              <w:rPr>
                <w:b/>
                <w:i w:val="0"/>
                <w:color w:val="FFFFFF"/>
                <w:sz w:val="16"/>
              </w:rPr>
              <w:t>Source</w:t>
            </w:r>
          </w:p>
        </w:tc>
        <w:tc>
          <w:tcPr>
            <w:tcW w:type="dxa" w:w="4649"/>
            <w:shd w:val="clear" w:color="auto" w:fill="E1058C"/>
            <w:vAlign w:val="center"/>
          </w:tcPr>
          <w:p>
            <w:pPr>
              <w:spacing w:after="0"/>
            </w:pPr>
            <w:r>
              <w:rPr>
                <w:b/>
                <w:i w:val="0"/>
                <w:color w:val="FFFFFF"/>
                <w:sz w:val="16"/>
              </w:rPr>
              <w:t>Notes</w:t>
            </w:r>
          </w:p>
        </w:tc>
      </w:tr>
      <w:tr>
        <w:trPr>
          <w:cantSplit/>
        </w:trPr>
        <w:tc>
          <w:tcPr>
            <w:tcW w:type="dxa" w:w="2268"/>
            <w:vAlign w:val="top"/>
          </w:tcPr>
          <w:p>
            <w:pPr>
              <w:spacing w:after="20" w:line="252" w:lineRule="auto"/>
            </w:pPr>
            <w:r>
              <w:rPr>
                <w:b w:val="0"/>
                <w:i w:val="0"/>
                <w:sz w:val="16"/>
              </w:rPr>
              <w:t>salesverse-api (runtime)</w:t>
            </w:r>
          </w:p>
        </w:tc>
        <w:tc>
          <w:tcPr>
            <w:tcW w:type="dxa" w:w="2721"/>
            <w:vAlign w:val="top"/>
          </w:tcPr>
          <w:p>
            <w:pPr>
              <w:spacing w:after="20" w:line="252" w:lineRule="auto"/>
            </w:pPr>
            <w:r>
              <w:rPr>
                <w:b w:val="0"/>
                <w:i w:val="0"/>
                <w:sz w:val="16"/>
              </w:rPr>
              <w:t>apps/api/Dockerfile, target runtime</w:t>
            </w:r>
          </w:p>
        </w:tc>
        <w:tc>
          <w:tcPr>
            <w:tcW w:type="dxa" w:w="4649"/>
            <w:vAlign w:val="top"/>
          </w:tcPr>
          <w:p>
            <w:pPr>
              <w:spacing w:after="20" w:line="252" w:lineRule="auto"/>
            </w:pPr>
            <w:r>
              <w:rPr>
                <w:b w:val="0"/>
                <w:i w:val="0"/>
                <w:sz w:val="16"/>
              </w:rPr>
              <w:t>node:22-bookworm-slim; production dependencies only; runs as user salesverse under tini; HEALTHCHECK on /health/ready; port 3000; documents at /data/documents</w:t>
            </w:r>
          </w:p>
        </w:tc>
      </w:tr>
      <w:tr>
        <w:trPr>
          <w:cantSplit/>
        </w:trPr>
        <w:tc>
          <w:tcPr>
            <w:tcW w:type="dxa" w:w="2268"/>
            <w:vAlign w:val="top"/>
            <w:shd w:val="clear" w:color="auto" w:fill="FDF0F7"/>
          </w:tcPr>
          <w:p>
            <w:pPr>
              <w:spacing w:after="20" w:line="252" w:lineRule="auto"/>
            </w:pPr>
            <w:r>
              <w:rPr>
                <w:b w:val="0"/>
                <w:i w:val="0"/>
                <w:sz w:val="16"/>
              </w:rPr>
              <w:t>salesverse-api (migrate)</w:t>
            </w:r>
          </w:p>
        </w:tc>
        <w:tc>
          <w:tcPr>
            <w:tcW w:type="dxa" w:w="2721"/>
            <w:vAlign w:val="top"/>
            <w:shd w:val="clear" w:color="auto" w:fill="FDF0F7"/>
          </w:tcPr>
          <w:p>
            <w:pPr>
              <w:spacing w:after="20" w:line="252" w:lineRule="auto"/>
            </w:pPr>
            <w:r>
              <w:rPr>
                <w:b w:val="0"/>
                <w:i w:val="0"/>
                <w:sz w:val="16"/>
              </w:rPr>
              <w:t>apps/api/Dockerfile, target migrate</w:t>
            </w:r>
          </w:p>
        </w:tc>
        <w:tc>
          <w:tcPr>
            <w:tcW w:type="dxa" w:w="4649"/>
            <w:vAlign w:val="top"/>
            <w:shd w:val="clear" w:color="auto" w:fill="FDF0F7"/>
          </w:tcPr>
          <w:p>
            <w:pPr>
              <w:spacing w:after="20" w:line="252" w:lineRule="auto"/>
            </w:pPr>
            <w:r>
              <w:rPr>
                <w:b w:val="0"/>
                <w:i w:val="0"/>
                <w:sz w:val="16"/>
              </w:rPr>
              <w:t>One-off job: prisma migrate deploy, then the reference-data seed (idempotent)</w:t>
            </w:r>
          </w:p>
        </w:tc>
      </w:tr>
      <w:tr>
        <w:trPr>
          <w:cantSplit/>
        </w:trPr>
        <w:tc>
          <w:tcPr>
            <w:tcW w:type="dxa" w:w="2268"/>
            <w:vAlign w:val="top"/>
          </w:tcPr>
          <w:p>
            <w:pPr>
              <w:spacing w:after="20" w:line="252" w:lineRule="auto"/>
            </w:pPr>
            <w:r>
              <w:rPr>
                <w:b w:val="0"/>
                <w:i w:val="0"/>
                <w:sz w:val="16"/>
              </w:rPr>
              <w:t>salesverse-web</w:t>
            </w:r>
          </w:p>
        </w:tc>
        <w:tc>
          <w:tcPr>
            <w:tcW w:type="dxa" w:w="2721"/>
            <w:vAlign w:val="top"/>
          </w:tcPr>
          <w:p>
            <w:pPr>
              <w:spacing w:after="20" w:line="252" w:lineRule="auto"/>
            </w:pPr>
            <w:r>
              <w:rPr>
                <w:b w:val="0"/>
                <w:i w:val="0"/>
                <w:sz w:val="16"/>
              </w:rPr>
              <w:t>apps/web/Dockerfile</w:t>
            </w:r>
          </w:p>
        </w:tc>
        <w:tc>
          <w:tcPr>
            <w:tcW w:type="dxa" w:w="4649"/>
            <w:vAlign w:val="top"/>
          </w:tcPr>
          <w:p>
            <w:pPr>
              <w:spacing w:after="20" w:line="252" w:lineRule="auto"/>
            </w:pPr>
            <w:r>
              <w:rPr>
                <w:b w:val="0"/>
                <w:i w:val="0"/>
                <w:sz w:val="16"/>
              </w:rPr>
              <w:t>Vite build served by nginxinc/nginx-unprivileged 1.29 on port 8080 with security headers, CSP, rate limiting and /api proxy</w:t>
            </w:r>
          </w:p>
        </w:tc>
      </w:tr>
      <w:tr>
        <w:trPr>
          <w:cantSplit/>
        </w:trPr>
        <w:tc>
          <w:tcPr>
            <w:tcW w:type="dxa" w:w="2268"/>
            <w:vAlign w:val="top"/>
            <w:shd w:val="clear" w:color="auto" w:fill="FDF0F7"/>
          </w:tcPr>
          <w:p>
            <w:pPr>
              <w:spacing w:after="20" w:line="252" w:lineRule="auto"/>
            </w:pPr>
            <w:r>
              <w:rPr>
                <w:b w:val="0"/>
                <w:i w:val="0"/>
                <w:sz w:val="16"/>
              </w:rPr>
              <w:t>clamav</w:t>
            </w:r>
          </w:p>
        </w:tc>
        <w:tc>
          <w:tcPr>
            <w:tcW w:type="dxa" w:w="2721"/>
            <w:vAlign w:val="top"/>
            <w:shd w:val="clear" w:color="auto" w:fill="FDF0F7"/>
          </w:tcPr>
          <w:p>
            <w:pPr>
              <w:spacing w:after="20" w:line="252" w:lineRule="auto"/>
            </w:pPr>
            <w:r>
              <w:rPr>
                <w:b w:val="0"/>
                <w:i w:val="0"/>
                <w:sz w:val="16"/>
              </w:rPr>
              <w:t>clamav/clamav:stable</w:t>
            </w:r>
          </w:p>
        </w:tc>
        <w:tc>
          <w:tcPr>
            <w:tcW w:type="dxa" w:w="4649"/>
            <w:vAlign w:val="top"/>
            <w:shd w:val="clear" w:color="auto" w:fill="FDF0F7"/>
          </w:tcPr>
          <w:p>
            <w:pPr>
              <w:spacing w:after="20" w:line="252" w:lineRule="auto"/>
            </w:pPr>
            <w:r>
              <w:rPr>
                <w:b w:val="0"/>
                <w:i w:val="0"/>
                <w:sz w:val="16"/>
              </w:rPr>
              <w:t>clamd for upload scanning, port 3310, internal only</w:t>
            </w:r>
          </w:p>
        </w:tc>
      </w:tr>
      <w:tr>
        <w:trPr>
          <w:cantSplit/>
        </w:trPr>
        <w:tc>
          <w:tcPr>
            <w:tcW w:type="dxa" w:w="2268"/>
            <w:vAlign w:val="top"/>
          </w:tcPr>
          <w:p>
            <w:pPr>
              <w:spacing w:after="20" w:line="252" w:lineRule="auto"/>
            </w:pPr>
            <w:r>
              <w:rPr>
                <w:b w:val="0"/>
                <w:i w:val="0"/>
                <w:sz w:val="16"/>
              </w:rPr>
              <w:t>PostgreSQL 16</w:t>
            </w:r>
          </w:p>
        </w:tc>
        <w:tc>
          <w:tcPr>
            <w:tcW w:type="dxa" w:w="2721"/>
            <w:vAlign w:val="top"/>
          </w:tcPr>
          <w:p>
            <w:pPr>
              <w:spacing w:after="20" w:line="252" w:lineRule="auto"/>
            </w:pPr>
            <w:r>
              <w:rPr>
                <w:b w:val="0"/>
                <w:i w:val="0"/>
                <w:sz w:val="16"/>
              </w:rPr>
              <w:t>postgres:16-alpine (DEV, SIT, UAT); OS packages on the PROD database VMs</w:t>
            </w:r>
          </w:p>
        </w:tc>
        <w:tc>
          <w:tcPr>
            <w:tcW w:type="dxa" w:w="4649"/>
            <w:vAlign w:val="top"/>
          </w:tcPr>
          <w:p>
            <w:pPr>
              <w:spacing w:after="20" w:line="252" w:lineRule="auto"/>
            </w:pPr>
            <w:r>
              <w:rPr>
                <w:b w:val="0"/>
                <w:i w:val="0"/>
                <w:sz w:val="16"/>
              </w:rPr>
              <w:t>Streaming replication and pgBackRest on PROD</w:t>
            </w:r>
          </w:p>
        </w:tc>
      </w:tr>
    </w:tbl>
    <w:p>
      <w:pPr>
        <w:pStyle w:val="Caption"/>
        <w:jc w:val="center"/>
      </w:pPr>
      <w:r>
        <w:rPr>
          <w:b w:val="0"/>
          <w:i w:val="0"/>
        </w:rPr>
        <w:t>Table 24: Images</w:t>
      </w:r>
    </w:p>
    <w:p>
      <w:pPr>
        <w:keepNext w:val="0"/>
      </w:pPr>
      <w:r>
        <w:rPr>
          <w:b w:val="0"/>
          <w:i w:val="0"/>
        </w:rPr>
        <w:t>Docker Compose (deploy/docker-compose.yml) runs the full stack on one host for DEV, SIT and UAT, and the web, API and ClamAV services on each production application VM, with the database on dedicated VMs. ECS task definitions (or the Azure equivalent) and the landing-zone infrastructure code are produced during implementation if IIFT selects Option B.</w:t>
      </w:r>
    </w:p>
    <w:p>
      <w:pPr>
        <w:pStyle w:val="Heading2"/>
      </w:pPr>
      <w:r>
        <w:t>9.6 Build and release pipeline</w:t>
      </w:r>
    </w:p>
    <w:p>
      <w:pPr>
        <w:keepNext/>
        <w:spacing w:after="0"/>
        <w:jc w:val="center"/>
      </w:pPr>
      <w:r>
        <w:drawing>
          <wp:inline xmlns:a="http://schemas.openxmlformats.org/drawingml/2006/main" xmlns:pic="http://schemas.openxmlformats.org/drawingml/2006/picture">
            <wp:extent cx="5760000" cy="2583771"/>
            <wp:docPr id="15" name="Picture 15"/>
            <wp:cNvGraphicFramePr>
              <a:graphicFrameLocks noChangeAspect="1"/>
            </wp:cNvGraphicFramePr>
            <a:graphic>
              <a:graphicData uri="http://schemas.openxmlformats.org/drawingml/2006/picture">
                <pic:pic>
                  <pic:nvPicPr>
                    <pic:cNvPr id="0" name="tech-pipeline.png"/>
                    <pic:cNvPicPr/>
                  </pic:nvPicPr>
                  <pic:blipFill>
                    <a:blip r:embed="rId25"/>
                    <a:stretch>
                      <a:fillRect/>
                    </a:stretch>
                  </pic:blipFill>
                  <pic:spPr>
                    <a:xfrm>
                      <a:off x="0" y="0"/>
                      <a:ext cx="5760000" cy="2583771"/>
                    </a:xfrm>
                    <a:prstGeom prst="rect"/>
                  </pic:spPr>
                </pic:pic>
              </a:graphicData>
            </a:graphic>
          </wp:inline>
        </w:drawing>
      </w:r>
    </w:p>
    <w:p>
      <w:pPr>
        <w:pStyle w:val="Caption"/>
        <w:jc w:val="center"/>
      </w:pPr>
      <w:r>
        <w:rPr>
          <w:b w:val="0"/>
          <w:i w:val="0"/>
        </w:rPr>
        <w:t>Figure 12: Build and release pipeline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5556"/>
        <w:gridCol w:w="2268"/>
      </w:tblGrid>
      <w:tr>
        <w:trPr>
          <w:cantSplit/>
          <w:tblHeader/>
        </w:trPr>
        <w:tc>
          <w:tcPr>
            <w:tcW w:type="dxa" w:w="1814"/>
            <w:shd w:val="clear" w:color="auto" w:fill="E1058C"/>
            <w:vAlign w:val="center"/>
          </w:tcPr>
          <w:p>
            <w:pPr>
              <w:spacing w:after="0"/>
            </w:pPr>
            <w:r>
              <w:rPr>
                <w:b/>
                <w:i w:val="0"/>
                <w:color w:val="FFFFFF"/>
                <w:sz w:val="16"/>
              </w:rPr>
              <w:t>Stage</w:t>
            </w:r>
          </w:p>
        </w:tc>
        <w:tc>
          <w:tcPr>
            <w:tcW w:type="dxa" w:w="5556"/>
            <w:shd w:val="clear" w:color="auto" w:fill="E1058C"/>
            <w:vAlign w:val="center"/>
          </w:tcPr>
          <w:p>
            <w:pPr>
              <w:spacing w:after="0"/>
            </w:pPr>
            <w:r>
              <w:rPr>
                <w:b/>
                <w:i w:val="0"/>
                <w:color w:val="FFFFFF"/>
                <w:sz w:val="16"/>
              </w:rPr>
              <w:t>Activities</w:t>
            </w:r>
          </w:p>
        </w:tc>
        <w:tc>
          <w:tcPr>
            <w:tcW w:type="dxa" w:w="2268"/>
            <w:shd w:val="clear" w:color="auto" w:fill="E1058C"/>
            <w:vAlign w:val="center"/>
          </w:tcPr>
          <w:p>
            <w:pPr>
              <w:spacing w:after="0"/>
            </w:pPr>
            <w:r>
              <w:rPr>
                <w:b/>
                <w:i w:val="0"/>
                <w:color w:val="FFFFFF"/>
                <w:sz w:val="16"/>
              </w:rPr>
              <w:t>Status</w:t>
            </w:r>
          </w:p>
        </w:tc>
      </w:tr>
      <w:tr>
        <w:trPr>
          <w:cantSplit/>
        </w:trPr>
        <w:tc>
          <w:tcPr>
            <w:tcW w:type="dxa" w:w="1814"/>
            <w:vAlign w:val="top"/>
          </w:tcPr>
          <w:p>
            <w:pPr>
              <w:spacing w:after="20" w:line="252" w:lineRule="auto"/>
            </w:pPr>
            <w:r>
              <w:rPr>
                <w:b w:val="0"/>
                <w:i w:val="0"/>
                <w:sz w:val="16"/>
              </w:rPr>
              <w:t>Verify</w:t>
            </w:r>
          </w:p>
        </w:tc>
        <w:tc>
          <w:tcPr>
            <w:tcW w:type="dxa" w:w="5556"/>
            <w:vAlign w:val="top"/>
          </w:tcPr>
          <w:p>
            <w:pPr>
              <w:spacing w:after="20" w:line="252" w:lineRule="auto"/>
            </w:pPr>
            <w:r>
              <w:rPr>
                <w:b w:val="0"/>
                <w:i w:val="0"/>
                <w:sz w:val="16"/>
              </w:rPr>
              <w:t>npm ci; prisma generate; prettier check; oxlint; tsc type check; API and web unit tests; end-to-end API tests against a PostgreSQL 16 service; production build; npm audit (moderate and above); CycloneDX SBOM of production dependencies kept as a build artifact</w:t>
            </w:r>
          </w:p>
        </w:tc>
        <w:tc>
          <w:tcPr>
            <w:tcW w:type="dxa" w:w="2268"/>
            <w:vAlign w:val="top"/>
          </w:tcPr>
          <w:p>
            <w:pPr>
              <w:spacing w:after="20" w:line="252" w:lineRule="auto"/>
            </w:pPr>
            <w:r>
              <w:rPr>
                <w:b w:val="0"/>
                <w:i w:val="0"/>
                <w:sz w:val="16"/>
              </w:rPr>
              <w:t>Running (.github/workflows/ci.yml)</w:t>
            </w:r>
          </w:p>
        </w:tc>
      </w:tr>
      <w:tr>
        <w:trPr>
          <w:cantSplit/>
        </w:trPr>
        <w:tc>
          <w:tcPr>
            <w:tcW w:type="dxa" w:w="1814"/>
            <w:vAlign w:val="top"/>
            <w:shd w:val="clear" w:color="auto" w:fill="FDF0F7"/>
          </w:tcPr>
          <w:p>
            <w:pPr>
              <w:spacing w:after="20" w:line="252" w:lineRule="auto"/>
            </w:pPr>
            <w:r>
              <w:rPr>
                <w:b w:val="0"/>
                <w:i w:val="0"/>
                <w:sz w:val="16"/>
              </w:rPr>
              <w:t>Images</w:t>
            </w:r>
          </w:p>
        </w:tc>
        <w:tc>
          <w:tcPr>
            <w:tcW w:type="dxa" w:w="5556"/>
            <w:vAlign w:val="top"/>
            <w:shd w:val="clear" w:color="auto" w:fill="FDF0F7"/>
          </w:tcPr>
          <w:p>
            <w:pPr>
              <w:spacing w:after="20" w:line="252" w:lineRule="auto"/>
            </w:pPr>
            <w:r>
              <w:rPr>
                <w:b w:val="0"/>
                <w:i w:val="0"/>
                <w:sz w:val="16"/>
              </w:rPr>
              <w:t>Build API and web images; Trivy scan fails on unfixed CRITICAL or HIGH findings</w:t>
            </w:r>
          </w:p>
        </w:tc>
        <w:tc>
          <w:tcPr>
            <w:tcW w:type="dxa" w:w="2268"/>
            <w:vAlign w:val="top"/>
            <w:shd w:val="clear" w:color="auto" w:fill="FDF0F7"/>
          </w:tcPr>
          <w:p>
            <w:pPr>
              <w:spacing w:after="20" w:line="252" w:lineRule="auto"/>
            </w:pPr>
            <w:r>
              <w:rPr>
                <w:b w:val="0"/>
                <w:i w:val="0"/>
                <w:sz w:val="16"/>
              </w:rPr>
              <w:t>Running</w:t>
            </w:r>
          </w:p>
        </w:tc>
      </w:tr>
      <w:tr>
        <w:trPr>
          <w:cantSplit/>
        </w:trPr>
        <w:tc>
          <w:tcPr>
            <w:tcW w:type="dxa" w:w="1814"/>
            <w:vAlign w:val="top"/>
          </w:tcPr>
          <w:p>
            <w:pPr>
              <w:spacing w:after="20" w:line="252" w:lineRule="auto"/>
            </w:pPr>
            <w:r>
              <w:rPr>
                <w:b w:val="0"/>
                <w:i w:val="0"/>
                <w:sz w:val="16"/>
              </w:rPr>
              <w:t>Static analysis and secrets</w:t>
            </w:r>
          </w:p>
        </w:tc>
        <w:tc>
          <w:tcPr>
            <w:tcW w:type="dxa" w:w="5556"/>
            <w:vAlign w:val="top"/>
          </w:tcPr>
          <w:p>
            <w:pPr>
              <w:spacing w:after="20" w:line="252" w:lineRule="auto"/>
            </w:pPr>
            <w:r>
              <w:rPr>
                <w:b w:val="0"/>
                <w:i w:val="0"/>
                <w:sz w:val="16"/>
              </w:rPr>
              <w:t>CodeQL (JavaScript and TypeScript, security-extended queries) and a gitleaks secret scan of the full git history on every push and pull request</w:t>
            </w:r>
          </w:p>
        </w:tc>
        <w:tc>
          <w:tcPr>
            <w:tcW w:type="dxa" w:w="2268"/>
            <w:vAlign w:val="top"/>
          </w:tcPr>
          <w:p>
            <w:pPr>
              <w:spacing w:after="20" w:line="252" w:lineRule="auto"/>
            </w:pPr>
            <w:r>
              <w:rPr>
                <w:b w:val="0"/>
                <w:i w:val="0"/>
                <w:sz w:val="16"/>
              </w:rPr>
              <w:t>Running</w:t>
            </w:r>
          </w:p>
        </w:tc>
      </w:tr>
      <w:tr>
        <w:trPr>
          <w:cantSplit/>
        </w:trPr>
        <w:tc>
          <w:tcPr>
            <w:tcW w:type="dxa" w:w="1814"/>
            <w:vAlign w:val="top"/>
            <w:shd w:val="clear" w:color="auto" w:fill="FDF0F7"/>
          </w:tcPr>
          <w:p>
            <w:pPr>
              <w:spacing w:after="20" w:line="252" w:lineRule="auto"/>
            </w:pPr>
            <w:r>
              <w:rPr>
                <w:b w:val="0"/>
                <w:i w:val="0"/>
                <w:sz w:val="16"/>
              </w:rPr>
              <w:t>Package</w:t>
            </w:r>
          </w:p>
        </w:tc>
        <w:tc>
          <w:tcPr>
            <w:tcW w:type="dxa" w:w="5556"/>
            <w:vAlign w:val="top"/>
            <w:shd w:val="clear" w:color="auto" w:fill="FDF0F7"/>
          </w:tcPr>
          <w:p>
            <w:pPr>
              <w:spacing w:after="20" w:line="252" w:lineRule="auto"/>
            </w:pPr>
            <w:r>
              <w:rPr>
                <w:b w:val="0"/>
                <w:i w:val="0"/>
                <w:sz w:val="16"/>
              </w:rPr>
              <w:t>Tag images with the release version, sign them, attach the SBOM and release notes, push to the IITH registry</w:t>
            </w:r>
          </w:p>
        </w:tc>
        <w:tc>
          <w:tcPr>
            <w:tcW w:type="dxa" w:w="2268"/>
            <w:vAlign w:val="top"/>
            <w:shd w:val="clear" w:color="auto" w:fill="FDF0F7"/>
          </w:tcPr>
          <w:p>
            <w:pPr>
              <w:spacing w:after="20" w:line="252" w:lineRule="auto"/>
            </w:pPr>
            <w:r>
              <w:rPr>
                <w:b w:val="0"/>
                <w:i w:val="0"/>
                <w:sz w:val="16"/>
              </w:rPr>
              <w:t>Delivered during implementation</w:t>
            </w:r>
          </w:p>
        </w:tc>
      </w:tr>
      <w:tr>
        <w:trPr>
          <w:cantSplit/>
        </w:trPr>
        <w:tc>
          <w:tcPr>
            <w:tcW w:type="dxa" w:w="1814"/>
            <w:vAlign w:val="top"/>
          </w:tcPr>
          <w:p>
            <w:pPr>
              <w:spacing w:after="20" w:line="252" w:lineRule="auto"/>
            </w:pPr>
            <w:r>
              <w:rPr>
                <w:b w:val="0"/>
                <w:i w:val="0"/>
                <w:sz w:val="16"/>
              </w:rPr>
              <w:t>Deploy SIT and UAT</w:t>
            </w:r>
          </w:p>
        </w:tc>
        <w:tc>
          <w:tcPr>
            <w:tcW w:type="dxa" w:w="5556"/>
            <w:vAlign w:val="top"/>
          </w:tcPr>
          <w:p>
            <w:pPr>
              <w:spacing w:after="20" w:line="252" w:lineRule="auto"/>
            </w:pPr>
            <w:r>
              <w:rPr>
                <w:b w:val="0"/>
                <w:i w:val="0"/>
                <w:sz w:val="16"/>
              </w:rPr>
              <w:t>Run the migrate job, roll out containers, smoke tests</w:t>
            </w:r>
          </w:p>
        </w:tc>
        <w:tc>
          <w:tcPr>
            <w:tcW w:type="dxa" w:w="2268"/>
            <w:vAlign w:val="top"/>
          </w:tcPr>
          <w:p>
            <w:pPr>
              <w:spacing w:after="20" w:line="252" w:lineRule="auto"/>
            </w:pPr>
            <w:r>
              <w:rPr>
                <w:b w:val="0"/>
                <w:i w:val="0"/>
                <w:sz w:val="16"/>
              </w:rPr>
              <w:t>Delivered during implementation</w:t>
            </w:r>
          </w:p>
        </w:tc>
      </w:tr>
      <w:tr>
        <w:trPr>
          <w:cantSplit/>
        </w:trPr>
        <w:tc>
          <w:tcPr>
            <w:tcW w:type="dxa" w:w="1814"/>
            <w:vAlign w:val="top"/>
            <w:shd w:val="clear" w:color="auto" w:fill="FDF0F7"/>
          </w:tcPr>
          <w:p>
            <w:pPr>
              <w:spacing w:after="20" w:line="252" w:lineRule="auto"/>
            </w:pPr>
            <w:r>
              <w:rPr>
                <w:b w:val="0"/>
                <w:i w:val="0"/>
                <w:sz w:val="16"/>
              </w:rPr>
              <w:t>Deploy PROD</w:t>
            </w:r>
          </w:p>
        </w:tc>
        <w:tc>
          <w:tcPr>
            <w:tcW w:type="dxa" w:w="5556"/>
            <w:vAlign w:val="top"/>
            <w:shd w:val="clear" w:color="auto" w:fill="FDF0F7"/>
          </w:tcPr>
          <w:p>
            <w:pPr>
              <w:spacing w:after="20" w:line="252" w:lineRule="auto"/>
            </w:pPr>
            <w:r>
              <w:rPr>
                <w:b w:val="0"/>
                <w:i w:val="0"/>
                <w:sz w:val="16"/>
              </w:rPr>
              <w:t>After IIFT change approval, in the agreed window, same images as UAT</w:t>
            </w:r>
          </w:p>
        </w:tc>
        <w:tc>
          <w:tcPr>
            <w:tcW w:type="dxa" w:w="2268"/>
            <w:vAlign w:val="top"/>
            <w:shd w:val="clear" w:color="auto" w:fill="FDF0F7"/>
          </w:tcPr>
          <w:p>
            <w:pPr>
              <w:spacing w:after="20" w:line="252" w:lineRule="auto"/>
            </w:pPr>
            <w:r>
              <w:rPr>
                <w:b w:val="0"/>
                <w:i w:val="0"/>
                <w:sz w:val="16"/>
              </w:rPr>
              <w:t>Delivered during implementation</w:t>
            </w:r>
          </w:p>
        </w:tc>
      </w:tr>
    </w:tbl>
    <w:p>
      <w:pPr>
        <w:pStyle w:val="Caption"/>
        <w:jc w:val="center"/>
      </w:pPr>
      <w:r>
        <w:rPr>
          <w:b w:val="0"/>
          <w:i w:val="0"/>
        </w:rPr>
        <w:t>Table 25: Pipeline stages</w:t>
      </w:r>
    </w:p>
    <w:p>
      <w:pPr>
        <w:keepNext w:val="0"/>
      </w:pPr>
      <w:r>
        <w:rPr>
          <w:b w:val="0"/>
          <w:i w:val="0"/>
        </w:rPr>
        <w:t>Database changes follow expand-and-contract: a release first adds columns or tables that the previous version ignores, and removes old structures only in a later release. The previous images therefore run on the new schema, so an application rollback does not need a database restore.</w:t>
      </w:r>
    </w:p>
    <w:p>
      <w:pPr>
        <w:pStyle w:val="Heading1"/>
        <w:pageBreakBefore/>
        <w:pBdr>
          <w:bottom w:val="single" w:sz="12" w:space="4" w:color="F58220"/>
        </w:pBdr>
      </w:pPr>
      <w:r>
        <w:t>10. Infrastructure Sizing</w:t>
      </w:r>
    </w:p>
    <w:p>
      <w:pPr>
        <w:pStyle w:val="Heading2"/>
      </w:pPr>
      <w:r>
        <w:t>10.1 Load assumptions</w:t>
      </w:r>
    </w:p>
    <w:p>
      <w:pPr>
        <w:keepNext w:val="0"/>
      </w:pPr>
      <w:r>
        <w:rPr>
          <w:b w:val="0"/>
          <w:i w:val="0"/>
        </w:rPr>
        <w:t>Appendix 1 lists 26 named users: 12 bank portal users, 5 IIFT back-office users, 5 IIFT portal users and 4 agent portal users. The design target is 100 concurrent and 500 named users without redesign. Appendix 2 gives the policy volumes below.</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195"/>
        <w:gridCol w:w="1814"/>
        <w:gridCol w:w="1020"/>
        <w:gridCol w:w="1360"/>
        <w:gridCol w:w="1247"/>
      </w:tblGrid>
      <w:tr>
        <w:trPr>
          <w:cantSplit/>
          <w:tblHeader/>
        </w:trPr>
        <w:tc>
          <w:tcPr>
            <w:tcW w:type="dxa" w:w="4195"/>
            <w:shd w:val="clear" w:color="auto" w:fill="E1058C"/>
            <w:vAlign w:val="center"/>
          </w:tcPr>
          <w:p>
            <w:pPr>
              <w:spacing w:after="0"/>
            </w:pPr>
            <w:r>
              <w:rPr>
                <w:b/>
                <w:i w:val="0"/>
                <w:color w:val="FFFFFF"/>
                <w:sz w:val="16"/>
              </w:rPr>
              <w:t>Product</w:t>
            </w:r>
          </w:p>
        </w:tc>
        <w:tc>
          <w:tcPr>
            <w:tcW w:type="dxa" w:w="1814"/>
            <w:shd w:val="clear" w:color="auto" w:fill="E1058C"/>
            <w:vAlign w:val="center"/>
          </w:tcPr>
          <w:p>
            <w:pPr>
              <w:spacing w:after="0"/>
            </w:pPr>
            <w:r>
              <w:rPr>
                <w:b/>
                <w:i w:val="0"/>
                <w:color w:val="FFFFFF"/>
                <w:sz w:val="16"/>
              </w:rPr>
              <w:t>Line</w:t>
            </w:r>
          </w:p>
        </w:tc>
        <w:tc>
          <w:tcPr>
            <w:tcW w:type="dxa" w:w="1020"/>
            <w:shd w:val="clear" w:color="auto" w:fill="E1058C"/>
            <w:vAlign w:val="center"/>
          </w:tcPr>
          <w:p>
            <w:pPr>
              <w:spacing w:after="0"/>
            </w:pPr>
            <w:r>
              <w:rPr>
                <w:b/>
                <w:i w:val="0"/>
                <w:color w:val="FFFFFF"/>
                <w:sz w:val="16"/>
              </w:rPr>
              <w:t>2025</w:t>
            </w:r>
          </w:p>
        </w:tc>
        <w:tc>
          <w:tcPr>
            <w:tcW w:type="dxa" w:w="1361"/>
            <w:shd w:val="clear" w:color="auto" w:fill="E1058C"/>
            <w:vAlign w:val="center"/>
          </w:tcPr>
          <w:p>
            <w:pPr>
              <w:spacing w:after="0"/>
            </w:pPr>
            <w:r>
              <w:rPr>
                <w:b/>
                <w:i w:val="0"/>
                <w:color w:val="FFFFFF"/>
                <w:sz w:val="16"/>
              </w:rPr>
              <w:t>2026 to July</w:t>
            </w:r>
          </w:p>
        </w:tc>
        <w:tc>
          <w:tcPr>
            <w:tcW w:type="dxa" w:w="1247"/>
            <w:shd w:val="clear" w:color="auto" w:fill="E1058C"/>
            <w:vAlign w:val="center"/>
          </w:tcPr>
          <w:p>
            <w:pPr>
              <w:spacing w:after="0"/>
            </w:pPr>
            <w:r>
              <w:rPr>
                <w:b/>
                <w:i w:val="0"/>
                <w:color w:val="FFFFFF"/>
                <w:sz w:val="16"/>
              </w:rPr>
              <w:t>In 5 years</w:t>
            </w:r>
          </w:p>
        </w:tc>
      </w:tr>
      <w:tr>
        <w:trPr>
          <w:cantSplit/>
        </w:trPr>
        <w:tc>
          <w:tcPr>
            <w:tcW w:type="dxa" w:w="4195"/>
            <w:vAlign w:val="top"/>
          </w:tcPr>
          <w:p>
            <w:pPr>
              <w:spacing w:after="20" w:line="252" w:lineRule="auto"/>
            </w:pPr>
            <w:r>
              <w:rPr>
                <w:b w:val="0"/>
                <w:i w:val="0"/>
                <w:sz w:val="16"/>
              </w:rPr>
              <w:t>Financing Takaful Plan – Hire Purchase (FTP-HP)</w:t>
            </w:r>
          </w:p>
        </w:tc>
        <w:tc>
          <w:tcPr>
            <w:tcW w:type="dxa" w:w="1814"/>
            <w:vAlign w:val="top"/>
          </w:tcPr>
          <w:p>
            <w:pPr>
              <w:spacing w:after="20" w:line="252" w:lineRule="auto"/>
            </w:pPr>
            <w:r>
              <w:rPr>
                <w:b w:val="0"/>
                <w:i w:val="0"/>
                <w:sz w:val="16"/>
              </w:rPr>
              <w:t>Mortgage Takaful</w:t>
            </w:r>
          </w:p>
        </w:tc>
        <w:tc>
          <w:tcPr>
            <w:tcW w:type="dxa" w:w="1020"/>
            <w:vAlign w:val="top"/>
          </w:tcPr>
          <w:p>
            <w:pPr>
              <w:spacing w:after="20" w:line="252" w:lineRule="auto"/>
              <w:jc w:val="right"/>
            </w:pPr>
            <w:r>
              <w:rPr>
                <w:b w:val="0"/>
                <w:i w:val="0"/>
                <w:sz w:val="16"/>
              </w:rPr>
              <w:t>59</w:t>
            </w:r>
          </w:p>
        </w:tc>
        <w:tc>
          <w:tcPr>
            <w:tcW w:type="dxa" w:w="1361"/>
            <w:vAlign w:val="top"/>
          </w:tcPr>
          <w:p>
            <w:pPr>
              <w:spacing w:after="20" w:line="252" w:lineRule="auto"/>
              <w:jc w:val="right"/>
            </w:pPr>
            <w:r>
              <w:rPr>
                <w:b w:val="0"/>
                <w:i w:val="0"/>
                <w:sz w:val="16"/>
              </w:rPr>
              <w:t>16</w:t>
            </w:r>
          </w:p>
        </w:tc>
        <w:tc>
          <w:tcPr>
            <w:tcW w:type="dxa" w:w="1247"/>
            <w:vAlign w:val="top"/>
          </w:tcPr>
          <w:p>
            <w:pPr>
              <w:spacing w:after="20" w:line="252" w:lineRule="auto"/>
              <w:jc w:val="right"/>
            </w:pPr>
            <w:r>
              <w:rPr>
                <w:b w:val="0"/>
                <w:i w:val="0"/>
                <w:sz w:val="16"/>
              </w:rPr>
              <w:t>75</w:t>
            </w:r>
          </w:p>
        </w:tc>
      </w:tr>
      <w:tr>
        <w:trPr>
          <w:cantSplit/>
        </w:trPr>
        <w:tc>
          <w:tcPr>
            <w:tcW w:type="dxa" w:w="4195"/>
            <w:vAlign w:val="top"/>
            <w:shd w:val="clear" w:color="auto" w:fill="FDF0F7"/>
          </w:tcPr>
          <w:p>
            <w:pPr>
              <w:spacing w:after="20" w:line="252" w:lineRule="auto"/>
            </w:pPr>
            <w:r>
              <w:rPr>
                <w:b w:val="0"/>
                <w:i w:val="0"/>
                <w:sz w:val="16"/>
              </w:rPr>
              <w:t>Financing Takaful Plan – Non-Participating (FTP-NP)</w:t>
            </w:r>
          </w:p>
        </w:tc>
        <w:tc>
          <w:tcPr>
            <w:tcW w:type="dxa" w:w="1814"/>
            <w:vAlign w:val="top"/>
            <w:shd w:val="clear" w:color="auto" w:fill="FDF0F7"/>
          </w:tcPr>
          <w:p>
            <w:pPr>
              <w:spacing w:after="20" w:line="252" w:lineRule="auto"/>
            </w:pPr>
            <w:r>
              <w:rPr>
                <w:b w:val="0"/>
                <w:i w:val="0"/>
                <w:sz w:val="16"/>
              </w:rPr>
              <w:t>Mortgage Takaful</w:t>
            </w:r>
          </w:p>
        </w:tc>
        <w:tc>
          <w:tcPr>
            <w:tcW w:type="dxa" w:w="1020"/>
            <w:vAlign w:val="top"/>
            <w:shd w:val="clear" w:color="auto" w:fill="FDF0F7"/>
          </w:tcPr>
          <w:p>
            <w:pPr>
              <w:spacing w:after="20" w:line="252" w:lineRule="auto"/>
              <w:jc w:val="right"/>
            </w:pPr>
            <w:r>
              <w:rPr>
                <w:b w:val="0"/>
                <w:i w:val="0"/>
                <w:sz w:val="16"/>
              </w:rPr>
              <w:t>158</w:t>
            </w:r>
          </w:p>
        </w:tc>
        <w:tc>
          <w:tcPr>
            <w:tcW w:type="dxa" w:w="1361"/>
            <w:vAlign w:val="top"/>
            <w:shd w:val="clear" w:color="auto" w:fill="FDF0F7"/>
          </w:tcPr>
          <w:p>
            <w:pPr>
              <w:spacing w:after="20" w:line="252" w:lineRule="auto"/>
              <w:jc w:val="right"/>
            </w:pPr>
            <w:r>
              <w:rPr>
                <w:b w:val="0"/>
                <w:i w:val="0"/>
                <w:sz w:val="16"/>
              </w:rPr>
              <w:t>65</w:t>
            </w:r>
          </w:p>
        </w:tc>
        <w:tc>
          <w:tcPr>
            <w:tcW w:type="dxa" w:w="1247"/>
            <w:vAlign w:val="top"/>
            <w:shd w:val="clear" w:color="auto" w:fill="FDF0F7"/>
          </w:tcPr>
          <w:p>
            <w:pPr>
              <w:spacing w:after="20" w:line="252" w:lineRule="auto"/>
              <w:jc w:val="right"/>
            </w:pPr>
            <w:r>
              <w:rPr>
                <w:b w:val="0"/>
                <w:i w:val="0"/>
                <w:sz w:val="16"/>
              </w:rPr>
              <w:t>205</w:t>
            </w:r>
          </w:p>
        </w:tc>
      </w:tr>
      <w:tr>
        <w:trPr>
          <w:cantSplit/>
        </w:trPr>
        <w:tc>
          <w:tcPr>
            <w:tcW w:type="dxa" w:w="4195"/>
            <w:vAlign w:val="top"/>
          </w:tcPr>
          <w:p>
            <w:pPr>
              <w:spacing w:after="20" w:line="252" w:lineRule="auto"/>
            </w:pPr>
            <w:r>
              <w:rPr>
                <w:b w:val="0"/>
                <w:i w:val="0"/>
                <w:sz w:val="16"/>
              </w:rPr>
              <w:t>Property Financing Takaful (PFT)</w:t>
            </w:r>
          </w:p>
        </w:tc>
        <w:tc>
          <w:tcPr>
            <w:tcW w:type="dxa" w:w="1814"/>
            <w:vAlign w:val="top"/>
          </w:tcPr>
          <w:p>
            <w:pPr>
              <w:spacing w:after="20" w:line="252" w:lineRule="auto"/>
            </w:pPr>
            <w:r>
              <w:rPr>
                <w:b w:val="0"/>
                <w:i w:val="0"/>
                <w:sz w:val="16"/>
              </w:rPr>
              <w:t>Mortgage Takaful</w:t>
            </w:r>
          </w:p>
        </w:tc>
        <w:tc>
          <w:tcPr>
            <w:tcW w:type="dxa" w:w="1020"/>
            <w:vAlign w:val="top"/>
          </w:tcPr>
          <w:p>
            <w:pPr>
              <w:spacing w:after="20" w:line="252" w:lineRule="auto"/>
              <w:jc w:val="right"/>
            </w:pPr>
            <w:r>
              <w:rPr>
                <w:b w:val="0"/>
                <w:i w:val="0"/>
                <w:sz w:val="16"/>
              </w:rPr>
              <w:t>88</w:t>
            </w:r>
          </w:p>
        </w:tc>
        <w:tc>
          <w:tcPr>
            <w:tcW w:type="dxa" w:w="1361"/>
            <w:vAlign w:val="top"/>
          </w:tcPr>
          <w:p>
            <w:pPr>
              <w:spacing w:after="20" w:line="252" w:lineRule="auto"/>
              <w:jc w:val="right"/>
            </w:pPr>
            <w:r>
              <w:rPr>
                <w:b w:val="0"/>
                <w:i w:val="0"/>
                <w:sz w:val="16"/>
              </w:rPr>
              <w:t>60</w:t>
            </w:r>
          </w:p>
        </w:tc>
        <w:tc>
          <w:tcPr>
            <w:tcW w:type="dxa" w:w="1247"/>
            <w:vAlign w:val="top"/>
          </w:tcPr>
          <w:p>
            <w:pPr>
              <w:spacing w:after="20" w:line="252" w:lineRule="auto"/>
              <w:jc w:val="right"/>
            </w:pPr>
            <w:r>
              <w:rPr>
                <w:b w:val="0"/>
                <w:i w:val="0"/>
                <w:sz w:val="16"/>
              </w:rPr>
              <w:t>115</w:t>
            </w:r>
          </w:p>
        </w:tc>
      </w:tr>
      <w:tr>
        <w:trPr>
          <w:cantSplit/>
        </w:trPr>
        <w:tc>
          <w:tcPr>
            <w:tcW w:type="dxa" w:w="4195"/>
            <w:vAlign w:val="top"/>
            <w:shd w:val="clear" w:color="auto" w:fill="FDF0F7"/>
          </w:tcPr>
          <w:p>
            <w:pPr>
              <w:spacing w:after="20" w:line="252" w:lineRule="auto"/>
            </w:pPr>
            <w:r>
              <w:rPr>
                <w:b w:val="0"/>
                <w:i w:val="0"/>
                <w:sz w:val="16"/>
              </w:rPr>
              <w:t>Personal Home Assistant Takaful (PHA)</w:t>
            </w:r>
          </w:p>
        </w:tc>
        <w:tc>
          <w:tcPr>
            <w:tcW w:type="dxa" w:w="1814"/>
            <w:vAlign w:val="top"/>
            <w:shd w:val="clear" w:color="auto" w:fill="FDF0F7"/>
          </w:tcPr>
          <w:p>
            <w:pPr>
              <w:spacing w:after="20" w:line="252" w:lineRule="auto"/>
            </w:pPr>
            <w:r>
              <w:rPr>
                <w:b w:val="0"/>
                <w:i w:val="0"/>
                <w:sz w:val="16"/>
              </w:rPr>
              <w:t>Annual</w:t>
            </w:r>
          </w:p>
        </w:tc>
        <w:tc>
          <w:tcPr>
            <w:tcW w:type="dxa" w:w="1020"/>
            <w:vAlign w:val="top"/>
            <w:shd w:val="clear" w:color="auto" w:fill="FDF0F7"/>
          </w:tcPr>
          <w:p>
            <w:pPr>
              <w:spacing w:after="20" w:line="252" w:lineRule="auto"/>
              <w:jc w:val="right"/>
            </w:pPr>
            <w:r>
              <w:rPr>
                <w:b w:val="0"/>
                <w:i w:val="0"/>
                <w:sz w:val="16"/>
              </w:rPr>
              <w:t>102</w:t>
            </w:r>
          </w:p>
        </w:tc>
        <w:tc>
          <w:tcPr>
            <w:tcW w:type="dxa" w:w="1361"/>
            <w:vAlign w:val="top"/>
            <w:shd w:val="clear" w:color="auto" w:fill="FDF0F7"/>
          </w:tcPr>
          <w:p>
            <w:pPr>
              <w:spacing w:after="20" w:line="252" w:lineRule="auto"/>
              <w:jc w:val="right"/>
            </w:pPr>
            <w:r>
              <w:rPr>
                <w:b w:val="0"/>
                <w:i w:val="0"/>
                <w:sz w:val="16"/>
              </w:rPr>
              <w:t>41</w:t>
            </w:r>
          </w:p>
        </w:tc>
        <w:tc>
          <w:tcPr>
            <w:tcW w:type="dxa" w:w="1247"/>
            <w:vAlign w:val="top"/>
            <w:shd w:val="clear" w:color="auto" w:fill="FDF0F7"/>
          </w:tcPr>
          <w:p>
            <w:pPr>
              <w:spacing w:after="20" w:line="252" w:lineRule="auto"/>
              <w:jc w:val="right"/>
            </w:pPr>
            <w:r>
              <w:rPr>
                <w:b w:val="0"/>
                <w:i w:val="0"/>
                <w:sz w:val="16"/>
              </w:rPr>
              <w:t>132</w:t>
            </w:r>
          </w:p>
        </w:tc>
      </w:tr>
      <w:tr>
        <w:trPr>
          <w:cantSplit/>
        </w:trPr>
        <w:tc>
          <w:tcPr>
            <w:tcW w:type="dxa" w:w="4195"/>
            <w:vAlign w:val="top"/>
          </w:tcPr>
          <w:p>
            <w:pPr>
              <w:spacing w:after="20" w:line="252" w:lineRule="auto"/>
            </w:pPr>
            <w:r>
              <w:rPr>
                <w:b w:val="0"/>
                <w:i w:val="0"/>
                <w:sz w:val="16"/>
              </w:rPr>
              <w:t>Professional Takaful Plan (PRO)</w:t>
            </w:r>
          </w:p>
        </w:tc>
        <w:tc>
          <w:tcPr>
            <w:tcW w:type="dxa" w:w="1814"/>
            <w:vAlign w:val="top"/>
          </w:tcPr>
          <w:p>
            <w:pPr>
              <w:spacing w:after="20" w:line="252" w:lineRule="auto"/>
            </w:pPr>
            <w:r>
              <w:rPr>
                <w:b w:val="0"/>
                <w:i w:val="0"/>
                <w:sz w:val="16"/>
              </w:rPr>
              <w:t>Annual</w:t>
            </w:r>
          </w:p>
        </w:tc>
        <w:tc>
          <w:tcPr>
            <w:tcW w:type="dxa" w:w="1020"/>
            <w:vAlign w:val="top"/>
          </w:tcPr>
          <w:p>
            <w:pPr>
              <w:spacing w:after="20" w:line="252" w:lineRule="auto"/>
              <w:jc w:val="right"/>
            </w:pPr>
            <w:r>
              <w:rPr>
                <w:b w:val="0"/>
                <w:i w:val="0"/>
                <w:sz w:val="16"/>
              </w:rPr>
              <w:t>40</w:t>
            </w:r>
          </w:p>
        </w:tc>
        <w:tc>
          <w:tcPr>
            <w:tcW w:type="dxa" w:w="1361"/>
            <w:vAlign w:val="top"/>
          </w:tcPr>
          <w:p>
            <w:pPr>
              <w:spacing w:after="20" w:line="252" w:lineRule="auto"/>
              <w:jc w:val="right"/>
            </w:pPr>
            <w:r>
              <w:rPr>
                <w:b w:val="0"/>
                <w:i w:val="0"/>
                <w:sz w:val="16"/>
              </w:rPr>
              <w:t>19</w:t>
            </w:r>
          </w:p>
        </w:tc>
        <w:tc>
          <w:tcPr>
            <w:tcW w:type="dxa" w:w="1247"/>
            <w:vAlign w:val="top"/>
          </w:tcPr>
          <w:p>
            <w:pPr>
              <w:spacing w:after="20" w:line="252" w:lineRule="auto"/>
              <w:jc w:val="right"/>
            </w:pPr>
            <w:r>
              <w:rPr>
                <w:b w:val="0"/>
                <w:i w:val="0"/>
                <w:sz w:val="16"/>
              </w:rPr>
              <w:t>52</w:t>
            </w:r>
          </w:p>
        </w:tc>
      </w:tr>
      <w:tr>
        <w:trPr>
          <w:cantSplit/>
        </w:trPr>
        <w:tc>
          <w:tcPr>
            <w:tcW w:type="dxa" w:w="4195"/>
            <w:vAlign w:val="top"/>
            <w:shd w:val="clear" w:color="auto" w:fill="FDF0F7"/>
          </w:tcPr>
          <w:p>
            <w:pPr>
              <w:spacing w:after="20" w:line="252" w:lineRule="auto"/>
            </w:pPr>
            <w:r>
              <w:rPr>
                <w:b w:val="0"/>
                <w:i w:val="0"/>
                <w:sz w:val="16"/>
              </w:rPr>
              <w:t>Khairat Takaful Plan (KHR)</w:t>
            </w:r>
          </w:p>
        </w:tc>
        <w:tc>
          <w:tcPr>
            <w:tcW w:type="dxa" w:w="1814"/>
            <w:vAlign w:val="top"/>
            <w:shd w:val="clear" w:color="auto" w:fill="FDF0F7"/>
          </w:tcPr>
          <w:p>
            <w:pPr>
              <w:spacing w:after="20" w:line="252" w:lineRule="auto"/>
            </w:pPr>
            <w:r>
              <w:rPr>
                <w:b w:val="0"/>
                <w:i w:val="0"/>
                <w:sz w:val="16"/>
              </w:rPr>
              <w:t>Annual</w:t>
            </w:r>
          </w:p>
        </w:tc>
        <w:tc>
          <w:tcPr>
            <w:tcW w:type="dxa" w:w="1020"/>
            <w:vAlign w:val="top"/>
            <w:shd w:val="clear" w:color="auto" w:fill="FDF0F7"/>
          </w:tcPr>
          <w:p>
            <w:pPr>
              <w:spacing w:after="20" w:line="252" w:lineRule="auto"/>
              <w:jc w:val="right"/>
            </w:pPr>
            <w:r>
              <w:rPr>
                <w:b w:val="0"/>
                <w:i w:val="0"/>
                <w:sz w:val="16"/>
              </w:rPr>
              <w:t>31</w:t>
            </w:r>
          </w:p>
        </w:tc>
        <w:tc>
          <w:tcPr>
            <w:tcW w:type="dxa" w:w="1361"/>
            <w:vAlign w:val="top"/>
            <w:shd w:val="clear" w:color="auto" w:fill="FDF0F7"/>
          </w:tcPr>
          <w:p>
            <w:pPr>
              <w:spacing w:after="20" w:line="252" w:lineRule="auto"/>
              <w:jc w:val="right"/>
            </w:pPr>
            <w:r>
              <w:rPr>
                <w:b w:val="0"/>
                <w:i w:val="0"/>
                <w:sz w:val="16"/>
              </w:rPr>
              <w:t>16</w:t>
            </w:r>
          </w:p>
        </w:tc>
        <w:tc>
          <w:tcPr>
            <w:tcW w:type="dxa" w:w="1247"/>
            <w:vAlign w:val="top"/>
            <w:shd w:val="clear" w:color="auto" w:fill="FDF0F7"/>
          </w:tcPr>
          <w:p>
            <w:pPr>
              <w:spacing w:after="20" w:line="252" w:lineRule="auto"/>
              <w:jc w:val="right"/>
            </w:pPr>
            <w:r>
              <w:rPr>
                <w:b w:val="0"/>
                <w:i w:val="0"/>
                <w:sz w:val="16"/>
              </w:rPr>
              <w:t>40</w:t>
            </w:r>
          </w:p>
        </w:tc>
      </w:tr>
      <w:tr>
        <w:trPr>
          <w:cantSplit/>
        </w:trPr>
        <w:tc>
          <w:tcPr>
            <w:tcW w:type="dxa" w:w="4195"/>
            <w:vAlign w:val="top"/>
          </w:tcPr>
          <w:p>
            <w:pPr>
              <w:spacing w:after="20" w:line="252" w:lineRule="auto"/>
            </w:pPr>
            <w:r>
              <w:rPr>
                <w:b w:val="0"/>
                <w:i w:val="0"/>
                <w:sz w:val="16"/>
              </w:rPr>
              <w:t>Overseas Student Assist Takaful (OSA)</w:t>
            </w:r>
          </w:p>
        </w:tc>
        <w:tc>
          <w:tcPr>
            <w:tcW w:type="dxa" w:w="1814"/>
            <w:vAlign w:val="top"/>
          </w:tcPr>
          <w:p>
            <w:pPr>
              <w:spacing w:after="20" w:line="252" w:lineRule="auto"/>
            </w:pPr>
            <w:r>
              <w:rPr>
                <w:b w:val="0"/>
                <w:i w:val="0"/>
                <w:sz w:val="16"/>
              </w:rPr>
              <w:t>Annual</w:t>
            </w:r>
          </w:p>
        </w:tc>
        <w:tc>
          <w:tcPr>
            <w:tcW w:type="dxa" w:w="1020"/>
            <w:vAlign w:val="top"/>
          </w:tcPr>
          <w:p>
            <w:pPr>
              <w:spacing w:after="20" w:line="252" w:lineRule="auto"/>
              <w:jc w:val="right"/>
            </w:pPr>
            <w:r>
              <w:rPr>
                <w:b w:val="0"/>
                <w:i w:val="0"/>
                <w:sz w:val="16"/>
              </w:rPr>
              <w:t>7</w:t>
            </w:r>
          </w:p>
        </w:tc>
        <w:tc>
          <w:tcPr>
            <w:tcW w:type="dxa" w:w="1361"/>
            <w:vAlign w:val="top"/>
          </w:tcPr>
          <w:p>
            <w:pPr>
              <w:spacing w:after="20" w:line="252" w:lineRule="auto"/>
              <w:jc w:val="right"/>
            </w:pPr>
            <w:r>
              <w:rPr>
                <w:b w:val="0"/>
                <w:i w:val="0"/>
                <w:sz w:val="16"/>
              </w:rPr>
              <w:t>2</w:t>
            </w:r>
          </w:p>
        </w:tc>
        <w:tc>
          <w:tcPr>
            <w:tcW w:type="dxa" w:w="1247"/>
            <w:vAlign w:val="top"/>
          </w:tcPr>
          <w:p>
            <w:pPr>
              <w:spacing w:after="20" w:line="252" w:lineRule="auto"/>
              <w:jc w:val="right"/>
            </w:pPr>
            <w:r>
              <w:rPr>
                <w:b w:val="0"/>
                <w:i w:val="0"/>
                <w:sz w:val="16"/>
              </w:rPr>
              <w:t>9</w:t>
            </w:r>
          </w:p>
        </w:tc>
      </w:tr>
      <w:tr>
        <w:trPr>
          <w:cantSplit/>
        </w:trPr>
        <w:tc>
          <w:tcPr>
            <w:tcW w:type="dxa" w:w="4195"/>
            <w:vAlign w:val="top"/>
            <w:shd w:val="clear" w:color="auto" w:fill="FEEBDD"/>
          </w:tcPr>
          <w:p>
            <w:pPr>
              <w:spacing w:after="20" w:line="252" w:lineRule="auto"/>
            </w:pPr>
            <w:r>
              <w:rPr>
                <w:b/>
                <w:i w:val="0"/>
                <w:sz w:val="16"/>
              </w:rPr>
              <w:t>Total</w:t>
            </w:r>
          </w:p>
        </w:tc>
        <w:tc>
          <w:tcPr>
            <w:tcW w:type="dxa" w:w="1814"/>
            <w:vAlign w:val="top"/>
            <w:shd w:val="clear" w:color="auto" w:fill="FEEBDD"/>
          </w:tcPr>
          <w:p>
            <w:pPr>
              <w:spacing w:after="20" w:line="252" w:lineRule="auto"/>
            </w:pPr>
          </w:p>
        </w:tc>
        <w:tc>
          <w:tcPr>
            <w:tcW w:type="dxa" w:w="1020"/>
            <w:vAlign w:val="top"/>
            <w:shd w:val="clear" w:color="auto" w:fill="FEEBDD"/>
          </w:tcPr>
          <w:p>
            <w:pPr>
              <w:spacing w:after="20" w:line="252" w:lineRule="auto"/>
              <w:jc w:val="right"/>
            </w:pPr>
            <w:r>
              <w:rPr>
                <w:b/>
                <w:i w:val="0"/>
                <w:sz w:val="16"/>
              </w:rPr>
              <w:t>485</w:t>
            </w:r>
          </w:p>
        </w:tc>
        <w:tc>
          <w:tcPr>
            <w:tcW w:type="dxa" w:w="1361"/>
            <w:vAlign w:val="top"/>
            <w:shd w:val="clear" w:color="auto" w:fill="FEEBDD"/>
          </w:tcPr>
          <w:p>
            <w:pPr>
              <w:spacing w:after="20" w:line="252" w:lineRule="auto"/>
              <w:jc w:val="right"/>
            </w:pPr>
            <w:r>
              <w:rPr>
                <w:b/>
                <w:i w:val="0"/>
                <w:sz w:val="16"/>
              </w:rPr>
              <w:t>219</w:t>
            </w:r>
          </w:p>
        </w:tc>
        <w:tc>
          <w:tcPr>
            <w:tcW w:type="dxa" w:w="1247"/>
            <w:vAlign w:val="top"/>
            <w:shd w:val="clear" w:color="auto" w:fill="FEEBDD"/>
          </w:tcPr>
          <w:p>
            <w:pPr>
              <w:spacing w:after="20" w:line="252" w:lineRule="auto"/>
              <w:jc w:val="right"/>
            </w:pPr>
            <w:r>
              <w:rPr>
                <w:b/>
                <w:i w:val="0"/>
                <w:sz w:val="16"/>
              </w:rPr>
              <w:t>628</w:t>
            </w:r>
          </w:p>
        </w:tc>
      </w:tr>
    </w:tbl>
    <w:p>
      <w:pPr>
        <w:pStyle w:val="Caption"/>
        <w:jc w:val="center"/>
      </w:pPr>
      <w:r>
        <w:rPr>
          <w:b w:val="0"/>
          <w:i w:val="0"/>
        </w:rPr>
        <w:t>Table 26: Appendix 2 policy volumes per year</w:t>
      </w:r>
    </w:p>
    <w:p>
      <w:pPr>
        <w:keepNext w:val="0"/>
      </w:pPr>
      <w:r>
        <w:rPr>
          <w:b w:val="0"/>
          <w:i w:val="0"/>
        </w:rPr>
        <w:t>Growing from 485 policies in 2025 to 628 a year in five years is 5.3% a year. The sizing uses that rate from go-live: 2027: 538, 2028: 566, 2029: 596, 2030: 628, 2031: 661. Every figure is then multiplied by 10 for headroom, which also covers the target of 100 concurrent users. At this scale the limiting factor is availability, not capacity.</w:t>
      </w:r>
    </w:p>
    <w:p>
      <w:pPr>
        <w:pStyle w:val="Heading2"/>
      </w:pPr>
      <w:r>
        <w:t>10.2 On-premise servers (Option A, procured by IIFT)</w:t>
      </w:r>
    </w:p>
    <w:p>
      <w:pPr>
        <w:keepNext w:val="0"/>
      </w:pPr>
      <w:r>
        <w:rPr>
          <w:b w:val="0"/>
          <w:i w:val="0"/>
        </w:rPr>
        <w:t>IIFT procures the capacity below, or allocates it on the IITH virtualisation platform, before SIT (the SIT VM) and before UAT (the rest). The proposal's bill of materials repeats this table with indicative costs and is checked against it when the proposal is built.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1247"/>
        <w:gridCol w:w="680"/>
        <w:gridCol w:w="793"/>
        <w:gridCol w:w="1360"/>
        <w:gridCol w:w="3515"/>
      </w:tblGrid>
      <w:tr>
        <w:trPr>
          <w:cantSplit/>
          <w:tblHeader/>
        </w:trPr>
        <w:tc>
          <w:tcPr>
            <w:tcW w:type="dxa" w:w="2041"/>
            <w:shd w:val="clear" w:color="auto" w:fill="E1058C"/>
            <w:vAlign w:val="center"/>
          </w:tcPr>
          <w:p>
            <w:pPr>
              <w:spacing w:after="0"/>
            </w:pPr>
            <w:r>
              <w:rPr>
                <w:b/>
                <w:i w:val="0"/>
                <w:color w:val="FFFFFF"/>
                <w:sz w:val="16"/>
              </w:rPr>
              <w:t>Server</w:t>
            </w:r>
          </w:p>
        </w:tc>
        <w:tc>
          <w:tcPr>
            <w:tcW w:type="dxa" w:w="1247"/>
            <w:shd w:val="clear" w:color="auto" w:fill="E1058C"/>
            <w:vAlign w:val="center"/>
          </w:tcPr>
          <w:p>
            <w:pPr>
              <w:spacing w:after="0"/>
            </w:pPr>
            <w:r>
              <w:rPr>
                <w:b/>
                <w:i w:val="0"/>
                <w:color w:val="FFFFFF"/>
                <w:sz w:val="16"/>
              </w:rPr>
              <w:t>Qty</w:t>
            </w:r>
          </w:p>
        </w:tc>
        <w:tc>
          <w:tcPr>
            <w:tcW w:type="dxa" w:w="680"/>
            <w:shd w:val="clear" w:color="auto" w:fill="E1058C"/>
            <w:vAlign w:val="center"/>
          </w:tcPr>
          <w:p>
            <w:pPr>
              <w:spacing w:after="0"/>
            </w:pPr>
            <w:r>
              <w:rPr>
                <w:b/>
                <w:i w:val="0"/>
                <w:color w:val="FFFFFF"/>
                <w:sz w:val="16"/>
              </w:rPr>
              <w:t>vCPU</w:t>
            </w:r>
          </w:p>
        </w:tc>
        <w:tc>
          <w:tcPr>
            <w:tcW w:type="dxa" w:w="794"/>
            <w:shd w:val="clear" w:color="auto" w:fill="E1058C"/>
            <w:vAlign w:val="center"/>
          </w:tcPr>
          <w:p>
            <w:pPr>
              <w:spacing w:after="0"/>
            </w:pPr>
            <w:r>
              <w:rPr>
                <w:b/>
                <w:i w:val="0"/>
                <w:color w:val="FFFFFF"/>
                <w:sz w:val="16"/>
              </w:rPr>
              <w:t>RAM</w:t>
            </w:r>
          </w:p>
        </w:tc>
        <w:tc>
          <w:tcPr>
            <w:tcW w:type="dxa" w:w="1361"/>
            <w:shd w:val="clear" w:color="auto" w:fill="E1058C"/>
            <w:vAlign w:val="center"/>
          </w:tcPr>
          <w:p>
            <w:pPr>
              <w:spacing w:after="0"/>
            </w:pPr>
            <w:r>
              <w:rPr>
                <w:b/>
                <w:i w:val="0"/>
                <w:color w:val="FFFFFF"/>
                <w:sz w:val="16"/>
              </w:rPr>
              <w:t>Storage</w:t>
            </w:r>
          </w:p>
        </w:tc>
        <w:tc>
          <w:tcPr>
            <w:tcW w:type="dxa" w:w="3515"/>
            <w:shd w:val="clear" w:color="auto" w:fill="E1058C"/>
            <w:vAlign w:val="center"/>
          </w:tcPr>
          <w:p>
            <w:pPr>
              <w:spacing w:after="0"/>
            </w:pPr>
            <w:r>
              <w:rPr>
                <w:b/>
                <w:i w:val="0"/>
                <w:color w:val="FFFFFF"/>
                <w:sz w:val="16"/>
              </w:rPr>
              <w:t>Software</w:t>
            </w:r>
          </w:p>
        </w:tc>
      </w:tr>
      <w:tr>
        <w:trPr>
          <w:cantSplit/>
        </w:trPr>
        <w:tc>
          <w:tcPr>
            <w:tcW w:type="dxa" w:w="3515"/>
            <w:gridSpan w:val="6"/>
            <w:shd w:val="clear" w:color="auto" w:fill="FEEBDD"/>
          </w:tcPr>
          <w:p>
            <w:pPr>
              <w:keepNext/>
              <w:spacing w:after="0"/>
            </w:pPr>
            <w:r>
              <w:rPr>
                <w:b/>
                <w:i w:val="0"/>
                <w:color w:val="333333"/>
                <w:sz w:val="16"/>
              </w:rPr>
              <w:t>Production</w:t>
            </w:r>
          </w:p>
        </w:tc>
      </w:tr>
      <w:tr>
        <w:trPr>
          <w:cantSplit/>
        </w:trPr>
        <w:tc>
          <w:tcPr>
            <w:tcW w:type="dxa" w:w="2041"/>
            <w:vAlign w:val="top"/>
          </w:tcPr>
          <w:p>
            <w:pPr>
              <w:spacing w:after="20" w:line="252" w:lineRule="auto"/>
            </w:pPr>
            <w:r>
              <w:rPr>
                <w:b w:val="0"/>
                <w:i w:val="0"/>
                <w:sz w:val="16"/>
              </w:rPr>
              <w:t>WAF / load balancer</w:t>
            </w:r>
          </w:p>
        </w:tc>
        <w:tc>
          <w:tcPr>
            <w:tcW w:type="dxa" w:w="1247"/>
            <w:vAlign w:val="top"/>
          </w:tcPr>
          <w:p>
            <w:pPr>
              <w:spacing w:after="20" w:line="252" w:lineRule="auto"/>
            </w:pPr>
            <w:r>
              <w:rPr>
                <w:b w:val="0"/>
                <w:i w:val="0"/>
                <w:sz w:val="16"/>
              </w:rPr>
              <w:t>2 (or existing)</w:t>
            </w:r>
          </w:p>
        </w:tc>
        <w:tc>
          <w:tcPr>
            <w:tcW w:type="dxa" w:w="680"/>
            <w:vAlign w:val="top"/>
          </w:tcPr>
          <w:p>
            <w:pPr>
              <w:spacing w:after="20" w:line="252" w:lineRule="auto"/>
            </w:pPr>
            <w:r>
              <w:rPr>
                <w:b w:val="0"/>
                <w:i w:val="0"/>
                <w:sz w:val="16"/>
              </w:rPr>
              <w:t>2</w:t>
            </w:r>
          </w:p>
        </w:tc>
        <w:tc>
          <w:tcPr>
            <w:tcW w:type="dxa" w:w="794"/>
            <w:vAlign w:val="top"/>
          </w:tcPr>
          <w:p>
            <w:pPr>
              <w:spacing w:after="20" w:line="252" w:lineRule="auto"/>
            </w:pPr>
            <w:r>
              <w:rPr>
                <w:b w:val="0"/>
                <w:i w:val="0"/>
                <w:sz w:val="16"/>
              </w:rPr>
              <w:t>4 GB</w:t>
            </w:r>
          </w:p>
        </w:tc>
        <w:tc>
          <w:tcPr>
            <w:tcW w:type="dxa" w:w="1361"/>
            <w:vAlign w:val="top"/>
          </w:tcPr>
          <w:p>
            <w:pPr>
              <w:spacing w:after="20" w:line="252" w:lineRule="auto"/>
            </w:pPr>
            <w:r>
              <w:rPr>
                <w:b w:val="0"/>
                <w:i w:val="0"/>
                <w:sz w:val="16"/>
              </w:rPr>
              <w:t>–</w:t>
            </w:r>
          </w:p>
        </w:tc>
        <w:tc>
          <w:tcPr>
            <w:tcW w:type="dxa" w:w="3515"/>
            <w:vAlign w:val="top"/>
          </w:tcPr>
          <w:p>
            <w:pPr>
              <w:spacing w:after="20" w:line="252" w:lineRule="auto"/>
            </w:pPr>
            <w:r>
              <w:rPr>
                <w:b w:val="0"/>
                <w:i w:val="0"/>
                <w:sz w:val="16"/>
              </w:rPr>
              <w:t>IITH appliance or HAProxy/nginx pair</w:t>
            </w:r>
          </w:p>
        </w:tc>
      </w:tr>
      <w:tr>
        <w:trPr>
          <w:cantSplit/>
        </w:trPr>
        <w:tc>
          <w:tcPr>
            <w:tcW w:type="dxa" w:w="2041"/>
            <w:vAlign w:val="top"/>
            <w:shd w:val="clear" w:color="auto" w:fill="FDF0F7"/>
          </w:tcPr>
          <w:p>
            <w:pPr>
              <w:spacing w:after="20" w:line="252" w:lineRule="auto"/>
            </w:pPr>
            <w:r>
              <w:rPr>
                <w:b w:val="0"/>
                <w:i w:val="0"/>
                <w:sz w:val="16"/>
              </w:rPr>
              <w:t>Application VM</w:t>
            </w:r>
          </w:p>
        </w:tc>
        <w:tc>
          <w:tcPr>
            <w:tcW w:type="dxa" w:w="1247"/>
            <w:vAlign w:val="top"/>
            <w:shd w:val="clear" w:color="auto" w:fill="FDF0F7"/>
          </w:tcPr>
          <w:p>
            <w:pPr>
              <w:spacing w:after="20" w:line="252" w:lineRule="auto"/>
            </w:pPr>
            <w:r>
              <w:rPr>
                <w:b w:val="0"/>
                <w:i w:val="0"/>
                <w:sz w:val="16"/>
              </w:rPr>
              <w:t>2</w:t>
            </w:r>
          </w:p>
        </w:tc>
        <w:tc>
          <w:tcPr>
            <w:tcW w:type="dxa" w:w="680"/>
            <w:vAlign w:val="top"/>
            <w:shd w:val="clear" w:color="auto" w:fill="FDF0F7"/>
          </w:tcPr>
          <w:p>
            <w:pPr>
              <w:spacing w:after="20" w:line="252" w:lineRule="auto"/>
            </w:pPr>
            <w:r>
              <w:rPr>
                <w:b w:val="0"/>
                <w:i w:val="0"/>
                <w:sz w:val="16"/>
              </w:rPr>
              <w:t>4</w:t>
            </w:r>
          </w:p>
        </w:tc>
        <w:tc>
          <w:tcPr>
            <w:tcW w:type="dxa" w:w="794"/>
            <w:vAlign w:val="top"/>
            <w:shd w:val="clear" w:color="auto" w:fill="FDF0F7"/>
          </w:tcPr>
          <w:p>
            <w:pPr>
              <w:spacing w:after="20" w:line="252" w:lineRule="auto"/>
            </w:pPr>
            <w:r>
              <w:rPr>
                <w:b w:val="0"/>
                <w:i w:val="0"/>
                <w:sz w:val="16"/>
              </w:rPr>
              <w:t>8 GB</w:t>
            </w:r>
          </w:p>
        </w:tc>
        <w:tc>
          <w:tcPr>
            <w:tcW w:type="dxa" w:w="1361"/>
            <w:vAlign w:val="top"/>
            <w:shd w:val="clear" w:color="auto" w:fill="FDF0F7"/>
          </w:tcPr>
          <w:p>
            <w:pPr>
              <w:spacing w:after="20" w:line="252" w:lineRule="auto"/>
            </w:pPr>
            <w:r>
              <w:rPr>
                <w:b w:val="0"/>
                <w:i w:val="0"/>
                <w:sz w:val="16"/>
              </w:rPr>
              <w:t>100 GB</w:t>
            </w:r>
          </w:p>
        </w:tc>
        <w:tc>
          <w:tcPr>
            <w:tcW w:type="dxa" w:w="3515"/>
            <w:vAlign w:val="top"/>
            <w:shd w:val="clear" w:color="auto" w:fill="FDF0F7"/>
          </w:tcPr>
          <w:p>
            <w:pPr>
              <w:spacing w:after="20" w:line="252" w:lineRule="auto"/>
            </w:pPr>
            <w:r>
              <w:rPr>
                <w:b w:val="0"/>
                <w:i w:val="0"/>
                <w:sz w:val="16"/>
              </w:rPr>
              <w:t>Linux, Docker Engine; web, api, clamav containers</w:t>
            </w:r>
          </w:p>
        </w:tc>
      </w:tr>
      <w:tr>
        <w:trPr>
          <w:cantSplit/>
        </w:trPr>
        <w:tc>
          <w:tcPr>
            <w:tcW w:type="dxa" w:w="2041"/>
            <w:vAlign w:val="top"/>
          </w:tcPr>
          <w:p>
            <w:pPr>
              <w:spacing w:after="20" w:line="252" w:lineRule="auto"/>
            </w:pPr>
            <w:r>
              <w:rPr>
                <w:b w:val="0"/>
                <w:i w:val="0"/>
                <w:sz w:val="16"/>
              </w:rPr>
              <w:t>Database VM</w:t>
            </w:r>
          </w:p>
        </w:tc>
        <w:tc>
          <w:tcPr>
            <w:tcW w:type="dxa" w:w="1247"/>
            <w:vAlign w:val="top"/>
          </w:tcPr>
          <w:p>
            <w:pPr>
              <w:spacing w:after="20" w:line="252" w:lineRule="auto"/>
            </w:pPr>
            <w:r>
              <w:rPr>
                <w:b w:val="0"/>
                <w:i w:val="0"/>
                <w:sz w:val="16"/>
              </w:rPr>
              <w:t>2</w:t>
            </w:r>
          </w:p>
        </w:tc>
        <w:tc>
          <w:tcPr>
            <w:tcW w:type="dxa" w:w="680"/>
            <w:vAlign w:val="top"/>
          </w:tcPr>
          <w:p>
            <w:pPr>
              <w:spacing w:after="20" w:line="252" w:lineRule="auto"/>
            </w:pPr>
            <w:r>
              <w:rPr>
                <w:b w:val="0"/>
                <w:i w:val="0"/>
                <w:sz w:val="16"/>
              </w:rPr>
              <w:t>4</w:t>
            </w:r>
          </w:p>
        </w:tc>
        <w:tc>
          <w:tcPr>
            <w:tcW w:type="dxa" w:w="794"/>
            <w:vAlign w:val="top"/>
          </w:tcPr>
          <w:p>
            <w:pPr>
              <w:spacing w:after="20" w:line="252" w:lineRule="auto"/>
            </w:pPr>
            <w:r>
              <w:rPr>
                <w:b w:val="0"/>
                <w:i w:val="0"/>
                <w:sz w:val="16"/>
              </w:rPr>
              <w:t>16 GB</w:t>
            </w:r>
          </w:p>
        </w:tc>
        <w:tc>
          <w:tcPr>
            <w:tcW w:type="dxa" w:w="1361"/>
            <w:vAlign w:val="top"/>
          </w:tcPr>
          <w:p>
            <w:pPr>
              <w:spacing w:after="20" w:line="252" w:lineRule="auto"/>
            </w:pPr>
            <w:r>
              <w:rPr>
                <w:b w:val="0"/>
                <w:i w:val="0"/>
                <w:sz w:val="16"/>
              </w:rPr>
              <w:t>200 GB SSD</w:t>
            </w:r>
          </w:p>
        </w:tc>
        <w:tc>
          <w:tcPr>
            <w:tcW w:type="dxa" w:w="3515"/>
            <w:vAlign w:val="top"/>
          </w:tcPr>
          <w:p>
            <w:pPr>
              <w:spacing w:after="20" w:line="252" w:lineRule="auto"/>
            </w:pPr>
            <w:r>
              <w:rPr>
                <w:b w:val="0"/>
                <w:i w:val="0"/>
                <w:sz w:val="16"/>
              </w:rPr>
              <w:t>PostgreSQL 16 primary and hot standby, pgBackRest</w:t>
            </w:r>
          </w:p>
        </w:tc>
      </w:tr>
      <w:tr>
        <w:trPr>
          <w:cantSplit/>
        </w:trPr>
        <w:tc>
          <w:tcPr>
            <w:tcW w:type="dxa" w:w="2041"/>
            <w:vAlign w:val="top"/>
            <w:shd w:val="clear" w:color="auto" w:fill="FDF0F7"/>
          </w:tcPr>
          <w:p>
            <w:pPr>
              <w:spacing w:after="20" w:line="252" w:lineRule="auto"/>
            </w:pPr>
            <w:r>
              <w:rPr>
                <w:b w:val="0"/>
                <w:i w:val="0"/>
                <w:sz w:val="16"/>
              </w:rPr>
              <w:t>Document store</w:t>
            </w:r>
          </w:p>
        </w:tc>
        <w:tc>
          <w:tcPr>
            <w:tcW w:type="dxa" w:w="1247"/>
            <w:vAlign w:val="top"/>
            <w:shd w:val="clear" w:color="auto" w:fill="FDF0F7"/>
          </w:tcPr>
          <w:p>
            <w:pPr>
              <w:spacing w:after="20" w:line="252" w:lineRule="auto"/>
            </w:pPr>
            <w:r>
              <w:rPr>
                <w:b w:val="0"/>
                <w:i w:val="0"/>
                <w:sz w:val="16"/>
              </w:rPr>
              <w:t>1 share</w:t>
            </w:r>
          </w:p>
        </w:tc>
        <w:tc>
          <w:tcPr>
            <w:tcW w:type="dxa" w:w="680"/>
            <w:vAlign w:val="top"/>
            <w:shd w:val="clear" w:color="auto" w:fill="FDF0F7"/>
          </w:tcPr>
          <w:p>
            <w:pPr>
              <w:spacing w:after="20" w:line="252" w:lineRule="auto"/>
            </w:pPr>
            <w:r>
              <w:rPr>
                <w:b w:val="0"/>
                <w:i w:val="0"/>
                <w:sz w:val="16"/>
              </w:rPr>
              <w:t>–</w:t>
            </w:r>
          </w:p>
        </w:tc>
        <w:tc>
          <w:tcPr>
            <w:tcW w:type="dxa" w:w="794"/>
            <w:vAlign w:val="top"/>
            <w:shd w:val="clear" w:color="auto" w:fill="FDF0F7"/>
          </w:tcPr>
          <w:p>
            <w:pPr>
              <w:spacing w:after="20" w:line="252" w:lineRule="auto"/>
            </w:pPr>
            <w:r>
              <w:rPr>
                <w:b w:val="0"/>
                <w:i w:val="0"/>
                <w:sz w:val="16"/>
              </w:rPr>
              <w:t>–</w:t>
            </w:r>
          </w:p>
        </w:tc>
        <w:tc>
          <w:tcPr>
            <w:tcW w:type="dxa" w:w="1361"/>
            <w:vAlign w:val="top"/>
            <w:shd w:val="clear" w:color="auto" w:fill="FDF0F7"/>
          </w:tcPr>
          <w:p>
            <w:pPr>
              <w:spacing w:after="20" w:line="252" w:lineRule="auto"/>
            </w:pPr>
            <w:r>
              <w:rPr>
                <w:b w:val="0"/>
                <w:i w:val="0"/>
                <w:sz w:val="16"/>
              </w:rPr>
              <w:t>500 GB</w:t>
            </w:r>
          </w:p>
        </w:tc>
        <w:tc>
          <w:tcPr>
            <w:tcW w:type="dxa" w:w="3515"/>
            <w:vAlign w:val="top"/>
            <w:shd w:val="clear" w:color="auto" w:fill="FDF0F7"/>
          </w:tcPr>
          <w:p>
            <w:pPr>
              <w:spacing w:after="20" w:line="252" w:lineRule="auto"/>
            </w:pPr>
            <w:r>
              <w:rPr>
                <w:b w:val="0"/>
                <w:i w:val="0"/>
                <w:sz w:val="16"/>
              </w:rPr>
              <w:t>NFS export, encrypted volume</w:t>
            </w:r>
          </w:p>
        </w:tc>
      </w:tr>
      <w:tr>
        <w:trPr>
          <w:cantSplit/>
        </w:trPr>
        <w:tc>
          <w:tcPr>
            <w:tcW w:type="dxa" w:w="2041"/>
            <w:vAlign w:val="top"/>
          </w:tcPr>
          <w:p>
            <w:pPr>
              <w:spacing w:after="20" w:line="252" w:lineRule="auto"/>
            </w:pPr>
            <w:r>
              <w:rPr>
                <w:b w:val="0"/>
                <w:i w:val="0"/>
                <w:sz w:val="16"/>
              </w:rPr>
              <w:t>Backup repository</w:t>
            </w:r>
          </w:p>
        </w:tc>
        <w:tc>
          <w:tcPr>
            <w:tcW w:type="dxa" w:w="1247"/>
            <w:vAlign w:val="top"/>
          </w:tcPr>
          <w:p>
            <w:pPr>
              <w:spacing w:after="20" w:line="252" w:lineRule="auto"/>
            </w:pPr>
            <w:r>
              <w:rPr>
                <w:b w:val="0"/>
                <w:i w:val="0"/>
                <w:sz w:val="16"/>
              </w:rPr>
              <w:t>1</w:t>
            </w:r>
          </w:p>
        </w:tc>
        <w:tc>
          <w:tcPr>
            <w:tcW w:type="dxa" w:w="680"/>
            <w:vAlign w:val="top"/>
          </w:tcPr>
          <w:p>
            <w:pPr>
              <w:spacing w:after="20" w:line="252" w:lineRule="auto"/>
            </w:pPr>
            <w:r>
              <w:rPr>
                <w:b w:val="0"/>
                <w:i w:val="0"/>
                <w:sz w:val="16"/>
              </w:rPr>
              <w:t>–</w:t>
            </w:r>
          </w:p>
        </w:tc>
        <w:tc>
          <w:tcPr>
            <w:tcW w:type="dxa" w:w="794"/>
            <w:vAlign w:val="top"/>
          </w:tcPr>
          <w:p>
            <w:pPr>
              <w:spacing w:after="20" w:line="252" w:lineRule="auto"/>
            </w:pPr>
            <w:r>
              <w:rPr>
                <w:b w:val="0"/>
                <w:i w:val="0"/>
                <w:sz w:val="16"/>
              </w:rPr>
              <w:t>–</w:t>
            </w:r>
          </w:p>
        </w:tc>
        <w:tc>
          <w:tcPr>
            <w:tcW w:type="dxa" w:w="1361"/>
            <w:vAlign w:val="top"/>
          </w:tcPr>
          <w:p>
            <w:pPr>
              <w:spacing w:after="20" w:line="252" w:lineRule="auto"/>
            </w:pPr>
            <w:r>
              <w:rPr>
                <w:b w:val="0"/>
                <w:i w:val="0"/>
                <w:sz w:val="16"/>
              </w:rPr>
              <w:t>1 TB</w:t>
            </w:r>
          </w:p>
        </w:tc>
        <w:tc>
          <w:tcPr>
            <w:tcW w:type="dxa" w:w="3515"/>
            <w:vAlign w:val="top"/>
          </w:tcPr>
          <w:p>
            <w:pPr>
              <w:spacing w:after="20" w:line="252" w:lineRule="auto"/>
            </w:pPr>
            <w:r>
              <w:rPr>
                <w:b w:val="0"/>
                <w:i w:val="0"/>
                <w:sz w:val="16"/>
              </w:rPr>
              <w:t>pgBackRest repository, document backups</w:t>
            </w:r>
          </w:p>
        </w:tc>
      </w:tr>
      <w:tr>
        <w:trPr>
          <w:cantSplit/>
        </w:trPr>
        <w:tc>
          <w:tcPr>
            <w:tcW w:type="dxa" w:w="2041"/>
            <w:vAlign w:val="top"/>
            <w:shd w:val="clear" w:color="auto" w:fill="FDF0F7"/>
          </w:tcPr>
          <w:p>
            <w:pPr>
              <w:spacing w:after="20" w:line="252" w:lineRule="auto"/>
            </w:pPr>
            <w:r>
              <w:rPr>
                <w:b w:val="0"/>
                <w:i w:val="0"/>
                <w:sz w:val="16"/>
              </w:rPr>
              <w:t>Monitoring</w:t>
            </w:r>
          </w:p>
        </w:tc>
        <w:tc>
          <w:tcPr>
            <w:tcW w:type="dxa" w:w="1247"/>
            <w:vAlign w:val="top"/>
            <w:shd w:val="clear" w:color="auto" w:fill="FDF0F7"/>
          </w:tcPr>
          <w:p>
            <w:pPr>
              <w:spacing w:after="20" w:line="252" w:lineRule="auto"/>
            </w:pPr>
            <w:r>
              <w:rPr>
                <w:b w:val="0"/>
                <w:i w:val="0"/>
                <w:sz w:val="16"/>
              </w:rPr>
              <w:t>1 (or existing)</w:t>
            </w:r>
          </w:p>
        </w:tc>
        <w:tc>
          <w:tcPr>
            <w:tcW w:type="dxa" w:w="680"/>
            <w:vAlign w:val="top"/>
            <w:shd w:val="clear" w:color="auto" w:fill="FDF0F7"/>
          </w:tcPr>
          <w:p>
            <w:pPr>
              <w:spacing w:after="20" w:line="252" w:lineRule="auto"/>
            </w:pPr>
            <w:r>
              <w:rPr>
                <w:b w:val="0"/>
                <w:i w:val="0"/>
                <w:sz w:val="16"/>
              </w:rPr>
              <w:t>2</w:t>
            </w:r>
          </w:p>
        </w:tc>
        <w:tc>
          <w:tcPr>
            <w:tcW w:type="dxa" w:w="794"/>
            <w:vAlign w:val="top"/>
            <w:shd w:val="clear" w:color="auto" w:fill="FDF0F7"/>
          </w:tcPr>
          <w:p>
            <w:pPr>
              <w:spacing w:after="20" w:line="252" w:lineRule="auto"/>
            </w:pPr>
            <w:r>
              <w:rPr>
                <w:b w:val="0"/>
                <w:i w:val="0"/>
                <w:sz w:val="16"/>
              </w:rPr>
              <w:t>4 GB</w:t>
            </w:r>
          </w:p>
        </w:tc>
        <w:tc>
          <w:tcPr>
            <w:tcW w:type="dxa" w:w="1361"/>
            <w:vAlign w:val="top"/>
            <w:shd w:val="clear" w:color="auto" w:fill="FDF0F7"/>
          </w:tcPr>
          <w:p>
            <w:pPr>
              <w:spacing w:after="20" w:line="252" w:lineRule="auto"/>
            </w:pPr>
            <w:r>
              <w:rPr>
                <w:b w:val="0"/>
                <w:i w:val="0"/>
                <w:sz w:val="16"/>
              </w:rPr>
              <w:t>100 GB</w:t>
            </w:r>
          </w:p>
        </w:tc>
        <w:tc>
          <w:tcPr>
            <w:tcW w:type="dxa" w:w="3515"/>
            <w:vAlign w:val="top"/>
            <w:shd w:val="clear" w:color="auto" w:fill="FDF0F7"/>
          </w:tcPr>
          <w:p>
            <w:pPr>
              <w:spacing w:after="20" w:line="252" w:lineRule="auto"/>
            </w:pPr>
            <w:r>
              <w:rPr>
                <w:b w:val="0"/>
                <w:i w:val="0"/>
                <w:sz w:val="16"/>
              </w:rPr>
              <w:t>Prometheus, Grafana, log collector</w:t>
            </w:r>
          </w:p>
        </w:tc>
      </w:tr>
      <w:tr>
        <w:trPr>
          <w:cantSplit/>
        </w:trPr>
        <w:tc>
          <w:tcPr>
            <w:tcW w:type="dxa" w:w="3515"/>
            <w:gridSpan w:val="6"/>
            <w:shd w:val="clear" w:color="auto" w:fill="FEEBDD"/>
          </w:tcPr>
          <w:p>
            <w:pPr>
              <w:keepNext/>
              <w:spacing w:after="0"/>
            </w:pPr>
            <w:r>
              <w:rPr>
                <w:b/>
                <w:i w:val="0"/>
                <w:color w:val="333333"/>
                <w:sz w:val="16"/>
              </w:rPr>
              <w:t>Non-production</w:t>
            </w:r>
          </w:p>
        </w:tc>
      </w:tr>
      <w:tr>
        <w:trPr>
          <w:cantSplit/>
        </w:trPr>
        <w:tc>
          <w:tcPr>
            <w:tcW w:type="dxa" w:w="2041"/>
            <w:vAlign w:val="top"/>
          </w:tcPr>
          <w:p>
            <w:pPr>
              <w:spacing w:after="20" w:line="252" w:lineRule="auto"/>
            </w:pPr>
            <w:r>
              <w:rPr>
                <w:b w:val="0"/>
                <w:i w:val="0"/>
                <w:sz w:val="16"/>
              </w:rPr>
              <w:t>SIT</w:t>
            </w:r>
          </w:p>
        </w:tc>
        <w:tc>
          <w:tcPr>
            <w:tcW w:type="dxa" w:w="1247"/>
            <w:vAlign w:val="top"/>
          </w:tcPr>
          <w:p>
            <w:pPr>
              <w:spacing w:after="20" w:line="252" w:lineRule="auto"/>
            </w:pPr>
            <w:r>
              <w:rPr>
                <w:b w:val="0"/>
                <w:i w:val="0"/>
                <w:sz w:val="16"/>
              </w:rPr>
              <w:t>1</w:t>
            </w:r>
          </w:p>
        </w:tc>
        <w:tc>
          <w:tcPr>
            <w:tcW w:type="dxa" w:w="680"/>
            <w:vAlign w:val="top"/>
          </w:tcPr>
          <w:p>
            <w:pPr>
              <w:spacing w:after="20" w:line="252" w:lineRule="auto"/>
            </w:pPr>
            <w:r>
              <w:rPr>
                <w:b w:val="0"/>
                <w:i w:val="0"/>
                <w:sz w:val="16"/>
              </w:rPr>
              <w:t>4</w:t>
            </w:r>
          </w:p>
        </w:tc>
        <w:tc>
          <w:tcPr>
            <w:tcW w:type="dxa" w:w="794"/>
            <w:vAlign w:val="top"/>
          </w:tcPr>
          <w:p>
            <w:pPr>
              <w:spacing w:after="20" w:line="252" w:lineRule="auto"/>
            </w:pPr>
            <w:r>
              <w:rPr>
                <w:b w:val="0"/>
                <w:i w:val="0"/>
                <w:sz w:val="16"/>
              </w:rPr>
              <w:t>16 GB</w:t>
            </w:r>
          </w:p>
        </w:tc>
        <w:tc>
          <w:tcPr>
            <w:tcW w:type="dxa" w:w="1361"/>
            <w:vAlign w:val="top"/>
          </w:tcPr>
          <w:p>
            <w:pPr>
              <w:spacing w:after="20" w:line="252" w:lineRule="auto"/>
            </w:pPr>
            <w:r>
              <w:rPr>
                <w:b w:val="0"/>
                <w:i w:val="0"/>
                <w:sz w:val="16"/>
              </w:rPr>
              <w:t>200 GB</w:t>
            </w:r>
          </w:p>
        </w:tc>
        <w:tc>
          <w:tcPr>
            <w:tcW w:type="dxa" w:w="3515"/>
            <w:vAlign w:val="top"/>
          </w:tcPr>
          <w:p>
            <w:pPr>
              <w:spacing w:after="20" w:line="252" w:lineRule="auto"/>
            </w:pPr>
            <w:r>
              <w:rPr>
                <w:b w:val="0"/>
                <w:i w:val="0"/>
                <w:sz w:val="16"/>
              </w:rPr>
              <w:t>Compose: web, api, clamav, PostgreSQL</w:t>
            </w:r>
          </w:p>
        </w:tc>
      </w:tr>
      <w:tr>
        <w:trPr>
          <w:cantSplit/>
        </w:trPr>
        <w:tc>
          <w:tcPr>
            <w:tcW w:type="dxa" w:w="2041"/>
            <w:vAlign w:val="top"/>
            <w:shd w:val="clear" w:color="auto" w:fill="FDF0F7"/>
          </w:tcPr>
          <w:p>
            <w:pPr>
              <w:spacing w:after="20" w:line="252" w:lineRule="auto"/>
            </w:pPr>
            <w:r>
              <w:rPr>
                <w:b w:val="0"/>
                <w:i w:val="0"/>
                <w:sz w:val="16"/>
              </w:rPr>
              <w:t>UAT</w:t>
            </w:r>
          </w:p>
        </w:tc>
        <w:tc>
          <w:tcPr>
            <w:tcW w:type="dxa" w:w="1247"/>
            <w:vAlign w:val="top"/>
            <w:shd w:val="clear" w:color="auto" w:fill="FDF0F7"/>
          </w:tcPr>
          <w:p>
            <w:pPr>
              <w:spacing w:after="20" w:line="252" w:lineRule="auto"/>
            </w:pPr>
            <w:r>
              <w:rPr>
                <w:b w:val="0"/>
                <w:i w:val="0"/>
                <w:sz w:val="16"/>
              </w:rPr>
              <w:t>1</w:t>
            </w:r>
          </w:p>
        </w:tc>
        <w:tc>
          <w:tcPr>
            <w:tcW w:type="dxa" w:w="680"/>
            <w:vAlign w:val="top"/>
            <w:shd w:val="clear" w:color="auto" w:fill="FDF0F7"/>
          </w:tcPr>
          <w:p>
            <w:pPr>
              <w:spacing w:after="20" w:line="252" w:lineRule="auto"/>
            </w:pPr>
            <w:r>
              <w:rPr>
                <w:b w:val="0"/>
                <w:i w:val="0"/>
                <w:sz w:val="16"/>
              </w:rPr>
              <w:t>4</w:t>
            </w:r>
          </w:p>
        </w:tc>
        <w:tc>
          <w:tcPr>
            <w:tcW w:type="dxa" w:w="794"/>
            <w:vAlign w:val="top"/>
            <w:shd w:val="clear" w:color="auto" w:fill="FDF0F7"/>
          </w:tcPr>
          <w:p>
            <w:pPr>
              <w:spacing w:after="20" w:line="252" w:lineRule="auto"/>
            </w:pPr>
            <w:r>
              <w:rPr>
                <w:b w:val="0"/>
                <w:i w:val="0"/>
                <w:sz w:val="16"/>
              </w:rPr>
              <w:t>16 GB</w:t>
            </w:r>
          </w:p>
        </w:tc>
        <w:tc>
          <w:tcPr>
            <w:tcW w:type="dxa" w:w="1361"/>
            <w:vAlign w:val="top"/>
            <w:shd w:val="clear" w:color="auto" w:fill="FDF0F7"/>
          </w:tcPr>
          <w:p>
            <w:pPr>
              <w:spacing w:after="20" w:line="252" w:lineRule="auto"/>
            </w:pPr>
            <w:r>
              <w:rPr>
                <w:b w:val="0"/>
                <w:i w:val="0"/>
                <w:sz w:val="16"/>
              </w:rPr>
              <w:t>200 GB</w:t>
            </w:r>
          </w:p>
        </w:tc>
        <w:tc>
          <w:tcPr>
            <w:tcW w:type="dxa" w:w="3515"/>
            <w:vAlign w:val="top"/>
            <w:shd w:val="clear" w:color="auto" w:fill="FDF0F7"/>
          </w:tcPr>
          <w:p>
            <w:pPr>
              <w:spacing w:after="20" w:line="252" w:lineRule="auto"/>
            </w:pPr>
            <w:r>
              <w:rPr>
                <w:b w:val="0"/>
                <w:i w:val="0"/>
                <w:sz w:val="16"/>
              </w:rPr>
              <w:t>Compose: web, api, clamav, PostgreSQL</w:t>
            </w:r>
          </w:p>
        </w:tc>
      </w:tr>
      <w:tr>
        <w:trPr>
          <w:cantSplit/>
        </w:trPr>
        <w:tc>
          <w:tcPr>
            <w:tcW w:type="dxa" w:w="3515"/>
            <w:gridSpan w:val="6"/>
            <w:shd w:val="clear" w:color="auto" w:fill="FEEBDD"/>
          </w:tcPr>
          <w:p>
            <w:pPr>
              <w:keepNext/>
              <w:spacing w:after="0"/>
            </w:pPr>
            <w:r>
              <w:rPr>
                <w:b/>
                <w:i w:val="0"/>
                <w:color w:val="333333"/>
                <w:sz w:val="16"/>
              </w:rPr>
              <w:t>DR site</w:t>
            </w:r>
          </w:p>
        </w:tc>
      </w:tr>
      <w:tr>
        <w:trPr>
          <w:cantSplit/>
        </w:trPr>
        <w:tc>
          <w:tcPr>
            <w:tcW w:type="dxa" w:w="2041"/>
            <w:vAlign w:val="top"/>
          </w:tcPr>
          <w:p>
            <w:pPr>
              <w:spacing w:after="20" w:line="252" w:lineRule="auto"/>
            </w:pPr>
            <w:r>
              <w:rPr>
                <w:b w:val="0"/>
                <w:i w:val="0"/>
                <w:sz w:val="16"/>
              </w:rPr>
              <w:t>Application VM</w:t>
            </w:r>
          </w:p>
        </w:tc>
        <w:tc>
          <w:tcPr>
            <w:tcW w:type="dxa" w:w="1247"/>
            <w:vAlign w:val="top"/>
          </w:tcPr>
          <w:p>
            <w:pPr>
              <w:spacing w:after="20" w:line="252" w:lineRule="auto"/>
            </w:pPr>
            <w:r>
              <w:rPr>
                <w:b w:val="0"/>
                <w:i w:val="0"/>
                <w:sz w:val="16"/>
              </w:rPr>
              <w:t>1</w:t>
            </w:r>
          </w:p>
        </w:tc>
        <w:tc>
          <w:tcPr>
            <w:tcW w:type="dxa" w:w="680"/>
            <w:vAlign w:val="top"/>
          </w:tcPr>
          <w:p>
            <w:pPr>
              <w:spacing w:after="20" w:line="252" w:lineRule="auto"/>
            </w:pPr>
            <w:r>
              <w:rPr>
                <w:b w:val="0"/>
                <w:i w:val="0"/>
                <w:sz w:val="16"/>
              </w:rPr>
              <w:t>4</w:t>
            </w:r>
          </w:p>
        </w:tc>
        <w:tc>
          <w:tcPr>
            <w:tcW w:type="dxa" w:w="794"/>
            <w:vAlign w:val="top"/>
          </w:tcPr>
          <w:p>
            <w:pPr>
              <w:spacing w:after="20" w:line="252" w:lineRule="auto"/>
            </w:pPr>
            <w:r>
              <w:rPr>
                <w:b w:val="0"/>
                <w:i w:val="0"/>
                <w:sz w:val="16"/>
              </w:rPr>
              <w:t>8 GB</w:t>
            </w:r>
          </w:p>
        </w:tc>
        <w:tc>
          <w:tcPr>
            <w:tcW w:type="dxa" w:w="1361"/>
            <w:vAlign w:val="top"/>
          </w:tcPr>
          <w:p>
            <w:pPr>
              <w:spacing w:after="20" w:line="252" w:lineRule="auto"/>
            </w:pPr>
            <w:r>
              <w:rPr>
                <w:b w:val="0"/>
                <w:i w:val="0"/>
                <w:sz w:val="16"/>
              </w:rPr>
              <w:t>100 GB</w:t>
            </w:r>
          </w:p>
        </w:tc>
        <w:tc>
          <w:tcPr>
            <w:tcW w:type="dxa" w:w="3515"/>
            <w:vAlign w:val="top"/>
          </w:tcPr>
          <w:p>
            <w:pPr>
              <w:spacing w:after="20" w:line="252" w:lineRule="auto"/>
            </w:pPr>
            <w:r>
              <w:rPr>
                <w:b w:val="0"/>
                <w:i w:val="0"/>
                <w:sz w:val="16"/>
              </w:rPr>
              <w:t>Cold standby, same images</w:t>
            </w:r>
          </w:p>
        </w:tc>
      </w:tr>
      <w:tr>
        <w:trPr>
          <w:cantSplit/>
        </w:trPr>
        <w:tc>
          <w:tcPr>
            <w:tcW w:type="dxa" w:w="2041"/>
            <w:vAlign w:val="top"/>
            <w:shd w:val="clear" w:color="auto" w:fill="FDF0F7"/>
          </w:tcPr>
          <w:p>
            <w:pPr>
              <w:spacing w:after="20" w:line="252" w:lineRule="auto"/>
            </w:pPr>
            <w:r>
              <w:rPr>
                <w:b w:val="0"/>
                <w:i w:val="0"/>
                <w:sz w:val="16"/>
              </w:rPr>
              <w:t>Database VM</w:t>
            </w:r>
          </w:p>
        </w:tc>
        <w:tc>
          <w:tcPr>
            <w:tcW w:type="dxa" w:w="1247"/>
            <w:vAlign w:val="top"/>
            <w:shd w:val="clear" w:color="auto" w:fill="FDF0F7"/>
          </w:tcPr>
          <w:p>
            <w:pPr>
              <w:spacing w:after="20" w:line="252" w:lineRule="auto"/>
            </w:pPr>
            <w:r>
              <w:rPr>
                <w:b w:val="0"/>
                <w:i w:val="0"/>
                <w:sz w:val="16"/>
              </w:rPr>
              <w:t>1</w:t>
            </w:r>
          </w:p>
        </w:tc>
        <w:tc>
          <w:tcPr>
            <w:tcW w:type="dxa" w:w="680"/>
            <w:vAlign w:val="top"/>
            <w:shd w:val="clear" w:color="auto" w:fill="FDF0F7"/>
          </w:tcPr>
          <w:p>
            <w:pPr>
              <w:spacing w:after="20" w:line="252" w:lineRule="auto"/>
            </w:pPr>
            <w:r>
              <w:rPr>
                <w:b w:val="0"/>
                <w:i w:val="0"/>
                <w:sz w:val="16"/>
              </w:rPr>
              <w:t>4</w:t>
            </w:r>
          </w:p>
        </w:tc>
        <w:tc>
          <w:tcPr>
            <w:tcW w:type="dxa" w:w="794"/>
            <w:vAlign w:val="top"/>
            <w:shd w:val="clear" w:color="auto" w:fill="FDF0F7"/>
          </w:tcPr>
          <w:p>
            <w:pPr>
              <w:spacing w:after="20" w:line="252" w:lineRule="auto"/>
            </w:pPr>
            <w:r>
              <w:rPr>
                <w:b w:val="0"/>
                <w:i w:val="0"/>
                <w:sz w:val="16"/>
              </w:rPr>
              <w:t>16 GB</w:t>
            </w:r>
          </w:p>
        </w:tc>
        <w:tc>
          <w:tcPr>
            <w:tcW w:type="dxa" w:w="1361"/>
            <w:vAlign w:val="top"/>
            <w:shd w:val="clear" w:color="auto" w:fill="FDF0F7"/>
          </w:tcPr>
          <w:p>
            <w:pPr>
              <w:spacing w:after="20" w:line="252" w:lineRule="auto"/>
            </w:pPr>
            <w:r>
              <w:rPr>
                <w:b w:val="0"/>
                <w:i w:val="0"/>
                <w:sz w:val="16"/>
              </w:rPr>
              <w:t>200 GB SSD</w:t>
            </w:r>
          </w:p>
        </w:tc>
        <w:tc>
          <w:tcPr>
            <w:tcW w:type="dxa" w:w="3515"/>
            <w:vAlign w:val="top"/>
            <w:shd w:val="clear" w:color="auto" w:fill="FDF0F7"/>
          </w:tcPr>
          <w:p>
            <w:pPr>
              <w:spacing w:after="20" w:line="252" w:lineRule="auto"/>
            </w:pPr>
            <w:r>
              <w:rPr>
                <w:b w:val="0"/>
                <w:i w:val="0"/>
                <w:sz w:val="16"/>
              </w:rPr>
              <w:t>Asynchronous replica</w:t>
            </w:r>
          </w:p>
        </w:tc>
      </w:tr>
      <w:tr>
        <w:trPr>
          <w:cantSplit/>
        </w:trPr>
        <w:tc>
          <w:tcPr>
            <w:tcW w:type="dxa" w:w="2041"/>
            <w:vAlign w:val="top"/>
          </w:tcPr>
          <w:p>
            <w:pPr>
              <w:spacing w:after="20" w:line="252" w:lineRule="auto"/>
            </w:pPr>
            <w:r>
              <w:rPr>
                <w:b w:val="0"/>
                <w:i w:val="0"/>
                <w:sz w:val="16"/>
              </w:rPr>
              <w:t>Document and backup copies</w:t>
            </w:r>
          </w:p>
        </w:tc>
        <w:tc>
          <w:tcPr>
            <w:tcW w:type="dxa" w:w="1247"/>
            <w:vAlign w:val="top"/>
          </w:tcPr>
          <w:p>
            <w:pPr>
              <w:spacing w:after="20" w:line="252" w:lineRule="auto"/>
            </w:pPr>
            <w:r>
              <w:rPr>
                <w:b w:val="0"/>
                <w:i w:val="0"/>
                <w:sz w:val="16"/>
              </w:rPr>
              <w:t>–</w:t>
            </w:r>
          </w:p>
        </w:tc>
        <w:tc>
          <w:tcPr>
            <w:tcW w:type="dxa" w:w="680"/>
            <w:vAlign w:val="top"/>
          </w:tcPr>
          <w:p>
            <w:pPr>
              <w:spacing w:after="20" w:line="252" w:lineRule="auto"/>
            </w:pPr>
            <w:r>
              <w:rPr>
                <w:b w:val="0"/>
                <w:i w:val="0"/>
                <w:sz w:val="16"/>
              </w:rPr>
              <w:t>–</w:t>
            </w:r>
          </w:p>
        </w:tc>
        <w:tc>
          <w:tcPr>
            <w:tcW w:type="dxa" w:w="794"/>
            <w:vAlign w:val="top"/>
          </w:tcPr>
          <w:p>
            <w:pPr>
              <w:spacing w:after="20" w:line="252" w:lineRule="auto"/>
            </w:pPr>
            <w:r>
              <w:rPr>
                <w:b w:val="0"/>
                <w:i w:val="0"/>
                <w:sz w:val="16"/>
              </w:rPr>
              <w:t>–</w:t>
            </w:r>
          </w:p>
        </w:tc>
        <w:tc>
          <w:tcPr>
            <w:tcW w:type="dxa" w:w="1361"/>
            <w:vAlign w:val="top"/>
          </w:tcPr>
          <w:p>
            <w:pPr>
              <w:spacing w:after="20" w:line="252" w:lineRule="auto"/>
            </w:pPr>
            <w:r>
              <w:rPr>
                <w:b w:val="0"/>
                <w:i w:val="0"/>
                <w:sz w:val="16"/>
              </w:rPr>
              <w:t>500 GB + 1 TB</w:t>
            </w:r>
          </w:p>
        </w:tc>
        <w:tc>
          <w:tcPr>
            <w:tcW w:type="dxa" w:w="3515"/>
            <w:vAlign w:val="top"/>
          </w:tcPr>
          <w:p>
            <w:pPr>
              <w:spacing w:after="20" w:line="252" w:lineRule="auto"/>
            </w:pPr>
            <w:r>
              <w:rPr>
                <w:b w:val="0"/>
                <w:i w:val="0"/>
                <w:sz w:val="16"/>
              </w:rPr>
              <w:t>rsync target, backup copy</w:t>
            </w:r>
          </w:p>
        </w:tc>
      </w:tr>
    </w:tbl>
    <w:p>
      <w:pPr>
        <w:pStyle w:val="Caption"/>
        <w:jc w:val="center"/>
      </w:pPr>
      <w:r>
        <w:rPr>
          <w:b w:val="0"/>
          <w:i w:val="0"/>
        </w:rPr>
        <w:t>Table 27: On-premise sizing (Option A)</w:t>
      </w:r>
    </w:p>
    <w:p>
      <w:pPr>
        <w:keepNext w:val="0"/>
      </w:pPr>
      <w:r>
        <w:rPr>
          <w:b w:val="0"/>
          <w:i w:val="0"/>
        </w:rPr>
        <w:t>Operating system: Red Hat Enterprise Linux 9 or Ubuntu 24.04 LTS, hardened to the IITH baseline. Each application VM has spare capacity for a second API container if load grows. ClamAV needs about 1.5 GB of memory for its signature database, which is included.</w:t>
      </w:r>
    </w:p>
    <w:p>
      <w:pPr>
        <w:pStyle w:val="Heading2"/>
      </w:pPr>
      <w:r>
        <w:t>10.3 Cloud services (Option B)</w:t>
      </w:r>
    </w:p>
    <w:p>
      <w:pPr>
        <w:keepNext w:val="0"/>
      </w:pPr>
      <w:r>
        <w:rPr>
          <w:b w:val="0"/>
          <w:i w:val="0"/>
        </w:rPr>
        <w:t>The reference sizing below is the basis of the cloud infrastructure estimate in the proposal; both are read from the same source. Charges are recharged at the provider's cost, or paid by IIFT directly, and move with usage and exchange rates. The estimate is about B$ 1,330 a month for the production run (UAT and the DR pilot light included), plus scaled-down project environments for 5 months before go-live; the one-off set-up and the managed services fee are in the proposal.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4762"/>
        <w:gridCol w:w="1474"/>
      </w:tblGrid>
      <w:tr>
        <w:trPr>
          <w:cantSplit/>
          <w:tblHeader/>
        </w:trPr>
        <w:tc>
          <w:tcPr>
            <w:tcW w:type="dxa" w:w="3402"/>
            <w:shd w:val="clear" w:color="auto" w:fill="E1058C"/>
            <w:vAlign w:val="center"/>
          </w:tcPr>
          <w:p>
            <w:pPr>
              <w:spacing w:after="0"/>
            </w:pPr>
            <w:r>
              <w:rPr>
                <w:b/>
                <w:i w:val="0"/>
                <w:color w:val="FFFFFF"/>
                <w:sz w:val="16"/>
              </w:rPr>
              <w:t>Service</w:t>
            </w:r>
          </w:p>
        </w:tc>
        <w:tc>
          <w:tcPr>
            <w:tcW w:type="dxa" w:w="4762"/>
            <w:shd w:val="clear" w:color="auto" w:fill="E1058C"/>
            <w:vAlign w:val="center"/>
          </w:tcPr>
          <w:p>
            <w:pPr>
              <w:spacing w:after="0"/>
            </w:pPr>
            <w:r>
              <w:rPr>
                <w:b/>
                <w:i w:val="0"/>
                <w:color w:val="FFFFFF"/>
                <w:sz w:val="16"/>
              </w:rPr>
              <w:t>Reference sizing</w:t>
            </w:r>
          </w:p>
        </w:tc>
        <w:tc>
          <w:tcPr>
            <w:tcW w:type="dxa" w:w="1474"/>
            <w:shd w:val="clear" w:color="auto" w:fill="E1058C"/>
            <w:vAlign w:val="center"/>
          </w:tcPr>
          <w:p>
            <w:pPr>
              <w:spacing w:after="0"/>
            </w:pPr>
            <w:r>
              <w:rPr>
                <w:b/>
                <w:i w:val="0"/>
                <w:color w:val="FFFFFF"/>
                <w:sz w:val="16"/>
              </w:rPr>
              <w:t>Estimate B$ / month</w:t>
            </w:r>
          </w:p>
        </w:tc>
      </w:tr>
      <w:tr>
        <w:trPr>
          <w:cantSplit/>
        </w:trPr>
        <w:tc>
          <w:tcPr>
            <w:tcW w:type="dxa" w:w="3402"/>
            <w:vAlign w:val="top"/>
          </w:tcPr>
          <w:p>
            <w:pPr>
              <w:spacing w:after="20" w:line="252" w:lineRule="auto"/>
            </w:pPr>
            <w:r>
              <w:rPr>
                <w:b w:val="0"/>
                <w:i w:val="0"/>
                <w:sz w:val="16"/>
              </w:rPr>
              <w:t>Container compute, 2 tasks across 2 availability zones</w:t>
            </w:r>
          </w:p>
        </w:tc>
        <w:tc>
          <w:tcPr>
            <w:tcW w:type="dxa" w:w="4762"/>
            <w:vAlign w:val="top"/>
          </w:tcPr>
          <w:p>
            <w:pPr>
              <w:spacing w:after="20" w:line="252" w:lineRule="auto"/>
            </w:pPr>
            <w:r>
              <w:rPr>
                <w:b w:val="0"/>
                <w:i w:val="0"/>
                <w:sz w:val="16"/>
              </w:rPr>
              <w:t>2 tasks × (1 vCPU, 2 GB) incl. ClamAV sidecar; scales to 4 tasks</w:t>
            </w:r>
          </w:p>
        </w:tc>
        <w:tc>
          <w:tcPr>
            <w:tcW w:type="dxa" w:w="1474"/>
            <w:vAlign w:val="top"/>
          </w:tcPr>
          <w:p>
            <w:pPr>
              <w:spacing w:after="20" w:line="252" w:lineRule="auto"/>
              <w:jc w:val="right"/>
            </w:pPr>
            <w:r>
              <w:rPr>
                <w:b w:val="0"/>
                <w:i w:val="0"/>
                <w:sz w:val="16"/>
              </w:rPr>
              <w:t>B$ 260</w:t>
            </w:r>
          </w:p>
        </w:tc>
      </w:tr>
      <w:tr>
        <w:trPr>
          <w:cantSplit/>
        </w:trPr>
        <w:tc>
          <w:tcPr>
            <w:tcW w:type="dxa" w:w="3402"/>
            <w:vAlign w:val="top"/>
            <w:shd w:val="clear" w:color="auto" w:fill="FDF0F7"/>
          </w:tcPr>
          <w:p>
            <w:pPr>
              <w:spacing w:after="20" w:line="252" w:lineRule="auto"/>
            </w:pPr>
            <w:r>
              <w:rPr>
                <w:b w:val="0"/>
                <w:i w:val="0"/>
                <w:sz w:val="16"/>
              </w:rPr>
              <w:t>Managed PostgreSQL, Multi-AZ, 100 GB, automated backups</w:t>
            </w:r>
          </w:p>
        </w:tc>
        <w:tc>
          <w:tcPr>
            <w:tcW w:type="dxa" w:w="4762"/>
            <w:vAlign w:val="top"/>
            <w:shd w:val="clear" w:color="auto" w:fill="FDF0F7"/>
          </w:tcPr>
          <w:p>
            <w:pPr>
              <w:spacing w:after="20" w:line="252" w:lineRule="auto"/>
            </w:pPr>
            <w:r>
              <w:rPr>
                <w:b w:val="0"/>
                <w:i w:val="0"/>
                <w:sz w:val="16"/>
              </w:rPr>
              <w:t>db.t4g.large (2 vCPU, 8 GB), Multi-AZ, 100 GB gp3, 35-day backups and PITR</w:t>
            </w:r>
          </w:p>
        </w:tc>
        <w:tc>
          <w:tcPr>
            <w:tcW w:type="dxa" w:w="1474"/>
            <w:vAlign w:val="top"/>
            <w:shd w:val="clear" w:color="auto" w:fill="FDF0F7"/>
          </w:tcPr>
          <w:p>
            <w:pPr>
              <w:spacing w:after="20" w:line="252" w:lineRule="auto"/>
              <w:jc w:val="right"/>
            </w:pPr>
            <w:r>
              <w:rPr>
                <w:b w:val="0"/>
                <w:i w:val="0"/>
                <w:sz w:val="16"/>
              </w:rPr>
              <w:t>B$ 420</w:t>
            </w:r>
          </w:p>
        </w:tc>
      </w:tr>
      <w:tr>
        <w:trPr>
          <w:cantSplit/>
        </w:trPr>
        <w:tc>
          <w:tcPr>
            <w:tcW w:type="dxa" w:w="3402"/>
            <w:vAlign w:val="top"/>
          </w:tcPr>
          <w:p>
            <w:pPr>
              <w:spacing w:after="20" w:line="252" w:lineRule="auto"/>
            </w:pPr>
            <w:r>
              <w:rPr>
                <w:b w:val="0"/>
                <w:i w:val="0"/>
                <w:sz w:val="16"/>
              </w:rPr>
              <w:t>Application load balancer and web application firewall</w:t>
            </w:r>
          </w:p>
        </w:tc>
        <w:tc>
          <w:tcPr>
            <w:tcW w:type="dxa" w:w="4762"/>
            <w:vAlign w:val="top"/>
          </w:tcPr>
          <w:p>
            <w:pPr>
              <w:spacing w:after="20" w:line="252" w:lineRule="auto"/>
            </w:pPr>
            <w:r>
              <w:rPr>
                <w:b w:val="0"/>
                <w:i w:val="0"/>
                <w:sz w:val="16"/>
              </w:rPr>
              <w:t>1 load balancer; WAF with managed OWASP rule sets; managed TLS certificate</w:t>
            </w:r>
          </w:p>
        </w:tc>
        <w:tc>
          <w:tcPr>
            <w:tcW w:type="dxa" w:w="1474"/>
            <w:vAlign w:val="top"/>
          </w:tcPr>
          <w:p>
            <w:pPr>
              <w:spacing w:after="20" w:line="252" w:lineRule="auto"/>
              <w:jc w:val="right"/>
            </w:pPr>
            <w:r>
              <w:rPr>
                <w:b w:val="0"/>
                <w:i w:val="0"/>
                <w:sz w:val="16"/>
              </w:rPr>
              <w:t>B$ 130</w:t>
            </w:r>
          </w:p>
        </w:tc>
      </w:tr>
      <w:tr>
        <w:trPr>
          <w:cantSplit/>
        </w:trPr>
        <w:tc>
          <w:tcPr>
            <w:tcW w:type="dxa" w:w="3402"/>
            <w:vAlign w:val="top"/>
            <w:shd w:val="clear" w:color="auto" w:fill="FDF0F7"/>
          </w:tcPr>
          <w:p>
            <w:pPr>
              <w:spacing w:after="20" w:line="252" w:lineRule="auto"/>
            </w:pPr>
            <w:r>
              <w:rPr>
                <w:b w:val="0"/>
                <w:i w:val="0"/>
                <w:sz w:val="16"/>
              </w:rPr>
              <w:t>NAT gateway and data transfer</w:t>
            </w:r>
          </w:p>
        </w:tc>
        <w:tc>
          <w:tcPr>
            <w:tcW w:type="dxa" w:w="4762"/>
            <w:vAlign w:val="top"/>
            <w:shd w:val="clear" w:color="auto" w:fill="FDF0F7"/>
          </w:tcPr>
          <w:p>
            <w:pPr>
              <w:spacing w:after="20" w:line="252" w:lineRule="auto"/>
            </w:pPr>
            <w:r>
              <w:rPr>
                <w:b w:val="0"/>
                <w:i w:val="0"/>
                <w:sz w:val="16"/>
              </w:rPr>
              <w:t>NAT gateway, site-to-site VPN to the IITH data centre, outbound data</w:t>
            </w:r>
          </w:p>
        </w:tc>
        <w:tc>
          <w:tcPr>
            <w:tcW w:type="dxa" w:w="1474"/>
            <w:vAlign w:val="top"/>
            <w:shd w:val="clear" w:color="auto" w:fill="FDF0F7"/>
          </w:tcPr>
          <w:p>
            <w:pPr>
              <w:spacing w:after="20" w:line="252" w:lineRule="auto"/>
              <w:jc w:val="right"/>
            </w:pPr>
            <w:r>
              <w:rPr>
                <w:b w:val="0"/>
                <w:i w:val="0"/>
                <w:sz w:val="16"/>
              </w:rPr>
              <w:t>B$ 90</w:t>
            </w:r>
          </w:p>
        </w:tc>
      </w:tr>
      <w:tr>
        <w:trPr>
          <w:cantSplit/>
        </w:trPr>
        <w:tc>
          <w:tcPr>
            <w:tcW w:type="dxa" w:w="3402"/>
            <w:vAlign w:val="top"/>
          </w:tcPr>
          <w:p>
            <w:pPr>
              <w:spacing w:after="20" w:line="252" w:lineRule="auto"/>
            </w:pPr>
            <w:r>
              <w:rPr>
                <w:b w:val="0"/>
                <w:i w:val="0"/>
                <w:sz w:val="16"/>
              </w:rPr>
              <w:t>Object storage (encrypted) and cross-region backup copies</w:t>
            </w:r>
          </w:p>
        </w:tc>
        <w:tc>
          <w:tcPr>
            <w:tcW w:type="dxa" w:w="4762"/>
            <w:vAlign w:val="top"/>
          </w:tcPr>
          <w:p>
            <w:pPr>
              <w:spacing w:after="20" w:line="252" w:lineRule="auto"/>
            </w:pPr>
            <w:r>
              <w:rPr>
                <w:b w:val="0"/>
                <w:i w:val="0"/>
                <w:sz w:val="16"/>
              </w:rPr>
              <w:t>Shared file storage up to 100 GB; about 200 GB object storage; cross-region copy</w:t>
            </w:r>
          </w:p>
        </w:tc>
        <w:tc>
          <w:tcPr>
            <w:tcW w:type="dxa" w:w="1474"/>
            <w:vAlign w:val="top"/>
          </w:tcPr>
          <w:p>
            <w:pPr>
              <w:spacing w:after="20" w:line="252" w:lineRule="auto"/>
              <w:jc w:val="right"/>
            </w:pPr>
            <w:r>
              <w:rPr>
                <w:b w:val="0"/>
                <w:i w:val="0"/>
                <w:sz w:val="16"/>
              </w:rPr>
              <w:t>B$ 70</w:t>
            </w:r>
          </w:p>
        </w:tc>
      </w:tr>
      <w:tr>
        <w:trPr>
          <w:cantSplit/>
        </w:trPr>
        <w:tc>
          <w:tcPr>
            <w:tcW w:type="dxa" w:w="3402"/>
            <w:vAlign w:val="top"/>
            <w:shd w:val="clear" w:color="auto" w:fill="FDF0F7"/>
          </w:tcPr>
          <w:p>
            <w:pPr>
              <w:spacing w:after="20" w:line="252" w:lineRule="auto"/>
            </w:pPr>
            <w:r>
              <w:rPr>
                <w:b w:val="0"/>
                <w:i w:val="0"/>
                <w:sz w:val="16"/>
              </w:rPr>
              <w:t>Logging, metrics, alarms and threat detection</w:t>
            </w:r>
          </w:p>
        </w:tc>
        <w:tc>
          <w:tcPr>
            <w:tcW w:type="dxa" w:w="4762"/>
            <w:vAlign w:val="top"/>
            <w:shd w:val="clear" w:color="auto" w:fill="FDF0F7"/>
          </w:tcPr>
          <w:p>
            <w:pPr>
              <w:spacing w:after="20" w:line="252" w:lineRule="auto"/>
            </w:pPr>
            <w:r>
              <w:rPr>
                <w:b w:val="0"/>
                <w:i w:val="0"/>
                <w:sz w:val="16"/>
              </w:rPr>
              <w:t>Log retention 90 days, metrics, alarms, threat detection</w:t>
            </w:r>
          </w:p>
        </w:tc>
        <w:tc>
          <w:tcPr>
            <w:tcW w:type="dxa" w:w="1474"/>
            <w:vAlign w:val="top"/>
            <w:shd w:val="clear" w:color="auto" w:fill="FDF0F7"/>
          </w:tcPr>
          <w:p>
            <w:pPr>
              <w:spacing w:after="20" w:line="252" w:lineRule="auto"/>
              <w:jc w:val="right"/>
            </w:pPr>
            <w:r>
              <w:rPr>
                <w:b w:val="0"/>
                <w:i w:val="0"/>
                <w:sz w:val="16"/>
              </w:rPr>
              <w:t>B$ 70</w:t>
            </w:r>
          </w:p>
        </w:tc>
      </w:tr>
      <w:tr>
        <w:trPr>
          <w:cantSplit/>
        </w:trPr>
        <w:tc>
          <w:tcPr>
            <w:tcW w:type="dxa" w:w="3402"/>
            <w:vAlign w:val="top"/>
          </w:tcPr>
          <w:p>
            <w:pPr>
              <w:spacing w:after="20" w:line="252" w:lineRule="auto"/>
            </w:pPr>
            <w:r>
              <w:rPr>
                <w:b w:val="0"/>
                <w:i w:val="0"/>
                <w:sz w:val="16"/>
              </w:rPr>
              <w:t>Secrets and key management</w:t>
            </w:r>
          </w:p>
        </w:tc>
        <w:tc>
          <w:tcPr>
            <w:tcW w:type="dxa" w:w="4762"/>
            <w:vAlign w:val="top"/>
          </w:tcPr>
          <w:p>
            <w:pPr>
              <w:spacing w:after="20" w:line="252" w:lineRule="auto"/>
            </w:pPr>
            <w:r>
              <w:rPr>
                <w:b w:val="0"/>
                <w:i w:val="0"/>
                <w:sz w:val="16"/>
              </w:rPr>
              <w:t>Secrets store and customer-managed encryption keys</w:t>
            </w:r>
          </w:p>
        </w:tc>
        <w:tc>
          <w:tcPr>
            <w:tcW w:type="dxa" w:w="1474"/>
            <w:vAlign w:val="top"/>
          </w:tcPr>
          <w:p>
            <w:pPr>
              <w:spacing w:after="20" w:line="252" w:lineRule="auto"/>
              <w:jc w:val="right"/>
            </w:pPr>
            <w:r>
              <w:rPr>
                <w:b w:val="0"/>
                <w:i w:val="0"/>
                <w:sz w:val="16"/>
              </w:rPr>
              <w:t>B$ 20</w:t>
            </w:r>
          </w:p>
        </w:tc>
      </w:tr>
      <w:tr>
        <w:trPr>
          <w:cantSplit/>
        </w:trPr>
        <w:tc>
          <w:tcPr>
            <w:tcW w:type="dxa" w:w="3402"/>
            <w:vAlign w:val="top"/>
            <w:shd w:val="clear" w:color="auto" w:fill="FDF0F7"/>
          </w:tcPr>
          <w:p>
            <w:pPr>
              <w:spacing w:after="20" w:line="252" w:lineRule="auto"/>
            </w:pPr>
            <w:r>
              <w:rPr>
                <w:b w:val="0"/>
                <w:i w:val="0"/>
                <w:sz w:val="16"/>
              </w:rPr>
              <w:t>UAT environment, scaled down, stopped out of hours</w:t>
            </w:r>
          </w:p>
        </w:tc>
        <w:tc>
          <w:tcPr>
            <w:tcW w:type="dxa" w:w="4762"/>
            <w:vAlign w:val="top"/>
            <w:shd w:val="clear" w:color="auto" w:fill="FDF0F7"/>
          </w:tcPr>
          <w:p>
            <w:pPr>
              <w:spacing w:after="20" w:line="252" w:lineRule="auto"/>
            </w:pPr>
            <w:r>
              <w:rPr>
                <w:b w:val="0"/>
                <w:i w:val="0"/>
                <w:sz w:val="16"/>
              </w:rPr>
              <w:t>1 task and a single-AZ db.t4g.medium; stopped outside test periods</w:t>
            </w:r>
          </w:p>
        </w:tc>
        <w:tc>
          <w:tcPr>
            <w:tcW w:type="dxa" w:w="1474"/>
            <w:vAlign w:val="top"/>
            <w:shd w:val="clear" w:color="auto" w:fill="FDF0F7"/>
          </w:tcPr>
          <w:p>
            <w:pPr>
              <w:spacing w:after="20" w:line="252" w:lineRule="auto"/>
              <w:jc w:val="right"/>
            </w:pPr>
            <w:r>
              <w:rPr>
                <w:b w:val="0"/>
                <w:i w:val="0"/>
                <w:sz w:val="16"/>
              </w:rPr>
              <w:t>B$ 120</w:t>
            </w:r>
          </w:p>
        </w:tc>
      </w:tr>
      <w:tr>
        <w:trPr>
          <w:cantSplit/>
        </w:trPr>
        <w:tc>
          <w:tcPr>
            <w:tcW w:type="dxa" w:w="3402"/>
            <w:vAlign w:val="top"/>
          </w:tcPr>
          <w:p>
            <w:pPr>
              <w:spacing w:after="20" w:line="252" w:lineRule="auto"/>
            </w:pPr>
            <w:r>
              <w:rPr>
                <w:b w:val="0"/>
                <w:i w:val="0"/>
                <w:sz w:val="16"/>
              </w:rPr>
              <w:t>DR environment, pilot light in a second region</w:t>
            </w:r>
          </w:p>
        </w:tc>
        <w:tc>
          <w:tcPr>
            <w:tcW w:type="dxa" w:w="4762"/>
            <w:vAlign w:val="top"/>
          </w:tcPr>
          <w:p>
            <w:pPr>
              <w:spacing w:after="20" w:line="252" w:lineRule="auto"/>
            </w:pPr>
            <w:r>
              <w:rPr>
                <w:b w:val="0"/>
                <w:i w:val="0"/>
                <w:sz w:val="16"/>
              </w:rPr>
              <w:t>Cross-region database replica or snapshots and standby images</w:t>
            </w:r>
          </w:p>
        </w:tc>
        <w:tc>
          <w:tcPr>
            <w:tcW w:type="dxa" w:w="1474"/>
            <w:vAlign w:val="top"/>
          </w:tcPr>
          <w:p>
            <w:pPr>
              <w:spacing w:after="20" w:line="252" w:lineRule="auto"/>
              <w:jc w:val="right"/>
            </w:pPr>
            <w:r>
              <w:rPr>
                <w:b w:val="0"/>
                <w:i w:val="0"/>
                <w:sz w:val="16"/>
              </w:rPr>
              <w:t>B$ 150</w:t>
            </w:r>
          </w:p>
        </w:tc>
      </w:tr>
      <w:tr>
        <w:trPr>
          <w:cantSplit/>
        </w:trPr>
        <w:tc>
          <w:tcPr>
            <w:tcW w:type="dxa" w:w="3402"/>
            <w:vAlign w:val="top"/>
            <w:shd w:val="clear" w:color="auto" w:fill="FEEBDD"/>
          </w:tcPr>
          <w:p>
            <w:pPr>
              <w:spacing w:after="20" w:line="252" w:lineRule="auto"/>
            </w:pPr>
            <w:r>
              <w:rPr>
                <w:b/>
                <w:i w:val="0"/>
                <w:sz w:val="16"/>
              </w:rPr>
              <w:t>Total per month</w:t>
            </w:r>
          </w:p>
        </w:tc>
        <w:tc>
          <w:tcPr>
            <w:tcW w:type="dxa" w:w="4762"/>
            <w:vAlign w:val="top"/>
            <w:shd w:val="clear" w:color="auto" w:fill="FEEBDD"/>
          </w:tcPr>
          <w:p>
            <w:pPr>
              <w:spacing w:after="20" w:line="252" w:lineRule="auto"/>
            </w:pPr>
          </w:p>
        </w:tc>
        <w:tc>
          <w:tcPr>
            <w:tcW w:type="dxa" w:w="1474"/>
            <w:vAlign w:val="top"/>
            <w:shd w:val="clear" w:color="auto" w:fill="FEEBDD"/>
          </w:tcPr>
          <w:p>
            <w:pPr>
              <w:spacing w:after="20" w:line="252" w:lineRule="auto"/>
              <w:jc w:val="right"/>
            </w:pPr>
            <w:r>
              <w:rPr>
                <w:b/>
                <w:i w:val="0"/>
                <w:sz w:val="16"/>
              </w:rPr>
              <w:t>B$ 1,330</w:t>
            </w:r>
          </w:p>
        </w:tc>
      </w:tr>
      <w:tr>
        <w:trPr>
          <w:cantSplit/>
        </w:trPr>
        <w:tc>
          <w:tcPr>
            <w:tcW w:type="dxa" w:w="3402"/>
            <w:vAlign w:val="top"/>
            <w:shd w:val="clear" w:color="auto" w:fill="FEEBDD"/>
          </w:tcPr>
          <w:p>
            <w:pPr>
              <w:spacing w:after="20" w:line="252" w:lineRule="auto"/>
            </w:pPr>
            <w:r>
              <w:rPr>
                <w:b/>
                <w:i w:val="0"/>
                <w:sz w:val="16"/>
              </w:rPr>
              <w:t>Total per year</w:t>
            </w:r>
          </w:p>
        </w:tc>
        <w:tc>
          <w:tcPr>
            <w:tcW w:type="dxa" w:w="4762"/>
            <w:vAlign w:val="top"/>
            <w:shd w:val="clear" w:color="auto" w:fill="FEEBDD"/>
          </w:tcPr>
          <w:p>
            <w:pPr>
              <w:spacing w:after="20" w:line="252" w:lineRule="auto"/>
            </w:pPr>
          </w:p>
        </w:tc>
        <w:tc>
          <w:tcPr>
            <w:tcW w:type="dxa" w:w="1474"/>
            <w:vAlign w:val="top"/>
            <w:shd w:val="clear" w:color="auto" w:fill="FEEBDD"/>
          </w:tcPr>
          <w:p>
            <w:pPr>
              <w:spacing w:after="20" w:line="252" w:lineRule="auto"/>
              <w:jc w:val="right"/>
            </w:pPr>
            <w:r>
              <w:rPr>
                <w:b/>
                <w:i w:val="0"/>
                <w:sz w:val="16"/>
              </w:rPr>
              <w:t>B$ 15,960</w:t>
            </w:r>
          </w:p>
        </w:tc>
      </w:tr>
    </w:tbl>
    <w:p>
      <w:pPr>
        <w:pStyle w:val="Caption"/>
        <w:jc w:val="center"/>
      </w:pPr>
      <w:r>
        <w:rPr>
          <w:b w:val="0"/>
          <w:i w:val="0"/>
        </w:rPr>
        <w:t>Table 28: Option B cloud sizing and estimate (recharged at cost)</w:t>
      </w:r>
    </w:p>
    <w:p>
      <w:pPr>
        <w:keepNext w:val="0"/>
      </w:pPr>
      <w:r>
        <w:rPr>
          <w:b w:val="0"/>
          <w:i w:val="0"/>
        </w:rPr>
        <w:t>ClamAV runs as a sidecar in each task (1 GB) or as a small shared service. The document share is expected to stay under 100 GB in five years and object storage under about 200 GB with backups and exports (sections 10.5 and 10.6). RPO and RTO targets are unchanged: the Multi-AZ database fails over automatically within the region, and the DR region holds a cross-region replica.</w:t>
      </w:r>
    </w:p>
    <w:p>
      <w:pPr>
        <w:pStyle w:val="Heading2"/>
      </w:pPr>
      <w:r>
        <w:t>10.4 Database sizing</w:t>
      </w:r>
    </w:p>
    <w:p>
      <w:pPr>
        <w:keepNext w:val="0"/>
      </w:pPr>
      <w:r>
        <w:rPr>
          <w:b w:val="0"/>
          <w:i w:val="0"/>
        </w:rPr>
        <w:t>Rows per issued policy were estimated from how the application writes data: quotations not taken up, policy history, documents, payments, approvals, notifications, outbox messages, integration log entries and audit rows. Index overhead is added at 60%.</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2268"/>
        <w:gridCol w:w="1474"/>
        <w:gridCol w:w="1474"/>
        <w:gridCol w:w="4422"/>
      </w:tblGrid>
      <w:tr>
        <w:trPr>
          <w:cantSplit/>
          <w:tblHeader/>
        </w:trPr>
        <w:tc>
          <w:tcPr>
            <w:tcW w:type="dxa" w:w="2268"/>
            <w:shd w:val="clear" w:color="auto" w:fill="E1058C"/>
            <w:vAlign w:val="center"/>
          </w:tcPr>
          <w:p>
            <w:pPr>
              <w:spacing w:after="0"/>
            </w:pPr>
            <w:r>
              <w:rPr>
                <w:b/>
                <w:i w:val="0"/>
                <w:color w:val="FFFFFF"/>
                <w:sz w:val="15"/>
              </w:rPr>
              <w:t>Table</w:t>
            </w:r>
          </w:p>
        </w:tc>
        <w:tc>
          <w:tcPr>
            <w:tcW w:type="dxa" w:w="1474"/>
            <w:shd w:val="clear" w:color="auto" w:fill="E1058C"/>
            <w:vAlign w:val="center"/>
          </w:tcPr>
          <w:p>
            <w:pPr>
              <w:spacing w:after="0"/>
            </w:pPr>
            <w:r>
              <w:rPr>
                <w:b/>
                <w:i w:val="0"/>
                <w:color w:val="FFFFFF"/>
                <w:sz w:val="15"/>
              </w:rPr>
              <w:t>Rows per policy</w:t>
            </w:r>
          </w:p>
        </w:tc>
        <w:tc>
          <w:tcPr>
            <w:tcW w:type="dxa" w:w="1474"/>
            <w:shd w:val="clear" w:color="auto" w:fill="E1058C"/>
            <w:vAlign w:val="center"/>
          </w:tcPr>
          <w:p>
            <w:pPr>
              <w:spacing w:after="0"/>
            </w:pPr>
            <w:r>
              <w:rPr>
                <w:b/>
                <w:i w:val="0"/>
                <w:color w:val="FFFFFF"/>
                <w:sz w:val="15"/>
              </w:rPr>
              <w:t>Bytes per row</w:t>
            </w:r>
          </w:p>
        </w:tc>
        <w:tc>
          <w:tcPr>
            <w:tcW w:type="dxa" w:w="4422"/>
            <w:shd w:val="clear" w:color="auto" w:fill="E1058C"/>
            <w:vAlign w:val="center"/>
          </w:tcPr>
          <w:p>
            <w:pPr>
              <w:spacing w:after="0"/>
            </w:pPr>
            <w:r>
              <w:rPr>
                <w:b/>
                <w:i w:val="0"/>
                <w:color w:val="FFFFFF"/>
                <w:sz w:val="15"/>
              </w:rPr>
              <w:t>Basis</w:t>
            </w:r>
          </w:p>
        </w:tc>
      </w:tr>
      <w:tr>
        <w:trPr>
          <w:cantSplit/>
        </w:trPr>
        <w:tc>
          <w:tcPr>
            <w:tcW w:type="dxa" w:w="2268"/>
            <w:vAlign w:val="top"/>
          </w:tcPr>
          <w:p>
            <w:pPr>
              <w:spacing w:after="20" w:line="252" w:lineRule="auto"/>
            </w:pPr>
            <w:r>
              <w:rPr>
                <w:b w:val="0"/>
                <w:i w:val="0"/>
                <w:sz w:val="15"/>
              </w:rPr>
              <w:t>policy</w:t>
            </w:r>
          </w:p>
        </w:tc>
        <w:tc>
          <w:tcPr>
            <w:tcW w:type="dxa" w:w="1474"/>
            <w:vAlign w:val="top"/>
          </w:tcPr>
          <w:p>
            <w:pPr>
              <w:spacing w:after="20" w:line="252" w:lineRule="auto"/>
              <w:jc w:val="right"/>
            </w:pPr>
            <w:r>
              <w:rPr>
                <w:b w:val="0"/>
                <w:i w:val="0"/>
                <w:sz w:val="15"/>
              </w:rPr>
              <w:t>2.5</w:t>
            </w:r>
          </w:p>
        </w:tc>
        <w:tc>
          <w:tcPr>
            <w:tcW w:type="dxa" w:w="1474"/>
            <w:vAlign w:val="top"/>
          </w:tcPr>
          <w:p>
            <w:pPr>
              <w:spacing w:after="20" w:line="252" w:lineRule="auto"/>
              <w:jc w:val="right"/>
            </w:pPr>
            <w:r>
              <w:rPr>
                <w:b w:val="0"/>
                <w:i w:val="0"/>
                <w:sz w:val="15"/>
              </w:rPr>
              <w:t>2,600</w:t>
            </w:r>
          </w:p>
        </w:tc>
        <w:tc>
          <w:tcPr>
            <w:tcW w:type="dxa" w:w="4422"/>
            <w:vAlign w:val="top"/>
          </w:tcPr>
          <w:p>
            <w:pPr>
              <w:spacing w:after="20" w:line="252" w:lineRule="auto"/>
            </w:pPr>
            <w:r>
              <w:rPr>
                <w:b w:val="0"/>
                <w:i w:val="0"/>
                <w:sz w:val="15"/>
              </w:rPr>
              <w:t>issued policy plus 1.5 quotations not taken up</w:t>
            </w:r>
          </w:p>
        </w:tc>
      </w:tr>
      <w:tr>
        <w:trPr>
          <w:cantSplit/>
        </w:trPr>
        <w:tc>
          <w:tcPr>
            <w:tcW w:type="dxa" w:w="2268"/>
            <w:vAlign w:val="top"/>
            <w:shd w:val="clear" w:color="auto" w:fill="FDF0F7"/>
          </w:tcPr>
          <w:p>
            <w:pPr>
              <w:spacing w:after="20" w:line="252" w:lineRule="auto"/>
            </w:pPr>
            <w:r>
              <w:rPr>
                <w:b w:val="0"/>
                <w:i w:val="0"/>
                <w:sz w:val="15"/>
              </w:rPr>
              <w:t>policy_event</w:t>
            </w:r>
          </w:p>
        </w:tc>
        <w:tc>
          <w:tcPr>
            <w:tcW w:type="dxa" w:w="1474"/>
            <w:vAlign w:val="top"/>
            <w:shd w:val="clear" w:color="auto" w:fill="FDF0F7"/>
          </w:tcPr>
          <w:p>
            <w:pPr>
              <w:spacing w:after="20" w:line="252" w:lineRule="auto"/>
              <w:jc w:val="right"/>
            </w:pPr>
            <w:r>
              <w:rPr>
                <w:b w:val="0"/>
                <w:i w:val="0"/>
                <w:sz w:val="15"/>
              </w:rPr>
              <w:t>10</w:t>
            </w:r>
          </w:p>
        </w:tc>
        <w:tc>
          <w:tcPr>
            <w:tcW w:type="dxa" w:w="1474"/>
            <w:vAlign w:val="top"/>
            <w:shd w:val="clear" w:color="auto" w:fill="FDF0F7"/>
          </w:tcPr>
          <w:p>
            <w:pPr>
              <w:spacing w:after="20" w:line="252" w:lineRule="auto"/>
              <w:jc w:val="right"/>
            </w:pPr>
            <w:r>
              <w:rPr>
                <w:b w:val="0"/>
                <w:i w:val="0"/>
                <w:sz w:val="15"/>
              </w:rPr>
              <w:t>260</w:t>
            </w:r>
          </w:p>
        </w:tc>
        <w:tc>
          <w:tcPr>
            <w:tcW w:type="dxa" w:w="4422"/>
            <w:vAlign w:val="top"/>
            <w:shd w:val="clear" w:color="auto" w:fill="FDF0F7"/>
          </w:tcPr>
          <w:p>
            <w:pPr>
              <w:spacing w:after="20" w:line="252" w:lineRule="auto"/>
            </w:pPr>
            <w:r>
              <w:rPr>
                <w:b w:val="0"/>
                <w:i w:val="0"/>
                <w:sz w:val="15"/>
              </w:rPr>
              <w:t>history entries</w:t>
            </w:r>
          </w:p>
        </w:tc>
      </w:tr>
      <w:tr>
        <w:trPr>
          <w:cantSplit/>
        </w:trPr>
        <w:tc>
          <w:tcPr>
            <w:tcW w:type="dxa" w:w="2268"/>
            <w:vAlign w:val="top"/>
          </w:tcPr>
          <w:p>
            <w:pPr>
              <w:spacing w:after="20" w:line="252" w:lineRule="auto"/>
            </w:pPr>
            <w:r>
              <w:rPr>
                <w:b w:val="0"/>
                <w:i w:val="0"/>
                <w:sz w:val="15"/>
              </w:rPr>
              <w:t>nominee</w:t>
            </w:r>
          </w:p>
        </w:tc>
        <w:tc>
          <w:tcPr>
            <w:tcW w:type="dxa" w:w="1474"/>
            <w:vAlign w:val="top"/>
          </w:tcPr>
          <w:p>
            <w:pPr>
              <w:spacing w:after="20" w:line="252" w:lineRule="auto"/>
              <w:jc w:val="right"/>
            </w:pPr>
            <w:r>
              <w:rPr>
                <w:b w:val="0"/>
                <w:i w:val="0"/>
                <w:sz w:val="15"/>
              </w:rPr>
              <w:t>1.5</w:t>
            </w:r>
          </w:p>
        </w:tc>
        <w:tc>
          <w:tcPr>
            <w:tcW w:type="dxa" w:w="1474"/>
            <w:vAlign w:val="top"/>
          </w:tcPr>
          <w:p>
            <w:pPr>
              <w:spacing w:after="20" w:line="252" w:lineRule="auto"/>
              <w:jc w:val="right"/>
            </w:pPr>
            <w:r>
              <w:rPr>
                <w:b w:val="0"/>
                <w:i w:val="0"/>
                <w:sz w:val="15"/>
              </w:rPr>
              <w:t>300</w:t>
            </w:r>
          </w:p>
        </w:tc>
        <w:tc>
          <w:tcPr>
            <w:tcW w:type="dxa" w:w="4422"/>
            <w:vAlign w:val="top"/>
          </w:tcPr>
          <w:p>
            <w:pPr>
              <w:spacing w:after="20" w:line="252" w:lineRule="auto"/>
            </w:pPr>
          </w:p>
        </w:tc>
      </w:tr>
      <w:tr>
        <w:trPr>
          <w:cantSplit/>
        </w:trPr>
        <w:tc>
          <w:tcPr>
            <w:tcW w:type="dxa" w:w="2268"/>
            <w:vAlign w:val="top"/>
            <w:shd w:val="clear" w:color="auto" w:fill="FDF0F7"/>
          </w:tcPr>
          <w:p>
            <w:pPr>
              <w:spacing w:after="20" w:line="252" w:lineRule="auto"/>
            </w:pPr>
            <w:r>
              <w:rPr>
                <w:b w:val="0"/>
                <w:i w:val="0"/>
                <w:sz w:val="15"/>
              </w:rPr>
              <w:t>participant</w:t>
            </w:r>
          </w:p>
        </w:tc>
        <w:tc>
          <w:tcPr>
            <w:tcW w:type="dxa" w:w="1474"/>
            <w:vAlign w:val="top"/>
            <w:shd w:val="clear" w:color="auto" w:fill="FDF0F7"/>
          </w:tcPr>
          <w:p>
            <w:pPr>
              <w:spacing w:after="20" w:line="252" w:lineRule="auto"/>
              <w:jc w:val="right"/>
            </w:pPr>
            <w:r>
              <w:rPr>
                <w:b w:val="0"/>
                <w:i w:val="0"/>
                <w:sz w:val="15"/>
              </w:rPr>
              <w:t>0.8</w:t>
            </w:r>
          </w:p>
        </w:tc>
        <w:tc>
          <w:tcPr>
            <w:tcW w:type="dxa" w:w="1474"/>
            <w:vAlign w:val="top"/>
            <w:shd w:val="clear" w:color="auto" w:fill="FDF0F7"/>
          </w:tcPr>
          <w:p>
            <w:pPr>
              <w:spacing w:after="20" w:line="252" w:lineRule="auto"/>
              <w:jc w:val="right"/>
            </w:pPr>
            <w:r>
              <w:rPr>
                <w:b w:val="0"/>
                <w:i w:val="0"/>
                <w:sz w:val="15"/>
              </w:rPr>
              <w:t>850</w:t>
            </w:r>
          </w:p>
        </w:tc>
        <w:tc>
          <w:tcPr>
            <w:tcW w:type="dxa" w:w="4422"/>
            <w:vAlign w:val="top"/>
            <w:shd w:val="clear" w:color="auto" w:fill="FDF0F7"/>
          </w:tcPr>
          <w:p>
            <w:pPr>
              <w:spacing w:after="20" w:line="252" w:lineRule="auto"/>
            </w:pPr>
            <w:r>
              <w:rPr>
                <w:b w:val="0"/>
                <w:i w:val="0"/>
                <w:sz w:val="15"/>
              </w:rPr>
              <w:t>some participants hold several policies</w:t>
            </w:r>
          </w:p>
        </w:tc>
      </w:tr>
      <w:tr>
        <w:trPr>
          <w:cantSplit/>
        </w:trPr>
        <w:tc>
          <w:tcPr>
            <w:tcW w:type="dxa" w:w="2268"/>
            <w:vAlign w:val="top"/>
          </w:tcPr>
          <w:p>
            <w:pPr>
              <w:spacing w:after="20" w:line="252" w:lineRule="auto"/>
            </w:pPr>
            <w:r>
              <w:rPr>
                <w:b w:val="0"/>
                <w:i w:val="0"/>
                <w:sz w:val="15"/>
              </w:rPr>
              <w:t>aml_screening</w:t>
            </w:r>
          </w:p>
        </w:tc>
        <w:tc>
          <w:tcPr>
            <w:tcW w:type="dxa" w:w="1474"/>
            <w:vAlign w:val="top"/>
          </w:tcPr>
          <w:p>
            <w:pPr>
              <w:spacing w:after="20" w:line="252" w:lineRule="auto"/>
              <w:jc w:val="right"/>
            </w:pPr>
            <w:r>
              <w:rPr>
                <w:b w:val="0"/>
                <w:i w:val="0"/>
                <w:sz w:val="15"/>
              </w:rPr>
              <w:t>1</w:t>
            </w:r>
          </w:p>
        </w:tc>
        <w:tc>
          <w:tcPr>
            <w:tcW w:type="dxa" w:w="1474"/>
            <w:vAlign w:val="top"/>
          </w:tcPr>
          <w:p>
            <w:pPr>
              <w:spacing w:after="20" w:line="252" w:lineRule="auto"/>
              <w:jc w:val="right"/>
            </w:pPr>
            <w:r>
              <w:rPr>
                <w:b w:val="0"/>
                <w:i w:val="0"/>
                <w:sz w:val="15"/>
              </w:rPr>
              <w:t>900</w:t>
            </w:r>
          </w:p>
        </w:tc>
        <w:tc>
          <w:tcPr>
            <w:tcW w:type="dxa" w:w="4422"/>
            <w:vAlign w:val="top"/>
          </w:tcPr>
          <w:p>
            <w:pPr>
              <w:spacing w:after="20" w:line="252" w:lineRule="auto"/>
            </w:pPr>
            <w:r>
              <w:rPr>
                <w:b w:val="0"/>
                <w:i w:val="0"/>
                <w:sz w:val="15"/>
              </w:rPr>
              <w:t>screening on registration and name change</w:t>
            </w:r>
          </w:p>
        </w:tc>
      </w:tr>
      <w:tr>
        <w:trPr>
          <w:cantSplit/>
        </w:trPr>
        <w:tc>
          <w:tcPr>
            <w:tcW w:type="dxa" w:w="2268"/>
            <w:vAlign w:val="top"/>
            <w:shd w:val="clear" w:color="auto" w:fill="FDF0F7"/>
          </w:tcPr>
          <w:p>
            <w:pPr>
              <w:spacing w:after="20" w:line="252" w:lineRule="auto"/>
            </w:pPr>
            <w:r>
              <w:rPr>
                <w:b w:val="0"/>
                <w:i w:val="0"/>
                <w:sz w:val="15"/>
              </w:rPr>
              <w:t>signature_request</w:t>
            </w:r>
          </w:p>
        </w:tc>
        <w:tc>
          <w:tcPr>
            <w:tcW w:type="dxa" w:w="1474"/>
            <w:vAlign w:val="top"/>
            <w:shd w:val="clear" w:color="auto" w:fill="FDF0F7"/>
          </w:tcPr>
          <w:p>
            <w:pPr>
              <w:spacing w:after="20" w:line="252" w:lineRule="auto"/>
              <w:jc w:val="right"/>
            </w:pPr>
            <w:r>
              <w:rPr>
                <w:b w:val="0"/>
                <w:i w:val="0"/>
                <w:sz w:val="15"/>
              </w:rPr>
              <w:t>0.5</w:t>
            </w:r>
          </w:p>
        </w:tc>
        <w:tc>
          <w:tcPr>
            <w:tcW w:type="dxa" w:w="1474"/>
            <w:vAlign w:val="top"/>
            <w:shd w:val="clear" w:color="auto" w:fill="FDF0F7"/>
          </w:tcPr>
          <w:p>
            <w:pPr>
              <w:spacing w:after="20" w:line="252" w:lineRule="auto"/>
              <w:jc w:val="right"/>
            </w:pPr>
            <w:r>
              <w:rPr>
                <w:b w:val="0"/>
                <w:i w:val="0"/>
                <w:sz w:val="15"/>
              </w:rPr>
              <w:t>420</w:t>
            </w:r>
          </w:p>
        </w:tc>
        <w:tc>
          <w:tcPr>
            <w:tcW w:type="dxa" w:w="4422"/>
            <w:vAlign w:val="top"/>
            <w:shd w:val="clear" w:color="auto" w:fill="FDF0F7"/>
          </w:tcPr>
          <w:p>
            <w:pPr>
              <w:spacing w:after="20" w:line="252" w:lineRule="auto"/>
            </w:pPr>
          </w:p>
        </w:tc>
      </w:tr>
      <w:tr>
        <w:trPr>
          <w:cantSplit/>
        </w:trPr>
        <w:tc>
          <w:tcPr>
            <w:tcW w:type="dxa" w:w="2268"/>
            <w:vAlign w:val="top"/>
          </w:tcPr>
          <w:p>
            <w:pPr>
              <w:spacing w:after="20" w:line="252" w:lineRule="auto"/>
            </w:pPr>
            <w:r>
              <w:rPr>
                <w:b w:val="0"/>
                <w:i w:val="0"/>
                <w:sz w:val="15"/>
              </w:rPr>
              <w:t>document</w:t>
            </w:r>
          </w:p>
        </w:tc>
        <w:tc>
          <w:tcPr>
            <w:tcW w:type="dxa" w:w="1474"/>
            <w:vAlign w:val="top"/>
          </w:tcPr>
          <w:p>
            <w:pPr>
              <w:spacing w:after="20" w:line="252" w:lineRule="auto"/>
              <w:jc w:val="right"/>
            </w:pPr>
            <w:r>
              <w:rPr>
                <w:b w:val="0"/>
                <w:i w:val="0"/>
                <w:sz w:val="15"/>
              </w:rPr>
              <w:t>9</w:t>
            </w:r>
          </w:p>
        </w:tc>
        <w:tc>
          <w:tcPr>
            <w:tcW w:type="dxa" w:w="1474"/>
            <w:vAlign w:val="top"/>
          </w:tcPr>
          <w:p>
            <w:pPr>
              <w:spacing w:after="20" w:line="252" w:lineRule="auto"/>
              <w:jc w:val="right"/>
            </w:pPr>
            <w:r>
              <w:rPr>
                <w:b w:val="0"/>
                <w:i w:val="0"/>
                <w:sz w:val="15"/>
              </w:rPr>
              <w:t>420</w:t>
            </w:r>
          </w:p>
        </w:tc>
        <w:tc>
          <w:tcPr>
            <w:tcW w:type="dxa" w:w="4422"/>
            <w:vAlign w:val="top"/>
          </w:tcPr>
          <w:p>
            <w:pPr>
              <w:spacing w:after="20" w:line="252" w:lineRule="auto"/>
            </w:pPr>
            <w:r>
              <w:rPr>
                <w:b w:val="0"/>
                <w:i w:val="0"/>
                <w:sz w:val="15"/>
              </w:rPr>
              <w:t>metadata only; files counted separately</w:t>
            </w:r>
          </w:p>
        </w:tc>
      </w:tr>
      <w:tr>
        <w:trPr>
          <w:cantSplit/>
        </w:trPr>
        <w:tc>
          <w:tcPr>
            <w:tcW w:type="dxa" w:w="2268"/>
            <w:vAlign w:val="top"/>
            <w:shd w:val="clear" w:color="auto" w:fill="FDF0F7"/>
          </w:tcPr>
          <w:p>
            <w:pPr>
              <w:spacing w:after="20" w:line="252" w:lineRule="auto"/>
            </w:pPr>
            <w:r>
              <w:rPr>
                <w:b w:val="0"/>
                <w:i w:val="0"/>
                <w:sz w:val="15"/>
              </w:rPr>
              <w:t>payment</w:t>
            </w:r>
          </w:p>
        </w:tc>
        <w:tc>
          <w:tcPr>
            <w:tcW w:type="dxa" w:w="1474"/>
            <w:vAlign w:val="top"/>
            <w:shd w:val="clear" w:color="auto" w:fill="FDF0F7"/>
          </w:tcPr>
          <w:p>
            <w:pPr>
              <w:spacing w:after="20" w:line="252" w:lineRule="auto"/>
              <w:jc w:val="right"/>
            </w:pPr>
            <w:r>
              <w:rPr>
                <w:b w:val="0"/>
                <w:i w:val="0"/>
                <w:sz w:val="15"/>
              </w:rPr>
              <w:t>0.5</w:t>
            </w:r>
          </w:p>
        </w:tc>
        <w:tc>
          <w:tcPr>
            <w:tcW w:type="dxa" w:w="1474"/>
            <w:vAlign w:val="top"/>
            <w:shd w:val="clear" w:color="auto" w:fill="FDF0F7"/>
          </w:tcPr>
          <w:p>
            <w:pPr>
              <w:spacing w:after="20" w:line="252" w:lineRule="auto"/>
              <w:jc w:val="right"/>
            </w:pPr>
            <w:r>
              <w:rPr>
                <w:b w:val="0"/>
                <w:i w:val="0"/>
                <w:sz w:val="15"/>
              </w:rPr>
              <w:t>420</w:t>
            </w:r>
          </w:p>
        </w:tc>
        <w:tc>
          <w:tcPr>
            <w:tcW w:type="dxa" w:w="4422"/>
            <w:vAlign w:val="top"/>
            <w:shd w:val="clear" w:color="auto" w:fill="FDF0F7"/>
          </w:tcPr>
          <w:p>
            <w:pPr>
              <w:spacing w:after="20" w:line="252" w:lineRule="auto"/>
            </w:pPr>
            <w:r>
              <w:rPr>
                <w:b w:val="0"/>
                <w:i w:val="0"/>
                <w:sz w:val="15"/>
              </w:rPr>
              <w:t>bulk payments cover about two policies</w:t>
            </w:r>
          </w:p>
        </w:tc>
      </w:tr>
      <w:tr>
        <w:trPr>
          <w:cantSplit/>
        </w:trPr>
        <w:tc>
          <w:tcPr>
            <w:tcW w:type="dxa" w:w="2268"/>
            <w:vAlign w:val="top"/>
          </w:tcPr>
          <w:p>
            <w:pPr>
              <w:spacing w:after="20" w:line="252" w:lineRule="auto"/>
            </w:pPr>
            <w:r>
              <w:rPr>
                <w:b w:val="0"/>
                <w:i w:val="0"/>
                <w:sz w:val="15"/>
              </w:rPr>
              <w:t>payment_allocation</w:t>
            </w:r>
          </w:p>
        </w:tc>
        <w:tc>
          <w:tcPr>
            <w:tcW w:type="dxa" w:w="1474"/>
            <w:vAlign w:val="top"/>
          </w:tcPr>
          <w:p>
            <w:pPr>
              <w:spacing w:after="20" w:line="252" w:lineRule="auto"/>
              <w:jc w:val="right"/>
            </w:pPr>
            <w:r>
              <w:rPr>
                <w:b w:val="0"/>
                <w:i w:val="0"/>
                <w:sz w:val="15"/>
              </w:rPr>
              <w:t>1.1</w:t>
            </w:r>
          </w:p>
        </w:tc>
        <w:tc>
          <w:tcPr>
            <w:tcW w:type="dxa" w:w="1474"/>
            <w:vAlign w:val="top"/>
          </w:tcPr>
          <w:p>
            <w:pPr>
              <w:spacing w:after="20" w:line="252" w:lineRule="auto"/>
              <w:jc w:val="right"/>
            </w:pPr>
            <w:r>
              <w:rPr>
                <w:b w:val="0"/>
                <w:i w:val="0"/>
                <w:sz w:val="15"/>
              </w:rPr>
              <w:t>130</w:t>
            </w:r>
          </w:p>
        </w:tc>
        <w:tc>
          <w:tcPr>
            <w:tcW w:type="dxa" w:w="4422"/>
            <w:vAlign w:val="top"/>
          </w:tcPr>
          <w:p>
            <w:pPr>
              <w:spacing w:after="20" w:line="252" w:lineRule="auto"/>
            </w:pPr>
          </w:p>
        </w:tc>
      </w:tr>
      <w:tr>
        <w:trPr>
          <w:cantSplit/>
        </w:trPr>
        <w:tc>
          <w:tcPr>
            <w:tcW w:type="dxa" w:w="2268"/>
            <w:vAlign w:val="top"/>
            <w:shd w:val="clear" w:color="auto" w:fill="FDF0F7"/>
          </w:tcPr>
          <w:p>
            <w:pPr>
              <w:spacing w:after="20" w:line="252" w:lineRule="auto"/>
            </w:pPr>
            <w:r>
              <w:rPr>
                <w:b w:val="0"/>
                <w:i w:val="0"/>
                <w:sz w:val="15"/>
              </w:rPr>
              <w:t>receipt</w:t>
            </w:r>
          </w:p>
        </w:tc>
        <w:tc>
          <w:tcPr>
            <w:tcW w:type="dxa" w:w="1474"/>
            <w:vAlign w:val="top"/>
            <w:shd w:val="clear" w:color="auto" w:fill="FDF0F7"/>
          </w:tcPr>
          <w:p>
            <w:pPr>
              <w:spacing w:after="20" w:line="252" w:lineRule="auto"/>
              <w:jc w:val="right"/>
            </w:pPr>
            <w:r>
              <w:rPr>
                <w:b w:val="0"/>
                <w:i w:val="0"/>
                <w:sz w:val="15"/>
              </w:rPr>
              <w:t>1.1</w:t>
            </w:r>
          </w:p>
        </w:tc>
        <w:tc>
          <w:tcPr>
            <w:tcW w:type="dxa" w:w="1474"/>
            <w:vAlign w:val="top"/>
            <w:shd w:val="clear" w:color="auto" w:fill="FDF0F7"/>
          </w:tcPr>
          <w:p>
            <w:pPr>
              <w:spacing w:after="20" w:line="252" w:lineRule="auto"/>
              <w:jc w:val="right"/>
            </w:pPr>
            <w:r>
              <w:rPr>
                <w:b w:val="0"/>
                <w:i w:val="0"/>
                <w:sz w:val="15"/>
              </w:rPr>
              <w:t>220</w:t>
            </w:r>
          </w:p>
        </w:tc>
        <w:tc>
          <w:tcPr>
            <w:tcW w:type="dxa" w:w="4422"/>
            <w:vAlign w:val="top"/>
            <w:shd w:val="clear" w:color="auto" w:fill="FDF0F7"/>
          </w:tcPr>
          <w:p>
            <w:pPr>
              <w:spacing w:after="20" w:line="252" w:lineRule="auto"/>
            </w:pPr>
          </w:p>
        </w:tc>
      </w:tr>
      <w:tr>
        <w:trPr>
          <w:cantSplit/>
        </w:trPr>
        <w:tc>
          <w:tcPr>
            <w:tcW w:type="dxa" w:w="2268"/>
            <w:vAlign w:val="top"/>
          </w:tcPr>
          <w:p>
            <w:pPr>
              <w:spacing w:after="20" w:line="252" w:lineRule="auto"/>
            </w:pPr>
            <w:r>
              <w:rPr>
                <w:b w:val="0"/>
                <w:i w:val="0"/>
                <w:sz w:val="15"/>
              </w:rPr>
              <w:t>commission</w:t>
            </w:r>
          </w:p>
        </w:tc>
        <w:tc>
          <w:tcPr>
            <w:tcW w:type="dxa" w:w="1474"/>
            <w:vAlign w:val="top"/>
          </w:tcPr>
          <w:p>
            <w:pPr>
              <w:spacing w:after="20" w:line="252" w:lineRule="auto"/>
              <w:jc w:val="right"/>
            </w:pPr>
            <w:r>
              <w:rPr>
                <w:b w:val="0"/>
                <w:i w:val="0"/>
                <w:sz w:val="15"/>
              </w:rPr>
              <w:t>1</w:t>
            </w:r>
          </w:p>
        </w:tc>
        <w:tc>
          <w:tcPr>
            <w:tcW w:type="dxa" w:w="1474"/>
            <w:vAlign w:val="top"/>
          </w:tcPr>
          <w:p>
            <w:pPr>
              <w:spacing w:after="20" w:line="252" w:lineRule="auto"/>
              <w:jc w:val="right"/>
            </w:pPr>
            <w:r>
              <w:rPr>
                <w:b w:val="0"/>
                <w:i w:val="0"/>
                <w:sz w:val="15"/>
              </w:rPr>
              <w:t>220</w:t>
            </w:r>
          </w:p>
        </w:tc>
        <w:tc>
          <w:tcPr>
            <w:tcW w:type="dxa" w:w="4422"/>
            <w:vAlign w:val="top"/>
          </w:tcPr>
          <w:p>
            <w:pPr>
              <w:spacing w:after="20" w:line="252" w:lineRule="auto"/>
            </w:pPr>
          </w:p>
        </w:tc>
      </w:tr>
      <w:tr>
        <w:trPr>
          <w:cantSplit/>
        </w:trPr>
        <w:tc>
          <w:tcPr>
            <w:tcW w:type="dxa" w:w="2268"/>
            <w:vAlign w:val="top"/>
            <w:shd w:val="clear" w:color="auto" w:fill="FDF0F7"/>
          </w:tcPr>
          <w:p>
            <w:pPr>
              <w:spacing w:after="20" w:line="252" w:lineRule="auto"/>
            </w:pPr>
            <w:r>
              <w:rPr>
                <w:b w:val="0"/>
                <w:i w:val="0"/>
                <w:sz w:val="15"/>
              </w:rPr>
              <w:t>claim</w:t>
            </w:r>
          </w:p>
        </w:tc>
        <w:tc>
          <w:tcPr>
            <w:tcW w:type="dxa" w:w="1474"/>
            <w:vAlign w:val="top"/>
            <w:shd w:val="clear" w:color="auto" w:fill="FDF0F7"/>
          </w:tcPr>
          <w:p>
            <w:pPr>
              <w:spacing w:after="20" w:line="252" w:lineRule="auto"/>
              <w:jc w:val="right"/>
            </w:pPr>
            <w:r>
              <w:rPr>
                <w:b w:val="0"/>
                <w:i w:val="0"/>
                <w:sz w:val="15"/>
              </w:rPr>
              <w:t>0.05</w:t>
            </w:r>
          </w:p>
        </w:tc>
        <w:tc>
          <w:tcPr>
            <w:tcW w:type="dxa" w:w="1474"/>
            <w:vAlign w:val="top"/>
            <w:shd w:val="clear" w:color="auto" w:fill="FDF0F7"/>
          </w:tcPr>
          <w:p>
            <w:pPr>
              <w:spacing w:after="20" w:line="252" w:lineRule="auto"/>
              <w:jc w:val="right"/>
            </w:pPr>
            <w:r>
              <w:rPr>
                <w:b w:val="0"/>
                <w:i w:val="0"/>
                <w:sz w:val="15"/>
              </w:rPr>
              <w:t>900</w:t>
            </w:r>
          </w:p>
        </w:tc>
        <w:tc>
          <w:tcPr>
            <w:tcW w:type="dxa" w:w="4422"/>
            <w:vAlign w:val="top"/>
            <w:shd w:val="clear" w:color="auto" w:fill="FDF0F7"/>
          </w:tcPr>
          <w:p>
            <w:pPr>
              <w:spacing w:after="20" w:line="252" w:lineRule="auto"/>
            </w:pPr>
          </w:p>
        </w:tc>
      </w:tr>
      <w:tr>
        <w:trPr>
          <w:cantSplit/>
        </w:trPr>
        <w:tc>
          <w:tcPr>
            <w:tcW w:type="dxa" w:w="2268"/>
            <w:vAlign w:val="top"/>
          </w:tcPr>
          <w:p>
            <w:pPr>
              <w:spacing w:after="20" w:line="252" w:lineRule="auto"/>
            </w:pPr>
            <w:r>
              <w:rPr>
                <w:b w:val="0"/>
                <w:i w:val="0"/>
                <w:sz w:val="15"/>
              </w:rPr>
              <w:t>approval_request</w:t>
            </w:r>
          </w:p>
        </w:tc>
        <w:tc>
          <w:tcPr>
            <w:tcW w:type="dxa" w:w="1474"/>
            <w:vAlign w:val="top"/>
          </w:tcPr>
          <w:p>
            <w:pPr>
              <w:spacing w:after="20" w:line="252" w:lineRule="auto"/>
              <w:jc w:val="right"/>
            </w:pPr>
            <w:r>
              <w:rPr>
                <w:b w:val="0"/>
                <w:i w:val="0"/>
                <w:sz w:val="15"/>
              </w:rPr>
              <w:t>0.8</w:t>
            </w:r>
          </w:p>
        </w:tc>
        <w:tc>
          <w:tcPr>
            <w:tcW w:type="dxa" w:w="1474"/>
            <w:vAlign w:val="top"/>
          </w:tcPr>
          <w:p>
            <w:pPr>
              <w:spacing w:after="20" w:line="252" w:lineRule="auto"/>
              <w:jc w:val="right"/>
            </w:pPr>
            <w:r>
              <w:rPr>
                <w:b w:val="0"/>
                <w:i w:val="0"/>
                <w:sz w:val="15"/>
              </w:rPr>
              <w:t>1,600</w:t>
            </w:r>
          </w:p>
        </w:tc>
        <w:tc>
          <w:tcPr>
            <w:tcW w:type="dxa" w:w="4422"/>
            <w:vAlign w:val="top"/>
          </w:tcPr>
          <w:p>
            <w:pPr>
              <w:spacing w:after="20" w:line="252" w:lineRule="auto"/>
            </w:pPr>
            <w:r>
              <w:rPr>
                <w:b w:val="0"/>
                <w:i w:val="0"/>
                <w:sz w:val="15"/>
              </w:rPr>
              <w:t>referrals, payment verification, endorsements</w:t>
            </w:r>
          </w:p>
        </w:tc>
      </w:tr>
      <w:tr>
        <w:trPr>
          <w:cantSplit/>
        </w:trPr>
        <w:tc>
          <w:tcPr>
            <w:tcW w:type="dxa" w:w="2268"/>
            <w:vAlign w:val="top"/>
            <w:shd w:val="clear" w:color="auto" w:fill="FDF0F7"/>
          </w:tcPr>
          <w:p>
            <w:pPr>
              <w:spacing w:after="20" w:line="252" w:lineRule="auto"/>
            </w:pPr>
            <w:r>
              <w:rPr>
                <w:b w:val="0"/>
                <w:i w:val="0"/>
                <w:sz w:val="15"/>
              </w:rPr>
              <w:t>approval_action</w:t>
            </w:r>
          </w:p>
        </w:tc>
        <w:tc>
          <w:tcPr>
            <w:tcW w:type="dxa" w:w="1474"/>
            <w:vAlign w:val="top"/>
            <w:shd w:val="clear" w:color="auto" w:fill="FDF0F7"/>
          </w:tcPr>
          <w:p>
            <w:pPr>
              <w:spacing w:after="20" w:line="252" w:lineRule="auto"/>
              <w:jc w:val="right"/>
            </w:pPr>
            <w:r>
              <w:rPr>
                <w:b w:val="0"/>
                <w:i w:val="0"/>
                <w:sz w:val="15"/>
              </w:rPr>
              <w:t>2</w:t>
            </w:r>
          </w:p>
        </w:tc>
        <w:tc>
          <w:tcPr>
            <w:tcW w:type="dxa" w:w="1474"/>
            <w:vAlign w:val="top"/>
            <w:shd w:val="clear" w:color="auto" w:fill="FDF0F7"/>
          </w:tcPr>
          <w:p>
            <w:pPr>
              <w:spacing w:after="20" w:line="252" w:lineRule="auto"/>
              <w:jc w:val="right"/>
            </w:pPr>
            <w:r>
              <w:rPr>
                <w:b w:val="0"/>
                <w:i w:val="0"/>
                <w:sz w:val="15"/>
              </w:rPr>
              <w:t>260</w:t>
            </w:r>
          </w:p>
        </w:tc>
        <w:tc>
          <w:tcPr>
            <w:tcW w:type="dxa" w:w="4422"/>
            <w:vAlign w:val="top"/>
            <w:shd w:val="clear" w:color="auto" w:fill="FDF0F7"/>
          </w:tcPr>
          <w:p>
            <w:pPr>
              <w:spacing w:after="20" w:line="252" w:lineRule="auto"/>
            </w:pPr>
          </w:p>
        </w:tc>
      </w:tr>
      <w:tr>
        <w:trPr>
          <w:cantSplit/>
        </w:trPr>
        <w:tc>
          <w:tcPr>
            <w:tcW w:type="dxa" w:w="2268"/>
            <w:vAlign w:val="top"/>
          </w:tcPr>
          <w:p>
            <w:pPr>
              <w:spacing w:after="20" w:line="252" w:lineRule="auto"/>
            </w:pPr>
            <w:r>
              <w:rPr>
                <w:b w:val="0"/>
                <w:i w:val="0"/>
                <w:sz w:val="15"/>
              </w:rPr>
              <w:t>notification</w:t>
            </w:r>
          </w:p>
        </w:tc>
        <w:tc>
          <w:tcPr>
            <w:tcW w:type="dxa" w:w="1474"/>
            <w:vAlign w:val="top"/>
          </w:tcPr>
          <w:p>
            <w:pPr>
              <w:spacing w:after="20" w:line="252" w:lineRule="auto"/>
              <w:jc w:val="right"/>
            </w:pPr>
            <w:r>
              <w:rPr>
                <w:b w:val="0"/>
                <w:i w:val="0"/>
                <w:sz w:val="15"/>
              </w:rPr>
              <w:t>14</w:t>
            </w:r>
          </w:p>
        </w:tc>
        <w:tc>
          <w:tcPr>
            <w:tcW w:type="dxa" w:w="1474"/>
            <w:vAlign w:val="top"/>
          </w:tcPr>
          <w:p>
            <w:pPr>
              <w:spacing w:after="20" w:line="252" w:lineRule="auto"/>
              <w:jc w:val="right"/>
            </w:pPr>
            <w:r>
              <w:rPr>
                <w:b w:val="0"/>
                <w:i w:val="0"/>
                <w:sz w:val="15"/>
              </w:rPr>
              <w:t>900</w:t>
            </w:r>
          </w:p>
        </w:tc>
        <w:tc>
          <w:tcPr>
            <w:tcW w:type="dxa" w:w="4422"/>
            <w:vAlign w:val="top"/>
          </w:tcPr>
          <w:p>
            <w:pPr>
              <w:spacing w:after="20" w:line="252" w:lineRule="auto"/>
            </w:pPr>
            <w:r>
              <w:rPr>
                <w:b w:val="0"/>
                <w:i w:val="0"/>
                <w:sz w:val="15"/>
              </w:rPr>
              <w:t>in-app, e-mail and SMS</w:t>
            </w:r>
          </w:p>
        </w:tc>
      </w:tr>
      <w:tr>
        <w:trPr>
          <w:cantSplit/>
        </w:trPr>
        <w:tc>
          <w:tcPr>
            <w:tcW w:type="dxa" w:w="2268"/>
            <w:vAlign w:val="top"/>
            <w:shd w:val="clear" w:color="auto" w:fill="FDF0F7"/>
          </w:tcPr>
          <w:p>
            <w:pPr>
              <w:spacing w:after="20" w:line="252" w:lineRule="auto"/>
            </w:pPr>
            <w:r>
              <w:rPr>
                <w:b w:val="0"/>
                <w:i w:val="0"/>
                <w:sz w:val="15"/>
              </w:rPr>
              <w:t>outbox_message</w:t>
            </w:r>
          </w:p>
        </w:tc>
        <w:tc>
          <w:tcPr>
            <w:tcW w:type="dxa" w:w="1474"/>
            <w:vAlign w:val="top"/>
            <w:shd w:val="clear" w:color="auto" w:fill="FDF0F7"/>
          </w:tcPr>
          <w:p>
            <w:pPr>
              <w:spacing w:after="20" w:line="252" w:lineRule="auto"/>
              <w:jc w:val="right"/>
            </w:pPr>
            <w:r>
              <w:rPr>
                <w:b w:val="0"/>
                <w:i w:val="0"/>
                <w:sz w:val="15"/>
              </w:rPr>
              <w:t>3.5</w:t>
            </w:r>
          </w:p>
        </w:tc>
        <w:tc>
          <w:tcPr>
            <w:tcW w:type="dxa" w:w="1474"/>
            <w:vAlign w:val="top"/>
            <w:shd w:val="clear" w:color="auto" w:fill="FDF0F7"/>
          </w:tcPr>
          <w:p>
            <w:pPr>
              <w:spacing w:after="20" w:line="252" w:lineRule="auto"/>
              <w:jc w:val="right"/>
            </w:pPr>
            <w:r>
              <w:rPr>
                <w:b w:val="0"/>
                <w:i w:val="0"/>
                <w:sz w:val="15"/>
              </w:rPr>
              <w:t>1,000</w:t>
            </w:r>
          </w:p>
        </w:tc>
        <w:tc>
          <w:tcPr>
            <w:tcW w:type="dxa" w:w="4422"/>
            <w:vAlign w:val="top"/>
            <w:shd w:val="clear" w:color="auto" w:fill="FDF0F7"/>
          </w:tcPr>
          <w:p>
            <w:pPr>
              <w:spacing w:after="20" w:line="252" w:lineRule="auto"/>
            </w:pPr>
          </w:p>
        </w:tc>
      </w:tr>
      <w:tr>
        <w:trPr>
          <w:cantSplit/>
        </w:trPr>
        <w:tc>
          <w:tcPr>
            <w:tcW w:type="dxa" w:w="2268"/>
            <w:vAlign w:val="top"/>
          </w:tcPr>
          <w:p>
            <w:pPr>
              <w:spacing w:after="20" w:line="252" w:lineRule="auto"/>
            </w:pPr>
            <w:r>
              <w:rPr>
                <w:b w:val="0"/>
                <w:i w:val="0"/>
                <w:sz w:val="15"/>
              </w:rPr>
              <w:t>integration_log</w:t>
            </w:r>
          </w:p>
        </w:tc>
        <w:tc>
          <w:tcPr>
            <w:tcW w:type="dxa" w:w="1474"/>
            <w:vAlign w:val="top"/>
          </w:tcPr>
          <w:p>
            <w:pPr>
              <w:spacing w:after="20" w:line="252" w:lineRule="auto"/>
              <w:jc w:val="right"/>
            </w:pPr>
            <w:r>
              <w:rPr>
                <w:b w:val="0"/>
                <w:i w:val="0"/>
                <w:sz w:val="15"/>
              </w:rPr>
              <w:t>18</w:t>
            </w:r>
          </w:p>
        </w:tc>
        <w:tc>
          <w:tcPr>
            <w:tcW w:type="dxa" w:w="1474"/>
            <w:vAlign w:val="top"/>
          </w:tcPr>
          <w:p>
            <w:pPr>
              <w:spacing w:after="20" w:line="252" w:lineRule="auto"/>
              <w:jc w:val="right"/>
            </w:pPr>
            <w:r>
              <w:rPr>
                <w:b w:val="0"/>
                <w:i w:val="0"/>
                <w:sz w:val="15"/>
              </w:rPr>
              <w:t>420</w:t>
            </w:r>
          </w:p>
        </w:tc>
        <w:tc>
          <w:tcPr>
            <w:tcW w:type="dxa" w:w="4422"/>
            <w:vAlign w:val="top"/>
          </w:tcPr>
          <w:p>
            <w:pPr>
              <w:spacing w:after="20" w:line="252" w:lineRule="auto"/>
            </w:pPr>
            <w:r>
              <w:rPr>
                <w:b w:val="0"/>
                <w:i w:val="0"/>
                <w:sz w:val="15"/>
              </w:rPr>
              <w:t>outbound, inbound, e-mail and SMS calls</w:t>
            </w:r>
          </w:p>
        </w:tc>
      </w:tr>
      <w:tr>
        <w:trPr>
          <w:cantSplit/>
        </w:trPr>
        <w:tc>
          <w:tcPr>
            <w:tcW w:type="dxa" w:w="2268"/>
            <w:vAlign w:val="top"/>
            <w:shd w:val="clear" w:color="auto" w:fill="FDF0F7"/>
          </w:tcPr>
          <w:p>
            <w:pPr>
              <w:spacing w:after="20" w:line="252" w:lineRule="auto"/>
            </w:pPr>
            <w:r>
              <w:rPr>
                <w:b w:val="0"/>
                <w:i w:val="0"/>
                <w:sz w:val="15"/>
              </w:rPr>
              <w:t>audit_log</w:t>
            </w:r>
          </w:p>
        </w:tc>
        <w:tc>
          <w:tcPr>
            <w:tcW w:type="dxa" w:w="1474"/>
            <w:vAlign w:val="top"/>
            <w:shd w:val="clear" w:color="auto" w:fill="FDF0F7"/>
          </w:tcPr>
          <w:p>
            <w:pPr>
              <w:spacing w:after="20" w:line="252" w:lineRule="auto"/>
              <w:jc w:val="right"/>
            </w:pPr>
            <w:r>
              <w:rPr>
                <w:b w:val="0"/>
                <w:i w:val="0"/>
                <w:sz w:val="15"/>
              </w:rPr>
              <w:t>35</w:t>
            </w:r>
          </w:p>
        </w:tc>
        <w:tc>
          <w:tcPr>
            <w:tcW w:type="dxa" w:w="1474"/>
            <w:vAlign w:val="top"/>
            <w:shd w:val="clear" w:color="auto" w:fill="FDF0F7"/>
          </w:tcPr>
          <w:p>
            <w:pPr>
              <w:spacing w:after="20" w:line="252" w:lineRule="auto"/>
              <w:jc w:val="right"/>
            </w:pPr>
            <w:r>
              <w:rPr>
                <w:b w:val="0"/>
                <w:i w:val="0"/>
                <w:sz w:val="15"/>
              </w:rPr>
              <w:t>1,500</w:t>
            </w:r>
          </w:p>
        </w:tc>
        <w:tc>
          <w:tcPr>
            <w:tcW w:type="dxa" w:w="4422"/>
            <w:vAlign w:val="top"/>
            <w:shd w:val="clear" w:color="auto" w:fill="FDF0F7"/>
          </w:tcPr>
          <w:p>
            <w:pPr>
              <w:spacing w:after="20" w:line="252" w:lineRule="auto"/>
            </w:pPr>
            <w:r>
              <w:rPr>
                <w:b w:val="0"/>
                <w:i w:val="0"/>
                <w:sz w:val="15"/>
              </w:rPr>
              <w:t>before and after values</w:t>
            </w:r>
          </w:p>
        </w:tc>
      </w:tr>
    </w:tbl>
    <w:p>
      <w:pPr>
        <w:pStyle w:val="Caption"/>
        <w:jc w:val="center"/>
      </w:pPr>
      <w:r>
        <w:rPr>
          <w:b w:val="0"/>
          <w:i w:val="0"/>
        </w:rPr>
        <w:t>Table 29: Sizing basis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020"/>
        <w:gridCol w:w="1360"/>
        <w:gridCol w:w="1587"/>
        <w:gridCol w:w="1587"/>
        <w:gridCol w:w="1927"/>
        <w:gridCol w:w="2154"/>
      </w:tblGrid>
      <w:tr>
        <w:trPr>
          <w:cantSplit/>
          <w:tblHeader/>
        </w:trPr>
        <w:tc>
          <w:tcPr>
            <w:tcW w:type="dxa" w:w="1020"/>
            <w:shd w:val="clear" w:color="auto" w:fill="E1058C"/>
            <w:vAlign w:val="center"/>
          </w:tcPr>
          <w:p>
            <w:pPr>
              <w:spacing w:after="0"/>
            </w:pPr>
            <w:r>
              <w:rPr>
                <w:b/>
                <w:i w:val="0"/>
                <w:color w:val="FFFFFF"/>
                <w:sz w:val="17"/>
              </w:rPr>
              <w:t>Year</w:t>
            </w:r>
          </w:p>
        </w:tc>
        <w:tc>
          <w:tcPr>
            <w:tcW w:type="dxa" w:w="1361"/>
            <w:shd w:val="clear" w:color="auto" w:fill="E1058C"/>
            <w:vAlign w:val="center"/>
          </w:tcPr>
          <w:p>
            <w:pPr>
              <w:spacing w:after="0"/>
            </w:pPr>
            <w:r>
              <w:rPr>
                <w:b/>
                <w:i w:val="0"/>
                <w:color w:val="FFFFFF"/>
                <w:sz w:val="17"/>
              </w:rPr>
              <w:t>Policies</w:t>
            </w:r>
          </w:p>
        </w:tc>
        <w:tc>
          <w:tcPr>
            <w:tcW w:type="dxa" w:w="1587"/>
            <w:shd w:val="clear" w:color="auto" w:fill="E1058C"/>
            <w:vAlign w:val="center"/>
          </w:tcPr>
          <w:p>
            <w:pPr>
              <w:spacing w:after="0"/>
            </w:pPr>
            <w:r>
              <w:rPr>
                <w:b/>
                <w:i w:val="0"/>
                <w:color w:val="FFFFFF"/>
                <w:sz w:val="17"/>
              </w:rPr>
              <w:t>Cumulative</w:t>
            </w:r>
          </w:p>
        </w:tc>
        <w:tc>
          <w:tcPr>
            <w:tcW w:type="dxa" w:w="1587"/>
            <w:shd w:val="clear" w:color="auto" w:fill="E1058C"/>
            <w:vAlign w:val="center"/>
          </w:tcPr>
          <w:p>
            <w:pPr>
              <w:spacing w:after="0"/>
            </w:pPr>
            <w:r>
              <w:rPr>
                <w:b/>
                <w:i w:val="0"/>
                <w:color w:val="FFFFFF"/>
                <w:sz w:val="17"/>
              </w:rPr>
              <w:t>Growth</w:t>
            </w:r>
          </w:p>
        </w:tc>
        <w:tc>
          <w:tcPr>
            <w:tcW w:type="dxa" w:w="1928"/>
            <w:shd w:val="clear" w:color="auto" w:fill="E1058C"/>
            <w:vAlign w:val="center"/>
          </w:tcPr>
          <w:p>
            <w:pPr>
              <w:spacing w:after="0"/>
            </w:pPr>
            <w:r>
              <w:rPr>
                <w:b/>
                <w:i w:val="0"/>
                <w:color w:val="FFFFFF"/>
                <w:sz w:val="17"/>
              </w:rPr>
              <w:t>Database size</w:t>
            </w:r>
          </w:p>
        </w:tc>
        <w:tc>
          <w:tcPr>
            <w:tcW w:type="dxa" w:w="2154"/>
            <w:shd w:val="clear" w:color="auto" w:fill="E1058C"/>
            <w:vAlign w:val="center"/>
          </w:tcPr>
          <w:p>
            <w:pPr>
              <w:spacing w:after="0"/>
            </w:pPr>
            <w:r>
              <w:rPr>
                <w:b/>
                <w:i w:val="0"/>
                <w:color w:val="FFFFFF"/>
                <w:sz w:val="17"/>
              </w:rPr>
              <w:t>×10 headroom</w:t>
            </w:r>
          </w:p>
        </w:tc>
      </w:tr>
      <w:tr>
        <w:trPr>
          <w:cantSplit/>
        </w:trPr>
        <w:tc>
          <w:tcPr>
            <w:tcW w:type="dxa" w:w="1020"/>
            <w:vAlign w:val="top"/>
          </w:tcPr>
          <w:p>
            <w:pPr>
              <w:spacing w:after="20" w:line="252" w:lineRule="auto"/>
            </w:pPr>
            <w:r>
              <w:rPr>
                <w:b w:val="0"/>
                <w:i w:val="0"/>
                <w:sz w:val="17"/>
              </w:rPr>
              <w:t>2027</w:t>
            </w:r>
          </w:p>
        </w:tc>
        <w:tc>
          <w:tcPr>
            <w:tcW w:type="dxa" w:w="1361"/>
            <w:vAlign w:val="top"/>
          </w:tcPr>
          <w:p>
            <w:pPr>
              <w:spacing w:after="20" w:line="252" w:lineRule="auto"/>
              <w:jc w:val="right"/>
            </w:pPr>
            <w:r>
              <w:rPr>
                <w:b w:val="0"/>
                <w:i w:val="0"/>
                <w:sz w:val="17"/>
              </w:rPr>
              <w:t>538</w:t>
            </w:r>
          </w:p>
        </w:tc>
        <w:tc>
          <w:tcPr>
            <w:tcW w:type="dxa" w:w="1587"/>
            <w:vAlign w:val="top"/>
          </w:tcPr>
          <w:p>
            <w:pPr>
              <w:spacing w:after="20" w:line="252" w:lineRule="auto"/>
              <w:jc w:val="right"/>
            </w:pPr>
            <w:r>
              <w:rPr>
                <w:b w:val="0"/>
                <w:i w:val="0"/>
                <w:sz w:val="17"/>
              </w:rPr>
              <w:t>538</w:t>
            </w:r>
          </w:p>
        </w:tc>
        <w:tc>
          <w:tcPr>
            <w:tcW w:type="dxa" w:w="1587"/>
            <w:vAlign w:val="top"/>
          </w:tcPr>
          <w:p>
            <w:pPr>
              <w:spacing w:after="20" w:line="252" w:lineRule="auto"/>
              <w:jc w:val="right"/>
            </w:pPr>
            <w:r>
              <w:rPr>
                <w:b w:val="0"/>
                <w:i w:val="0"/>
                <w:sz w:val="17"/>
              </w:rPr>
              <w:t>89 MB</w:t>
            </w:r>
          </w:p>
        </w:tc>
        <w:tc>
          <w:tcPr>
            <w:tcW w:type="dxa" w:w="1928"/>
            <w:vAlign w:val="top"/>
          </w:tcPr>
          <w:p>
            <w:pPr>
              <w:spacing w:after="20" w:line="252" w:lineRule="auto"/>
              <w:jc w:val="right"/>
            </w:pPr>
            <w:r>
              <w:rPr>
                <w:b w:val="0"/>
                <w:i w:val="0"/>
                <w:sz w:val="17"/>
              </w:rPr>
              <w:t>89 MB</w:t>
            </w:r>
          </w:p>
        </w:tc>
        <w:tc>
          <w:tcPr>
            <w:tcW w:type="dxa" w:w="2154"/>
            <w:vAlign w:val="top"/>
          </w:tcPr>
          <w:p>
            <w:pPr>
              <w:spacing w:after="20" w:line="252" w:lineRule="auto"/>
              <w:jc w:val="right"/>
            </w:pPr>
            <w:r>
              <w:rPr>
                <w:b w:val="0"/>
                <w:i w:val="0"/>
                <w:sz w:val="17"/>
              </w:rPr>
              <w:t>0.9 GB</w:t>
            </w:r>
          </w:p>
        </w:tc>
      </w:tr>
      <w:tr>
        <w:trPr>
          <w:cantSplit/>
        </w:trPr>
        <w:tc>
          <w:tcPr>
            <w:tcW w:type="dxa" w:w="1020"/>
            <w:vAlign w:val="top"/>
            <w:shd w:val="clear" w:color="auto" w:fill="FDF0F7"/>
          </w:tcPr>
          <w:p>
            <w:pPr>
              <w:spacing w:after="20" w:line="252" w:lineRule="auto"/>
            </w:pPr>
            <w:r>
              <w:rPr>
                <w:b w:val="0"/>
                <w:i w:val="0"/>
                <w:sz w:val="17"/>
              </w:rPr>
              <w:t>2028</w:t>
            </w:r>
          </w:p>
        </w:tc>
        <w:tc>
          <w:tcPr>
            <w:tcW w:type="dxa" w:w="1361"/>
            <w:vAlign w:val="top"/>
            <w:shd w:val="clear" w:color="auto" w:fill="FDF0F7"/>
          </w:tcPr>
          <w:p>
            <w:pPr>
              <w:spacing w:after="20" w:line="252" w:lineRule="auto"/>
              <w:jc w:val="right"/>
            </w:pPr>
            <w:r>
              <w:rPr>
                <w:b w:val="0"/>
                <w:i w:val="0"/>
                <w:sz w:val="17"/>
              </w:rPr>
              <w:t>566</w:t>
            </w:r>
          </w:p>
        </w:tc>
        <w:tc>
          <w:tcPr>
            <w:tcW w:type="dxa" w:w="1587"/>
            <w:vAlign w:val="top"/>
            <w:shd w:val="clear" w:color="auto" w:fill="FDF0F7"/>
          </w:tcPr>
          <w:p>
            <w:pPr>
              <w:spacing w:after="20" w:line="252" w:lineRule="auto"/>
              <w:jc w:val="right"/>
            </w:pPr>
            <w:r>
              <w:rPr>
                <w:b w:val="0"/>
                <w:i w:val="0"/>
                <w:sz w:val="17"/>
              </w:rPr>
              <w:t>1,104</w:t>
            </w:r>
          </w:p>
        </w:tc>
        <w:tc>
          <w:tcPr>
            <w:tcW w:type="dxa" w:w="1587"/>
            <w:vAlign w:val="top"/>
            <w:shd w:val="clear" w:color="auto" w:fill="FDF0F7"/>
          </w:tcPr>
          <w:p>
            <w:pPr>
              <w:spacing w:after="20" w:line="252" w:lineRule="auto"/>
              <w:jc w:val="right"/>
            </w:pPr>
            <w:r>
              <w:rPr>
                <w:b w:val="0"/>
                <w:i w:val="0"/>
                <w:sz w:val="17"/>
              </w:rPr>
              <w:t>93 MB</w:t>
            </w:r>
          </w:p>
        </w:tc>
        <w:tc>
          <w:tcPr>
            <w:tcW w:type="dxa" w:w="1928"/>
            <w:vAlign w:val="top"/>
            <w:shd w:val="clear" w:color="auto" w:fill="FDF0F7"/>
          </w:tcPr>
          <w:p>
            <w:pPr>
              <w:spacing w:after="20" w:line="252" w:lineRule="auto"/>
              <w:jc w:val="right"/>
            </w:pPr>
            <w:r>
              <w:rPr>
                <w:b w:val="0"/>
                <w:i w:val="0"/>
                <w:sz w:val="17"/>
              </w:rPr>
              <w:t>182 MB</w:t>
            </w:r>
          </w:p>
        </w:tc>
        <w:tc>
          <w:tcPr>
            <w:tcW w:type="dxa" w:w="2154"/>
            <w:vAlign w:val="top"/>
            <w:shd w:val="clear" w:color="auto" w:fill="FDF0F7"/>
          </w:tcPr>
          <w:p>
            <w:pPr>
              <w:spacing w:after="20" w:line="252" w:lineRule="auto"/>
              <w:jc w:val="right"/>
            </w:pPr>
            <w:r>
              <w:rPr>
                <w:b w:val="0"/>
                <w:i w:val="0"/>
                <w:sz w:val="17"/>
              </w:rPr>
              <w:t>1.8 GB</w:t>
            </w:r>
          </w:p>
        </w:tc>
      </w:tr>
      <w:tr>
        <w:trPr>
          <w:cantSplit/>
        </w:trPr>
        <w:tc>
          <w:tcPr>
            <w:tcW w:type="dxa" w:w="1020"/>
            <w:vAlign w:val="top"/>
          </w:tcPr>
          <w:p>
            <w:pPr>
              <w:spacing w:after="20" w:line="252" w:lineRule="auto"/>
            </w:pPr>
            <w:r>
              <w:rPr>
                <w:b w:val="0"/>
                <w:i w:val="0"/>
                <w:sz w:val="17"/>
              </w:rPr>
              <w:t>2029</w:t>
            </w:r>
          </w:p>
        </w:tc>
        <w:tc>
          <w:tcPr>
            <w:tcW w:type="dxa" w:w="1361"/>
            <w:vAlign w:val="top"/>
          </w:tcPr>
          <w:p>
            <w:pPr>
              <w:spacing w:after="20" w:line="252" w:lineRule="auto"/>
              <w:jc w:val="right"/>
            </w:pPr>
            <w:r>
              <w:rPr>
                <w:b w:val="0"/>
                <w:i w:val="0"/>
                <w:sz w:val="17"/>
              </w:rPr>
              <w:t>596</w:t>
            </w:r>
          </w:p>
        </w:tc>
        <w:tc>
          <w:tcPr>
            <w:tcW w:type="dxa" w:w="1587"/>
            <w:vAlign w:val="top"/>
          </w:tcPr>
          <w:p>
            <w:pPr>
              <w:spacing w:after="20" w:line="252" w:lineRule="auto"/>
              <w:jc w:val="right"/>
            </w:pPr>
            <w:r>
              <w:rPr>
                <w:b w:val="0"/>
                <w:i w:val="0"/>
                <w:sz w:val="17"/>
              </w:rPr>
              <w:t>1,700</w:t>
            </w:r>
          </w:p>
        </w:tc>
        <w:tc>
          <w:tcPr>
            <w:tcW w:type="dxa" w:w="1587"/>
            <w:vAlign w:val="top"/>
          </w:tcPr>
          <w:p>
            <w:pPr>
              <w:spacing w:after="20" w:line="252" w:lineRule="auto"/>
              <w:jc w:val="right"/>
            </w:pPr>
            <w:r>
              <w:rPr>
                <w:b w:val="0"/>
                <w:i w:val="0"/>
                <w:sz w:val="17"/>
              </w:rPr>
              <w:t>97 MB</w:t>
            </w:r>
          </w:p>
        </w:tc>
        <w:tc>
          <w:tcPr>
            <w:tcW w:type="dxa" w:w="1928"/>
            <w:vAlign w:val="top"/>
          </w:tcPr>
          <w:p>
            <w:pPr>
              <w:spacing w:after="20" w:line="252" w:lineRule="auto"/>
              <w:jc w:val="right"/>
            </w:pPr>
            <w:r>
              <w:rPr>
                <w:b w:val="0"/>
                <w:i w:val="0"/>
                <w:sz w:val="17"/>
              </w:rPr>
              <w:t>280 MB</w:t>
            </w:r>
          </w:p>
        </w:tc>
        <w:tc>
          <w:tcPr>
            <w:tcW w:type="dxa" w:w="2154"/>
            <w:vAlign w:val="top"/>
          </w:tcPr>
          <w:p>
            <w:pPr>
              <w:spacing w:after="20" w:line="252" w:lineRule="auto"/>
              <w:jc w:val="right"/>
            </w:pPr>
            <w:r>
              <w:rPr>
                <w:b w:val="0"/>
                <w:i w:val="0"/>
                <w:sz w:val="17"/>
              </w:rPr>
              <w:t>2.7 GB</w:t>
            </w:r>
          </w:p>
        </w:tc>
      </w:tr>
      <w:tr>
        <w:trPr>
          <w:cantSplit/>
        </w:trPr>
        <w:tc>
          <w:tcPr>
            <w:tcW w:type="dxa" w:w="1020"/>
            <w:vAlign w:val="top"/>
            <w:shd w:val="clear" w:color="auto" w:fill="FDF0F7"/>
          </w:tcPr>
          <w:p>
            <w:pPr>
              <w:spacing w:after="20" w:line="252" w:lineRule="auto"/>
            </w:pPr>
            <w:r>
              <w:rPr>
                <w:b w:val="0"/>
                <w:i w:val="0"/>
                <w:sz w:val="17"/>
              </w:rPr>
              <w:t>2030</w:t>
            </w:r>
          </w:p>
        </w:tc>
        <w:tc>
          <w:tcPr>
            <w:tcW w:type="dxa" w:w="1361"/>
            <w:vAlign w:val="top"/>
            <w:shd w:val="clear" w:color="auto" w:fill="FDF0F7"/>
          </w:tcPr>
          <w:p>
            <w:pPr>
              <w:spacing w:after="20" w:line="252" w:lineRule="auto"/>
              <w:jc w:val="right"/>
            </w:pPr>
            <w:r>
              <w:rPr>
                <w:b w:val="0"/>
                <w:i w:val="0"/>
                <w:sz w:val="17"/>
              </w:rPr>
              <w:t>628</w:t>
            </w:r>
          </w:p>
        </w:tc>
        <w:tc>
          <w:tcPr>
            <w:tcW w:type="dxa" w:w="1587"/>
            <w:vAlign w:val="top"/>
            <w:shd w:val="clear" w:color="auto" w:fill="FDF0F7"/>
          </w:tcPr>
          <w:p>
            <w:pPr>
              <w:spacing w:after="20" w:line="252" w:lineRule="auto"/>
              <w:jc w:val="right"/>
            </w:pPr>
            <w:r>
              <w:rPr>
                <w:b w:val="0"/>
                <w:i w:val="0"/>
                <w:sz w:val="17"/>
              </w:rPr>
              <w:t>2,328</w:t>
            </w:r>
          </w:p>
        </w:tc>
        <w:tc>
          <w:tcPr>
            <w:tcW w:type="dxa" w:w="1587"/>
            <w:vAlign w:val="top"/>
            <w:shd w:val="clear" w:color="auto" w:fill="FDF0F7"/>
          </w:tcPr>
          <w:p>
            <w:pPr>
              <w:spacing w:after="20" w:line="252" w:lineRule="auto"/>
              <w:jc w:val="right"/>
            </w:pPr>
            <w:r>
              <w:rPr>
                <w:b w:val="0"/>
                <w:i w:val="0"/>
                <w:sz w:val="17"/>
              </w:rPr>
              <w:t>102 MB</w:t>
            </w:r>
          </w:p>
        </w:tc>
        <w:tc>
          <w:tcPr>
            <w:tcW w:type="dxa" w:w="1928"/>
            <w:vAlign w:val="top"/>
            <w:shd w:val="clear" w:color="auto" w:fill="FDF0F7"/>
          </w:tcPr>
          <w:p>
            <w:pPr>
              <w:spacing w:after="20" w:line="252" w:lineRule="auto"/>
              <w:jc w:val="right"/>
            </w:pPr>
            <w:r>
              <w:rPr>
                <w:b w:val="0"/>
                <w:i w:val="0"/>
                <w:sz w:val="17"/>
              </w:rPr>
              <w:t>382 MB</w:t>
            </w:r>
          </w:p>
        </w:tc>
        <w:tc>
          <w:tcPr>
            <w:tcW w:type="dxa" w:w="2154"/>
            <w:vAlign w:val="top"/>
            <w:shd w:val="clear" w:color="auto" w:fill="FDF0F7"/>
          </w:tcPr>
          <w:p>
            <w:pPr>
              <w:spacing w:after="20" w:line="252" w:lineRule="auto"/>
              <w:jc w:val="right"/>
            </w:pPr>
            <w:r>
              <w:rPr>
                <w:b w:val="0"/>
                <w:i w:val="0"/>
                <w:sz w:val="17"/>
              </w:rPr>
              <w:t>3.7 GB</w:t>
            </w:r>
          </w:p>
        </w:tc>
      </w:tr>
      <w:tr>
        <w:trPr>
          <w:cantSplit/>
        </w:trPr>
        <w:tc>
          <w:tcPr>
            <w:tcW w:type="dxa" w:w="1020"/>
            <w:vAlign w:val="top"/>
          </w:tcPr>
          <w:p>
            <w:pPr>
              <w:spacing w:after="20" w:line="252" w:lineRule="auto"/>
            </w:pPr>
            <w:r>
              <w:rPr>
                <w:b w:val="0"/>
                <w:i w:val="0"/>
                <w:sz w:val="17"/>
              </w:rPr>
              <w:t>2031</w:t>
            </w:r>
          </w:p>
        </w:tc>
        <w:tc>
          <w:tcPr>
            <w:tcW w:type="dxa" w:w="1361"/>
            <w:vAlign w:val="top"/>
          </w:tcPr>
          <w:p>
            <w:pPr>
              <w:spacing w:after="20" w:line="252" w:lineRule="auto"/>
              <w:jc w:val="right"/>
            </w:pPr>
            <w:r>
              <w:rPr>
                <w:b w:val="0"/>
                <w:i w:val="0"/>
                <w:sz w:val="17"/>
              </w:rPr>
              <w:t>661</w:t>
            </w:r>
          </w:p>
        </w:tc>
        <w:tc>
          <w:tcPr>
            <w:tcW w:type="dxa" w:w="1587"/>
            <w:vAlign w:val="top"/>
          </w:tcPr>
          <w:p>
            <w:pPr>
              <w:spacing w:after="20" w:line="252" w:lineRule="auto"/>
              <w:jc w:val="right"/>
            </w:pPr>
            <w:r>
              <w:rPr>
                <w:b w:val="0"/>
                <w:i w:val="0"/>
                <w:sz w:val="17"/>
              </w:rPr>
              <w:t>2,989</w:t>
            </w:r>
          </w:p>
        </w:tc>
        <w:tc>
          <w:tcPr>
            <w:tcW w:type="dxa" w:w="1587"/>
            <w:vAlign w:val="top"/>
          </w:tcPr>
          <w:p>
            <w:pPr>
              <w:spacing w:after="20" w:line="252" w:lineRule="auto"/>
              <w:jc w:val="right"/>
            </w:pPr>
            <w:r>
              <w:rPr>
                <w:b w:val="0"/>
                <w:i w:val="0"/>
                <w:sz w:val="17"/>
              </w:rPr>
              <w:t>107 MB</w:t>
            </w:r>
          </w:p>
        </w:tc>
        <w:tc>
          <w:tcPr>
            <w:tcW w:type="dxa" w:w="1928"/>
            <w:vAlign w:val="top"/>
          </w:tcPr>
          <w:p>
            <w:pPr>
              <w:spacing w:after="20" w:line="252" w:lineRule="auto"/>
              <w:jc w:val="right"/>
            </w:pPr>
            <w:r>
              <w:rPr>
                <w:b w:val="0"/>
                <w:i w:val="0"/>
                <w:sz w:val="17"/>
              </w:rPr>
              <w:t>488 MB</w:t>
            </w:r>
          </w:p>
        </w:tc>
        <w:tc>
          <w:tcPr>
            <w:tcW w:type="dxa" w:w="2154"/>
            <w:vAlign w:val="top"/>
          </w:tcPr>
          <w:p>
            <w:pPr>
              <w:spacing w:after="20" w:line="252" w:lineRule="auto"/>
              <w:jc w:val="right"/>
            </w:pPr>
            <w:r>
              <w:rPr>
                <w:b w:val="0"/>
                <w:i w:val="0"/>
                <w:sz w:val="17"/>
              </w:rPr>
              <w:t>4.8 GB</w:t>
            </w:r>
          </w:p>
        </w:tc>
      </w:tr>
    </w:tbl>
    <w:p>
      <w:pPr>
        <w:pStyle w:val="Caption"/>
        <w:jc w:val="center"/>
      </w:pPr>
      <w:r>
        <w:rPr>
          <w:b w:val="0"/>
          <w:i w:val="0"/>
        </w:rPr>
        <w:t>Table 30: Database growth</w:t>
      </w:r>
    </w:p>
    <w:p>
      <w:pPr>
        <w:keepNext w:val="0"/>
      </w:pPr>
      <w:r>
        <w:rPr>
          <w:b w:val="0"/>
          <w:i w:val="0"/>
        </w:rPr>
        <w:t>After five years the database holds about 488 MB, or 4.8 GB at ten times the volume. The 200 GB database volume therefore leaves room for WAL, temporary files, local backups and growth well beyond the contract. PostgreSQL settings: shared_buffers 4 GB, effective_cache_size 12 GB, max_connections 100 (two API instances use at most 30), wal_level replica, archive_timeout 300 seconds.</w:t>
      </w:r>
    </w:p>
    <w:p>
      <w:pPr>
        <w:pStyle w:val="Heading2"/>
      </w:pPr>
      <w:r>
        <w:t>10.5 Document storage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6237"/>
        <w:gridCol w:w="1134"/>
        <w:gridCol w:w="2268"/>
      </w:tblGrid>
      <w:tr>
        <w:trPr>
          <w:cantSplit/>
          <w:tblHeader/>
        </w:trPr>
        <w:tc>
          <w:tcPr>
            <w:tcW w:type="dxa" w:w="6236"/>
            <w:shd w:val="clear" w:color="auto" w:fill="E1058C"/>
            <w:vAlign w:val="center"/>
          </w:tcPr>
          <w:p>
            <w:pPr>
              <w:spacing w:after="0"/>
            </w:pPr>
            <w:r>
              <w:rPr>
                <w:b/>
                <w:i w:val="0"/>
                <w:color w:val="FFFFFF"/>
                <w:sz w:val="16"/>
              </w:rPr>
              <w:t>Item</w:t>
            </w:r>
          </w:p>
        </w:tc>
        <w:tc>
          <w:tcPr>
            <w:tcW w:type="dxa" w:w="1134"/>
            <w:shd w:val="clear" w:color="auto" w:fill="E1058C"/>
            <w:vAlign w:val="center"/>
          </w:tcPr>
          <w:p>
            <w:pPr>
              <w:spacing w:after="0"/>
            </w:pPr>
            <w:r>
              <w:rPr>
                <w:b/>
                <w:i w:val="0"/>
                <w:color w:val="FFFFFF"/>
                <w:sz w:val="16"/>
              </w:rPr>
              <w:t>Files</w:t>
            </w:r>
          </w:p>
        </w:tc>
        <w:tc>
          <w:tcPr>
            <w:tcW w:type="dxa" w:w="2268"/>
            <w:shd w:val="clear" w:color="auto" w:fill="E1058C"/>
            <w:vAlign w:val="center"/>
          </w:tcPr>
          <w:p>
            <w:pPr>
              <w:spacing w:after="0"/>
            </w:pPr>
            <w:r>
              <w:rPr>
                <w:b/>
                <w:i w:val="0"/>
                <w:color w:val="FFFFFF"/>
                <w:sz w:val="16"/>
              </w:rPr>
              <w:t>Average size</w:t>
            </w:r>
          </w:p>
        </w:tc>
      </w:tr>
      <w:tr>
        <w:trPr>
          <w:cantSplit/>
        </w:trPr>
        <w:tc>
          <w:tcPr>
            <w:tcW w:type="dxa" w:w="6236"/>
            <w:vAlign w:val="top"/>
          </w:tcPr>
          <w:p>
            <w:pPr>
              <w:spacing w:after="20" w:line="252" w:lineRule="auto"/>
            </w:pPr>
            <w:r>
              <w:rPr>
                <w:b w:val="0"/>
                <w:i w:val="0"/>
                <w:sz w:val="16"/>
              </w:rPr>
              <w:t>Uploaded supporting documents (IC, proposal form, PDS, product documents)</w:t>
            </w:r>
          </w:p>
        </w:tc>
        <w:tc>
          <w:tcPr>
            <w:tcW w:type="dxa" w:w="1134"/>
            <w:vAlign w:val="top"/>
          </w:tcPr>
          <w:p>
            <w:pPr>
              <w:spacing w:after="20" w:line="252" w:lineRule="auto"/>
              <w:jc w:val="right"/>
            </w:pPr>
            <w:r>
              <w:rPr>
                <w:b w:val="0"/>
                <w:i w:val="0"/>
                <w:sz w:val="16"/>
              </w:rPr>
              <w:t>5</w:t>
            </w:r>
          </w:p>
        </w:tc>
        <w:tc>
          <w:tcPr>
            <w:tcW w:type="dxa" w:w="2268"/>
            <w:vAlign w:val="top"/>
          </w:tcPr>
          <w:p>
            <w:pPr>
              <w:spacing w:after="20" w:line="252" w:lineRule="auto"/>
              <w:jc w:val="right"/>
            </w:pPr>
            <w:r>
              <w:rPr>
                <w:b w:val="0"/>
                <w:i w:val="0"/>
                <w:sz w:val="16"/>
              </w:rPr>
              <w:t>0.40 MB</w:t>
            </w:r>
          </w:p>
        </w:tc>
      </w:tr>
      <w:tr>
        <w:trPr>
          <w:cantSplit/>
        </w:trPr>
        <w:tc>
          <w:tcPr>
            <w:tcW w:type="dxa" w:w="6236"/>
            <w:vAlign w:val="top"/>
            <w:shd w:val="clear" w:color="auto" w:fill="FDF0F7"/>
          </w:tcPr>
          <w:p>
            <w:pPr>
              <w:spacing w:after="20" w:line="252" w:lineRule="auto"/>
            </w:pPr>
            <w:r>
              <w:rPr>
                <w:b w:val="0"/>
                <w:i w:val="0"/>
                <w:sz w:val="16"/>
              </w:rPr>
              <w:t>System-generated e-Policy schedule and e-Receipt (PDF)</w:t>
            </w:r>
          </w:p>
        </w:tc>
        <w:tc>
          <w:tcPr>
            <w:tcW w:type="dxa" w:w="1134"/>
            <w:vAlign w:val="top"/>
            <w:shd w:val="clear" w:color="auto" w:fill="FDF0F7"/>
          </w:tcPr>
          <w:p>
            <w:pPr>
              <w:spacing w:after="20" w:line="252" w:lineRule="auto"/>
              <w:jc w:val="right"/>
            </w:pPr>
            <w:r>
              <w:rPr>
                <w:b w:val="0"/>
                <w:i w:val="0"/>
                <w:sz w:val="16"/>
              </w:rPr>
              <w:t>2</w:t>
            </w:r>
          </w:p>
        </w:tc>
        <w:tc>
          <w:tcPr>
            <w:tcW w:type="dxa" w:w="2268"/>
            <w:vAlign w:val="top"/>
            <w:shd w:val="clear" w:color="auto" w:fill="FDF0F7"/>
          </w:tcPr>
          <w:p>
            <w:pPr>
              <w:spacing w:after="20" w:line="252" w:lineRule="auto"/>
              <w:jc w:val="right"/>
            </w:pPr>
            <w:r>
              <w:rPr>
                <w:b w:val="0"/>
                <w:i w:val="0"/>
                <w:sz w:val="16"/>
              </w:rPr>
              <w:t>0.05 MB</w:t>
            </w:r>
          </w:p>
        </w:tc>
      </w:tr>
      <w:tr>
        <w:trPr>
          <w:cantSplit/>
        </w:trPr>
        <w:tc>
          <w:tcPr>
            <w:tcW w:type="dxa" w:w="6236"/>
            <w:vAlign w:val="top"/>
          </w:tcPr>
          <w:p>
            <w:pPr>
              <w:spacing w:after="20" w:line="252" w:lineRule="auto"/>
            </w:pPr>
            <w:r>
              <w:rPr>
                <w:b w:val="0"/>
                <w:i w:val="0"/>
                <w:sz w:val="16"/>
              </w:rPr>
              <w:t>Signatures (PNG)</w:t>
            </w:r>
          </w:p>
        </w:tc>
        <w:tc>
          <w:tcPr>
            <w:tcW w:type="dxa" w:w="1134"/>
            <w:vAlign w:val="top"/>
          </w:tcPr>
          <w:p>
            <w:pPr>
              <w:spacing w:after="20" w:line="252" w:lineRule="auto"/>
              <w:jc w:val="right"/>
            </w:pPr>
            <w:r>
              <w:rPr>
                <w:b w:val="0"/>
                <w:i w:val="0"/>
                <w:sz w:val="16"/>
              </w:rPr>
              <w:t>2</w:t>
            </w:r>
          </w:p>
        </w:tc>
        <w:tc>
          <w:tcPr>
            <w:tcW w:type="dxa" w:w="2268"/>
            <w:vAlign w:val="top"/>
          </w:tcPr>
          <w:p>
            <w:pPr>
              <w:spacing w:after="20" w:line="252" w:lineRule="auto"/>
              <w:jc w:val="right"/>
            </w:pPr>
            <w:r>
              <w:rPr>
                <w:b w:val="0"/>
                <w:i w:val="0"/>
                <w:sz w:val="16"/>
              </w:rPr>
              <w:t>0.02 MB</w:t>
            </w:r>
          </w:p>
        </w:tc>
      </w:tr>
      <w:tr>
        <w:trPr>
          <w:cantSplit/>
        </w:trPr>
        <w:tc>
          <w:tcPr>
            <w:tcW w:type="dxa" w:w="6236"/>
            <w:vAlign w:val="top"/>
            <w:shd w:val="clear" w:color="auto" w:fill="FDF0F7"/>
          </w:tcPr>
          <w:p>
            <w:pPr>
              <w:spacing w:after="20" w:line="252" w:lineRule="auto"/>
            </w:pPr>
            <w:r>
              <w:rPr>
                <w:b w:val="0"/>
                <w:i w:val="0"/>
                <w:sz w:val="16"/>
              </w:rPr>
              <w:t>Payment proof (shared by about two policies)</w:t>
            </w:r>
          </w:p>
        </w:tc>
        <w:tc>
          <w:tcPr>
            <w:tcW w:type="dxa" w:w="1134"/>
            <w:vAlign w:val="top"/>
            <w:shd w:val="clear" w:color="auto" w:fill="FDF0F7"/>
          </w:tcPr>
          <w:p>
            <w:pPr>
              <w:spacing w:after="20" w:line="252" w:lineRule="auto"/>
              <w:jc w:val="right"/>
            </w:pPr>
            <w:r>
              <w:rPr>
                <w:b w:val="0"/>
                <w:i w:val="0"/>
                <w:sz w:val="16"/>
              </w:rPr>
              <w:t>0.5</w:t>
            </w:r>
          </w:p>
        </w:tc>
        <w:tc>
          <w:tcPr>
            <w:tcW w:type="dxa" w:w="2268"/>
            <w:vAlign w:val="top"/>
            <w:shd w:val="clear" w:color="auto" w:fill="FDF0F7"/>
          </w:tcPr>
          <w:p>
            <w:pPr>
              <w:spacing w:after="20" w:line="252" w:lineRule="auto"/>
              <w:jc w:val="right"/>
            </w:pPr>
            <w:r>
              <w:rPr>
                <w:b w:val="0"/>
                <w:i w:val="0"/>
                <w:sz w:val="16"/>
              </w:rPr>
              <w:t>0.50 MB</w:t>
            </w:r>
          </w:p>
        </w:tc>
      </w:tr>
      <w:tr>
        <w:trPr>
          <w:cantSplit/>
        </w:trPr>
        <w:tc>
          <w:tcPr>
            <w:tcW w:type="dxa" w:w="6236"/>
            <w:vAlign w:val="top"/>
            <w:shd w:val="clear" w:color="auto" w:fill="FEEBDD"/>
          </w:tcPr>
          <w:p>
            <w:pPr>
              <w:spacing w:after="20" w:line="252" w:lineRule="auto"/>
            </w:pPr>
            <w:r>
              <w:rPr>
                <w:b/>
                <w:i w:val="0"/>
                <w:sz w:val="16"/>
              </w:rPr>
              <w:t>Per issued policy</w:t>
            </w:r>
          </w:p>
        </w:tc>
        <w:tc>
          <w:tcPr>
            <w:tcW w:type="dxa" w:w="1134"/>
            <w:vAlign w:val="top"/>
            <w:shd w:val="clear" w:color="auto" w:fill="FEEBDD"/>
          </w:tcPr>
          <w:p>
            <w:pPr>
              <w:spacing w:after="20" w:line="252" w:lineRule="auto"/>
              <w:jc w:val="right"/>
            </w:pPr>
          </w:p>
        </w:tc>
        <w:tc>
          <w:tcPr>
            <w:tcW w:type="dxa" w:w="2268"/>
            <w:vAlign w:val="top"/>
            <w:shd w:val="clear" w:color="auto" w:fill="FEEBDD"/>
          </w:tcPr>
          <w:p>
            <w:pPr>
              <w:spacing w:after="20" w:line="252" w:lineRule="auto"/>
              <w:jc w:val="right"/>
            </w:pPr>
            <w:r>
              <w:rPr>
                <w:b/>
                <w:i w:val="0"/>
                <w:sz w:val="16"/>
              </w:rPr>
              <w:t>2.39 MB</w:t>
            </w:r>
          </w:p>
        </w:tc>
      </w:tr>
    </w:tbl>
    <w:p>
      <w:pPr>
        <w:pStyle w:val="Caption"/>
        <w:jc w:val="center"/>
      </w:pPr>
      <w:r>
        <w:rPr>
          <w:b w:val="0"/>
          <w:i w:val="0"/>
        </w:rPr>
        <w:t>Table 31: Document volume per policy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2608"/>
        <w:gridCol w:w="2608"/>
        <w:gridCol w:w="2721"/>
      </w:tblGrid>
      <w:tr>
        <w:trPr>
          <w:cantSplit/>
          <w:tblHeader/>
        </w:trPr>
        <w:tc>
          <w:tcPr>
            <w:tcW w:type="dxa" w:w="1701"/>
            <w:shd w:val="clear" w:color="auto" w:fill="E1058C"/>
            <w:vAlign w:val="center"/>
          </w:tcPr>
          <w:p>
            <w:pPr>
              <w:spacing w:after="0"/>
            </w:pPr>
            <w:r>
              <w:rPr>
                <w:b/>
                <w:i w:val="0"/>
                <w:color w:val="FFFFFF"/>
                <w:sz w:val="17"/>
              </w:rPr>
              <w:t>Year</w:t>
            </w:r>
          </w:p>
        </w:tc>
        <w:tc>
          <w:tcPr>
            <w:tcW w:type="dxa" w:w="2608"/>
            <w:shd w:val="clear" w:color="auto" w:fill="E1058C"/>
            <w:vAlign w:val="center"/>
          </w:tcPr>
          <w:p>
            <w:pPr>
              <w:spacing w:after="0"/>
            </w:pPr>
            <w:r>
              <w:rPr>
                <w:b/>
                <w:i w:val="0"/>
                <w:color w:val="FFFFFF"/>
                <w:sz w:val="17"/>
              </w:rPr>
              <w:t>Added</w:t>
            </w:r>
          </w:p>
        </w:tc>
        <w:tc>
          <w:tcPr>
            <w:tcW w:type="dxa" w:w="2608"/>
            <w:shd w:val="clear" w:color="auto" w:fill="E1058C"/>
            <w:vAlign w:val="center"/>
          </w:tcPr>
          <w:p>
            <w:pPr>
              <w:spacing w:after="0"/>
            </w:pPr>
            <w:r>
              <w:rPr>
                <w:b/>
                <w:i w:val="0"/>
                <w:color w:val="FFFFFF"/>
                <w:sz w:val="17"/>
              </w:rPr>
              <w:t>Cumulative</w:t>
            </w:r>
          </w:p>
        </w:tc>
        <w:tc>
          <w:tcPr>
            <w:tcW w:type="dxa" w:w="2721"/>
            <w:shd w:val="clear" w:color="auto" w:fill="E1058C"/>
            <w:vAlign w:val="center"/>
          </w:tcPr>
          <w:p>
            <w:pPr>
              <w:spacing w:after="0"/>
            </w:pPr>
            <w:r>
              <w:rPr>
                <w:b/>
                <w:i w:val="0"/>
                <w:color w:val="FFFFFF"/>
                <w:sz w:val="17"/>
              </w:rPr>
              <w:t>×10 headroom</w:t>
            </w:r>
          </w:p>
        </w:tc>
      </w:tr>
      <w:tr>
        <w:trPr>
          <w:cantSplit/>
        </w:trPr>
        <w:tc>
          <w:tcPr>
            <w:tcW w:type="dxa" w:w="1701"/>
            <w:vAlign w:val="top"/>
          </w:tcPr>
          <w:p>
            <w:pPr>
              <w:spacing w:after="20" w:line="252" w:lineRule="auto"/>
            </w:pPr>
            <w:r>
              <w:rPr>
                <w:b w:val="0"/>
                <w:i w:val="0"/>
                <w:sz w:val="17"/>
              </w:rPr>
              <w:t>2027</w:t>
            </w:r>
          </w:p>
        </w:tc>
        <w:tc>
          <w:tcPr>
            <w:tcW w:type="dxa" w:w="2608"/>
            <w:vAlign w:val="top"/>
          </w:tcPr>
          <w:p>
            <w:pPr>
              <w:spacing w:after="20" w:line="252" w:lineRule="auto"/>
              <w:jc w:val="right"/>
            </w:pPr>
            <w:r>
              <w:rPr>
                <w:b w:val="0"/>
                <w:i w:val="0"/>
                <w:sz w:val="17"/>
              </w:rPr>
              <w:t>1.4 GB</w:t>
            </w:r>
          </w:p>
        </w:tc>
        <w:tc>
          <w:tcPr>
            <w:tcW w:type="dxa" w:w="2608"/>
            <w:vAlign w:val="top"/>
          </w:tcPr>
          <w:p>
            <w:pPr>
              <w:spacing w:after="20" w:line="252" w:lineRule="auto"/>
              <w:jc w:val="right"/>
            </w:pPr>
            <w:r>
              <w:rPr>
                <w:b w:val="0"/>
                <w:i w:val="0"/>
                <w:sz w:val="17"/>
              </w:rPr>
              <w:t>1.4 GB</w:t>
            </w:r>
          </w:p>
        </w:tc>
        <w:tc>
          <w:tcPr>
            <w:tcW w:type="dxa" w:w="2721"/>
            <w:vAlign w:val="top"/>
          </w:tcPr>
          <w:p>
            <w:pPr>
              <w:spacing w:after="20" w:line="252" w:lineRule="auto"/>
              <w:jc w:val="right"/>
            </w:pPr>
            <w:r>
              <w:rPr>
                <w:b w:val="0"/>
                <w:i w:val="0"/>
                <w:sz w:val="17"/>
              </w:rPr>
              <w:t>14 GB</w:t>
            </w:r>
          </w:p>
        </w:tc>
      </w:tr>
      <w:tr>
        <w:trPr>
          <w:cantSplit/>
        </w:trPr>
        <w:tc>
          <w:tcPr>
            <w:tcW w:type="dxa" w:w="1701"/>
            <w:vAlign w:val="top"/>
            <w:shd w:val="clear" w:color="auto" w:fill="FDF0F7"/>
          </w:tcPr>
          <w:p>
            <w:pPr>
              <w:spacing w:after="20" w:line="252" w:lineRule="auto"/>
            </w:pPr>
            <w:r>
              <w:rPr>
                <w:b w:val="0"/>
                <w:i w:val="0"/>
                <w:sz w:val="17"/>
              </w:rPr>
              <w:t>2028</w:t>
            </w:r>
          </w:p>
        </w:tc>
        <w:tc>
          <w:tcPr>
            <w:tcW w:type="dxa" w:w="2608"/>
            <w:vAlign w:val="top"/>
            <w:shd w:val="clear" w:color="auto" w:fill="FDF0F7"/>
          </w:tcPr>
          <w:p>
            <w:pPr>
              <w:spacing w:after="20" w:line="252" w:lineRule="auto"/>
              <w:jc w:val="right"/>
            </w:pPr>
            <w:r>
              <w:rPr>
                <w:b w:val="0"/>
                <w:i w:val="0"/>
                <w:sz w:val="17"/>
              </w:rPr>
              <w:t>1.4 GB</w:t>
            </w:r>
          </w:p>
        </w:tc>
        <w:tc>
          <w:tcPr>
            <w:tcW w:type="dxa" w:w="2608"/>
            <w:vAlign w:val="top"/>
            <w:shd w:val="clear" w:color="auto" w:fill="FDF0F7"/>
          </w:tcPr>
          <w:p>
            <w:pPr>
              <w:spacing w:after="20" w:line="252" w:lineRule="auto"/>
              <w:jc w:val="right"/>
            </w:pPr>
            <w:r>
              <w:rPr>
                <w:b w:val="0"/>
                <w:i w:val="0"/>
                <w:sz w:val="17"/>
              </w:rPr>
              <w:t>2.8 GB</w:t>
            </w:r>
          </w:p>
        </w:tc>
        <w:tc>
          <w:tcPr>
            <w:tcW w:type="dxa" w:w="2721"/>
            <w:vAlign w:val="top"/>
            <w:shd w:val="clear" w:color="auto" w:fill="FDF0F7"/>
          </w:tcPr>
          <w:p>
            <w:pPr>
              <w:spacing w:after="20" w:line="252" w:lineRule="auto"/>
              <w:jc w:val="right"/>
            </w:pPr>
            <w:r>
              <w:rPr>
                <w:b w:val="0"/>
                <w:i w:val="0"/>
                <w:sz w:val="17"/>
              </w:rPr>
              <w:t>28 GB</w:t>
            </w:r>
          </w:p>
        </w:tc>
      </w:tr>
      <w:tr>
        <w:trPr>
          <w:cantSplit/>
        </w:trPr>
        <w:tc>
          <w:tcPr>
            <w:tcW w:type="dxa" w:w="1701"/>
            <w:vAlign w:val="top"/>
          </w:tcPr>
          <w:p>
            <w:pPr>
              <w:spacing w:after="20" w:line="252" w:lineRule="auto"/>
            </w:pPr>
            <w:r>
              <w:rPr>
                <w:b w:val="0"/>
                <w:i w:val="0"/>
                <w:sz w:val="17"/>
              </w:rPr>
              <w:t>2029</w:t>
            </w:r>
          </w:p>
        </w:tc>
        <w:tc>
          <w:tcPr>
            <w:tcW w:type="dxa" w:w="2608"/>
            <w:vAlign w:val="top"/>
          </w:tcPr>
          <w:p>
            <w:pPr>
              <w:spacing w:after="20" w:line="252" w:lineRule="auto"/>
              <w:jc w:val="right"/>
            </w:pPr>
            <w:r>
              <w:rPr>
                <w:b w:val="0"/>
                <w:i w:val="0"/>
                <w:sz w:val="17"/>
              </w:rPr>
              <w:t>1.5 GB</w:t>
            </w:r>
          </w:p>
        </w:tc>
        <w:tc>
          <w:tcPr>
            <w:tcW w:type="dxa" w:w="2608"/>
            <w:vAlign w:val="top"/>
          </w:tcPr>
          <w:p>
            <w:pPr>
              <w:spacing w:after="20" w:line="252" w:lineRule="auto"/>
              <w:jc w:val="right"/>
            </w:pPr>
            <w:r>
              <w:rPr>
                <w:b w:val="0"/>
                <w:i w:val="0"/>
                <w:sz w:val="17"/>
              </w:rPr>
              <w:t>4.3 GB</w:t>
            </w:r>
          </w:p>
        </w:tc>
        <w:tc>
          <w:tcPr>
            <w:tcW w:type="dxa" w:w="2721"/>
            <w:vAlign w:val="top"/>
          </w:tcPr>
          <w:p>
            <w:pPr>
              <w:spacing w:after="20" w:line="252" w:lineRule="auto"/>
              <w:jc w:val="right"/>
            </w:pPr>
            <w:r>
              <w:rPr>
                <w:b w:val="0"/>
                <w:i w:val="0"/>
                <w:sz w:val="17"/>
              </w:rPr>
              <w:t>43 GB</w:t>
            </w:r>
          </w:p>
        </w:tc>
      </w:tr>
      <w:tr>
        <w:trPr>
          <w:cantSplit/>
        </w:trPr>
        <w:tc>
          <w:tcPr>
            <w:tcW w:type="dxa" w:w="1701"/>
            <w:vAlign w:val="top"/>
            <w:shd w:val="clear" w:color="auto" w:fill="FDF0F7"/>
          </w:tcPr>
          <w:p>
            <w:pPr>
              <w:spacing w:after="20" w:line="252" w:lineRule="auto"/>
            </w:pPr>
            <w:r>
              <w:rPr>
                <w:b w:val="0"/>
                <w:i w:val="0"/>
                <w:sz w:val="17"/>
              </w:rPr>
              <w:t>2030</w:t>
            </w:r>
          </w:p>
        </w:tc>
        <w:tc>
          <w:tcPr>
            <w:tcW w:type="dxa" w:w="2608"/>
            <w:vAlign w:val="top"/>
            <w:shd w:val="clear" w:color="auto" w:fill="FDF0F7"/>
          </w:tcPr>
          <w:p>
            <w:pPr>
              <w:spacing w:after="20" w:line="252" w:lineRule="auto"/>
              <w:jc w:val="right"/>
            </w:pPr>
            <w:r>
              <w:rPr>
                <w:b w:val="0"/>
                <w:i w:val="0"/>
                <w:sz w:val="17"/>
              </w:rPr>
              <w:t>1.6 GB</w:t>
            </w:r>
          </w:p>
        </w:tc>
        <w:tc>
          <w:tcPr>
            <w:tcW w:type="dxa" w:w="2608"/>
            <w:vAlign w:val="top"/>
            <w:shd w:val="clear" w:color="auto" w:fill="FDF0F7"/>
          </w:tcPr>
          <w:p>
            <w:pPr>
              <w:spacing w:after="20" w:line="252" w:lineRule="auto"/>
              <w:jc w:val="right"/>
            </w:pPr>
            <w:r>
              <w:rPr>
                <w:b w:val="0"/>
                <w:i w:val="0"/>
                <w:sz w:val="17"/>
              </w:rPr>
              <w:t>5.9 GB</w:t>
            </w:r>
          </w:p>
        </w:tc>
        <w:tc>
          <w:tcPr>
            <w:tcW w:type="dxa" w:w="2721"/>
            <w:vAlign w:val="top"/>
            <w:shd w:val="clear" w:color="auto" w:fill="FDF0F7"/>
          </w:tcPr>
          <w:p>
            <w:pPr>
              <w:spacing w:after="20" w:line="252" w:lineRule="auto"/>
              <w:jc w:val="right"/>
            </w:pPr>
            <w:r>
              <w:rPr>
                <w:b w:val="0"/>
                <w:i w:val="0"/>
                <w:sz w:val="17"/>
              </w:rPr>
              <w:t>59 GB</w:t>
            </w:r>
          </w:p>
        </w:tc>
      </w:tr>
      <w:tr>
        <w:trPr>
          <w:cantSplit/>
        </w:trPr>
        <w:tc>
          <w:tcPr>
            <w:tcW w:type="dxa" w:w="1701"/>
            <w:vAlign w:val="top"/>
          </w:tcPr>
          <w:p>
            <w:pPr>
              <w:spacing w:after="20" w:line="252" w:lineRule="auto"/>
            </w:pPr>
            <w:r>
              <w:rPr>
                <w:b w:val="0"/>
                <w:i w:val="0"/>
                <w:sz w:val="17"/>
              </w:rPr>
              <w:t>2031</w:t>
            </w:r>
          </w:p>
        </w:tc>
        <w:tc>
          <w:tcPr>
            <w:tcW w:type="dxa" w:w="2608"/>
            <w:vAlign w:val="top"/>
          </w:tcPr>
          <w:p>
            <w:pPr>
              <w:spacing w:after="20" w:line="252" w:lineRule="auto"/>
              <w:jc w:val="right"/>
            </w:pPr>
            <w:r>
              <w:rPr>
                <w:b w:val="0"/>
                <w:i w:val="0"/>
                <w:sz w:val="17"/>
              </w:rPr>
              <w:t>1.7 GB</w:t>
            </w:r>
          </w:p>
        </w:tc>
        <w:tc>
          <w:tcPr>
            <w:tcW w:type="dxa" w:w="2608"/>
            <w:vAlign w:val="top"/>
          </w:tcPr>
          <w:p>
            <w:pPr>
              <w:spacing w:after="20" w:line="252" w:lineRule="auto"/>
              <w:jc w:val="right"/>
            </w:pPr>
            <w:r>
              <w:rPr>
                <w:b w:val="0"/>
                <w:i w:val="0"/>
                <w:sz w:val="17"/>
              </w:rPr>
              <w:t>7.6 GB</w:t>
            </w:r>
          </w:p>
        </w:tc>
        <w:tc>
          <w:tcPr>
            <w:tcW w:type="dxa" w:w="2721"/>
            <w:vAlign w:val="top"/>
          </w:tcPr>
          <w:p>
            <w:pPr>
              <w:spacing w:after="20" w:line="252" w:lineRule="auto"/>
              <w:jc w:val="right"/>
            </w:pPr>
            <w:r>
              <w:rPr>
                <w:b w:val="0"/>
                <w:i w:val="0"/>
                <w:sz w:val="17"/>
              </w:rPr>
              <w:t>76 GB</w:t>
            </w:r>
          </w:p>
        </w:tc>
      </w:tr>
    </w:tbl>
    <w:p>
      <w:pPr>
        <w:pStyle w:val="Caption"/>
        <w:jc w:val="center"/>
      </w:pPr>
      <w:r>
        <w:rPr>
          <w:b w:val="0"/>
          <w:i w:val="0"/>
        </w:rPr>
        <w:t>Table 32: Document store growth</w:t>
      </w:r>
    </w:p>
    <w:p>
      <w:pPr>
        <w:keepNext w:val="0"/>
      </w:pPr>
      <w:r>
        <w:rPr>
          <w:b w:val="0"/>
          <w:i w:val="0"/>
        </w:rPr>
        <w:t>Including 120 MB a year for EOD reports, FIN files, scheduled reports and agent, claim and issue documents, the store reaches about 8 GB in five years and 76 GB with headroom, inside the 500 GB share.</w:t>
      </w:r>
    </w:p>
    <w:p>
      <w:pPr>
        <w:pStyle w:val="Heading2"/>
      </w:pPr>
      <w:r>
        <w:t>10.6 Backup, RPO and RTO</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7597"/>
      </w:tblGrid>
      <w:tr>
        <w:trPr>
          <w:cantSplit/>
          <w:tblHeader/>
        </w:trPr>
        <w:tc>
          <w:tcPr>
            <w:tcW w:type="dxa" w:w="2041"/>
            <w:shd w:val="clear" w:color="auto" w:fill="E1058C"/>
            <w:vAlign w:val="center"/>
          </w:tcPr>
          <w:p>
            <w:pPr>
              <w:spacing w:after="0"/>
            </w:pPr>
            <w:r>
              <w:rPr>
                <w:b/>
                <w:i w:val="0"/>
                <w:color w:val="FFFFFF"/>
                <w:sz w:val="17"/>
              </w:rPr>
              <w:t>Item</w:t>
            </w:r>
          </w:p>
        </w:tc>
        <w:tc>
          <w:tcPr>
            <w:tcW w:type="dxa" w:w="7597"/>
            <w:shd w:val="clear" w:color="auto" w:fill="E1058C"/>
            <w:vAlign w:val="center"/>
          </w:tcPr>
          <w:p>
            <w:pPr>
              <w:spacing w:after="0"/>
            </w:pPr>
            <w:r>
              <w:rPr>
                <w:b/>
                <w:i w:val="0"/>
                <w:color w:val="FFFFFF"/>
                <w:sz w:val="17"/>
              </w:rPr>
              <w:t>Design</w:t>
            </w:r>
          </w:p>
        </w:tc>
      </w:tr>
      <w:tr>
        <w:trPr>
          <w:cantSplit/>
        </w:trPr>
        <w:tc>
          <w:tcPr>
            <w:tcW w:type="dxa" w:w="2041"/>
            <w:vAlign w:val="top"/>
          </w:tcPr>
          <w:p>
            <w:pPr>
              <w:spacing w:after="20" w:line="252" w:lineRule="auto"/>
            </w:pPr>
            <w:r>
              <w:rPr>
                <w:b/>
                <w:i w:val="0"/>
                <w:sz w:val="17"/>
              </w:rPr>
              <w:t>Database backups</w:t>
            </w:r>
          </w:p>
        </w:tc>
        <w:tc>
          <w:tcPr>
            <w:tcW w:type="dxa" w:w="7597"/>
            <w:vAlign w:val="top"/>
          </w:tcPr>
          <w:p>
            <w:pPr>
              <w:spacing w:after="20" w:line="252" w:lineRule="auto"/>
            </w:pPr>
            <w:r>
              <w:rPr>
                <w:b w:val="0"/>
                <w:i w:val="0"/>
                <w:sz w:val="17"/>
              </w:rPr>
              <w:t>pgBackRest full backup daily at 02:00, after EOD and the overnight jobs; continuous WAL archiving with archive_timeout 300 seconds</w:t>
            </w:r>
          </w:p>
        </w:tc>
      </w:tr>
      <w:tr>
        <w:trPr>
          <w:cantSplit/>
        </w:trPr>
        <w:tc>
          <w:tcPr>
            <w:tcW w:type="dxa" w:w="2041"/>
            <w:vAlign w:val="top"/>
            <w:shd w:val="clear" w:color="auto" w:fill="FDF0F7"/>
          </w:tcPr>
          <w:p>
            <w:pPr>
              <w:spacing w:after="20" w:line="252" w:lineRule="auto"/>
            </w:pPr>
            <w:r>
              <w:rPr>
                <w:b/>
                <w:i w:val="0"/>
                <w:sz w:val="17"/>
              </w:rPr>
              <w:t>Document backups</w:t>
            </w:r>
          </w:p>
        </w:tc>
        <w:tc>
          <w:tcPr>
            <w:tcW w:type="dxa" w:w="7597"/>
            <w:vAlign w:val="top"/>
            <w:shd w:val="clear" w:color="auto" w:fill="FDF0F7"/>
          </w:tcPr>
          <w:p>
            <w:pPr>
              <w:spacing w:after="20" w:line="252" w:lineRule="auto"/>
            </w:pPr>
            <w:r>
              <w:rPr>
                <w:b w:val="0"/>
                <w:i w:val="0"/>
                <w:sz w:val="17"/>
              </w:rPr>
              <w:t>Daily incremental, weekly full</w:t>
            </w:r>
          </w:p>
        </w:tc>
      </w:tr>
      <w:tr>
        <w:trPr>
          <w:cantSplit/>
        </w:trPr>
        <w:tc>
          <w:tcPr>
            <w:tcW w:type="dxa" w:w="2041"/>
            <w:vAlign w:val="top"/>
          </w:tcPr>
          <w:p>
            <w:pPr>
              <w:spacing w:after="20" w:line="252" w:lineRule="auto"/>
            </w:pPr>
            <w:r>
              <w:rPr>
                <w:b/>
                <w:i w:val="0"/>
                <w:sz w:val="17"/>
              </w:rPr>
              <w:t>Retention</w:t>
            </w:r>
          </w:p>
        </w:tc>
        <w:tc>
          <w:tcPr>
            <w:tcW w:type="dxa" w:w="7597"/>
            <w:vAlign w:val="top"/>
          </w:tcPr>
          <w:p>
            <w:pPr>
              <w:spacing w:after="20" w:line="252" w:lineRule="auto"/>
            </w:pPr>
            <w:r>
              <w:rPr>
                <w:b w:val="0"/>
                <w:i w:val="0"/>
                <w:sz w:val="17"/>
              </w:rPr>
              <w:t>35 days online; monthly copies kept 12 months; yearly copies per IIFT policy</w:t>
            </w:r>
          </w:p>
        </w:tc>
      </w:tr>
      <w:tr>
        <w:trPr>
          <w:cantSplit/>
        </w:trPr>
        <w:tc>
          <w:tcPr>
            <w:tcW w:type="dxa" w:w="2041"/>
            <w:vAlign w:val="top"/>
            <w:shd w:val="clear" w:color="auto" w:fill="FDF0F7"/>
          </w:tcPr>
          <w:p>
            <w:pPr>
              <w:spacing w:after="20" w:line="252" w:lineRule="auto"/>
            </w:pPr>
            <w:r>
              <w:rPr>
                <w:b/>
                <w:i w:val="0"/>
                <w:sz w:val="17"/>
              </w:rPr>
              <w:t>Off-site</w:t>
            </w:r>
          </w:p>
        </w:tc>
        <w:tc>
          <w:tcPr>
            <w:tcW w:type="dxa" w:w="7597"/>
            <w:vAlign w:val="top"/>
            <w:shd w:val="clear" w:color="auto" w:fill="FDF0F7"/>
          </w:tcPr>
          <w:p>
            <w:pPr>
              <w:spacing w:after="20" w:line="252" w:lineRule="auto"/>
            </w:pPr>
            <w:r>
              <w:rPr>
                <w:b w:val="0"/>
                <w:i w:val="0"/>
                <w:sz w:val="17"/>
              </w:rPr>
              <w:t>Daily copy of backups to the DR site; backups encrypted</w:t>
            </w:r>
          </w:p>
        </w:tc>
      </w:tr>
      <w:tr>
        <w:trPr>
          <w:cantSplit/>
        </w:trPr>
        <w:tc>
          <w:tcPr>
            <w:tcW w:type="dxa" w:w="2041"/>
            <w:vAlign w:val="top"/>
          </w:tcPr>
          <w:p>
            <w:pPr>
              <w:spacing w:after="20" w:line="252" w:lineRule="auto"/>
            </w:pPr>
            <w:r>
              <w:rPr>
                <w:b/>
                <w:i w:val="0"/>
                <w:sz w:val="17"/>
              </w:rPr>
              <w:t>RPO</w:t>
            </w:r>
          </w:p>
        </w:tc>
        <w:tc>
          <w:tcPr>
            <w:tcW w:type="dxa" w:w="7597"/>
            <w:vAlign w:val="top"/>
          </w:tcPr>
          <w:p>
            <w:pPr>
              <w:spacing w:after="20" w:line="252" w:lineRule="auto"/>
            </w:pPr>
            <w:r>
              <w:rPr>
                <w:b w:val="0"/>
                <w:i w:val="0"/>
                <w:sz w:val="17"/>
              </w:rPr>
              <w:t>15 minutes or better: streaming replication to the standby is near-real-time, and archived WAL limits loss to 5 minutes if both database nodes are lost</w:t>
            </w:r>
          </w:p>
        </w:tc>
      </w:tr>
      <w:tr>
        <w:trPr>
          <w:cantSplit/>
        </w:trPr>
        <w:tc>
          <w:tcPr>
            <w:tcW w:type="dxa" w:w="2041"/>
            <w:vAlign w:val="top"/>
            <w:shd w:val="clear" w:color="auto" w:fill="FDF0F7"/>
          </w:tcPr>
          <w:p>
            <w:pPr>
              <w:spacing w:after="20" w:line="252" w:lineRule="auto"/>
            </w:pPr>
            <w:r>
              <w:rPr>
                <w:b/>
                <w:i w:val="0"/>
                <w:sz w:val="17"/>
              </w:rPr>
              <w:t>RTO</w:t>
            </w:r>
          </w:p>
        </w:tc>
        <w:tc>
          <w:tcPr>
            <w:tcW w:type="dxa" w:w="7597"/>
            <w:vAlign w:val="top"/>
            <w:shd w:val="clear" w:color="auto" w:fill="FDF0F7"/>
          </w:tcPr>
          <w:p>
            <w:pPr>
              <w:spacing w:after="20" w:line="252" w:lineRule="auto"/>
            </w:pPr>
            <w:r>
              <w:rPr>
                <w:b w:val="0"/>
                <w:i w:val="0"/>
                <w:sz w:val="17"/>
              </w:rPr>
              <w:t>4 hours for a full site loss; under 30 minutes for loss of an application VM (none, service continues) or the database primary (promote standby)</w:t>
            </w:r>
          </w:p>
        </w:tc>
      </w:tr>
      <w:tr>
        <w:trPr>
          <w:cantSplit/>
        </w:trPr>
        <w:tc>
          <w:tcPr>
            <w:tcW w:type="dxa" w:w="2041"/>
            <w:vAlign w:val="top"/>
          </w:tcPr>
          <w:p>
            <w:pPr>
              <w:spacing w:after="20" w:line="252" w:lineRule="auto"/>
            </w:pPr>
            <w:r>
              <w:rPr>
                <w:b/>
                <w:i w:val="0"/>
                <w:sz w:val="17"/>
              </w:rPr>
              <w:t>Backup storage need</w:t>
            </w:r>
          </w:p>
        </w:tc>
        <w:tc>
          <w:tcPr>
            <w:tcW w:type="dxa" w:w="7597"/>
            <w:vAlign w:val="top"/>
          </w:tcPr>
          <w:p>
            <w:pPr>
              <w:spacing w:after="20" w:line="252" w:lineRule="auto"/>
            </w:pPr>
            <w:r>
              <w:rPr>
                <w:b w:val="0"/>
                <w:i w:val="0"/>
                <w:sz w:val="17"/>
              </w:rPr>
              <w:t>About 150 GB at year 5 (database fulls and WAL, document backups, monthly copies); 1 TB provisioned</w:t>
            </w:r>
          </w:p>
        </w:tc>
      </w:tr>
      <w:tr>
        <w:trPr>
          <w:cantSplit/>
        </w:trPr>
        <w:tc>
          <w:tcPr>
            <w:tcW w:type="dxa" w:w="2041"/>
            <w:vAlign w:val="top"/>
            <w:shd w:val="clear" w:color="auto" w:fill="FDF0F7"/>
          </w:tcPr>
          <w:p>
            <w:pPr>
              <w:spacing w:after="20" w:line="252" w:lineRule="auto"/>
            </w:pPr>
            <w:r>
              <w:rPr>
                <w:b/>
                <w:i w:val="0"/>
                <w:sz w:val="17"/>
              </w:rPr>
              <w:t>Verification</w:t>
            </w:r>
          </w:p>
        </w:tc>
        <w:tc>
          <w:tcPr>
            <w:tcW w:type="dxa" w:w="7597"/>
            <w:vAlign w:val="top"/>
            <w:shd w:val="clear" w:color="auto" w:fill="FDF0F7"/>
          </w:tcPr>
          <w:p>
            <w:pPr>
              <w:spacing w:after="20" w:line="252" w:lineRule="auto"/>
            </w:pPr>
            <w:r>
              <w:rPr>
                <w:b w:val="0"/>
                <w:i w:val="0"/>
                <w:sz w:val="17"/>
              </w:rPr>
              <w:t>Quarterly restore test to a scratch instance with reconciliation of counts; yearly DR test</w:t>
            </w:r>
          </w:p>
        </w:tc>
      </w:tr>
    </w:tbl>
    <w:p>
      <w:pPr>
        <w:pStyle w:val="Caption"/>
        <w:jc w:val="center"/>
      </w:pPr>
      <w:r>
        <w:rPr>
          <w:b w:val="0"/>
          <w:i w:val="0"/>
        </w:rPr>
        <w:t>Table 33: Backup and recovery design</w:t>
      </w:r>
    </w:p>
    <w:p>
      <w:pPr>
        <w:pStyle w:val="Heading2"/>
      </w:pPr>
      <w:r>
        <w:t>10.7 Network ports and firewall rules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381"/>
        <w:gridCol w:w="2608"/>
        <w:gridCol w:w="1474"/>
        <w:gridCol w:w="3175"/>
      </w:tblGrid>
      <w:tr>
        <w:trPr>
          <w:cantSplit/>
          <w:tblHeader/>
        </w:trPr>
        <w:tc>
          <w:tcPr>
            <w:tcW w:type="dxa" w:w="2381"/>
            <w:shd w:val="clear" w:color="auto" w:fill="E1058C"/>
            <w:vAlign w:val="center"/>
          </w:tcPr>
          <w:p>
            <w:pPr>
              <w:spacing w:after="0"/>
            </w:pPr>
            <w:r>
              <w:rPr>
                <w:b/>
                <w:i w:val="0"/>
                <w:color w:val="FFFFFF"/>
                <w:sz w:val="16"/>
              </w:rPr>
              <w:t>Source</w:t>
            </w:r>
          </w:p>
        </w:tc>
        <w:tc>
          <w:tcPr>
            <w:tcW w:type="dxa" w:w="2608"/>
            <w:shd w:val="clear" w:color="auto" w:fill="E1058C"/>
            <w:vAlign w:val="center"/>
          </w:tcPr>
          <w:p>
            <w:pPr>
              <w:spacing w:after="0"/>
            </w:pPr>
            <w:r>
              <w:rPr>
                <w:b/>
                <w:i w:val="0"/>
                <w:color w:val="FFFFFF"/>
                <w:sz w:val="16"/>
              </w:rPr>
              <w:t>Destination</w:t>
            </w:r>
          </w:p>
        </w:tc>
        <w:tc>
          <w:tcPr>
            <w:tcW w:type="dxa" w:w="1474"/>
            <w:shd w:val="clear" w:color="auto" w:fill="E1058C"/>
            <w:vAlign w:val="center"/>
          </w:tcPr>
          <w:p>
            <w:pPr>
              <w:spacing w:after="0"/>
            </w:pPr>
            <w:r>
              <w:rPr>
                <w:b/>
                <w:i w:val="0"/>
                <w:color w:val="FFFFFF"/>
                <w:sz w:val="16"/>
              </w:rPr>
              <w:t>Port</w:t>
            </w:r>
          </w:p>
        </w:tc>
        <w:tc>
          <w:tcPr>
            <w:tcW w:type="dxa" w:w="3175"/>
            <w:shd w:val="clear" w:color="auto" w:fill="E1058C"/>
            <w:vAlign w:val="center"/>
          </w:tcPr>
          <w:p>
            <w:pPr>
              <w:spacing w:after="0"/>
            </w:pPr>
            <w:r>
              <w:rPr>
                <w:b/>
                <w:i w:val="0"/>
                <w:color w:val="FFFFFF"/>
                <w:sz w:val="16"/>
              </w:rPr>
              <w:t>Purpose</w:t>
            </w:r>
          </w:p>
        </w:tc>
      </w:tr>
      <w:tr>
        <w:trPr>
          <w:cantSplit/>
        </w:trPr>
        <w:tc>
          <w:tcPr>
            <w:tcW w:type="dxa" w:w="2381"/>
            <w:vAlign w:val="top"/>
          </w:tcPr>
          <w:p>
            <w:pPr>
              <w:spacing w:after="20" w:line="252" w:lineRule="auto"/>
            </w:pPr>
            <w:r>
              <w:rPr>
                <w:b w:val="0"/>
                <w:i w:val="0"/>
                <w:sz w:val="16"/>
              </w:rPr>
              <w:t>Internet</w:t>
            </w:r>
          </w:p>
        </w:tc>
        <w:tc>
          <w:tcPr>
            <w:tcW w:type="dxa" w:w="2608"/>
            <w:vAlign w:val="top"/>
          </w:tcPr>
          <w:p>
            <w:pPr>
              <w:spacing w:after="20" w:line="252" w:lineRule="auto"/>
            </w:pPr>
            <w:r>
              <w:rPr>
                <w:b w:val="0"/>
                <w:i w:val="0"/>
                <w:sz w:val="16"/>
              </w:rPr>
              <w:t>External WAF / load balancer</w:t>
            </w:r>
          </w:p>
        </w:tc>
        <w:tc>
          <w:tcPr>
            <w:tcW w:type="dxa" w:w="1474"/>
            <w:vAlign w:val="top"/>
          </w:tcPr>
          <w:p>
            <w:pPr>
              <w:spacing w:after="20" w:line="252" w:lineRule="auto"/>
            </w:pPr>
            <w:r>
              <w:rPr>
                <w:b w:val="0"/>
                <w:i w:val="0"/>
                <w:sz w:val="16"/>
              </w:rPr>
              <w:t>443/tcp</w:t>
            </w:r>
          </w:p>
        </w:tc>
        <w:tc>
          <w:tcPr>
            <w:tcW w:type="dxa" w:w="3175"/>
            <w:vAlign w:val="top"/>
          </w:tcPr>
          <w:p>
            <w:pPr>
              <w:spacing w:after="20" w:line="252" w:lineRule="auto"/>
            </w:pPr>
            <w:r>
              <w:rPr>
                <w:b w:val="0"/>
                <w:i w:val="0"/>
                <w:sz w:val="16"/>
              </w:rPr>
              <w:t>HTTPS for /portal, /esign, /api (80 redirects)</w:t>
            </w:r>
          </w:p>
        </w:tc>
      </w:tr>
      <w:tr>
        <w:trPr>
          <w:cantSplit/>
        </w:trPr>
        <w:tc>
          <w:tcPr>
            <w:tcW w:type="dxa" w:w="2381"/>
            <w:vAlign w:val="top"/>
            <w:shd w:val="clear" w:color="auto" w:fill="FDF0F7"/>
          </w:tcPr>
          <w:p>
            <w:pPr>
              <w:spacing w:after="20" w:line="252" w:lineRule="auto"/>
            </w:pPr>
            <w:r>
              <w:rPr>
                <w:b w:val="0"/>
                <w:i w:val="0"/>
                <w:sz w:val="16"/>
              </w:rPr>
              <w:t>IIFT internal network</w:t>
            </w:r>
          </w:p>
        </w:tc>
        <w:tc>
          <w:tcPr>
            <w:tcW w:type="dxa" w:w="2608"/>
            <w:vAlign w:val="top"/>
            <w:shd w:val="clear" w:color="auto" w:fill="FDF0F7"/>
          </w:tcPr>
          <w:p>
            <w:pPr>
              <w:spacing w:after="20" w:line="252" w:lineRule="auto"/>
            </w:pPr>
            <w:r>
              <w:rPr>
                <w:b w:val="0"/>
                <w:i w:val="0"/>
                <w:sz w:val="16"/>
              </w:rPr>
              <w:t>Internal load balancer</w:t>
            </w:r>
          </w:p>
        </w:tc>
        <w:tc>
          <w:tcPr>
            <w:tcW w:type="dxa" w:w="1474"/>
            <w:vAlign w:val="top"/>
            <w:shd w:val="clear" w:color="auto" w:fill="FDF0F7"/>
          </w:tcPr>
          <w:p>
            <w:pPr>
              <w:spacing w:after="20" w:line="252" w:lineRule="auto"/>
            </w:pPr>
            <w:r>
              <w:rPr>
                <w:b w:val="0"/>
                <w:i w:val="0"/>
                <w:sz w:val="16"/>
              </w:rPr>
              <w:t>443/tcp</w:t>
            </w:r>
          </w:p>
        </w:tc>
        <w:tc>
          <w:tcPr>
            <w:tcW w:type="dxa" w:w="3175"/>
            <w:vAlign w:val="top"/>
            <w:shd w:val="clear" w:color="auto" w:fill="FDF0F7"/>
          </w:tcPr>
          <w:p>
            <w:pPr>
              <w:spacing w:after="20" w:line="252" w:lineRule="auto"/>
            </w:pPr>
            <w:r>
              <w:rPr>
                <w:b w:val="0"/>
                <w:i w:val="0"/>
                <w:sz w:val="16"/>
              </w:rPr>
              <w:t>HTTPS for /backoffice and /api</w:t>
            </w:r>
          </w:p>
        </w:tc>
      </w:tr>
      <w:tr>
        <w:trPr>
          <w:cantSplit/>
        </w:trPr>
        <w:tc>
          <w:tcPr>
            <w:tcW w:type="dxa" w:w="2381"/>
            <w:vAlign w:val="top"/>
          </w:tcPr>
          <w:p>
            <w:pPr>
              <w:spacing w:after="20" w:line="252" w:lineRule="auto"/>
            </w:pPr>
            <w:r>
              <w:rPr>
                <w:b w:val="0"/>
                <w:i w:val="0"/>
                <w:sz w:val="16"/>
              </w:rPr>
              <w:t>Core and FIN hosts</w:t>
            </w:r>
          </w:p>
        </w:tc>
        <w:tc>
          <w:tcPr>
            <w:tcW w:type="dxa" w:w="2608"/>
            <w:vAlign w:val="top"/>
          </w:tcPr>
          <w:p>
            <w:pPr>
              <w:spacing w:after="20" w:line="252" w:lineRule="auto"/>
            </w:pPr>
            <w:r>
              <w:rPr>
                <w:b w:val="0"/>
                <w:i w:val="0"/>
                <w:sz w:val="16"/>
              </w:rPr>
              <w:t>Internal load balancer</w:t>
            </w:r>
          </w:p>
        </w:tc>
        <w:tc>
          <w:tcPr>
            <w:tcW w:type="dxa" w:w="1474"/>
            <w:vAlign w:val="top"/>
          </w:tcPr>
          <w:p>
            <w:pPr>
              <w:spacing w:after="20" w:line="252" w:lineRule="auto"/>
            </w:pPr>
            <w:r>
              <w:rPr>
                <w:b w:val="0"/>
                <w:i w:val="0"/>
                <w:sz w:val="16"/>
              </w:rPr>
              <w:t>443/tcp</w:t>
            </w:r>
          </w:p>
        </w:tc>
        <w:tc>
          <w:tcPr>
            <w:tcW w:type="dxa" w:w="3175"/>
            <w:vAlign w:val="top"/>
          </w:tcPr>
          <w:p>
            <w:pPr>
              <w:spacing w:after="20" w:line="252" w:lineRule="auto"/>
            </w:pPr>
            <w:r>
              <w:rPr>
                <w:b w:val="0"/>
                <w:i w:val="0"/>
                <w:sz w:val="16"/>
              </w:rPr>
              <w:t>/api/v1/integration (IP allow-list)</w:t>
            </w:r>
          </w:p>
        </w:tc>
      </w:tr>
      <w:tr>
        <w:trPr>
          <w:cantSplit/>
        </w:trPr>
        <w:tc>
          <w:tcPr>
            <w:tcW w:type="dxa" w:w="2381"/>
            <w:vAlign w:val="top"/>
            <w:shd w:val="clear" w:color="auto" w:fill="FDF0F7"/>
          </w:tcPr>
          <w:p>
            <w:pPr>
              <w:spacing w:after="20" w:line="252" w:lineRule="auto"/>
            </w:pPr>
            <w:r>
              <w:rPr>
                <w:b w:val="0"/>
                <w:i w:val="0"/>
                <w:sz w:val="16"/>
              </w:rPr>
              <w:t>Load balancers</w:t>
            </w:r>
          </w:p>
        </w:tc>
        <w:tc>
          <w:tcPr>
            <w:tcW w:type="dxa" w:w="2608"/>
            <w:vAlign w:val="top"/>
            <w:shd w:val="clear" w:color="auto" w:fill="FDF0F7"/>
          </w:tcPr>
          <w:p>
            <w:pPr>
              <w:spacing w:after="20" w:line="252" w:lineRule="auto"/>
            </w:pPr>
            <w:r>
              <w:rPr>
                <w:b w:val="0"/>
                <w:i w:val="0"/>
                <w:sz w:val="16"/>
              </w:rPr>
              <w:t>App VMs (web container)</w:t>
            </w:r>
          </w:p>
        </w:tc>
        <w:tc>
          <w:tcPr>
            <w:tcW w:type="dxa" w:w="1474"/>
            <w:vAlign w:val="top"/>
            <w:shd w:val="clear" w:color="auto" w:fill="FDF0F7"/>
          </w:tcPr>
          <w:p>
            <w:pPr>
              <w:spacing w:after="20" w:line="252" w:lineRule="auto"/>
            </w:pPr>
            <w:r>
              <w:rPr>
                <w:b w:val="0"/>
                <w:i w:val="0"/>
                <w:sz w:val="16"/>
              </w:rPr>
              <w:t>8080/tcp</w:t>
            </w:r>
          </w:p>
        </w:tc>
        <w:tc>
          <w:tcPr>
            <w:tcW w:type="dxa" w:w="3175"/>
            <w:vAlign w:val="top"/>
            <w:shd w:val="clear" w:color="auto" w:fill="FDF0F7"/>
          </w:tcPr>
          <w:p>
            <w:pPr>
              <w:spacing w:after="20" w:line="252" w:lineRule="auto"/>
            </w:pPr>
            <w:r>
              <w:rPr>
                <w:b w:val="0"/>
                <w:i w:val="0"/>
                <w:sz w:val="16"/>
              </w:rPr>
              <w:t>HTTP inside the zone, or TLS re-encryption if IITH policy requires</w:t>
            </w:r>
          </w:p>
        </w:tc>
      </w:tr>
      <w:tr>
        <w:trPr>
          <w:cantSplit/>
        </w:trPr>
        <w:tc>
          <w:tcPr>
            <w:tcW w:type="dxa" w:w="2381"/>
            <w:vAlign w:val="top"/>
          </w:tcPr>
          <w:p>
            <w:pPr>
              <w:spacing w:after="20" w:line="252" w:lineRule="auto"/>
            </w:pPr>
            <w:r>
              <w:rPr>
                <w:b w:val="0"/>
                <w:i w:val="0"/>
                <w:sz w:val="16"/>
              </w:rPr>
              <w:t>Web container</w:t>
            </w:r>
          </w:p>
        </w:tc>
        <w:tc>
          <w:tcPr>
            <w:tcW w:type="dxa" w:w="2608"/>
            <w:vAlign w:val="top"/>
          </w:tcPr>
          <w:p>
            <w:pPr>
              <w:spacing w:after="20" w:line="252" w:lineRule="auto"/>
            </w:pPr>
            <w:r>
              <w:rPr>
                <w:b w:val="0"/>
                <w:i w:val="0"/>
                <w:sz w:val="16"/>
              </w:rPr>
              <w:t>API container</w:t>
            </w:r>
          </w:p>
        </w:tc>
        <w:tc>
          <w:tcPr>
            <w:tcW w:type="dxa" w:w="1474"/>
            <w:vAlign w:val="top"/>
          </w:tcPr>
          <w:p>
            <w:pPr>
              <w:spacing w:after="20" w:line="252" w:lineRule="auto"/>
            </w:pPr>
            <w:r>
              <w:rPr>
                <w:b w:val="0"/>
                <w:i w:val="0"/>
                <w:sz w:val="16"/>
              </w:rPr>
              <w:t>3000/tcp</w:t>
            </w:r>
          </w:p>
        </w:tc>
        <w:tc>
          <w:tcPr>
            <w:tcW w:type="dxa" w:w="3175"/>
            <w:vAlign w:val="top"/>
          </w:tcPr>
          <w:p>
            <w:pPr>
              <w:spacing w:after="20" w:line="252" w:lineRule="auto"/>
            </w:pPr>
            <w:r>
              <w:rPr>
                <w:b w:val="0"/>
                <w:i w:val="0"/>
                <w:sz w:val="16"/>
              </w:rPr>
              <w:t>Same host network; not exposed outside the VM</w:t>
            </w:r>
          </w:p>
        </w:tc>
      </w:tr>
      <w:tr>
        <w:trPr>
          <w:cantSplit/>
        </w:trPr>
        <w:tc>
          <w:tcPr>
            <w:tcW w:type="dxa" w:w="2381"/>
            <w:vAlign w:val="top"/>
            <w:shd w:val="clear" w:color="auto" w:fill="FDF0F7"/>
          </w:tcPr>
          <w:p>
            <w:pPr>
              <w:spacing w:after="20" w:line="252" w:lineRule="auto"/>
            </w:pPr>
            <w:r>
              <w:rPr>
                <w:b w:val="0"/>
                <w:i w:val="0"/>
                <w:sz w:val="16"/>
              </w:rPr>
              <w:t>Load balancers, monitoring</w:t>
            </w:r>
          </w:p>
        </w:tc>
        <w:tc>
          <w:tcPr>
            <w:tcW w:type="dxa" w:w="2608"/>
            <w:vAlign w:val="top"/>
            <w:shd w:val="clear" w:color="auto" w:fill="FDF0F7"/>
          </w:tcPr>
          <w:p>
            <w:pPr>
              <w:spacing w:after="20" w:line="252" w:lineRule="auto"/>
            </w:pPr>
            <w:r>
              <w:rPr>
                <w:b w:val="0"/>
                <w:i w:val="0"/>
                <w:sz w:val="16"/>
              </w:rPr>
              <w:t>App VMs</w:t>
            </w:r>
          </w:p>
        </w:tc>
        <w:tc>
          <w:tcPr>
            <w:tcW w:type="dxa" w:w="1474"/>
            <w:vAlign w:val="top"/>
            <w:shd w:val="clear" w:color="auto" w:fill="FDF0F7"/>
          </w:tcPr>
          <w:p>
            <w:pPr>
              <w:spacing w:after="20" w:line="252" w:lineRule="auto"/>
            </w:pPr>
            <w:r>
              <w:rPr>
                <w:b w:val="0"/>
                <w:i w:val="0"/>
                <w:sz w:val="16"/>
              </w:rPr>
              <w:t>3000/tcp</w:t>
            </w:r>
          </w:p>
        </w:tc>
        <w:tc>
          <w:tcPr>
            <w:tcW w:type="dxa" w:w="3175"/>
            <w:vAlign w:val="top"/>
            <w:shd w:val="clear" w:color="auto" w:fill="FDF0F7"/>
          </w:tcPr>
          <w:p>
            <w:pPr>
              <w:spacing w:after="20" w:line="252" w:lineRule="auto"/>
            </w:pPr>
            <w:r>
              <w:rPr>
                <w:b w:val="0"/>
                <w:i w:val="0"/>
                <w:sz w:val="16"/>
              </w:rPr>
              <w:t>/health/live, /health/ready, /metrics (bearer token); published on the VM's internal interface by the production compose override</w:t>
            </w:r>
          </w:p>
        </w:tc>
      </w:tr>
      <w:tr>
        <w:trPr>
          <w:cantSplit/>
        </w:trPr>
        <w:tc>
          <w:tcPr>
            <w:tcW w:type="dxa" w:w="2381"/>
            <w:vAlign w:val="top"/>
          </w:tcPr>
          <w:p>
            <w:pPr>
              <w:spacing w:after="20" w:line="252" w:lineRule="auto"/>
            </w:pPr>
            <w:r>
              <w:rPr>
                <w:b w:val="0"/>
                <w:i w:val="0"/>
                <w:sz w:val="16"/>
              </w:rPr>
              <w:t>App VMs</w:t>
            </w:r>
          </w:p>
        </w:tc>
        <w:tc>
          <w:tcPr>
            <w:tcW w:type="dxa" w:w="2608"/>
            <w:vAlign w:val="top"/>
          </w:tcPr>
          <w:p>
            <w:pPr>
              <w:spacing w:after="20" w:line="252" w:lineRule="auto"/>
            </w:pPr>
            <w:r>
              <w:rPr>
                <w:b w:val="0"/>
                <w:i w:val="0"/>
                <w:sz w:val="16"/>
              </w:rPr>
              <w:t>PostgreSQL VIP / primary</w:t>
            </w:r>
          </w:p>
        </w:tc>
        <w:tc>
          <w:tcPr>
            <w:tcW w:type="dxa" w:w="1474"/>
            <w:vAlign w:val="top"/>
          </w:tcPr>
          <w:p>
            <w:pPr>
              <w:spacing w:after="20" w:line="252" w:lineRule="auto"/>
            </w:pPr>
            <w:r>
              <w:rPr>
                <w:b w:val="0"/>
                <w:i w:val="0"/>
                <w:sz w:val="16"/>
              </w:rPr>
              <w:t>5432/tcp</w:t>
            </w:r>
          </w:p>
        </w:tc>
        <w:tc>
          <w:tcPr>
            <w:tcW w:type="dxa" w:w="3175"/>
            <w:vAlign w:val="top"/>
          </w:tcPr>
          <w:p>
            <w:pPr>
              <w:spacing w:after="20" w:line="252" w:lineRule="auto"/>
            </w:pPr>
            <w:r>
              <w:rPr>
                <w:b w:val="0"/>
                <w:i w:val="0"/>
                <w:sz w:val="16"/>
              </w:rPr>
              <w:t>TLS, application role</w:t>
            </w:r>
          </w:p>
        </w:tc>
      </w:tr>
      <w:tr>
        <w:trPr>
          <w:cantSplit/>
        </w:trPr>
        <w:tc>
          <w:tcPr>
            <w:tcW w:type="dxa" w:w="2381"/>
            <w:vAlign w:val="top"/>
            <w:shd w:val="clear" w:color="auto" w:fill="FDF0F7"/>
          </w:tcPr>
          <w:p>
            <w:pPr>
              <w:spacing w:after="20" w:line="252" w:lineRule="auto"/>
            </w:pPr>
            <w:r>
              <w:rPr>
                <w:b w:val="0"/>
                <w:i w:val="0"/>
                <w:sz w:val="16"/>
              </w:rPr>
              <w:t>App VMs</w:t>
            </w:r>
          </w:p>
        </w:tc>
        <w:tc>
          <w:tcPr>
            <w:tcW w:type="dxa" w:w="2608"/>
            <w:vAlign w:val="top"/>
            <w:shd w:val="clear" w:color="auto" w:fill="FDF0F7"/>
          </w:tcPr>
          <w:p>
            <w:pPr>
              <w:spacing w:after="20" w:line="252" w:lineRule="auto"/>
            </w:pPr>
            <w:r>
              <w:rPr>
                <w:b w:val="0"/>
                <w:i w:val="0"/>
                <w:sz w:val="16"/>
              </w:rPr>
              <w:t>Document store (NFS)</w:t>
            </w:r>
          </w:p>
        </w:tc>
        <w:tc>
          <w:tcPr>
            <w:tcW w:type="dxa" w:w="1474"/>
            <w:vAlign w:val="top"/>
            <w:shd w:val="clear" w:color="auto" w:fill="FDF0F7"/>
          </w:tcPr>
          <w:p>
            <w:pPr>
              <w:spacing w:after="20" w:line="252" w:lineRule="auto"/>
            </w:pPr>
            <w:r>
              <w:rPr>
                <w:b w:val="0"/>
                <w:i w:val="0"/>
                <w:sz w:val="16"/>
              </w:rPr>
              <w:t>2049/tcp</w:t>
            </w:r>
          </w:p>
        </w:tc>
        <w:tc>
          <w:tcPr>
            <w:tcW w:type="dxa" w:w="3175"/>
            <w:vAlign w:val="top"/>
            <w:shd w:val="clear" w:color="auto" w:fill="FDF0F7"/>
          </w:tcPr>
          <w:p>
            <w:pPr>
              <w:spacing w:after="20" w:line="252" w:lineRule="auto"/>
            </w:pPr>
            <w:r>
              <w:rPr>
                <w:b w:val="0"/>
                <w:i w:val="0"/>
                <w:sz w:val="16"/>
              </w:rPr>
              <w:t>NFSv4, export restricted to app VMs</w:t>
            </w:r>
          </w:p>
        </w:tc>
      </w:tr>
      <w:tr>
        <w:trPr>
          <w:cantSplit/>
        </w:trPr>
        <w:tc>
          <w:tcPr>
            <w:tcW w:type="dxa" w:w="2381"/>
            <w:vAlign w:val="top"/>
          </w:tcPr>
          <w:p>
            <w:pPr>
              <w:spacing w:after="20" w:line="252" w:lineRule="auto"/>
            </w:pPr>
            <w:r>
              <w:rPr>
                <w:b w:val="0"/>
                <w:i w:val="0"/>
                <w:sz w:val="16"/>
              </w:rPr>
              <w:t>App VMs</w:t>
            </w:r>
          </w:p>
        </w:tc>
        <w:tc>
          <w:tcPr>
            <w:tcW w:type="dxa" w:w="2608"/>
            <w:vAlign w:val="top"/>
          </w:tcPr>
          <w:p>
            <w:pPr>
              <w:spacing w:after="20" w:line="252" w:lineRule="auto"/>
            </w:pPr>
            <w:r>
              <w:rPr>
                <w:b w:val="0"/>
                <w:i w:val="0"/>
                <w:sz w:val="16"/>
              </w:rPr>
              <w:t>SMTP relay</w:t>
            </w:r>
          </w:p>
        </w:tc>
        <w:tc>
          <w:tcPr>
            <w:tcW w:type="dxa" w:w="1474"/>
            <w:vAlign w:val="top"/>
          </w:tcPr>
          <w:p>
            <w:pPr>
              <w:spacing w:after="20" w:line="252" w:lineRule="auto"/>
            </w:pPr>
            <w:r>
              <w:rPr>
                <w:b w:val="0"/>
                <w:i w:val="0"/>
                <w:sz w:val="16"/>
              </w:rPr>
              <w:t>587/tcp</w:t>
            </w:r>
          </w:p>
        </w:tc>
        <w:tc>
          <w:tcPr>
            <w:tcW w:type="dxa" w:w="3175"/>
            <w:vAlign w:val="top"/>
          </w:tcPr>
          <w:p>
            <w:pPr>
              <w:spacing w:after="20" w:line="252" w:lineRule="auto"/>
            </w:pPr>
            <w:r>
              <w:rPr>
                <w:b w:val="0"/>
                <w:i w:val="0"/>
                <w:sz w:val="16"/>
              </w:rPr>
              <w:t>STARTTLS</w:t>
            </w:r>
          </w:p>
        </w:tc>
      </w:tr>
      <w:tr>
        <w:trPr>
          <w:cantSplit/>
        </w:trPr>
        <w:tc>
          <w:tcPr>
            <w:tcW w:type="dxa" w:w="2381"/>
            <w:vAlign w:val="top"/>
            <w:shd w:val="clear" w:color="auto" w:fill="FDF0F7"/>
          </w:tcPr>
          <w:p>
            <w:pPr>
              <w:spacing w:after="20" w:line="252" w:lineRule="auto"/>
            </w:pPr>
            <w:r>
              <w:rPr>
                <w:b w:val="0"/>
                <w:i w:val="0"/>
                <w:sz w:val="16"/>
              </w:rPr>
              <w:t>App VMs</w:t>
            </w:r>
          </w:p>
        </w:tc>
        <w:tc>
          <w:tcPr>
            <w:tcW w:type="dxa" w:w="2608"/>
            <w:vAlign w:val="top"/>
            <w:shd w:val="clear" w:color="auto" w:fill="FDF0F7"/>
          </w:tcPr>
          <w:p>
            <w:pPr>
              <w:spacing w:after="20" w:line="252" w:lineRule="auto"/>
            </w:pPr>
            <w:r>
              <w:rPr>
                <w:b w:val="0"/>
                <w:i w:val="0"/>
                <w:sz w:val="16"/>
              </w:rPr>
              <w:t>Active Directory</w:t>
            </w:r>
          </w:p>
        </w:tc>
        <w:tc>
          <w:tcPr>
            <w:tcW w:type="dxa" w:w="1474"/>
            <w:vAlign w:val="top"/>
            <w:shd w:val="clear" w:color="auto" w:fill="FDF0F7"/>
          </w:tcPr>
          <w:p>
            <w:pPr>
              <w:spacing w:after="20" w:line="252" w:lineRule="auto"/>
            </w:pPr>
            <w:r>
              <w:rPr>
                <w:b w:val="0"/>
                <w:i w:val="0"/>
                <w:sz w:val="16"/>
              </w:rPr>
              <w:t>636/tcp</w:t>
            </w:r>
          </w:p>
        </w:tc>
        <w:tc>
          <w:tcPr>
            <w:tcW w:type="dxa" w:w="3175"/>
            <w:vAlign w:val="top"/>
            <w:shd w:val="clear" w:color="auto" w:fill="FDF0F7"/>
          </w:tcPr>
          <w:p>
            <w:pPr>
              <w:spacing w:after="20" w:line="252" w:lineRule="auto"/>
            </w:pPr>
            <w:r>
              <w:rPr>
                <w:b w:val="0"/>
                <w:i w:val="0"/>
                <w:sz w:val="16"/>
              </w:rPr>
              <w:t>LDAPS</w:t>
            </w:r>
          </w:p>
        </w:tc>
      </w:tr>
      <w:tr>
        <w:trPr>
          <w:cantSplit/>
        </w:trPr>
        <w:tc>
          <w:tcPr>
            <w:tcW w:type="dxa" w:w="2381"/>
            <w:vAlign w:val="top"/>
          </w:tcPr>
          <w:p>
            <w:pPr>
              <w:spacing w:after="20" w:line="252" w:lineRule="auto"/>
            </w:pPr>
            <w:r>
              <w:rPr>
                <w:b w:val="0"/>
                <w:i w:val="0"/>
                <w:sz w:val="16"/>
              </w:rPr>
              <w:t>App VMs</w:t>
            </w:r>
          </w:p>
        </w:tc>
        <w:tc>
          <w:tcPr>
            <w:tcW w:type="dxa" w:w="2608"/>
            <w:vAlign w:val="top"/>
          </w:tcPr>
          <w:p>
            <w:pPr>
              <w:spacing w:after="20" w:line="252" w:lineRule="auto"/>
            </w:pPr>
            <w:r>
              <w:rPr>
                <w:b w:val="0"/>
                <w:i w:val="0"/>
                <w:sz w:val="16"/>
              </w:rPr>
              <w:t>Core and FIN APIs</w:t>
            </w:r>
          </w:p>
        </w:tc>
        <w:tc>
          <w:tcPr>
            <w:tcW w:type="dxa" w:w="1474"/>
            <w:vAlign w:val="top"/>
          </w:tcPr>
          <w:p>
            <w:pPr>
              <w:spacing w:after="20" w:line="252" w:lineRule="auto"/>
            </w:pPr>
            <w:r>
              <w:rPr>
                <w:b w:val="0"/>
                <w:i w:val="0"/>
                <w:sz w:val="16"/>
              </w:rPr>
              <w:t>443/tcp</w:t>
            </w:r>
          </w:p>
        </w:tc>
        <w:tc>
          <w:tcPr>
            <w:tcW w:type="dxa" w:w="3175"/>
            <w:vAlign w:val="top"/>
          </w:tcPr>
          <w:p>
            <w:pPr>
              <w:spacing w:after="20" w:line="252" w:lineRule="auto"/>
            </w:pPr>
            <w:r>
              <w:rPr>
                <w:b w:val="0"/>
                <w:i w:val="0"/>
                <w:sz w:val="16"/>
              </w:rPr>
              <w:t>HTTPS</w:t>
            </w:r>
          </w:p>
        </w:tc>
      </w:tr>
      <w:tr>
        <w:trPr>
          <w:cantSplit/>
        </w:trPr>
        <w:tc>
          <w:tcPr>
            <w:tcW w:type="dxa" w:w="2381"/>
            <w:vAlign w:val="top"/>
            <w:shd w:val="clear" w:color="auto" w:fill="FDF0F7"/>
          </w:tcPr>
          <w:p>
            <w:pPr>
              <w:spacing w:after="20" w:line="252" w:lineRule="auto"/>
            </w:pPr>
            <w:r>
              <w:rPr>
                <w:b w:val="0"/>
                <w:i w:val="0"/>
                <w:sz w:val="16"/>
              </w:rPr>
              <w:t>App VMs</w:t>
            </w:r>
          </w:p>
        </w:tc>
        <w:tc>
          <w:tcPr>
            <w:tcW w:type="dxa" w:w="2608"/>
            <w:vAlign w:val="top"/>
            <w:shd w:val="clear" w:color="auto" w:fill="FDF0F7"/>
          </w:tcPr>
          <w:p>
            <w:pPr>
              <w:spacing w:after="20" w:line="252" w:lineRule="auto"/>
            </w:pPr>
            <w:r>
              <w:rPr>
                <w:b w:val="0"/>
                <w:i w:val="0"/>
                <w:sz w:val="16"/>
              </w:rPr>
              <w:t>Egress proxy to SMS gateway and AML provider</w:t>
            </w:r>
          </w:p>
        </w:tc>
        <w:tc>
          <w:tcPr>
            <w:tcW w:type="dxa" w:w="1474"/>
            <w:vAlign w:val="top"/>
            <w:shd w:val="clear" w:color="auto" w:fill="FDF0F7"/>
          </w:tcPr>
          <w:p>
            <w:pPr>
              <w:spacing w:after="20" w:line="252" w:lineRule="auto"/>
            </w:pPr>
            <w:r>
              <w:rPr>
                <w:b w:val="0"/>
                <w:i w:val="0"/>
                <w:sz w:val="16"/>
              </w:rPr>
              <w:t>443/tcp</w:t>
            </w:r>
          </w:p>
        </w:tc>
        <w:tc>
          <w:tcPr>
            <w:tcW w:type="dxa" w:w="3175"/>
            <w:vAlign w:val="top"/>
            <w:shd w:val="clear" w:color="auto" w:fill="FDF0F7"/>
          </w:tcPr>
          <w:p>
            <w:pPr>
              <w:spacing w:after="20" w:line="252" w:lineRule="auto"/>
            </w:pPr>
            <w:r>
              <w:rPr>
                <w:b w:val="0"/>
                <w:i w:val="0"/>
                <w:sz w:val="16"/>
              </w:rPr>
              <w:t>HTTPS, destination allow-list</w:t>
            </w:r>
          </w:p>
        </w:tc>
      </w:tr>
      <w:tr>
        <w:trPr>
          <w:cantSplit/>
        </w:trPr>
        <w:tc>
          <w:tcPr>
            <w:tcW w:type="dxa" w:w="2381"/>
            <w:vAlign w:val="top"/>
          </w:tcPr>
          <w:p>
            <w:pPr>
              <w:spacing w:after="20" w:line="252" w:lineRule="auto"/>
            </w:pPr>
            <w:r>
              <w:rPr>
                <w:b w:val="0"/>
                <w:i w:val="0"/>
                <w:sz w:val="16"/>
              </w:rPr>
              <w:t>DB primary</w:t>
            </w:r>
          </w:p>
        </w:tc>
        <w:tc>
          <w:tcPr>
            <w:tcW w:type="dxa" w:w="2608"/>
            <w:vAlign w:val="top"/>
          </w:tcPr>
          <w:p>
            <w:pPr>
              <w:spacing w:after="20" w:line="252" w:lineRule="auto"/>
            </w:pPr>
            <w:r>
              <w:rPr>
                <w:b w:val="0"/>
                <w:i w:val="0"/>
                <w:sz w:val="16"/>
              </w:rPr>
              <w:t>DB standby (local and DR)</w:t>
            </w:r>
          </w:p>
        </w:tc>
        <w:tc>
          <w:tcPr>
            <w:tcW w:type="dxa" w:w="1474"/>
            <w:vAlign w:val="top"/>
          </w:tcPr>
          <w:p>
            <w:pPr>
              <w:spacing w:after="20" w:line="252" w:lineRule="auto"/>
            </w:pPr>
            <w:r>
              <w:rPr>
                <w:b w:val="0"/>
                <w:i w:val="0"/>
                <w:sz w:val="16"/>
              </w:rPr>
              <w:t>5432/tcp</w:t>
            </w:r>
          </w:p>
        </w:tc>
        <w:tc>
          <w:tcPr>
            <w:tcW w:type="dxa" w:w="3175"/>
            <w:vAlign w:val="top"/>
          </w:tcPr>
          <w:p>
            <w:pPr>
              <w:spacing w:after="20" w:line="252" w:lineRule="auto"/>
            </w:pPr>
            <w:r>
              <w:rPr>
                <w:b w:val="0"/>
                <w:i w:val="0"/>
                <w:sz w:val="16"/>
              </w:rPr>
              <w:t>Streaming replication, TLS</w:t>
            </w:r>
          </w:p>
        </w:tc>
      </w:tr>
      <w:tr>
        <w:trPr>
          <w:cantSplit/>
        </w:trPr>
        <w:tc>
          <w:tcPr>
            <w:tcW w:type="dxa" w:w="2381"/>
            <w:vAlign w:val="top"/>
            <w:shd w:val="clear" w:color="auto" w:fill="FDF0F7"/>
          </w:tcPr>
          <w:p>
            <w:pPr>
              <w:spacing w:after="20" w:line="252" w:lineRule="auto"/>
            </w:pPr>
            <w:r>
              <w:rPr>
                <w:b w:val="0"/>
                <w:i w:val="0"/>
                <w:sz w:val="16"/>
              </w:rPr>
              <w:t>DB VMs</w:t>
            </w:r>
          </w:p>
        </w:tc>
        <w:tc>
          <w:tcPr>
            <w:tcW w:type="dxa" w:w="2608"/>
            <w:vAlign w:val="top"/>
            <w:shd w:val="clear" w:color="auto" w:fill="FDF0F7"/>
          </w:tcPr>
          <w:p>
            <w:pPr>
              <w:spacing w:after="20" w:line="252" w:lineRule="auto"/>
            </w:pPr>
            <w:r>
              <w:rPr>
                <w:b w:val="0"/>
                <w:i w:val="0"/>
                <w:sz w:val="16"/>
              </w:rPr>
              <w:t>Backup repository</w:t>
            </w:r>
          </w:p>
        </w:tc>
        <w:tc>
          <w:tcPr>
            <w:tcW w:type="dxa" w:w="1474"/>
            <w:vAlign w:val="top"/>
            <w:shd w:val="clear" w:color="auto" w:fill="FDF0F7"/>
          </w:tcPr>
          <w:p>
            <w:pPr>
              <w:spacing w:after="20" w:line="252" w:lineRule="auto"/>
            </w:pPr>
            <w:r>
              <w:rPr>
                <w:b w:val="0"/>
                <w:i w:val="0"/>
                <w:sz w:val="16"/>
              </w:rPr>
              <w:t>22/tcp</w:t>
            </w:r>
          </w:p>
        </w:tc>
        <w:tc>
          <w:tcPr>
            <w:tcW w:type="dxa" w:w="3175"/>
            <w:vAlign w:val="top"/>
            <w:shd w:val="clear" w:color="auto" w:fill="FDF0F7"/>
          </w:tcPr>
          <w:p>
            <w:pPr>
              <w:spacing w:after="20" w:line="252" w:lineRule="auto"/>
            </w:pPr>
            <w:r>
              <w:rPr>
                <w:b w:val="0"/>
                <w:i w:val="0"/>
                <w:sz w:val="16"/>
              </w:rPr>
              <w:t>pgBackRest over SSH</w:t>
            </w:r>
          </w:p>
        </w:tc>
      </w:tr>
      <w:tr>
        <w:trPr>
          <w:cantSplit/>
        </w:trPr>
        <w:tc>
          <w:tcPr>
            <w:tcW w:type="dxa" w:w="2381"/>
            <w:vAlign w:val="top"/>
          </w:tcPr>
          <w:p>
            <w:pPr>
              <w:spacing w:after="20" w:line="252" w:lineRule="auto"/>
            </w:pPr>
            <w:r>
              <w:rPr>
                <w:b w:val="0"/>
                <w:i w:val="0"/>
                <w:sz w:val="16"/>
              </w:rPr>
              <w:t>Primary site</w:t>
            </w:r>
          </w:p>
        </w:tc>
        <w:tc>
          <w:tcPr>
            <w:tcW w:type="dxa" w:w="2608"/>
            <w:vAlign w:val="top"/>
          </w:tcPr>
          <w:p>
            <w:pPr>
              <w:spacing w:after="20" w:line="252" w:lineRule="auto"/>
            </w:pPr>
            <w:r>
              <w:rPr>
                <w:b w:val="0"/>
                <w:i w:val="0"/>
                <w:sz w:val="16"/>
              </w:rPr>
              <w:t>DR site</w:t>
            </w:r>
          </w:p>
        </w:tc>
        <w:tc>
          <w:tcPr>
            <w:tcW w:type="dxa" w:w="1474"/>
            <w:vAlign w:val="top"/>
          </w:tcPr>
          <w:p>
            <w:pPr>
              <w:spacing w:after="20" w:line="252" w:lineRule="auto"/>
            </w:pPr>
            <w:r>
              <w:rPr>
                <w:b w:val="0"/>
                <w:i w:val="0"/>
                <w:sz w:val="16"/>
              </w:rPr>
              <w:t>22/tcp</w:t>
            </w:r>
          </w:p>
        </w:tc>
        <w:tc>
          <w:tcPr>
            <w:tcW w:type="dxa" w:w="3175"/>
            <w:vAlign w:val="top"/>
          </w:tcPr>
          <w:p>
            <w:pPr>
              <w:spacing w:after="20" w:line="252" w:lineRule="auto"/>
            </w:pPr>
            <w:r>
              <w:rPr>
                <w:b w:val="0"/>
                <w:i w:val="0"/>
                <w:sz w:val="16"/>
              </w:rPr>
              <w:t>Document rsync, backup copy</w:t>
            </w:r>
          </w:p>
        </w:tc>
      </w:tr>
      <w:tr>
        <w:trPr>
          <w:cantSplit/>
        </w:trPr>
        <w:tc>
          <w:tcPr>
            <w:tcW w:type="dxa" w:w="2381"/>
            <w:vAlign w:val="top"/>
            <w:shd w:val="clear" w:color="auto" w:fill="FDF0F7"/>
          </w:tcPr>
          <w:p>
            <w:pPr>
              <w:spacing w:after="20" w:line="252" w:lineRule="auto"/>
            </w:pPr>
            <w:r>
              <w:rPr>
                <w:b w:val="0"/>
                <w:i w:val="0"/>
                <w:sz w:val="16"/>
              </w:rPr>
              <w:t>Monitoring</w:t>
            </w:r>
          </w:p>
        </w:tc>
        <w:tc>
          <w:tcPr>
            <w:tcW w:type="dxa" w:w="2608"/>
            <w:vAlign w:val="top"/>
            <w:shd w:val="clear" w:color="auto" w:fill="FDF0F7"/>
          </w:tcPr>
          <w:p>
            <w:pPr>
              <w:spacing w:after="20" w:line="252" w:lineRule="auto"/>
            </w:pPr>
            <w:r>
              <w:rPr>
                <w:b w:val="0"/>
                <w:i w:val="0"/>
                <w:sz w:val="16"/>
              </w:rPr>
              <w:t>All VMs</w:t>
            </w:r>
          </w:p>
        </w:tc>
        <w:tc>
          <w:tcPr>
            <w:tcW w:type="dxa" w:w="1474"/>
            <w:vAlign w:val="top"/>
            <w:shd w:val="clear" w:color="auto" w:fill="FDF0F7"/>
          </w:tcPr>
          <w:p>
            <w:pPr>
              <w:spacing w:after="20" w:line="252" w:lineRule="auto"/>
            </w:pPr>
            <w:r>
              <w:rPr>
                <w:b w:val="0"/>
                <w:i w:val="0"/>
                <w:sz w:val="16"/>
              </w:rPr>
              <w:t>9100/tcp, 9187/tcp</w:t>
            </w:r>
          </w:p>
        </w:tc>
        <w:tc>
          <w:tcPr>
            <w:tcW w:type="dxa" w:w="3175"/>
            <w:vAlign w:val="top"/>
            <w:shd w:val="clear" w:color="auto" w:fill="FDF0F7"/>
          </w:tcPr>
          <w:p>
            <w:pPr>
              <w:spacing w:after="20" w:line="252" w:lineRule="auto"/>
            </w:pPr>
            <w:r>
              <w:rPr>
                <w:b w:val="0"/>
                <w:i w:val="0"/>
                <w:sz w:val="16"/>
              </w:rPr>
              <w:t>node_exporter and postgres_exporter</w:t>
            </w:r>
          </w:p>
        </w:tc>
      </w:tr>
      <w:tr>
        <w:trPr>
          <w:cantSplit/>
        </w:trPr>
        <w:tc>
          <w:tcPr>
            <w:tcW w:type="dxa" w:w="2381"/>
            <w:vAlign w:val="top"/>
          </w:tcPr>
          <w:p>
            <w:pPr>
              <w:spacing w:after="20" w:line="252" w:lineRule="auto"/>
            </w:pPr>
            <w:r>
              <w:rPr>
                <w:b w:val="0"/>
                <w:i w:val="0"/>
                <w:sz w:val="16"/>
              </w:rPr>
              <w:t>Administrators (bastion)</w:t>
            </w:r>
          </w:p>
        </w:tc>
        <w:tc>
          <w:tcPr>
            <w:tcW w:type="dxa" w:w="2608"/>
            <w:vAlign w:val="top"/>
          </w:tcPr>
          <w:p>
            <w:pPr>
              <w:spacing w:after="20" w:line="252" w:lineRule="auto"/>
            </w:pPr>
            <w:r>
              <w:rPr>
                <w:b w:val="0"/>
                <w:i w:val="0"/>
                <w:sz w:val="16"/>
              </w:rPr>
              <w:t>All VMs</w:t>
            </w:r>
          </w:p>
        </w:tc>
        <w:tc>
          <w:tcPr>
            <w:tcW w:type="dxa" w:w="1474"/>
            <w:vAlign w:val="top"/>
          </w:tcPr>
          <w:p>
            <w:pPr>
              <w:spacing w:after="20" w:line="252" w:lineRule="auto"/>
            </w:pPr>
            <w:r>
              <w:rPr>
                <w:b w:val="0"/>
                <w:i w:val="0"/>
                <w:sz w:val="16"/>
              </w:rPr>
              <w:t>22/tcp</w:t>
            </w:r>
          </w:p>
        </w:tc>
        <w:tc>
          <w:tcPr>
            <w:tcW w:type="dxa" w:w="3175"/>
            <w:vAlign w:val="top"/>
          </w:tcPr>
          <w:p>
            <w:pPr>
              <w:spacing w:after="20" w:line="252" w:lineRule="auto"/>
            </w:pPr>
            <w:r>
              <w:rPr>
                <w:b w:val="0"/>
                <w:i w:val="0"/>
                <w:sz w:val="16"/>
              </w:rPr>
              <w:t>SSH with keys, from the bastion only</w:t>
            </w:r>
          </w:p>
        </w:tc>
      </w:tr>
      <w:tr>
        <w:trPr>
          <w:cantSplit/>
        </w:trPr>
        <w:tc>
          <w:tcPr>
            <w:tcW w:type="dxa" w:w="2381"/>
            <w:vAlign w:val="top"/>
            <w:shd w:val="clear" w:color="auto" w:fill="FDF0F7"/>
          </w:tcPr>
          <w:p>
            <w:pPr>
              <w:spacing w:after="20" w:line="252" w:lineRule="auto"/>
            </w:pPr>
            <w:r>
              <w:rPr>
                <w:b w:val="0"/>
                <w:i w:val="0"/>
                <w:sz w:val="16"/>
              </w:rPr>
              <w:t>All VMs</w:t>
            </w:r>
          </w:p>
        </w:tc>
        <w:tc>
          <w:tcPr>
            <w:tcW w:type="dxa" w:w="2608"/>
            <w:vAlign w:val="top"/>
            <w:shd w:val="clear" w:color="auto" w:fill="FDF0F7"/>
          </w:tcPr>
          <w:p>
            <w:pPr>
              <w:spacing w:after="20" w:line="252" w:lineRule="auto"/>
            </w:pPr>
            <w:r>
              <w:rPr>
                <w:b w:val="0"/>
                <w:i w:val="0"/>
                <w:sz w:val="16"/>
              </w:rPr>
              <w:t>IITH NTP and DNS</w:t>
            </w:r>
          </w:p>
        </w:tc>
        <w:tc>
          <w:tcPr>
            <w:tcW w:type="dxa" w:w="1474"/>
            <w:vAlign w:val="top"/>
            <w:shd w:val="clear" w:color="auto" w:fill="FDF0F7"/>
          </w:tcPr>
          <w:p>
            <w:pPr>
              <w:spacing w:after="20" w:line="252" w:lineRule="auto"/>
            </w:pPr>
            <w:r>
              <w:rPr>
                <w:b w:val="0"/>
                <w:i w:val="0"/>
                <w:sz w:val="16"/>
              </w:rPr>
              <w:t>123/udp, 53</w:t>
            </w:r>
          </w:p>
        </w:tc>
        <w:tc>
          <w:tcPr>
            <w:tcW w:type="dxa" w:w="3175"/>
            <w:vAlign w:val="top"/>
            <w:shd w:val="clear" w:color="auto" w:fill="FDF0F7"/>
          </w:tcPr>
          <w:p>
            <w:pPr>
              <w:spacing w:after="20" w:line="252" w:lineRule="auto"/>
            </w:pPr>
            <w:r>
              <w:rPr>
                <w:b w:val="0"/>
                <w:i w:val="0"/>
                <w:sz w:val="16"/>
              </w:rPr>
              <w:t>Time and name resolution</w:t>
            </w:r>
          </w:p>
        </w:tc>
      </w:tr>
    </w:tbl>
    <w:p>
      <w:pPr>
        <w:pStyle w:val="Caption"/>
        <w:jc w:val="center"/>
      </w:pPr>
      <w:r>
        <w:rPr>
          <w:b w:val="0"/>
          <w:i w:val="0"/>
        </w:rPr>
        <w:t>Table 34: Firewall matrix (Option A)</w:t>
      </w:r>
    </w:p>
    <w:p>
      <w:pPr>
        <w:pStyle w:val="Heading1"/>
        <w:pageBreakBefore/>
        <w:pBdr>
          <w:bottom w:val="single" w:sz="12" w:space="4" w:color="F58220"/>
        </w:pBdr>
      </w:pPr>
      <w:r>
        <w:t>11. Non-functional Design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2948"/>
        <w:gridCol w:w="4649"/>
      </w:tblGrid>
      <w:tr>
        <w:trPr>
          <w:cantSplit/>
          <w:tblHeader/>
        </w:trPr>
        <w:tc>
          <w:tcPr>
            <w:tcW w:type="dxa" w:w="2041"/>
            <w:shd w:val="clear" w:color="auto" w:fill="E1058C"/>
            <w:vAlign w:val="center"/>
          </w:tcPr>
          <w:p>
            <w:pPr>
              <w:spacing w:after="0"/>
            </w:pPr>
            <w:r>
              <w:rPr>
                <w:b/>
                <w:i w:val="0"/>
                <w:color w:val="FFFFFF"/>
                <w:sz w:val="16"/>
              </w:rPr>
              <w:t>Area</w:t>
            </w:r>
          </w:p>
        </w:tc>
        <w:tc>
          <w:tcPr>
            <w:tcW w:type="dxa" w:w="2948"/>
            <w:shd w:val="clear" w:color="auto" w:fill="E1058C"/>
            <w:vAlign w:val="center"/>
          </w:tcPr>
          <w:p>
            <w:pPr>
              <w:spacing w:after="0"/>
            </w:pPr>
            <w:r>
              <w:rPr>
                <w:b/>
                <w:i w:val="0"/>
                <w:color w:val="FFFFFF"/>
                <w:sz w:val="16"/>
              </w:rPr>
              <w:t>Target</w:t>
            </w:r>
          </w:p>
        </w:tc>
        <w:tc>
          <w:tcPr>
            <w:tcW w:type="dxa" w:w="4649"/>
            <w:shd w:val="clear" w:color="auto" w:fill="E1058C"/>
            <w:vAlign w:val="center"/>
          </w:tcPr>
          <w:p>
            <w:pPr>
              <w:spacing w:after="0"/>
            </w:pPr>
            <w:r>
              <w:rPr>
                <w:b/>
                <w:i w:val="0"/>
                <w:color w:val="FFFFFF"/>
                <w:sz w:val="16"/>
              </w:rPr>
              <w:t>Design measures</w:t>
            </w:r>
          </w:p>
        </w:tc>
      </w:tr>
      <w:tr>
        <w:trPr>
          <w:cantSplit/>
        </w:trPr>
        <w:tc>
          <w:tcPr>
            <w:tcW w:type="dxa" w:w="2041"/>
            <w:vAlign w:val="top"/>
          </w:tcPr>
          <w:p>
            <w:pPr>
              <w:spacing w:after="20" w:line="252" w:lineRule="auto"/>
            </w:pPr>
            <w:r>
              <w:rPr>
                <w:b/>
                <w:i w:val="0"/>
                <w:sz w:val="16"/>
              </w:rPr>
              <w:t>Performance (NFR-01)</w:t>
            </w:r>
          </w:p>
        </w:tc>
        <w:tc>
          <w:tcPr>
            <w:tcW w:type="dxa" w:w="2948"/>
            <w:vAlign w:val="top"/>
          </w:tcPr>
          <w:p>
            <w:pPr>
              <w:spacing w:after="20" w:line="252" w:lineRule="auto"/>
            </w:pPr>
            <w:r>
              <w:rPr>
                <w:b w:val="0"/>
                <w:i w:val="0"/>
                <w:sz w:val="16"/>
              </w:rPr>
              <w:t>Page load under 3 s; API p95 under 1 s; reports on 12 months of data under 10 s</w:t>
            </w:r>
          </w:p>
        </w:tc>
        <w:tc>
          <w:tcPr>
            <w:tcW w:type="dxa" w:w="4649"/>
            <w:vAlign w:val="top"/>
          </w:tcPr>
          <w:p>
            <w:pPr>
              <w:spacing w:after="20" w:line="252" w:lineRule="auto"/>
            </w:pPr>
            <w:r>
              <w:rPr>
                <w:b w:val="0"/>
                <w:i w:val="0"/>
                <w:sz w:val="16"/>
              </w:rPr>
              <w:t>Indexed list queries with pagination (max 100 rows); lazy-loaded pages and split bundles; gzip and long caching of hashed assets; exports capped and streamed to file</w:t>
            </w:r>
          </w:p>
        </w:tc>
      </w:tr>
      <w:tr>
        <w:trPr>
          <w:cantSplit/>
        </w:trPr>
        <w:tc>
          <w:tcPr>
            <w:tcW w:type="dxa" w:w="2041"/>
            <w:vAlign w:val="top"/>
            <w:shd w:val="clear" w:color="auto" w:fill="FDF0F7"/>
          </w:tcPr>
          <w:p>
            <w:pPr>
              <w:spacing w:after="20" w:line="252" w:lineRule="auto"/>
            </w:pPr>
            <w:r>
              <w:rPr>
                <w:b/>
                <w:i w:val="0"/>
                <w:sz w:val="16"/>
              </w:rPr>
              <w:t>Capacity (NFR-02, 03)</w:t>
            </w:r>
          </w:p>
        </w:tc>
        <w:tc>
          <w:tcPr>
            <w:tcW w:type="dxa" w:w="2948"/>
            <w:vAlign w:val="top"/>
            <w:shd w:val="clear" w:color="auto" w:fill="FDF0F7"/>
          </w:tcPr>
          <w:p>
            <w:pPr>
              <w:spacing w:after="20" w:line="252" w:lineRule="auto"/>
            </w:pPr>
            <w:r>
              <w:rPr>
                <w:b w:val="0"/>
                <w:i w:val="0"/>
                <w:sz w:val="16"/>
              </w:rPr>
              <w:t>100 concurrent, 500 named users; 10× Appendix 2 volume</w:t>
            </w:r>
          </w:p>
        </w:tc>
        <w:tc>
          <w:tcPr>
            <w:tcW w:type="dxa" w:w="4649"/>
            <w:vAlign w:val="top"/>
            <w:shd w:val="clear" w:color="auto" w:fill="FDF0F7"/>
          </w:tcPr>
          <w:p>
            <w:pPr>
              <w:spacing w:after="20" w:line="252" w:lineRule="auto"/>
            </w:pPr>
            <w:r>
              <w:rPr>
                <w:b w:val="0"/>
                <w:i w:val="0"/>
                <w:sz w:val="16"/>
              </w:rPr>
              <w:t>Stateless API instances; connection pools of 10 per instance plus 5 for sessions</w:t>
            </w:r>
          </w:p>
        </w:tc>
      </w:tr>
      <w:tr>
        <w:trPr>
          <w:cantSplit/>
        </w:trPr>
        <w:tc>
          <w:tcPr>
            <w:tcW w:type="dxa" w:w="2041"/>
            <w:vAlign w:val="top"/>
          </w:tcPr>
          <w:p>
            <w:pPr>
              <w:spacing w:after="20" w:line="252" w:lineRule="auto"/>
            </w:pPr>
            <w:r>
              <w:rPr>
                <w:b/>
                <w:i w:val="0"/>
                <w:sz w:val="16"/>
              </w:rPr>
              <w:t>Scalability (NFR-06, 07)</w:t>
            </w:r>
          </w:p>
        </w:tc>
        <w:tc>
          <w:tcPr>
            <w:tcW w:type="dxa" w:w="2948"/>
            <w:vAlign w:val="top"/>
          </w:tcPr>
          <w:p>
            <w:pPr>
              <w:spacing w:after="20" w:line="252" w:lineRule="auto"/>
            </w:pPr>
            <w:r>
              <w:rPr>
                <w:b w:val="0"/>
                <w:i w:val="0"/>
                <w:sz w:val="16"/>
              </w:rPr>
              <w:t>Growth without redesign</w:t>
            </w:r>
          </w:p>
        </w:tc>
        <w:tc>
          <w:tcPr>
            <w:tcW w:type="dxa" w:w="4649"/>
            <w:vAlign w:val="top"/>
          </w:tcPr>
          <w:p>
            <w:pPr>
              <w:spacing w:after="20" w:line="252" w:lineRule="auto"/>
            </w:pPr>
            <w:r>
              <w:rPr>
                <w:b w:val="0"/>
                <w:i w:val="0"/>
                <w:sz w:val="16"/>
              </w:rPr>
              <w:t>Add API containers or VMs behind the load balancer; jobs stay single-runner through advisory locks; database vertical scaling</w:t>
            </w:r>
          </w:p>
        </w:tc>
      </w:tr>
      <w:tr>
        <w:trPr>
          <w:cantSplit/>
        </w:trPr>
        <w:tc>
          <w:tcPr>
            <w:tcW w:type="dxa" w:w="2041"/>
            <w:vAlign w:val="top"/>
            <w:shd w:val="clear" w:color="auto" w:fill="FDF0F7"/>
          </w:tcPr>
          <w:p>
            <w:pPr>
              <w:spacing w:after="20" w:line="252" w:lineRule="auto"/>
            </w:pPr>
            <w:r>
              <w:rPr>
                <w:b/>
                <w:i w:val="0"/>
                <w:sz w:val="16"/>
              </w:rPr>
              <w:t>Availability (NFR-04, 05)</w:t>
            </w:r>
          </w:p>
        </w:tc>
        <w:tc>
          <w:tcPr>
            <w:tcW w:type="dxa" w:w="2948"/>
            <w:vAlign w:val="top"/>
            <w:shd w:val="clear" w:color="auto" w:fill="FDF0F7"/>
          </w:tcPr>
          <w:p>
            <w:pPr>
              <w:spacing w:after="20" w:line="252" w:lineRule="auto"/>
            </w:pPr>
            <w:r>
              <w:rPr>
                <w:b w:val="0"/>
                <w:i w:val="0"/>
                <w:sz w:val="16"/>
              </w:rPr>
              <w:t>99.5% monthly; 99.9% in IIFT business hours</w:t>
            </w:r>
          </w:p>
        </w:tc>
        <w:tc>
          <w:tcPr>
            <w:tcW w:type="dxa" w:w="4649"/>
            <w:vAlign w:val="top"/>
            <w:shd w:val="clear" w:color="auto" w:fill="FDF0F7"/>
          </w:tcPr>
          <w:p>
            <w:pPr>
              <w:spacing w:after="20" w:line="252" w:lineRule="auto"/>
            </w:pPr>
            <w:r>
              <w:rPr>
                <w:b w:val="0"/>
                <w:i w:val="0"/>
                <w:sz w:val="16"/>
              </w:rPr>
              <w:t>Two application VMs; hot standby database; health-checked load balancing; rolling deployment</w:t>
            </w:r>
          </w:p>
        </w:tc>
      </w:tr>
      <w:tr>
        <w:trPr>
          <w:cantSplit/>
        </w:trPr>
        <w:tc>
          <w:tcPr>
            <w:tcW w:type="dxa" w:w="2041"/>
            <w:vAlign w:val="top"/>
          </w:tcPr>
          <w:p>
            <w:pPr>
              <w:spacing w:after="20" w:line="252" w:lineRule="auto"/>
            </w:pPr>
            <w:r>
              <w:rPr>
                <w:b/>
                <w:i w:val="0"/>
                <w:sz w:val="16"/>
              </w:rPr>
              <w:t>Integrity (NFR-16)</w:t>
            </w:r>
          </w:p>
        </w:tc>
        <w:tc>
          <w:tcPr>
            <w:tcW w:type="dxa" w:w="2948"/>
            <w:vAlign w:val="top"/>
          </w:tcPr>
          <w:p>
            <w:pPr>
              <w:spacing w:after="20" w:line="252" w:lineRule="auto"/>
            </w:pPr>
            <w:r>
              <w:rPr>
                <w:b w:val="0"/>
                <w:i w:val="0"/>
                <w:sz w:val="16"/>
              </w:rPr>
              <w:t>No partial updates</w:t>
            </w:r>
          </w:p>
        </w:tc>
        <w:tc>
          <w:tcPr>
            <w:tcW w:type="dxa" w:w="4649"/>
            <w:vAlign w:val="top"/>
          </w:tcPr>
          <w:p>
            <w:pPr>
              <w:spacing w:after="20" w:line="252" w:lineRule="auto"/>
            </w:pPr>
            <w:r>
              <w:rPr>
                <w:b w:val="0"/>
                <w:i w:val="0"/>
                <w:sz w:val="16"/>
              </w:rPr>
              <w:t>Single-transaction business operations; outbox; optimistic locking</w:t>
            </w:r>
          </w:p>
        </w:tc>
      </w:tr>
      <w:tr>
        <w:trPr>
          <w:cantSplit/>
        </w:trPr>
        <w:tc>
          <w:tcPr>
            <w:tcW w:type="dxa" w:w="2041"/>
            <w:vAlign w:val="top"/>
            <w:shd w:val="clear" w:color="auto" w:fill="FDF0F7"/>
          </w:tcPr>
          <w:p>
            <w:pPr>
              <w:spacing w:after="20" w:line="252" w:lineRule="auto"/>
            </w:pPr>
            <w:r>
              <w:rPr>
                <w:b/>
                <w:i w:val="0"/>
                <w:sz w:val="16"/>
              </w:rPr>
              <w:t>Recoverability (NFR-17 to 19)</w:t>
            </w:r>
          </w:p>
        </w:tc>
        <w:tc>
          <w:tcPr>
            <w:tcW w:type="dxa" w:w="2948"/>
            <w:vAlign w:val="top"/>
            <w:shd w:val="clear" w:color="auto" w:fill="FDF0F7"/>
          </w:tcPr>
          <w:p>
            <w:pPr>
              <w:spacing w:after="20" w:line="252" w:lineRule="auto"/>
            </w:pPr>
            <w:r>
              <w:rPr>
                <w:b w:val="0"/>
                <w:i w:val="0"/>
                <w:sz w:val="16"/>
              </w:rPr>
              <w:t>RPO 15 minutes; RTO 4 hours</w:t>
            </w:r>
          </w:p>
        </w:tc>
        <w:tc>
          <w:tcPr>
            <w:tcW w:type="dxa" w:w="4649"/>
            <w:vAlign w:val="top"/>
            <w:shd w:val="clear" w:color="auto" w:fill="FDF0F7"/>
          </w:tcPr>
          <w:p>
            <w:pPr>
              <w:spacing w:after="20" w:line="252" w:lineRule="auto"/>
            </w:pPr>
            <w:r>
              <w:rPr>
                <w:b w:val="0"/>
                <w:i w:val="0"/>
                <w:sz w:val="16"/>
              </w:rPr>
              <w:t>Streaming replication, WAL archiving, daily backups, DR site, tested restores</w:t>
            </w:r>
          </w:p>
        </w:tc>
      </w:tr>
      <w:tr>
        <w:trPr>
          <w:cantSplit/>
        </w:trPr>
        <w:tc>
          <w:tcPr>
            <w:tcW w:type="dxa" w:w="2041"/>
            <w:vAlign w:val="top"/>
          </w:tcPr>
          <w:p>
            <w:pPr>
              <w:spacing w:after="20" w:line="252" w:lineRule="auto"/>
            </w:pPr>
            <w:r>
              <w:rPr>
                <w:b/>
                <w:i w:val="0"/>
                <w:sz w:val="16"/>
              </w:rPr>
              <w:t>Usability and accessibility (NFR-22 to 24)</w:t>
            </w:r>
          </w:p>
        </w:tc>
        <w:tc>
          <w:tcPr>
            <w:tcW w:type="dxa" w:w="2948"/>
            <w:vAlign w:val="top"/>
          </w:tcPr>
          <w:p>
            <w:pPr>
              <w:spacing w:after="20" w:line="252" w:lineRule="auto"/>
            </w:pPr>
            <w:r>
              <w:rPr>
                <w:b w:val="0"/>
                <w:i w:val="0"/>
                <w:sz w:val="16"/>
              </w:rPr>
              <w:t>WCAG 2.1 AA; current Chrome, Edge, Firefox, Safari</w:t>
            </w:r>
          </w:p>
        </w:tc>
        <w:tc>
          <w:tcPr>
            <w:tcW w:type="dxa" w:w="4649"/>
            <w:vAlign w:val="top"/>
          </w:tcPr>
          <w:p>
            <w:pPr>
              <w:spacing w:after="20" w:line="252" w:lineRule="auto"/>
            </w:pPr>
            <w:r>
              <w:rPr>
                <w:b w:val="0"/>
                <w:i w:val="0"/>
                <w:sz w:val="16"/>
              </w:rPr>
              <w:t>Ant Design accessible components, keyboard navigation, consistent layouts in both applications</w:t>
            </w:r>
          </w:p>
        </w:tc>
      </w:tr>
      <w:tr>
        <w:trPr>
          <w:cantSplit/>
        </w:trPr>
        <w:tc>
          <w:tcPr>
            <w:tcW w:type="dxa" w:w="2041"/>
            <w:vAlign w:val="top"/>
            <w:shd w:val="clear" w:color="auto" w:fill="FDF0F7"/>
          </w:tcPr>
          <w:p>
            <w:pPr>
              <w:spacing w:after="20" w:line="252" w:lineRule="auto"/>
            </w:pPr>
            <w:r>
              <w:rPr>
                <w:b/>
                <w:i w:val="0"/>
                <w:sz w:val="16"/>
              </w:rPr>
              <w:t>API standards (NFR-25)</w:t>
            </w:r>
          </w:p>
        </w:tc>
        <w:tc>
          <w:tcPr>
            <w:tcW w:type="dxa" w:w="2948"/>
            <w:vAlign w:val="top"/>
            <w:shd w:val="clear" w:color="auto" w:fill="FDF0F7"/>
          </w:tcPr>
          <w:p>
            <w:pPr>
              <w:spacing w:after="20" w:line="252" w:lineRule="auto"/>
            </w:pPr>
            <w:r>
              <w:rPr>
                <w:b w:val="0"/>
                <w:i w:val="0"/>
                <w:sz w:val="16"/>
              </w:rPr>
              <w:t>REST, JSON, OpenAPI 3</w:t>
            </w:r>
          </w:p>
        </w:tc>
        <w:tc>
          <w:tcPr>
            <w:tcW w:type="dxa" w:w="4649"/>
            <w:vAlign w:val="top"/>
            <w:shd w:val="clear" w:color="auto" w:fill="FDF0F7"/>
          </w:tcPr>
          <w:p>
            <w:pPr>
              <w:spacing w:after="20" w:line="252" w:lineRule="auto"/>
            </w:pPr>
            <w:r>
              <w:rPr>
                <w:b w:val="0"/>
                <w:i w:val="0"/>
                <w:sz w:val="16"/>
              </w:rPr>
              <w:t>/api/v1 versioning; ISO 8601 dates; documented error body; OpenAPI description in docs/api</w:t>
            </w:r>
          </w:p>
        </w:tc>
      </w:tr>
      <w:tr>
        <w:trPr>
          <w:cantSplit/>
        </w:trPr>
        <w:tc>
          <w:tcPr>
            <w:tcW w:type="dxa" w:w="2041"/>
            <w:vAlign w:val="top"/>
          </w:tcPr>
          <w:p>
            <w:pPr>
              <w:spacing w:after="20" w:line="252" w:lineRule="auto"/>
            </w:pPr>
            <w:r>
              <w:rPr>
                <w:b/>
                <w:i w:val="0"/>
                <w:sz w:val="16"/>
              </w:rPr>
              <w:t>Maintainability (NFR-20, 21)</w:t>
            </w:r>
          </w:p>
        </w:tc>
        <w:tc>
          <w:tcPr>
            <w:tcW w:type="dxa" w:w="2948"/>
            <w:vAlign w:val="top"/>
          </w:tcPr>
          <w:p>
            <w:pPr>
              <w:spacing w:after="20" w:line="252" w:lineRule="auto"/>
            </w:pPr>
            <w:r>
              <w:rPr>
                <w:b w:val="0"/>
                <w:i w:val="0"/>
                <w:sz w:val="16"/>
              </w:rPr>
              <w:t>Modular, documented, tested</w:t>
            </w:r>
          </w:p>
        </w:tc>
        <w:tc>
          <w:tcPr>
            <w:tcW w:type="dxa" w:w="4649"/>
            <w:vAlign w:val="top"/>
          </w:tcPr>
          <w:p>
            <w:pPr>
              <w:spacing w:after="20" w:line="252" w:lineRule="auto"/>
            </w:pPr>
            <w:r>
              <w:rPr>
                <w:b w:val="0"/>
                <w:i w:val="0"/>
                <w:sz w:val="16"/>
              </w:rPr>
              <w:t>32 API and web unit test files (150 cases) and 4 end-to-end suites (32 cases) run in CI; lint, format and type checks</w:t>
            </w:r>
          </w:p>
        </w:tc>
      </w:tr>
    </w:tbl>
    <w:p>
      <w:pPr>
        <w:pStyle w:val="Caption"/>
        <w:jc w:val="center"/>
      </w:pPr>
      <w:r>
        <w:rPr>
          <w:b w:val="0"/>
          <w:i w:val="0"/>
        </w:rPr>
        <w:t>Table 35: Non-functional targets and design</w:t>
      </w:r>
    </w:p>
    <w:p>
      <w:pPr>
        <w:pStyle w:val="Heading2"/>
      </w:pPr>
      <w:r>
        <w:t>11.1 Monitoring and health</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154"/>
        <w:gridCol w:w="4309"/>
        <w:gridCol w:w="3175"/>
      </w:tblGrid>
      <w:tr>
        <w:trPr>
          <w:cantSplit/>
          <w:tblHeader/>
        </w:trPr>
        <w:tc>
          <w:tcPr>
            <w:tcW w:type="dxa" w:w="2154"/>
            <w:shd w:val="clear" w:color="auto" w:fill="E1058C"/>
            <w:vAlign w:val="center"/>
          </w:tcPr>
          <w:p>
            <w:pPr>
              <w:spacing w:after="0"/>
            </w:pPr>
            <w:r>
              <w:rPr>
                <w:b/>
                <w:i w:val="0"/>
                <w:color w:val="FFFFFF"/>
                <w:sz w:val="16"/>
              </w:rPr>
              <w:t>Endpoint or signal</w:t>
            </w:r>
          </w:p>
        </w:tc>
        <w:tc>
          <w:tcPr>
            <w:tcW w:type="dxa" w:w="4309"/>
            <w:shd w:val="clear" w:color="auto" w:fill="E1058C"/>
            <w:vAlign w:val="center"/>
          </w:tcPr>
          <w:p>
            <w:pPr>
              <w:spacing w:after="0"/>
            </w:pPr>
            <w:r>
              <w:rPr>
                <w:b/>
                <w:i w:val="0"/>
                <w:color w:val="FFFFFF"/>
                <w:sz w:val="16"/>
              </w:rPr>
              <w:t>Content</w:t>
            </w:r>
          </w:p>
        </w:tc>
        <w:tc>
          <w:tcPr>
            <w:tcW w:type="dxa" w:w="3175"/>
            <w:shd w:val="clear" w:color="auto" w:fill="E1058C"/>
            <w:vAlign w:val="center"/>
          </w:tcPr>
          <w:p>
            <w:pPr>
              <w:spacing w:after="0"/>
            </w:pPr>
            <w:r>
              <w:rPr>
                <w:b/>
                <w:i w:val="0"/>
                <w:color w:val="FFFFFF"/>
                <w:sz w:val="16"/>
              </w:rPr>
              <w:t>Use</w:t>
            </w:r>
          </w:p>
        </w:tc>
      </w:tr>
      <w:tr>
        <w:trPr>
          <w:cantSplit/>
        </w:trPr>
        <w:tc>
          <w:tcPr>
            <w:tcW w:type="dxa" w:w="2154"/>
            <w:vAlign w:val="top"/>
          </w:tcPr>
          <w:p>
            <w:pPr>
              <w:spacing w:after="20" w:line="252" w:lineRule="auto"/>
            </w:pPr>
            <w:r>
              <w:rPr>
                <w:b w:val="0"/>
                <w:i w:val="0"/>
                <w:sz w:val="16"/>
              </w:rPr>
              <w:t>GET /health/live</w:t>
            </w:r>
          </w:p>
        </w:tc>
        <w:tc>
          <w:tcPr>
            <w:tcW w:type="dxa" w:w="4309"/>
            <w:vAlign w:val="top"/>
          </w:tcPr>
          <w:p>
            <w:pPr>
              <w:spacing w:after="20" w:line="252" w:lineRule="auto"/>
            </w:pPr>
            <w:r>
              <w:rPr>
                <w:b w:val="0"/>
                <w:i w:val="0"/>
                <w:sz w:val="16"/>
              </w:rPr>
              <w:t>{status: ok} while the process runs</w:t>
            </w:r>
          </w:p>
        </w:tc>
        <w:tc>
          <w:tcPr>
            <w:tcW w:type="dxa" w:w="3175"/>
            <w:vAlign w:val="top"/>
          </w:tcPr>
          <w:p>
            <w:pPr>
              <w:spacing w:after="20" w:line="252" w:lineRule="auto"/>
            </w:pPr>
            <w:r>
              <w:rPr>
                <w:b w:val="0"/>
                <w:i w:val="0"/>
                <w:sz w:val="16"/>
              </w:rPr>
              <w:t>Container and load-balancer liveness</w:t>
            </w:r>
          </w:p>
        </w:tc>
      </w:tr>
      <w:tr>
        <w:trPr>
          <w:cantSplit/>
        </w:trPr>
        <w:tc>
          <w:tcPr>
            <w:tcW w:type="dxa" w:w="2154"/>
            <w:vAlign w:val="top"/>
            <w:shd w:val="clear" w:color="auto" w:fill="FDF0F7"/>
          </w:tcPr>
          <w:p>
            <w:pPr>
              <w:spacing w:after="20" w:line="252" w:lineRule="auto"/>
            </w:pPr>
            <w:r>
              <w:rPr>
                <w:b w:val="0"/>
                <w:i w:val="0"/>
                <w:sz w:val="16"/>
              </w:rPr>
              <w:t>GET /health/ready</w:t>
            </w:r>
          </w:p>
        </w:tc>
        <w:tc>
          <w:tcPr>
            <w:tcW w:type="dxa" w:w="4309"/>
            <w:vAlign w:val="top"/>
            <w:shd w:val="clear" w:color="auto" w:fill="FDF0F7"/>
          </w:tcPr>
          <w:p>
            <w:pPr>
              <w:spacing w:after="20" w:line="252" w:lineRule="auto"/>
            </w:pPr>
            <w:r>
              <w:rPr>
                <w:b w:val="0"/>
                <w:i w:val="0"/>
                <w:sz w:val="16"/>
              </w:rPr>
              <w:t>Runs SELECT 1; 503 NOT_READY if the database is unavailable</w:t>
            </w:r>
          </w:p>
        </w:tc>
        <w:tc>
          <w:tcPr>
            <w:tcW w:type="dxa" w:w="3175"/>
            <w:vAlign w:val="top"/>
            <w:shd w:val="clear" w:color="auto" w:fill="FDF0F7"/>
          </w:tcPr>
          <w:p>
            <w:pPr>
              <w:spacing w:after="20" w:line="252" w:lineRule="auto"/>
            </w:pPr>
            <w:r>
              <w:rPr>
                <w:b w:val="0"/>
                <w:i w:val="0"/>
                <w:sz w:val="16"/>
              </w:rPr>
              <w:t>Load-balancer readiness; Docker HEALTHCHECK</w:t>
            </w:r>
          </w:p>
        </w:tc>
      </w:tr>
      <w:tr>
        <w:trPr>
          <w:cantSplit/>
        </w:trPr>
        <w:tc>
          <w:tcPr>
            <w:tcW w:type="dxa" w:w="2154"/>
            <w:vAlign w:val="top"/>
          </w:tcPr>
          <w:p>
            <w:pPr>
              <w:spacing w:after="20" w:line="252" w:lineRule="auto"/>
            </w:pPr>
            <w:r>
              <w:rPr>
                <w:b w:val="0"/>
                <w:i w:val="0"/>
                <w:sz w:val="16"/>
              </w:rPr>
              <w:t>GET /metrics</w:t>
            </w:r>
          </w:p>
        </w:tc>
        <w:tc>
          <w:tcPr>
            <w:tcW w:type="dxa" w:w="4309"/>
            <w:vAlign w:val="top"/>
          </w:tcPr>
          <w:p>
            <w:pPr>
              <w:spacing w:after="20" w:line="252" w:lineRule="auto"/>
            </w:pPr>
            <w:r>
              <w:rPr>
                <w:b w:val="0"/>
                <w:i w:val="0"/>
                <w:sz w:val="16"/>
              </w:rPr>
              <w:t>Prometheus default process metrics prefixed iift_api_ (CPU, memory, heap, event-loop lag, GC); bearer METRICS_TOKEN</w:t>
            </w:r>
          </w:p>
        </w:tc>
        <w:tc>
          <w:tcPr>
            <w:tcW w:type="dxa" w:w="3175"/>
            <w:vAlign w:val="top"/>
          </w:tcPr>
          <w:p>
            <w:pPr>
              <w:spacing w:after="20" w:line="252" w:lineRule="auto"/>
            </w:pPr>
            <w:r>
              <w:rPr>
                <w:b w:val="0"/>
                <w:i w:val="0"/>
                <w:sz w:val="16"/>
              </w:rPr>
              <w:t>Prometheus scrape every 30 s</w:t>
            </w:r>
          </w:p>
        </w:tc>
      </w:tr>
      <w:tr>
        <w:trPr>
          <w:cantSplit/>
        </w:trPr>
        <w:tc>
          <w:tcPr>
            <w:tcW w:type="dxa" w:w="2154"/>
            <w:vAlign w:val="top"/>
            <w:shd w:val="clear" w:color="auto" w:fill="FDF0F7"/>
          </w:tcPr>
          <w:p>
            <w:pPr>
              <w:spacing w:after="20" w:line="252" w:lineRule="auto"/>
            </w:pPr>
            <w:r>
              <w:rPr>
                <w:b w:val="0"/>
                <w:i w:val="0"/>
                <w:sz w:val="16"/>
              </w:rPr>
              <w:t>Integration monitor</w:t>
            </w:r>
          </w:p>
        </w:tc>
        <w:tc>
          <w:tcPr>
            <w:tcW w:type="dxa" w:w="4309"/>
            <w:vAlign w:val="top"/>
            <w:shd w:val="clear" w:color="auto" w:fill="FDF0F7"/>
          </w:tcPr>
          <w:p>
            <w:pPr>
              <w:spacing w:after="20" w:line="252" w:lineRule="auto"/>
            </w:pPr>
            <w:r>
              <w:rPr>
                <w:b w:val="0"/>
                <w:i w:val="0"/>
                <w:sz w:val="16"/>
              </w:rPr>
              <w:t>Per-system success rate, average time, pending, retrying and dead-letter counts for 24 hours</w:t>
            </w:r>
          </w:p>
        </w:tc>
        <w:tc>
          <w:tcPr>
            <w:tcW w:type="dxa" w:w="3175"/>
            <w:vAlign w:val="top"/>
            <w:shd w:val="clear" w:color="auto" w:fill="FDF0F7"/>
          </w:tcPr>
          <w:p>
            <w:pPr>
              <w:spacing w:after="20" w:line="252" w:lineRule="auto"/>
            </w:pPr>
            <w:r>
              <w:rPr>
                <w:b w:val="0"/>
                <w:i w:val="0"/>
                <w:sz w:val="16"/>
              </w:rPr>
              <w:t>Back-office screen and API for support</w:t>
            </w:r>
          </w:p>
        </w:tc>
      </w:tr>
      <w:tr>
        <w:trPr>
          <w:cantSplit/>
        </w:trPr>
        <w:tc>
          <w:tcPr>
            <w:tcW w:type="dxa" w:w="2154"/>
            <w:vAlign w:val="top"/>
          </w:tcPr>
          <w:p>
            <w:pPr>
              <w:spacing w:after="20" w:line="252" w:lineRule="auto"/>
            </w:pPr>
            <w:r>
              <w:rPr>
                <w:b w:val="0"/>
                <w:i w:val="0"/>
                <w:sz w:val="16"/>
              </w:rPr>
              <w:t>EOD history</w:t>
            </w:r>
          </w:p>
        </w:tc>
        <w:tc>
          <w:tcPr>
            <w:tcW w:type="dxa" w:w="4309"/>
            <w:vAlign w:val="top"/>
          </w:tcPr>
          <w:p>
            <w:pPr>
              <w:spacing w:after="20" w:line="252" w:lineRule="auto"/>
            </w:pPr>
            <w:r>
              <w:rPr>
                <w:b w:val="0"/>
                <w:i w:val="0"/>
                <w:sz w:val="16"/>
              </w:rPr>
              <w:t>Status, totals and files per business date</w:t>
            </w:r>
          </w:p>
        </w:tc>
        <w:tc>
          <w:tcPr>
            <w:tcW w:type="dxa" w:w="3175"/>
            <w:vAlign w:val="top"/>
          </w:tcPr>
          <w:p>
            <w:pPr>
              <w:spacing w:after="20" w:line="252" w:lineRule="auto"/>
            </w:pPr>
            <w:r>
              <w:rPr>
                <w:b w:val="0"/>
                <w:i w:val="0"/>
                <w:sz w:val="16"/>
              </w:rPr>
              <w:t>Finance and support</w:t>
            </w:r>
          </w:p>
        </w:tc>
      </w:tr>
      <w:tr>
        <w:trPr>
          <w:cantSplit/>
        </w:trPr>
        <w:tc>
          <w:tcPr>
            <w:tcW w:type="dxa" w:w="2154"/>
            <w:vAlign w:val="top"/>
            <w:shd w:val="clear" w:color="auto" w:fill="FDF0F7"/>
          </w:tcPr>
          <w:p>
            <w:pPr>
              <w:spacing w:after="20" w:line="252" w:lineRule="auto"/>
            </w:pPr>
            <w:r>
              <w:rPr>
                <w:b w:val="0"/>
                <w:i w:val="0"/>
                <w:sz w:val="16"/>
              </w:rPr>
              <w:t>Application e-mails</w:t>
            </w:r>
          </w:p>
        </w:tc>
        <w:tc>
          <w:tcPr>
            <w:tcW w:type="dxa" w:w="4309"/>
            <w:vAlign w:val="top"/>
            <w:shd w:val="clear" w:color="auto" w:fill="FDF0F7"/>
          </w:tcPr>
          <w:p>
            <w:pPr>
              <w:spacing w:after="20" w:line="252" w:lineRule="auto"/>
            </w:pPr>
            <w:r>
              <w:rPr>
                <w:b w:val="0"/>
                <w:i w:val="0"/>
                <w:sz w:val="16"/>
              </w:rPr>
              <w:t>Dead-letter alerts, AML review, SLA breaches, agency blocks</w:t>
            </w:r>
          </w:p>
        </w:tc>
        <w:tc>
          <w:tcPr>
            <w:tcW w:type="dxa" w:w="3175"/>
            <w:vAlign w:val="top"/>
            <w:shd w:val="clear" w:color="auto" w:fill="FDF0F7"/>
          </w:tcPr>
          <w:p>
            <w:pPr>
              <w:spacing w:after="20" w:line="252" w:lineRule="auto"/>
            </w:pPr>
            <w:r>
              <w:rPr>
                <w:b w:val="0"/>
                <w:i w:val="0"/>
                <w:sz w:val="16"/>
              </w:rPr>
              <w:t>Business and support teams</w:t>
            </w:r>
          </w:p>
        </w:tc>
      </w:tr>
    </w:tbl>
    <w:p>
      <w:pPr>
        <w:pStyle w:val="Caption"/>
        <w:jc w:val="center"/>
      </w:pPr>
      <w:r>
        <w:rPr>
          <w:b w:val="0"/>
          <w:i w:val="0"/>
        </w:rPr>
        <w:t>Table 36: Health and monitoring signals</w:t>
      </w:r>
    </w:p>
    <w:p>
      <w:pPr>
        <w:keepNext w:val="0"/>
      </w:pPr>
      <w:r>
        <w:rPr>
          <w:b w:val="0"/>
          <w:i w:val="0"/>
        </w:rPr>
        <w:t>Prometheus alert rules (delivered during implementation) cover: readiness failing for 2 minutes; HTTP 5xx rate above 2% for 5 minutes (from nginx logs); p95 latency above 2 s; event-loop lag above 500 ms; memory above 85%; disk above 80%; replication lag above 5 minutes; last successful backup older than 26 hours; an eod_run in FAILED status or no completed run by 01:00; any outbox message in DEAD; certificate expiry within 30 days. HTTP request histograms and business gauges (outbox backlog, open SLA breaches) are added to /metrics during implementation.</w:t>
      </w:r>
    </w:p>
    <w:p>
      <w:pPr>
        <w:pStyle w:val="Heading2"/>
      </w:pPr>
      <w:r>
        <w:t>11.2 Logging</w:t>
      </w:r>
    </w:p>
    <w:p>
      <w:pPr>
        <w:keepNext w:val="0"/>
      </w:pPr>
      <w:r>
        <w:rPr>
          <w:b w:val="0"/>
          <w:i w:val="0"/>
        </w:rPr>
        <w:t>The API writes one JSON line per event to standard output with pino: level, time, message and, for HTTP requests, the request id, method, URL, status and response time. The request id is the correlation id from X-Request-Id (set by nginx) or a new UUID, and is returned in the response header and in every error body, so a user's reference leads straight to the log lines. Cookies, authorization, CSRF and set-cookie headers are redacted; health probes are not logged. Container logs are collected by the platform's log shipper (Fluent Bit to the IITH log platform, or CloudWatch) and kept 90 days online. The audit trail is separate from logs and is held in the database under the retention rules.</w:t>
      </w:r>
    </w:p>
    <w:p>
      <w:pPr>
        <w:pStyle w:val="Heading1"/>
        <w:pageBreakBefore/>
        <w:pBdr>
          <w:bottom w:val="single" w:sz="12" w:space="4" w:color="F58220"/>
        </w:pBdr>
      </w:pPr>
      <w:r>
        <w:t>12. Technology Stack and Versions</w:t>
      </w:r>
    </w:p>
    <w:p>
      <w:pPr>
        <w:keepNext w:val="0"/>
      </w:pPr>
      <w:r>
        <w:rPr>
          <w:b w:val="0"/>
          <w:i w:val="0"/>
        </w:rPr>
        <w:t>Versions are the minimums declared in the package manifests at the time of writing; the lockfile pins exact versions. All third-party components are open source and carry no licence fee; the only paid choice is the operating system if IIFT standardises on RHEL. The SalesVerse 2.0 licence itself (perpetual under Option A, right to use under the Option B subscription, source code under Option C) is a commercial term of the proposal.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75"/>
        <w:gridCol w:w="3288"/>
        <w:gridCol w:w="3175"/>
      </w:tblGrid>
      <w:tr>
        <w:trPr>
          <w:cantSplit/>
          <w:tblHeader/>
        </w:trPr>
        <w:tc>
          <w:tcPr>
            <w:tcW w:type="dxa" w:w="3175"/>
            <w:shd w:val="clear" w:color="auto" w:fill="E1058C"/>
            <w:vAlign w:val="center"/>
          </w:tcPr>
          <w:p>
            <w:pPr>
              <w:spacing w:after="0"/>
            </w:pPr>
            <w:r>
              <w:rPr>
                <w:b/>
                <w:i w:val="0"/>
                <w:color w:val="FFFFFF"/>
                <w:sz w:val="16"/>
              </w:rPr>
              <w:t>Component</w:t>
            </w:r>
          </w:p>
        </w:tc>
        <w:tc>
          <w:tcPr>
            <w:tcW w:type="dxa" w:w="3288"/>
            <w:shd w:val="clear" w:color="auto" w:fill="E1058C"/>
            <w:vAlign w:val="center"/>
          </w:tcPr>
          <w:p>
            <w:pPr>
              <w:spacing w:after="0"/>
            </w:pPr>
            <w:r>
              <w:rPr>
                <w:b/>
                <w:i w:val="0"/>
                <w:color w:val="FFFFFF"/>
                <w:sz w:val="16"/>
              </w:rPr>
              <w:t>Version</w:t>
            </w:r>
          </w:p>
        </w:tc>
        <w:tc>
          <w:tcPr>
            <w:tcW w:type="dxa" w:w="3175"/>
            <w:shd w:val="clear" w:color="auto" w:fill="E1058C"/>
            <w:vAlign w:val="center"/>
          </w:tcPr>
          <w:p>
            <w:pPr>
              <w:spacing w:after="0"/>
            </w:pPr>
            <w:r>
              <w:rPr>
                <w:b/>
                <w:i w:val="0"/>
                <w:color w:val="FFFFFF"/>
                <w:sz w:val="16"/>
              </w:rPr>
              <w:t>Purpose</w:t>
            </w:r>
          </w:p>
        </w:tc>
      </w:tr>
      <w:tr>
        <w:trPr>
          <w:cantSplit/>
        </w:trPr>
        <w:tc>
          <w:tcPr>
            <w:tcW w:type="dxa" w:w="3175"/>
            <w:gridSpan w:val="3"/>
            <w:shd w:val="clear" w:color="auto" w:fill="FEEBDD"/>
          </w:tcPr>
          <w:p>
            <w:pPr>
              <w:keepNext/>
              <w:spacing w:after="0"/>
            </w:pPr>
            <w:r>
              <w:rPr>
                <w:b/>
                <w:i w:val="0"/>
                <w:color w:val="333333"/>
                <w:sz w:val="16"/>
              </w:rPr>
              <w:t>Runtime</w:t>
            </w:r>
          </w:p>
        </w:tc>
      </w:tr>
      <w:tr>
        <w:trPr>
          <w:cantSplit/>
        </w:trPr>
        <w:tc>
          <w:tcPr>
            <w:tcW w:type="dxa" w:w="3175"/>
            <w:vAlign w:val="top"/>
          </w:tcPr>
          <w:p>
            <w:pPr>
              <w:spacing w:after="20" w:line="252" w:lineRule="auto"/>
            </w:pPr>
            <w:r>
              <w:rPr>
                <w:b w:val="0"/>
                <w:i w:val="0"/>
                <w:sz w:val="16"/>
              </w:rPr>
              <w:t>Node.js</w:t>
            </w:r>
          </w:p>
        </w:tc>
        <w:tc>
          <w:tcPr>
            <w:tcW w:type="dxa" w:w="3288"/>
            <w:vAlign w:val="top"/>
          </w:tcPr>
          <w:p>
            <w:pPr>
              <w:spacing w:after="20" w:line="252" w:lineRule="auto"/>
            </w:pPr>
            <w:r>
              <w:rPr>
                <w:b w:val="0"/>
                <w:i w:val="0"/>
                <w:sz w:val="16"/>
              </w:rPr>
              <w:t>22 LTS (.nvmrc 22, engines &gt;=22.12)</w:t>
            </w:r>
          </w:p>
        </w:tc>
        <w:tc>
          <w:tcPr>
            <w:tcW w:type="dxa" w:w="3175"/>
            <w:vAlign w:val="top"/>
          </w:tcPr>
          <w:p>
            <w:pPr>
              <w:spacing w:after="20" w:line="252" w:lineRule="auto"/>
            </w:pPr>
            <w:r>
              <w:rPr>
                <w:b w:val="0"/>
                <w:i w:val="0"/>
                <w:sz w:val="16"/>
              </w:rPr>
              <w:t>API runtime</w:t>
            </w:r>
          </w:p>
        </w:tc>
      </w:tr>
      <w:tr>
        <w:trPr>
          <w:cantSplit/>
        </w:trPr>
        <w:tc>
          <w:tcPr>
            <w:tcW w:type="dxa" w:w="3175"/>
            <w:vAlign w:val="top"/>
            <w:shd w:val="clear" w:color="auto" w:fill="FDF0F7"/>
          </w:tcPr>
          <w:p>
            <w:pPr>
              <w:spacing w:after="20" w:line="252" w:lineRule="auto"/>
            </w:pPr>
            <w:r>
              <w:rPr>
                <w:b w:val="0"/>
                <w:i w:val="0"/>
                <w:sz w:val="16"/>
              </w:rPr>
              <w:t>npm</w:t>
            </w:r>
          </w:p>
        </w:tc>
        <w:tc>
          <w:tcPr>
            <w:tcW w:type="dxa" w:w="3288"/>
            <w:vAlign w:val="top"/>
            <w:shd w:val="clear" w:color="auto" w:fill="FDF0F7"/>
          </w:tcPr>
          <w:p>
            <w:pPr>
              <w:spacing w:after="20" w:line="252" w:lineRule="auto"/>
            </w:pPr>
            <w:r>
              <w:rPr>
                <w:b w:val="0"/>
                <w:i w:val="0"/>
                <w:sz w:val="16"/>
              </w:rPr>
              <w:t>11.21.0</w:t>
            </w:r>
          </w:p>
        </w:tc>
        <w:tc>
          <w:tcPr>
            <w:tcW w:type="dxa" w:w="3175"/>
            <w:vAlign w:val="top"/>
            <w:shd w:val="clear" w:color="auto" w:fill="FDF0F7"/>
          </w:tcPr>
          <w:p>
            <w:pPr>
              <w:spacing w:after="20" w:line="252" w:lineRule="auto"/>
            </w:pPr>
            <w:r>
              <w:rPr>
                <w:b w:val="0"/>
                <w:i w:val="0"/>
                <w:sz w:val="16"/>
              </w:rPr>
              <w:t>workspaces</w:t>
            </w:r>
          </w:p>
        </w:tc>
      </w:tr>
      <w:tr>
        <w:trPr>
          <w:cantSplit/>
        </w:trPr>
        <w:tc>
          <w:tcPr>
            <w:tcW w:type="dxa" w:w="3175"/>
            <w:gridSpan w:val="3"/>
            <w:shd w:val="clear" w:color="auto" w:fill="FEEBDD"/>
          </w:tcPr>
          <w:p>
            <w:pPr>
              <w:keepNext/>
              <w:spacing w:after="0"/>
            </w:pPr>
            <w:r>
              <w:rPr>
                <w:b/>
                <w:i w:val="0"/>
                <w:color w:val="333333"/>
                <w:sz w:val="16"/>
              </w:rPr>
              <w:t>API</w:t>
            </w:r>
          </w:p>
        </w:tc>
      </w:tr>
      <w:tr>
        <w:trPr>
          <w:cantSplit/>
        </w:trPr>
        <w:tc>
          <w:tcPr>
            <w:tcW w:type="dxa" w:w="3175"/>
            <w:vAlign w:val="top"/>
          </w:tcPr>
          <w:p>
            <w:pPr>
              <w:spacing w:after="20" w:line="252" w:lineRule="auto"/>
            </w:pPr>
            <w:r>
              <w:rPr>
                <w:b w:val="0"/>
                <w:i w:val="0"/>
                <w:sz w:val="16"/>
              </w:rPr>
              <w:t>@nestjs/core</w:t>
            </w:r>
          </w:p>
        </w:tc>
        <w:tc>
          <w:tcPr>
            <w:tcW w:type="dxa" w:w="3288"/>
            <w:vAlign w:val="top"/>
          </w:tcPr>
          <w:p>
            <w:pPr>
              <w:spacing w:after="20" w:line="252" w:lineRule="auto"/>
            </w:pPr>
            <w:r>
              <w:rPr>
                <w:b w:val="0"/>
                <w:i w:val="0"/>
                <w:sz w:val="16"/>
              </w:rPr>
              <w:t>12.1.2</w:t>
            </w:r>
          </w:p>
        </w:tc>
        <w:tc>
          <w:tcPr>
            <w:tcW w:type="dxa" w:w="3175"/>
            <w:vAlign w:val="top"/>
          </w:tcPr>
          <w:p>
            <w:pPr>
              <w:spacing w:after="20" w:line="252" w:lineRule="auto"/>
            </w:pPr>
            <w:r>
              <w:rPr>
                <w:b w:val="0"/>
                <w:i w:val="0"/>
                <w:sz w:val="16"/>
              </w:rPr>
              <w:t>Application framework</w:t>
            </w:r>
          </w:p>
        </w:tc>
      </w:tr>
      <w:tr>
        <w:trPr>
          <w:cantSplit/>
        </w:trPr>
        <w:tc>
          <w:tcPr>
            <w:tcW w:type="dxa" w:w="3175"/>
            <w:vAlign w:val="top"/>
            <w:shd w:val="clear" w:color="auto" w:fill="FDF0F7"/>
          </w:tcPr>
          <w:p>
            <w:pPr>
              <w:spacing w:after="20" w:line="252" w:lineRule="auto"/>
            </w:pPr>
            <w:r>
              <w:rPr>
                <w:b w:val="0"/>
                <w:i w:val="0"/>
                <w:sz w:val="16"/>
              </w:rPr>
              <w:t>@nestjs/schedule</w:t>
            </w:r>
          </w:p>
        </w:tc>
        <w:tc>
          <w:tcPr>
            <w:tcW w:type="dxa" w:w="3288"/>
            <w:vAlign w:val="top"/>
            <w:shd w:val="clear" w:color="auto" w:fill="FDF0F7"/>
          </w:tcPr>
          <w:p>
            <w:pPr>
              <w:spacing w:after="20" w:line="252" w:lineRule="auto"/>
            </w:pPr>
            <w:r>
              <w:rPr>
                <w:b w:val="0"/>
                <w:i w:val="0"/>
                <w:sz w:val="16"/>
              </w:rPr>
              <w:t>12.0.2</w:t>
            </w:r>
          </w:p>
        </w:tc>
        <w:tc>
          <w:tcPr>
            <w:tcW w:type="dxa" w:w="3175"/>
            <w:vAlign w:val="top"/>
            <w:shd w:val="clear" w:color="auto" w:fill="FDF0F7"/>
          </w:tcPr>
          <w:p>
            <w:pPr>
              <w:spacing w:after="20" w:line="252" w:lineRule="auto"/>
            </w:pPr>
            <w:r>
              <w:rPr>
                <w:b w:val="0"/>
                <w:i w:val="0"/>
                <w:sz w:val="16"/>
              </w:rPr>
              <w:t>Scheduled jobs</w:t>
            </w:r>
          </w:p>
        </w:tc>
      </w:tr>
      <w:tr>
        <w:trPr>
          <w:cantSplit/>
        </w:trPr>
        <w:tc>
          <w:tcPr>
            <w:tcW w:type="dxa" w:w="3175"/>
            <w:vAlign w:val="top"/>
          </w:tcPr>
          <w:p>
            <w:pPr>
              <w:spacing w:after="20" w:line="252" w:lineRule="auto"/>
            </w:pPr>
            <w:r>
              <w:rPr>
                <w:b w:val="0"/>
                <w:i w:val="0"/>
                <w:sz w:val="16"/>
              </w:rPr>
              <w:t>@nestjs/throttler</w:t>
            </w:r>
          </w:p>
        </w:tc>
        <w:tc>
          <w:tcPr>
            <w:tcW w:type="dxa" w:w="3288"/>
            <w:vAlign w:val="top"/>
          </w:tcPr>
          <w:p>
            <w:pPr>
              <w:spacing w:after="20" w:line="252" w:lineRule="auto"/>
            </w:pPr>
            <w:r>
              <w:rPr>
                <w:b w:val="0"/>
                <w:i w:val="0"/>
                <w:sz w:val="16"/>
              </w:rPr>
              <w:t>6.7.1</w:t>
            </w:r>
          </w:p>
        </w:tc>
        <w:tc>
          <w:tcPr>
            <w:tcW w:type="dxa" w:w="3175"/>
            <w:vAlign w:val="top"/>
          </w:tcPr>
          <w:p>
            <w:pPr>
              <w:spacing w:after="20" w:line="252" w:lineRule="auto"/>
            </w:pPr>
            <w:r>
              <w:rPr>
                <w:b w:val="0"/>
                <w:i w:val="0"/>
                <w:sz w:val="16"/>
              </w:rPr>
              <w:t>Rate limiting</w:t>
            </w:r>
          </w:p>
        </w:tc>
      </w:tr>
      <w:tr>
        <w:trPr>
          <w:cantSplit/>
        </w:trPr>
        <w:tc>
          <w:tcPr>
            <w:tcW w:type="dxa" w:w="3175"/>
            <w:vAlign w:val="top"/>
            <w:shd w:val="clear" w:color="auto" w:fill="FDF0F7"/>
          </w:tcPr>
          <w:p>
            <w:pPr>
              <w:spacing w:after="20" w:line="252" w:lineRule="auto"/>
            </w:pPr>
            <w:r>
              <w:rPr>
                <w:b w:val="0"/>
                <w:i w:val="0"/>
                <w:sz w:val="16"/>
              </w:rPr>
              <w:t>@nestjs/swagger</w:t>
            </w:r>
          </w:p>
        </w:tc>
        <w:tc>
          <w:tcPr>
            <w:tcW w:type="dxa" w:w="3288"/>
            <w:vAlign w:val="top"/>
            <w:shd w:val="clear" w:color="auto" w:fill="FDF0F7"/>
          </w:tcPr>
          <w:p>
            <w:pPr>
              <w:spacing w:after="20" w:line="252" w:lineRule="auto"/>
            </w:pPr>
            <w:r>
              <w:rPr>
                <w:b w:val="0"/>
                <w:i w:val="0"/>
                <w:sz w:val="16"/>
              </w:rPr>
              <w:t>12.0.2</w:t>
            </w:r>
          </w:p>
        </w:tc>
        <w:tc>
          <w:tcPr>
            <w:tcW w:type="dxa" w:w="3175"/>
            <w:vAlign w:val="top"/>
            <w:shd w:val="clear" w:color="auto" w:fill="FDF0F7"/>
          </w:tcPr>
          <w:p>
            <w:pPr>
              <w:spacing w:after="20" w:line="252" w:lineRule="auto"/>
            </w:pPr>
            <w:r>
              <w:rPr>
                <w:b w:val="0"/>
                <w:i w:val="0"/>
                <w:sz w:val="16"/>
              </w:rPr>
              <w:t>OpenAPI</w:t>
            </w:r>
          </w:p>
        </w:tc>
      </w:tr>
      <w:tr>
        <w:trPr>
          <w:cantSplit/>
        </w:trPr>
        <w:tc>
          <w:tcPr>
            <w:tcW w:type="dxa" w:w="3175"/>
            <w:vAlign w:val="top"/>
          </w:tcPr>
          <w:p>
            <w:pPr>
              <w:spacing w:after="20" w:line="252" w:lineRule="auto"/>
            </w:pPr>
            <w:r>
              <w:rPr>
                <w:b w:val="0"/>
                <w:i w:val="0"/>
                <w:sz w:val="16"/>
              </w:rPr>
              <w:t>class-validator</w:t>
            </w:r>
          </w:p>
        </w:tc>
        <w:tc>
          <w:tcPr>
            <w:tcW w:type="dxa" w:w="3288"/>
            <w:vAlign w:val="top"/>
          </w:tcPr>
          <w:p>
            <w:pPr>
              <w:spacing w:after="20" w:line="252" w:lineRule="auto"/>
            </w:pPr>
            <w:r>
              <w:rPr>
                <w:b w:val="0"/>
                <w:i w:val="0"/>
                <w:sz w:val="16"/>
              </w:rPr>
              <w:t>0.15.1</w:t>
            </w:r>
          </w:p>
        </w:tc>
        <w:tc>
          <w:tcPr>
            <w:tcW w:type="dxa" w:w="3175"/>
            <w:vAlign w:val="top"/>
          </w:tcPr>
          <w:p>
            <w:pPr>
              <w:spacing w:after="20" w:line="252" w:lineRule="auto"/>
            </w:pPr>
            <w:r>
              <w:rPr>
                <w:b w:val="0"/>
                <w:i w:val="0"/>
                <w:sz w:val="16"/>
              </w:rPr>
              <w:t>DTO validation</w:t>
            </w:r>
          </w:p>
        </w:tc>
      </w:tr>
      <w:tr>
        <w:trPr>
          <w:cantSplit/>
        </w:trPr>
        <w:tc>
          <w:tcPr>
            <w:tcW w:type="dxa" w:w="3175"/>
            <w:vAlign w:val="top"/>
            <w:shd w:val="clear" w:color="auto" w:fill="FDF0F7"/>
          </w:tcPr>
          <w:p>
            <w:pPr>
              <w:spacing w:after="20" w:line="252" w:lineRule="auto"/>
            </w:pPr>
            <w:r>
              <w:rPr>
                <w:b w:val="0"/>
                <w:i w:val="0"/>
                <w:sz w:val="16"/>
              </w:rPr>
              <w:t>typescript</w:t>
            </w:r>
          </w:p>
        </w:tc>
        <w:tc>
          <w:tcPr>
            <w:tcW w:type="dxa" w:w="3288"/>
            <w:vAlign w:val="top"/>
            <w:shd w:val="clear" w:color="auto" w:fill="FDF0F7"/>
          </w:tcPr>
          <w:p>
            <w:pPr>
              <w:spacing w:after="20" w:line="252" w:lineRule="auto"/>
            </w:pPr>
            <w:r>
              <w:rPr>
                <w:b w:val="0"/>
                <w:i w:val="0"/>
                <w:sz w:val="16"/>
              </w:rPr>
              <w:t>6.0.3</w:t>
            </w:r>
          </w:p>
        </w:tc>
        <w:tc>
          <w:tcPr>
            <w:tcW w:type="dxa" w:w="3175"/>
            <w:vAlign w:val="top"/>
            <w:shd w:val="clear" w:color="auto" w:fill="FDF0F7"/>
          </w:tcPr>
          <w:p>
            <w:pPr>
              <w:spacing w:after="20" w:line="252" w:lineRule="auto"/>
            </w:pPr>
            <w:r>
              <w:rPr>
                <w:b w:val="0"/>
                <w:i w:val="0"/>
                <w:sz w:val="16"/>
              </w:rPr>
              <w:t>Language</w:t>
            </w:r>
          </w:p>
        </w:tc>
      </w:tr>
      <w:tr>
        <w:trPr>
          <w:cantSplit/>
        </w:trPr>
        <w:tc>
          <w:tcPr>
            <w:tcW w:type="dxa" w:w="3175"/>
            <w:gridSpan w:val="3"/>
            <w:shd w:val="clear" w:color="auto" w:fill="FEEBDD"/>
          </w:tcPr>
          <w:p>
            <w:pPr>
              <w:keepNext/>
              <w:spacing w:after="0"/>
            </w:pPr>
            <w:r>
              <w:rPr>
                <w:b/>
                <w:i w:val="0"/>
                <w:color w:val="333333"/>
                <w:sz w:val="16"/>
              </w:rPr>
              <w:t>Data</w:t>
            </w:r>
          </w:p>
        </w:tc>
      </w:tr>
      <w:tr>
        <w:trPr>
          <w:cantSplit/>
        </w:trPr>
        <w:tc>
          <w:tcPr>
            <w:tcW w:type="dxa" w:w="3175"/>
            <w:vAlign w:val="top"/>
          </w:tcPr>
          <w:p>
            <w:pPr>
              <w:spacing w:after="20" w:line="252" w:lineRule="auto"/>
            </w:pPr>
            <w:r>
              <w:rPr>
                <w:b w:val="0"/>
                <w:i w:val="0"/>
                <w:sz w:val="16"/>
              </w:rPr>
              <w:t>PostgreSQL</w:t>
            </w:r>
          </w:p>
        </w:tc>
        <w:tc>
          <w:tcPr>
            <w:tcW w:type="dxa" w:w="3288"/>
            <w:vAlign w:val="top"/>
          </w:tcPr>
          <w:p>
            <w:pPr>
              <w:spacing w:after="20" w:line="252" w:lineRule="auto"/>
            </w:pPr>
            <w:r>
              <w:rPr>
                <w:b w:val="0"/>
                <w:i w:val="0"/>
                <w:sz w:val="16"/>
              </w:rPr>
              <w:t>16</w:t>
            </w:r>
          </w:p>
        </w:tc>
        <w:tc>
          <w:tcPr>
            <w:tcW w:type="dxa" w:w="3175"/>
            <w:vAlign w:val="top"/>
          </w:tcPr>
          <w:p>
            <w:pPr>
              <w:spacing w:after="20" w:line="252" w:lineRule="auto"/>
            </w:pPr>
            <w:r>
              <w:rPr>
                <w:b w:val="0"/>
                <w:i w:val="0"/>
                <w:sz w:val="16"/>
              </w:rPr>
              <w:t>Database</w:t>
            </w:r>
          </w:p>
        </w:tc>
      </w:tr>
      <w:tr>
        <w:trPr>
          <w:cantSplit/>
        </w:trPr>
        <w:tc>
          <w:tcPr>
            <w:tcW w:type="dxa" w:w="3175"/>
            <w:vAlign w:val="top"/>
            <w:shd w:val="clear" w:color="auto" w:fill="FDF0F7"/>
          </w:tcPr>
          <w:p>
            <w:pPr>
              <w:spacing w:after="20" w:line="252" w:lineRule="auto"/>
            </w:pPr>
            <w:r>
              <w:rPr>
                <w:b w:val="0"/>
                <w:i w:val="0"/>
                <w:sz w:val="16"/>
              </w:rPr>
              <w:t>prisma / @prisma/client</w:t>
            </w:r>
          </w:p>
        </w:tc>
        <w:tc>
          <w:tcPr>
            <w:tcW w:type="dxa" w:w="3288"/>
            <w:vAlign w:val="top"/>
            <w:shd w:val="clear" w:color="auto" w:fill="FDF0F7"/>
          </w:tcPr>
          <w:p>
            <w:pPr>
              <w:spacing w:after="20" w:line="252" w:lineRule="auto"/>
            </w:pPr>
            <w:r>
              <w:rPr>
                <w:b w:val="0"/>
                <w:i w:val="0"/>
                <w:sz w:val="16"/>
              </w:rPr>
              <w:t>7.10.0</w:t>
            </w:r>
          </w:p>
        </w:tc>
        <w:tc>
          <w:tcPr>
            <w:tcW w:type="dxa" w:w="3175"/>
            <w:vAlign w:val="top"/>
            <w:shd w:val="clear" w:color="auto" w:fill="FDF0F7"/>
          </w:tcPr>
          <w:p>
            <w:pPr>
              <w:spacing w:after="20" w:line="252" w:lineRule="auto"/>
            </w:pPr>
            <w:r>
              <w:rPr>
                <w:b w:val="0"/>
                <w:i w:val="0"/>
                <w:sz w:val="16"/>
              </w:rPr>
              <w:t>ORM and migrations</w:t>
            </w:r>
          </w:p>
        </w:tc>
      </w:tr>
      <w:tr>
        <w:trPr>
          <w:cantSplit/>
        </w:trPr>
        <w:tc>
          <w:tcPr>
            <w:tcW w:type="dxa" w:w="3175"/>
            <w:vAlign w:val="top"/>
          </w:tcPr>
          <w:p>
            <w:pPr>
              <w:spacing w:after="20" w:line="252" w:lineRule="auto"/>
            </w:pPr>
            <w:r>
              <w:rPr>
                <w:b w:val="0"/>
                <w:i w:val="0"/>
                <w:sz w:val="16"/>
              </w:rPr>
              <w:t>@prisma/adapter-pg, pg</w:t>
            </w:r>
          </w:p>
        </w:tc>
        <w:tc>
          <w:tcPr>
            <w:tcW w:type="dxa" w:w="3288"/>
            <w:vAlign w:val="top"/>
          </w:tcPr>
          <w:p>
            <w:pPr>
              <w:spacing w:after="20" w:line="252" w:lineRule="auto"/>
            </w:pPr>
            <w:r>
              <w:rPr>
                <w:b w:val="0"/>
                <w:i w:val="0"/>
                <w:sz w:val="16"/>
              </w:rPr>
              <w:t>8.23.1</w:t>
            </w:r>
          </w:p>
        </w:tc>
        <w:tc>
          <w:tcPr>
            <w:tcW w:type="dxa" w:w="3175"/>
            <w:vAlign w:val="top"/>
          </w:tcPr>
          <w:p>
            <w:pPr>
              <w:spacing w:after="20" w:line="252" w:lineRule="auto"/>
            </w:pPr>
            <w:r>
              <w:rPr>
                <w:b w:val="0"/>
                <w:i w:val="0"/>
                <w:sz w:val="16"/>
              </w:rPr>
              <w:t>Driver</w:t>
            </w:r>
          </w:p>
        </w:tc>
      </w:tr>
      <w:tr>
        <w:trPr>
          <w:cantSplit/>
        </w:trPr>
        <w:tc>
          <w:tcPr>
            <w:tcW w:type="dxa" w:w="3175"/>
            <w:gridSpan w:val="3"/>
            <w:shd w:val="clear" w:color="auto" w:fill="FEEBDD"/>
          </w:tcPr>
          <w:p>
            <w:pPr>
              <w:keepNext/>
              <w:spacing w:after="0"/>
            </w:pPr>
            <w:r>
              <w:rPr>
                <w:b/>
                <w:i w:val="0"/>
                <w:color w:val="333333"/>
                <w:sz w:val="16"/>
              </w:rPr>
              <w:t>Security</w:t>
            </w:r>
          </w:p>
        </w:tc>
      </w:tr>
      <w:tr>
        <w:trPr>
          <w:cantSplit/>
        </w:trPr>
        <w:tc>
          <w:tcPr>
            <w:tcW w:type="dxa" w:w="3175"/>
            <w:vAlign w:val="top"/>
          </w:tcPr>
          <w:p>
            <w:pPr>
              <w:spacing w:after="20" w:line="252" w:lineRule="auto"/>
            </w:pPr>
            <w:r>
              <w:rPr>
                <w:b w:val="0"/>
                <w:i w:val="0"/>
                <w:sz w:val="16"/>
              </w:rPr>
              <w:t>express-session</w:t>
            </w:r>
          </w:p>
        </w:tc>
        <w:tc>
          <w:tcPr>
            <w:tcW w:type="dxa" w:w="3288"/>
            <w:vAlign w:val="top"/>
          </w:tcPr>
          <w:p>
            <w:pPr>
              <w:spacing w:after="20" w:line="252" w:lineRule="auto"/>
            </w:pPr>
            <w:r>
              <w:rPr>
                <w:b w:val="0"/>
                <w:i w:val="0"/>
                <w:sz w:val="16"/>
              </w:rPr>
              <w:t>1.19.0</w:t>
            </w:r>
          </w:p>
        </w:tc>
        <w:tc>
          <w:tcPr>
            <w:tcW w:type="dxa" w:w="3175"/>
            <w:vAlign w:val="top"/>
          </w:tcPr>
          <w:p>
            <w:pPr>
              <w:spacing w:after="20" w:line="252" w:lineRule="auto"/>
            </w:pPr>
            <w:r>
              <w:rPr>
                <w:b w:val="0"/>
                <w:i w:val="0"/>
                <w:sz w:val="16"/>
              </w:rPr>
              <w:t>Sessions</w:t>
            </w:r>
          </w:p>
        </w:tc>
      </w:tr>
      <w:tr>
        <w:trPr>
          <w:cantSplit/>
        </w:trPr>
        <w:tc>
          <w:tcPr>
            <w:tcW w:type="dxa" w:w="3175"/>
            <w:vAlign w:val="top"/>
            <w:shd w:val="clear" w:color="auto" w:fill="FDF0F7"/>
          </w:tcPr>
          <w:p>
            <w:pPr>
              <w:spacing w:after="20" w:line="252" w:lineRule="auto"/>
            </w:pPr>
            <w:r>
              <w:rPr>
                <w:b w:val="0"/>
                <w:i w:val="0"/>
                <w:sz w:val="16"/>
              </w:rPr>
              <w:t>connect-pg-simple</w:t>
            </w:r>
          </w:p>
        </w:tc>
        <w:tc>
          <w:tcPr>
            <w:tcW w:type="dxa" w:w="3288"/>
            <w:vAlign w:val="top"/>
            <w:shd w:val="clear" w:color="auto" w:fill="FDF0F7"/>
          </w:tcPr>
          <w:p>
            <w:pPr>
              <w:spacing w:after="20" w:line="252" w:lineRule="auto"/>
            </w:pPr>
            <w:r>
              <w:rPr>
                <w:b w:val="0"/>
                <w:i w:val="0"/>
                <w:sz w:val="16"/>
              </w:rPr>
              <w:t>10.0.0</w:t>
            </w:r>
          </w:p>
        </w:tc>
        <w:tc>
          <w:tcPr>
            <w:tcW w:type="dxa" w:w="3175"/>
            <w:vAlign w:val="top"/>
            <w:shd w:val="clear" w:color="auto" w:fill="FDF0F7"/>
          </w:tcPr>
          <w:p>
            <w:pPr>
              <w:spacing w:after="20" w:line="252" w:lineRule="auto"/>
            </w:pPr>
            <w:r>
              <w:rPr>
                <w:b w:val="0"/>
                <w:i w:val="0"/>
                <w:sz w:val="16"/>
              </w:rPr>
              <w:t>Session store</w:t>
            </w:r>
          </w:p>
        </w:tc>
      </w:tr>
      <w:tr>
        <w:trPr>
          <w:cantSplit/>
        </w:trPr>
        <w:tc>
          <w:tcPr>
            <w:tcW w:type="dxa" w:w="3175"/>
            <w:vAlign w:val="top"/>
          </w:tcPr>
          <w:p>
            <w:pPr>
              <w:spacing w:after="20" w:line="252" w:lineRule="auto"/>
            </w:pPr>
            <w:r>
              <w:rPr>
                <w:b w:val="0"/>
                <w:i w:val="0"/>
                <w:sz w:val="16"/>
              </w:rPr>
              <w:t>@node-rs/argon2</w:t>
            </w:r>
          </w:p>
        </w:tc>
        <w:tc>
          <w:tcPr>
            <w:tcW w:type="dxa" w:w="3288"/>
            <w:vAlign w:val="top"/>
          </w:tcPr>
          <w:p>
            <w:pPr>
              <w:spacing w:after="20" w:line="252" w:lineRule="auto"/>
            </w:pPr>
            <w:r>
              <w:rPr>
                <w:b w:val="0"/>
                <w:i w:val="0"/>
                <w:sz w:val="16"/>
              </w:rPr>
              <w:t>2.2.1</w:t>
            </w:r>
          </w:p>
        </w:tc>
        <w:tc>
          <w:tcPr>
            <w:tcW w:type="dxa" w:w="3175"/>
            <w:vAlign w:val="top"/>
          </w:tcPr>
          <w:p>
            <w:pPr>
              <w:spacing w:after="20" w:line="252" w:lineRule="auto"/>
            </w:pPr>
            <w:r>
              <w:rPr>
                <w:b w:val="0"/>
                <w:i w:val="0"/>
                <w:sz w:val="16"/>
              </w:rPr>
              <w:t>Password hashing</w:t>
            </w:r>
          </w:p>
        </w:tc>
      </w:tr>
      <w:tr>
        <w:trPr>
          <w:cantSplit/>
        </w:trPr>
        <w:tc>
          <w:tcPr>
            <w:tcW w:type="dxa" w:w="3175"/>
            <w:vAlign w:val="top"/>
            <w:shd w:val="clear" w:color="auto" w:fill="FDF0F7"/>
          </w:tcPr>
          <w:p>
            <w:pPr>
              <w:spacing w:after="20" w:line="252" w:lineRule="auto"/>
            </w:pPr>
            <w:r>
              <w:rPr>
                <w:b w:val="0"/>
                <w:i w:val="0"/>
                <w:sz w:val="16"/>
              </w:rPr>
              <w:t>helmet</w:t>
            </w:r>
          </w:p>
        </w:tc>
        <w:tc>
          <w:tcPr>
            <w:tcW w:type="dxa" w:w="3288"/>
            <w:vAlign w:val="top"/>
            <w:shd w:val="clear" w:color="auto" w:fill="FDF0F7"/>
          </w:tcPr>
          <w:p>
            <w:pPr>
              <w:spacing w:after="20" w:line="252" w:lineRule="auto"/>
            </w:pPr>
            <w:r>
              <w:rPr>
                <w:b w:val="0"/>
                <w:i w:val="0"/>
                <w:sz w:val="16"/>
              </w:rPr>
              <w:t>8.3.0</w:t>
            </w:r>
          </w:p>
        </w:tc>
        <w:tc>
          <w:tcPr>
            <w:tcW w:type="dxa" w:w="3175"/>
            <w:vAlign w:val="top"/>
            <w:shd w:val="clear" w:color="auto" w:fill="FDF0F7"/>
          </w:tcPr>
          <w:p>
            <w:pPr>
              <w:spacing w:after="20" w:line="252" w:lineRule="auto"/>
            </w:pPr>
            <w:r>
              <w:rPr>
                <w:b w:val="0"/>
                <w:i w:val="0"/>
                <w:sz w:val="16"/>
              </w:rPr>
              <w:t>Security headers</w:t>
            </w:r>
          </w:p>
        </w:tc>
      </w:tr>
      <w:tr>
        <w:trPr>
          <w:cantSplit/>
        </w:trPr>
        <w:tc>
          <w:tcPr>
            <w:tcW w:type="dxa" w:w="3175"/>
            <w:vAlign w:val="top"/>
          </w:tcPr>
          <w:p>
            <w:pPr>
              <w:spacing w:after="20" w:line="252" w:lineRule="auto"/>
            </w:pPr>
            <w:r>
              <w:rPr>
                <w:b w:val="0"/>
                <w:i w:val="0"/>
                <w:sz w:val="16"/>
              </w:rPr>
              <w:t>ldapts</w:t>
            </w:r>
          </w:p>
        </w:tc>
        <w:tc>
          <w:tcPr>
            <w:tcW w:type="dxa" w:w="3288"/>
            <w:vAlign w:val="top"/>
          </w:tcPr>
          <w:p>
            <w:pPr>
              <w:spacing w:after="20" w:line="252" w:lineRule="auto"/>
            </w:pPr>
            <w:r>
              <w:rPr>
                <w:b w:val="0"/>
                <w:i w:val="0"/>
                <w:sz w:val="16"/>
              </w:rPr>
              <w:t>9.2.0</w:t>
            </w:r>
          </w:p>
        </w:tc>
        <w:tc>
          <w:tcPr>
            <w:tcW w:type="dxa" w:w="3175"/>
            <w:vAlign w:val="top"/>
          </w:tcPr>
          <w:p>
            <w:pPr>
              <w:spacing w:after="20" w:line="252" w:lineRule="auto"/>
            </w:pPr>
            <w:r>
              <w:rPr>
                <w:b w:val="0"/>
                <w:i w:val="0"/>
                <w:sz w:val="16"/>
              </w:rPr>
              <w:t>Directory sign-in</w:t>
            </w:r>
          </w:p>
        </w:tc>
      </w:tr>
      <w:tr>
        <w:trPr>
          <w:cantSplit/>
        </w:trPr>
        <w:tc>
          <w:tcPr>
            <w:tcW w:type="dxa" w:w="3175"/>
            <w:gridSpan w:val="3"/>
            <w:shd w:val="clear" w:color="auto" w:fill="FEEBDD"/>
          </w:tcPr>
          <w:p>
            <w:pPr>
              <w:keepNext/>
              <w:spacing w:after="0"/>
            </w:pPr>
            <w:r>
              <w:rPr>
                <w:b/>
                <w:i w:val="0"/>
                <w:color w:val="333333"/>
                <w:sz w:val="16"/>
              </w:rPr>
              <w:t>Output and messaging</w:t>
            </w:r>
          </w:p>
        </w:tc>
      </w:tr>
      <w:tr>
        <w:trPr>
          <w:cantSplit/>
        </w:trPr>
        <w:tc>
          <w:tcPr>
            <w:tcW w:type="dxa" w:w="3175"/>
            <w:vAlign w:val="top"/>
          </w:tcPr>
          <w:p>
            <w:pPr>
              <w:spacing w:after="20" w:line="252" w:lineRule="auto"/>
            </w:pPr>
            <w:r>
              <w:rPr>
                <w:b w:val="0"/>
                <w:i w:val="0"/>
                <w:sz w:val="16"/>
              </w:rPr>
              <w:t>pdfkit</w:t>
            </w:r>
          </w:p>
        </w:tc>
        <w:tc>
          <w:tcPr>
            <w:tcW w:type="dxa" w:w="3288"/>
            <w:vAlign w:val="top"/>
          </w:tcPr>
          <w:p>
            <w:pPr>
              <w:spacing w:after="20" w:line="252" w:lineRule="auto"/>
            </w:pPr>
            <w:r>
              <w:rPr>
                <w:b w:val="0"/>
                <w:i w:val="0"/>
                <w:sz w:val="16"/>
              </w:rPr>
              <w:t>0.20.2</w:t>
            </w:r>
          </w:p>
        </w:tc>
        <w:tc>
          <w:tcPr>
            <w:tcW w:type="dxa" w:w="3175"/>
            <w:vAlign w:val="top"/>
          </w:tcPr>
          <w:p>
            <w:pPr>
              <w:spacing w:after="20" w:line="252" w:lineRule="auto"/>
            </w:pPr>
            <w:r>
              <w:rPr>
                <w:b w:val="0"/>
                <w:i w:val="0"/>
                <w:sz w:val="16"/>
              </w:rPr>
              <w:t>PDF documents</w:t>
            </w:r>
          </w:p>
        </w:tc>
      </w:tr>
      <w:tr>
        <w:trPr>
          <w:cantSplit/>
        </w:trPr>
        <w:tc>
          <w:tcPr>
            <w:tcW w:type="dxa" w:w="3175"/>
            <w:vAlign w:val="top"/>
            <w:shd w:val="clear" w:color="auto" w:fill="FDF0F7"/>
          </w:tcPr>
          <w:p>
            <w:pPr>
              <w:spacing w:after="20" w:line="252" w:lineRule="auto"/>
            </w:pPr>
            <w:r>
              <w:rPr>
                <w:b w:val="0"/>
                <w:i w:val="0"/>
                <w:sz w:val="16"/>
              </w:rPr>
              <w:t>exceljs</w:t>
            </w:r>
          </w:p>
        </w:tc>
        <w:tc>
          <w:tcPr>
            <w:tcW w:type="dxa" w:w="3288"/>
            <w:vAlign w:val="top"/>
            <w:shd w:val="clear" w:color="auto" w:fill="FDF0F7"/>
          </w:tcPr>
          <w:p>
            <w:pPr>
              <w:spacing w:after="20" w:line="252" w:lineRule="auto"/>
            </w:pPr>
            <w:r>
              <w:rPr>
                <w:b w:val="0"/>
                <w:i w:val="0"/>
                <w:sz w:val="16"/>
              </w:rPr>
              <w:t>4.4.0</w:t>
            </w:r>
          </w:p>
        </w:tc>
        <w:tc>
          <w:tcPr>
            <w:tcW w:type="dxa" w:w="3175"/>
            <w:vAlign w:val="top"/>
            <w:shd w:val="clear" w:color="auto" w:fill="FDF0F7"/>
          </w:tcPr>
          <w:p>
            <w:pPr>
              <w:spacing w:after="20" w:line="252" w:lineRule="auto"/>
            </w:pPr>
            <w:r>
              <w:rPr>
                <w:b w:val="0"/>
                <w:i w:val="0"/>
                <w:sz w:val="16"/>
              </w:rPr>
              <w:t>Excel exports</w:t>
            </w:r>
          </w:p>
        </w:tc>
      </w:tr>
      <w:tr>
        <w:trPr>
          <w:cantSplit/>
        </w:trPr>
        <w:tc>
          <w:tcPr>
            <w:tcW w:type="dxa" w:w="3175"/>
            <w:vAlign w:val="top"/>
          </w:tcPr>
          <w:p>
            <w:pPr>
              <w:spacing w:after="20" w:line="252" w:lineRule="auto"/>
            </w:pPr>
            <w:r>
              <w:rPr>
                <w:b w:val="0"/>
                <w:i w:val="0"/>
                <w:sz w:val="16"/>
              </w:rPr>
              <w:t>nodemailer</w:t>
            </w:r>
          </w:p>
        </w:tc>
        <w:tc>
          <w:tcPr>
            <w:tcW w:type="dxa" w:w="3288"/>
            <w:vAlign w:val="top"/>
          </w:tcPr>
          <w:p>
            <w:pPr>
              <w:spacing w:after="20" w:line="252" w:lineRule="auto"/>
            </w:pPr>
            <w:r>
              <w:rPr>
                <w:b w:val="0"/>
                <w:i w:val="0"/>
                <w:sz w:val="16"/>
              </w:rPr>
              <w:t>10.0.13</w:t>
            </w:r>
          </w:p>
        </w:tc>
        <w:tc>
          <w:tcPr>
            <w:tcW w:type="dxa" w:w="3175"/>
            <w:vAlign w:val="top"/>
          </w:tcPr>
          <w:p>
            <w:pPr>
              <w:spacing w:after="20" w:line="252" w:lineRule="auto"/>
            </w:pPr>
            <w:r>
              <w:rPr>
                <w:b w:val="0"/>
                <w:i w:val="0"/>
                <w:sz w:val="16"/>
              </w:rPr>
              <w:t>E-mail</w:t>
            </w:r>
          </w:p>
        </w:tc>
      </w:tr>
      <w:tr>
        <w:trPr>
          <w:cantSplit/>
        </w:trPr>
        <w:tc>
          <w:tcPr>
            <w:tcW w:type="dxa" w:w="3175"/>
            <w:gridSpan w:val="3"/>
            <w:shd w:val="clear" w:color="auto" w:fill="FEEBDD"/>
          </w:tcPr>
          <w:p>
            <w:pPr>
              <w:keepNext/>
              <w:spacing w:after="0"/>
            </w:pPr>
            <w:r>
              <w:rPr>
                <w:b/>
                <w:i w:val="0"/>
                <w:color w:val="333333"/>
                <w:sz w:val="16"/>
              </w:rPr>
              <w:t>Observability</w:t>
            </w:r>
          </w:p>
        </w:tc>
      </w:tr>
      <w:tr>
        <w:trPr>
          <w:cantSplit/>
        </w:trPr>
        <w:tc>
          <w:tcPr>
            <w:tcW w:type="dxa" w:w="3175"/>
            <w:vAlign w:val="top"/>
          </w:tcPr>
          <w:p>
            <w:pPr>
              <w:spacing w:after="20" w:line="252" w:lineRule="auto"/>
            </w:pPr>
            <w:r>
              <w:rPr>
                <w:b w:val="0"/>
                <w:i w:val="0"/>
                <w:sz w:val="16"/>
              </w:rPr>
              <w:t>nestjs-pino / pino</w:t>
            </w:r>
          </w:p>
        </w:tc>
        <w:tc>
          <w:tcPr>
            <w:tcW w:type="dxa" w:w="3288"/>
            <w:vAlign w:val="top"/>
          </w:tcPr>
          <w:p>
            <w:pPr>
              <w:spacing w:after="20" w:line="252" w:lineRule="auto"/>
            </w:pPr>
            <w:r>
              <w:rPr>
                <w:b w:val="0"/>
                <w:i w:val="0"/>
                <w:sz w:val="16"/>
              </w:rPr>
              <w:t>10.3.1</w:t>
            </w:r>
          </w:p>
        </w:tc>
        <w:tc>
          <w:tcPr>
            <w:tcW w:type="dxa" w:w="3175"/>
            <w:vAlign w:val="top"/>
          </w:tcPr>
          <w:p>
            <w:pPr>
              <w:spacing w:after="20" w:line="252" w:lineRule="auto"/>
            </w:pPr>
            <w:r>
              <w:rPr>
                <w:b w:val="0"/>
                <w:i w:val="0"/>
                <w:sz w:val="16"/>
              </w:rPr>
              <w:t>JSON logging</w:t>
            </w:r>
          </w:p>
        </w:tc>
      </w:tr>
      <w:tr>
        <w:trPr>
          <w:cantSplit/>
        </w:trPr>
        <w:tc>
          <w:tcPr>
            <w:tcW w:type="dxa" w:w="3175"/>
            <w:vAlign w:val="top"/>
            <w:shd w:val="clear" w:color="auto" w:fill="FDF0F7"/>
          </w:tcPr>
          <w:p>
            <w:pPr>
              <w:spacing w:after="20" w:line="252" w:lineRule="auto"/>
            </w:pPr>
            <w:r>
              <w:rPr>
                <w:b w:val="0"/>
                <w:i w:val="0"/>
                <w:sz w:val="16"/>
              </w:rPr>
              <w:t>prom-client</w:t>
            </w:r>
          </w:p>
        </w:tc>
        <w:tc>
          <w:tcPr>
            <w:tcW w:type="dxa" w:w="3288"/>
            <w:vAlign w:val="top"/>
            <w:shd w:val="clear" w:color="auto" w:fill="FDF0F7"/>
          </w:tcPr>
          <w:p>
            <w:pPr>
              <w:spacing w:after="20" w:line="252" w:lineRule="auto"/>
            </w:pPr>
            <w:r>
              <w:rPr>
                <w:b w:val="0"/>
                <w:i w:val="0"/>
                <w:sz w:val="16"/>
              </w:rPr>
              <w:t>15.1.3</w:t>
            </w:r>
          </w:p>
        </w:tc>
        <w:tc>
          <w:tcPr>
            <w:tcW w:type="dxa" w:w="3175"/>
            <w:vAlign w:val="top"/>
            <w:shd w:val="clear" w:color="auto" w:fill="FDF0F7"/>
          </w:tcPr>
          <w:p>
            <w:pPr>
              <w:spacing w:after="20" w:line="252" w:lineRule="auto"/>
            </w:pPr>
            <w:r>
              <w:rPr>
                <w:b w:val="0"/>
                <w:i w:val="0"/>
                <w:sz w:val="16"/>
              </w:rPr>
              <w:t>Metrics</w:t>
            </w:r>
          </w:p>
        </w:tc>
      </w:tr>
      <w:tr>
        <w:trPr>
          <w:cantSplit/>
        </w:trPr>
        <w:tc>
          <w:tcPr>
            <w:tcW w:type="dxa" w:w="3175"/>
            <w:gridSpan w:val="3"/>
            <w:shd w:val="clear" w:color="auto" w:fill="FEEBDD"/>
          </w:tcPr>
          <w:p>
            <w:pPr>
              <w:keepNext/>
              <w:spacing w:after="0"/>
            </w:pPr>
            <w:r>
              <w:rPr>
                <w:b/>
                <w:i w:val="0"/>
                <w:color w:val="333333"/>
                <w:sz w:val="16"/>
              </w:rPr>
              <w:t>Front end</w:t>
            </w:r>
          </w:p>
        </w:tc>
      </w:tr>
      <w:tr>
        <w:trPr>
          <w:cantSplit/>
        </w:trPr>
        <w:tc>
          <w:tcPr>
            <w:tcW w:type="dxa" w:w="3175"/>
            <w:vAlign w:val="top"/>
          </w:tcPr>
          <w:p>
            <w:pPr>
              <w:spacing w:after="20" w:line="252" w:lineRule="auto"/>
            </w:pPr>
            <w:r>
              <w:rPr>
                <w:b w:val="0"/>
                <w:i w:val="0"/>
                <w:sz w:val="16"/>
              </w:rPr>
              <w:t>react</w:t>
            </w:r>
          </w:p>
        </w:tc>
        <w:tc>
          <w:tcPr>
            <w:tcW w:type="dxa" w:w="3288"/>
            <w:vAlign w:val="top"/>
          </w:tcPr>
          <w:p>
            <w:pPr>
              <w:spacing w:after="20" w:line="252" w:lineRule="auto"/>
            </w:pPr>
            <w:r>
              <w:rPr>
                <w:b w:val="0"/>
                <w:i w:val="0"/>
                <w:sz w:val="16"/>
              </w:rPr>
              <w:t>19.3.0</w:t>
            </w:r>
          </w:p>
        </w:tc>
        <w:tc>
          <w:tcPr>
            <w:tcW w:type="dxa" w:w="3175"/>
            <w:vAlign w:val="top"/>
          </w:tcPr>
          <w:p>
            <w:pPr>
              <w:spacing w:after="20" w:line="252" w:lineRule="auto"/>
            </w:pPr>
            <w:r>
              <w:rPr>
                <w:b w:val="0"/>
                <w:i w:val="0"/>
                <w:sz w:val="16"/>
              </w:rPr>
              <w:t>UI library</w:t>
            </w:r>
          </w:p>
        </w:tc>
      </w:tr>
      <w:tr>
        <w:trPr>
          <w:cantSplit/>
        </w:trPr>
        <w:tc>
          <w:tcPr>
            <w:tcW w:type="dxa" w:w="3175"/>
            <w:vAlign w:val="top"/>
            <w:shd w:val="clear" w:color="auto" w:fill="FDF0F7"/>
          </w:tcPr>
          <w:p>
            <w:pPr>
              <w:spacing w:after="20" w:line="252" w:lineRule="auto"/>
            </w:pPr>
            <w:r>
              <w:rPr>
                <w:b w:val="0"/>
                <w:i w:val="0"/>
                <w:sz w:val="16"/>
              </w:rPr>
              <w:t>antd</w:t>
            </w:r>
          </w:p>
        </w:tc>
        <w:tc>
          <w:tcPr>
            <w:tcW w:type="dxa" w:w="3288"/>
            <w:vAlign w:val="top"/>
            <w:shd w:val="clear" w:color="auto" w:fill="FDF0F7"/>
          </w:tcPr>
          <w:p>
            <w:pPr>
              <w:spacing w:after="20" w:line="252" w:lineRule="auto"/>
            </w:pPr>
            <w:r>
              <w:rPr>
                <w:b w:val="0"/>
                <w:i w:val="0"/>
                <w:sz w:val="16"/>
              </w:rPr>
              <w:t>6.6.5</w:t>
            </w:r>
          </w:p>
        </w:tc>
        <w:tc>
          <w:tcPr>
            <w:tcW w:type="dxa" w:w="3175"/>
            <w:vAlign w:val="top"/>
            <w:shd w:val="clear" w:color="auto" w:fill="FDF0F7"/>
          </w:tcPr>
          <w:p>
            <w:pPr>
              <w:spacing w:after="20" w:line="252" w:lineRule="auto"/>
            </w:pPr>
            <w:r>
              <w:rPr>
                <w:b w:val="0"/>
                <w:i w:val="0"/>
                <w:sz w:val="16"/>
              </w:rPr>
              <w:t>Components</w:t>
            </w:r>
          </w:p>
        </w:tc>
      </w:tr>
      <w:tr>
        <w:trPr>
          <w:cantSplit/>
        </w:trPr>
        <w:tc>
          <w:tcPr>
            <w:tcW w:type="dxa" w:w="3175"/>
            <w:vAlign w:val="top"/>
          </w:tcPr>
          <w:p>
            <w:pPr>
              <w:spacing w:after="20" w:line="252" w:lineRule="auto"/>
            </w:pPr>
            <w:r>
              <w:rPr>
                <w:b w:val="0"/>
                <w:i w:val="0"/>
                <w:sz w:val="16"/>
              </w:rPr>
              <w:t>@tanstack/react-query</w:t>
            </w:r>
          </w:p>
        </w:tc>
        <w:tc>
          <w:tcPr>
            <w:tcW w:type="dxa" w:w="3288"/>
            <w:vAlign w:val="top"/>
          </w:tcPr>
          <w:p>
            <w:pPr>
              <w:spacing w:after="20" w:line="252" w:lineRule="auto"/>
            </w:pPr>
            <w:r>
              <w:rPr>
                <w:b w:val="0"/>
                <w:i w:val="0"/>
                <w:sz w:val="16"/>
              </w:rPr>
              <w:t>5.104.1</w:t>
            </w:r>
          </w:p>
        </w:tc>
        <w:tc>
          <w:tcPr>
            <w:tcW w:type="dxa" w:w="3175"/>
            <w:vAlign w:val="top"/>
          </w:tcPr>
          <w:p>
            <w:pPr>
              <w:spacing w:after="20" w:line="252" w:lineRule="auto"/>
            </w:pPr>
            <w:r>
              <w:rPr>
                <w:b w:val="0"/>
                <w:i w:val="0"/>
                <w:sz w:val="16"/>
              </w:rPr>
              <w:t>Server state</w:t>
            </w:r>
          </w:p>
        </w:tc>
      </w:tr>
      <w:tr>
        <w:trPr>
          <w:cantSplit/>
        </w:trPr>
        <w:tc>
          <w:tcPr>
            <w:tcW w:type="dxa" w:w="3175"/>
            <w:vAlign w:val="top"/>
            <w:shd w:val="clear" w:color="auto" w:fill="FDF0F7"/>
          </w:tcPr>
          <w:p>
            <w:pPr>
              <w:spacing w:after="20" w:line="252" w:lineRule="auto"/>
            </w:pPr>
            <w:r>
              <w:rPr>
                <w:b w:val="0"/>
                <w:i w:val="0"/>
                <w:sz w:val="16"/>
              </w:rPr>
              <w:t>react-router</w:t>
            </w:r>
          </w:p>
        </w:tc>
        <w:tc>
          <w:tcPr>
            <w:tcW w:type="dxa" w:w="3288"/>
            <w:vAlign w:val="top"/>
            <w:shd w:val="clear" w:color="auto" w:fill="FDF0F7"/>
          </w:tcPr>
          <w:p>
            <w:pPr>
              <w:spacing w:after="20" w:line="252" w:lineRule="auto"/>
            </w:pPr>
            <w:r>
              <w:rPr>
                <w:b w:val="0"/>
                <w:i w:val="0"/>
                <w:sz w:val="16"/>
              </w:rPr>
              <w:t>7.18.4</w:t>
            </w:r>
          </w:p>
        </w:tc>
        <w:tc>
          <w:tcPr>
            <w:tcW w:type="dxa" w:w="3175"/>
            <w:vAlign w:val="top"/>
            <w:shd w:val="clear" w:color="auto" w:fill="FDF0F7"/>
          </w:tcPr>
          <w:p>
            <w:pPr>
              <w:spacing w:after="20" w:line="252" w:lineRule="auto"/>
            </w:pPr>
            <w:r>
              <w:rPr>
                <w:b w:val="0"/>
                <w:i w:val="0"/>
                <w:sz w:val="16"/>
              </w:rPr>
              <w:t>Routing</w:t>
            </w:r>
          </w:p>
        </w:tc>
      </w:tr>
      <w:tr>
        <w:trPr>
          <w:cantSplit/>
        </w:trPr>
        <w:tc>
          <w:tcPr>
            <w:tcW w:type="dxa" w:w="3175"/>
            <w:vAlign w:val="top"/>
          </w:tcPr>
          <w:p>
            <w:pPr>
              <w:spacing w:after="20" w:line="252" w:lineRule="auto"/>
            </w:pPr>
            <w:r>
              <w:rPr>
                <w:b w:val="0"/>
                <w:i w:val="0"/>
                <w:sz w:val="16"/>
              </w:rPr>
              <w:t>recharts</w:t>
            </w:r>
          </w:p>
        </w:tc>
        <w:tc>
          <w:tcPr>
            <w:tcW w:type="dxa" w:w="3288"/>
            <w:vAlign w:val="top"/>
          </w:tcPr>
          <w:p>
            <w:pPr>
              <w:spacing w:after="20" w:line="252" w:lineRule="auto"/>
            </w:pPr>
            <w:r>
              <w:rPr>
                <w:b w:val="0"/>
                <w:i w:val="0"/>
                <w:sz w:val="16"/>
              </w:rPr>
              <w:t>3.10.1</w:t>
            </w:r>
          </w:p>
        </w:tc>
        <w:tc>
          <w:tcPr>
            <w:tcW w:type="dxa" w:w="3175"/>
            <w:vAlign w:val="top"/>
          </w:tcPr>
          <w:p>
            <w:pPr>
              <w:spacing w:after="20" w:line="252" w:lineRule="auto"/>
            </w:pPr>
            <w:r>
              <w:rPr>
                <w:b w:val="0"/>
                <w:i w:val="0"/>
                <w:sz w:val="16"/>
              </w:rPr>
              <w:t>Charts</w:t>
            </w:r>
          </w:p>
        </w:tc>
      </w:tr>
      <w:tr>
        <w:trPr>
          <w:cantSplit/>
        </w:trPr>
        <w:tc>
          <w:tcPr>
            <w:tcW w:type="dxa" w:w="3175"/>
            <w:vAlign w:val="top"/>
            <w:shd w:val="clear" w:color="auto" w:fill="FDF0F7"/>
          </w:tcPr>
          <w:p>
            <w:pPr>
              <w:spacing w:after="20" w:line="252" w:lineRule="auto"/>
            </w:pPr>
            <w:r>
              <w:rPr>
                <w:b w:val="0"/>
                <w:i w:val="0"/>
                <w:sz w:val="16"/>
              </w:rPr>
              <w:t>vite</w:t>
            </w:r>
          </w:p>
        </w:tc>
        <w:tc>
          <w:tcPr>
            <w:tcW w:type="dxa" w:w="3288"/>
            <w:vAlign w:val="top"/>
            <w:shd w:val="clear" w:color="auto" w:fill="FDF0F7"/>
          </w:tcPr>
          <w:p>
            <w:pPr>
              <w:spacing w:after="20" w:line="252" w:lineRule="auto"/>
            </w:pPr>
            <w:r>
              <w:rPr>
                <w:b w:val="0"/>
                <w:i w:val="0"/>
                <w:sz w:val="16"/>
              </w:rPr>
              <w:t>7.3.6</w:t>
            </w:r>
          </w:p>
        </w:tc>
        <w:tc>
          <w:tcPr>
            <w:tcW w:type="dxa" w:w="3175"/>
            <w:vAlign w:val="top"/>
            <w:shd w:val="clear" w:color="auto" w:fill="FDF0F7"/>
          </w:tcPr>
          <w:p>
            <w:pPr>
              <w:spacing w:after="20" w:line="252" w:lineRule="auto"/>
            </w:pPr>
            <w:r>
              <w:rPr>
                <w:b w:val="0"/>
                <w:i w:val="0"/>
                <w:sz w:val="16"/>
              </w:rPr>
              <w:t>Build tool</w:t>
            </w:r>
          </w:p>
        </w:tc>
      </w:tr>
      <w:tr>
        <w:trPr>
          <w:cantSplit/>
        </w:trPr>
        <w:tc>
          <w:tcPr>
            <w:tcW w:type="dxa" w:w="3175"/>
            <w:gridSpan w:val="3"/>
            <w:shd w:val="clear" w:color="auto" w:fill="FEEBDD"/>
          </w:tcPr>
          <w:p>
            <w:pPr>
              <w:keepNext/>
              <w:spacing w:after="0"/>
            </w:pPr>
            <w:r>
              <w:rPr>
                <w:b/>
                <w:i w:val="0"/>
                <w:color w:val="333333"/>
                <w:sz w:val="16"/>
              </w:rPr>
              <w:t>Quality</w:t>
            </w:r>
          </w:p>
        </w:tc>
      </w:tr>
      <w:tr>
        <w:trPr>
          <w:cantSplit/>
        </w:trPr>
        <w:tc>
          <w:tcPr>
            <w:tcW w:type="dxa" w:w="3175"/>
            <w:vAlign w:val="top"/>
          </w:tcPr>
          <w:p>
            <w:pPr>
              <w:spacing w:after="20" w:line="252" w:lineRule="auto"/>
            </w:pPr>
            <w:r>
              <w:rPr>
                <w:b w:val="0"/>
                <w:i w:val="0"/>
                <w:sz w:val="16"/>
              </w:rPr>
              <w:t>vitest</w:t>
            </w:r>
          </w:p>
        </w:tc>
        <w:tc>
          <w:tcPr>
            <w:tcW w:type="dxa" w:w="3288"/>
            <w:vAlign w:val="top"/>
          </w:tcPr>
          <w:p>
            <w:pPr>
              <w:spacing w:after="20" w:line="252" w:lineRule="auto"/>
            </w:pPr>
            <w:r>
              <w:rPr>
                <w:b w:val="0"/>
                <w:i w:val="0"/>
                <w:sz w:val="16"/>
              </w:rPr>
              <w:t>4.1.11</w:t>
            </w:r>
          </w:p>
        </w:tc>
        <w:tc>
          <w:tcPr>
            <w:tcW w:type="dxa" w:w="3175"/>
            <w:vAlign w:val="top"/>
          </w:tcPr>
          <w:p>
            <w:pPr>
              <w:spacing w:after="20" w:line="252" w:lineRule="auto"/>
            </w:pPr>
            <w:r>
              <w:rPr>
                <w:b w:val="0"/>
                <w:i w:val="0"/>
                <w:sz w:val="16"/>
              </w:rPr>
              <w:t>Unit, component and API tests</w:t>
            </w:r>
          </w:p>
        </w:tc>
      </w:tr>
      <w:tr>
        <w:trPr>
          <w:cantSplit/>
        </w:trPr>
        <w:tc>
          <w:tcPr>
            <w:tcW w:type="dxa" w:w="3175"/>
            <w:vAlign w:val="top"/>
            <w:shd w:val="clear" w:color="auto" w:fill="FDF0F7"/>
          </w:tcPr>
          <w:p>
            <w:pPr>
              <w:spacing w:after="20" w:line="252" w:lineRule="auto"/>
            </w:pPr>
            <w:r>
              <w:rPr>
                <w:b w:val="0"/>
                <w:i w:val="0"/>
                <w:sz w:val="16"/>
              </w:rPr>
              <w:t>supertest</w:t>
            </w:r>
          </w:p>
        </w:tc>
        <w:tc>
          <w:tcPr>
            <w:tcW w:type="dxa" w:w="3288"/>
            <w:vAlign w:val="top"/>
            <w:shd w:val="clear" w:color="auto" w:fill="FDF0F7"/>
          </w:tcPr>
          <w:p>
            <w:pPr>
              <w:spacing w:after="20" w:line="252" w:lineRule="auto"/>
            </w:pPr>
            <w:r>
              <w:rPr>
                <w:b w:val="0"/>
                <w:i w:val="0"/>
                <w:sz w:val="16"/>
              </w:rPr>
              <w:t>7.3.0</w:t>
            </w:r>
          </w:p>
        </w:tc>
        <w:tc>
          <w:tcPr>
            <w:tcW w:type="dxa" w:w="3175"/>
            <w:vAlign w:val="top"/>
            <w:shd w:val="clear" w:color="auto" w:fill="FDF0F7"/>
          </w:tcPr>
          <w:p>
            <w:pPr>
              <w:spacing w:after="20" w:line="252" w:lineRule="auto"/>
            </w:pPr>
            <w:r>
              <w:rPr>
                <w:b w:val="0"/>
                <w:i w:val="0"/>
                <w:sz w:val="16"/>
              </w:rPr>
              <w:t>HTTP tests</w:t>
            </w:r>
          </w:p>
        </w:tc>
      </w:tr>
      <w:tr>
        <w:trPr>
          <w:cantSplit/>
        </w:trPr>
        <w:tc>
          <w:tcPr>
            <w:tcW w:type="dxa" w:w="3175"/>
            <w:vAlign w:val="top"/>
          </w:tcPr>
          <w:p>
            <w:pPr>
              <w:spacing w:after="20" w:line="252" w:lineRule="auto"/>
            </w:pPr>
            <w:r>
              <w:rPr>
                <w:b w:val="0"/>
                <w:i w:val="0"/>
                <w:sz w:val="16"/>
              </w:rPr>
              <w:t>@testing-library/react</w:t>
            </w:r>
          </w:p>
        </w:tc>
        <w:tc>
          <w:tcPr>
            <w:tcW w:type="dxa" w:w="3288"/>
            <w:vAlign w:val="top"/>
          </w:tcPr>
          <w:p>
            <w:pPr>
              <w:spacing w:after="20" w:line="252" w:lineRule="auto"/>
            </w:pPr>
            <w:r>
              <w:rPr>
                <w:b w:val="0"/>
                <w:i w:val="0"/>
                <w:sz w:val="16"/>
              </w:rPr>
              <w:t>16.3.3</w:t>
            </w:r>
          </w:p>
        </w:tc>
        <w:tc>
          <w:tcPr>
            <w:tcW w:type="dxa" w:w="3175"/>
            <w:vAlign w:val="top"/>
          </w:tcPr>
          <w:p>
            <w:pPr>
              <w:spacing w:after="20" w:line="252" w:lineRule="auto"/>
            </w:pPr>
            <w:r>
              <w:rPr>
                <w:b w:val="0"/>
                <w:i w:val="0"/>
                <w:sz w:val="16"/>
              </w:rPr>
              <w:t>Web component tests</w:t>
            </w:r>
          </w:p>
        </w:tc>
      </w:tr>
      <w:tr>
        <w:trPr>
          <w:cantSplit/>
        </w:trPr>
        <w:tc>
          <w:tcPr>
            <w:tcW w:type="dxa" w:w="3175"/>
            <w:vAlign w:val="top"/>
            <w:shd w:val="clear" w:color="auto" w:fill="FDF0F7"/>
          </w:tcPr>
          <w:p>
            <w:pPr>
              <w:spacing w:after="20" w:line="252" w:lineRule="auto"/>
            </w:pPr>
            <w:r>
              <w:rPr>
                <w:b w:val="0"/>
                <w:i w:val="0"/>
                <w:sz w:val="16"/>
              </w:rPr>
              <w:t>oxlint</w:t>
            </w:r>
          </w:p>
        </w:tc>
        <w:tc>
          <w:tcPr>
            <w:tcW w:type="dxa" w:w="3288"/>
            <w:vAlign w:val="top"/>
            <w:shd w:val="clear" w:color="auto" w:fill="FDF0F7"/>
          </w:tcPr>
          <w:p>
            <w:pPr>
              <w:spacing w:after="20" w:line="252" w:lineRule="auto"/>
            </w:pPr>
            <w:r>
              <w:rPr>
                <w:b w:val="0"/>
                <w:i w:val="0"/>
                <w:sz w:val="16"/>
              </w:rPr>
              <w:t>1.86.0</w:t>
            </w:r>
          </w:p>
        </w:tc>
        <w:tc>
          <w:tcPr>
            <w:tcW w:type="dxa" w:w="3175"/>
            <w:vAlign w:val="top"/>
            <w:shd w:val="clear" w:color="auto" w:fill="FDF0F7"/>
          </w:tcPr>
          <w:p>
            <w:pPr>
              <w:spacing w:after="20" w:line="252" w:lineRule="auto"/>
            </w:pPr>
            <w:r>
              <w:rPr>
                <w:b w:val="0"/>
                <w:i w:val="0"/>
                <w:sz w:val="16"/>
              </w:rPr>
              <w:t>Linting</w:t>
            </w:r>
          </w:p>
        </w:tc>
      </w:tr>
      <w:tr>
        <w:trPr>
          <w:cantSplit/>
        </w:trPr>
        <w:tc>
          <w:tcPr>
            <w:tcW w:type="dxa" w:w="3175"/>
            <w:vAlign w:val="top"/>
          </w:tcPr>
          <w:p>
            <w:pPr>
              <w:spacing w:after="20" w:line="252" w:lineRule="auto"/>
            </w:pPr>
            <w:r>
              <w:rPr>
                <w:b w:val="0"/>
                <w:i w:val="0"/>
                <w:sz w:val="16"/>
              </w:rPr>
              <w:t>prettier</w:t>
            </w:r>
          </w:p>
        </w:tc>
        <w:tc>
          <w:tcPr>
            <w:tcW w:type="dxa" w:w="3288"/>
            <w:vAlign w:val="top"/>
          </w:tcPr>
          <w:p>
            <w:pPr>
              <w:spacing w:after="20" w:line="252" w:lineRule="auto"/>
            </w:pPr>
            <w:r>
              <w:rPr>
                <w:b w:val="0"/>
                <w:i w:val="0"/>
                <w:sz w:val="16"/>
              </w:rPr>
              <w:t>3.9.9</w:t>
            </w:r>
          </w:p>
        </w:tc>
        <w:tc>
          <w:tcPr>
            <w:tcW w:type="dxa" w:w="3175"/>
            <w:vAlign w:val="top"/>
          </w:tcPr>
          <w:p>
            <w:pPr>
              <w:spacing w:after="20" w:line="252" w:lineRule="auto"/>
            </w:pPr>
            <w:r>
              <w:rPr>
                <w:b w:val="0"/>
                <w:i w:val="0"/>
                <w:sz w:val="16"/>
              </w:rPr>
              <w:t>Formatting</w:t>
            </w:r>
          </w:p>
        </w:tc>
      </w:tr>
      <w:tr>
        <w:trPr>
          <w:cantSplit/>
        </w:trPr>
        <w:tc>
          <w:tcPr>
            <w:tcW w:type="dxa" w:w="3175"/>
            <w:gridSpan w:val="3"/>
            <w:shd w:val="clear" w:color="auto" w:fill="FEEBDD"/>
          </w:tcPr>
          <w:p>
            <w:pPr>
              <w:keepNext/>
              <w:spacing w:after="0"/>
            </w:pPr>
            <w:r>
              <w:rPr>
                <w:b/>
                <w:i w:val="0"/>
                <w:color w:val="333333"/>
                <w:sz w:val="16"/>
              </w:rPr>
              <w:t>Delivery</w:t>
            </w:r>
          </w:p>
        </w:tc>
      </w:tr>
      <w:tr>
        <w:trPr>
          <w:cantSplit/>
        </w:trPr>
        <w:tc>
          <w:tcPr>
            <w:tcW w:type="dxa" w:w="3175"/>
            <w:vAlign w:val="top"/>
          </w:tcPr>
          <w:p>
            <w:pPr>
              <w:spacing w:after="20" w:line="252" w:lineRule="auto"/>
            </w:pPr>
            <w:r>
              <w:rPr>
                <w:b w:val="0"/>
                <w:i w:val="0"/>
                <w:sz w:val="16"/>
              </w:rPr>
              <w:t>Docker images</w:t>
            </w:r>
          </w:p>
        </w:tc>
        <w:tc>
          <w:tcPr>
            <w:tcW w:type="dxa" w:w="3288"/>
            <w:vAlign w:val="top"/>
          </w:tcPr>
          <w:p>
            <w:pPr>
              <w:spacing w:after="20" w:line="252" w:lineRule="auto"/>
            </w:pPr>
            <w:r>
              <w:rPr>
                <w:b w:val="0"/>
                <w:i w:val="0"/>
                <w:sz w:val="16"/>
              </w:rPr>
              <w:t>node:22-bookworm-slim, nginx-unprivileged 1.29</w:t>
            </w:r>
          </w:p>
        </w:tc>
        <w:tc>
          <w:tcPr>
            <w:tcW w:type="dxa" w:w="3175"/>
            <w:vAlign w:val="top"/>
          </w:tcPr>
          <w:p>
            <w:pPr>
              <w:spacing w:after="20" w:line="252" w:lineRule="auto"/>
            </w:pPr>
            <w:r>
              <w:rPr>
                <w:b w:val="0"/>
                <w:i w:val="0"/>
                <w:sz w:val="16"/>
              </w:rPr>
              <w:t>Containers</w:t>
            </w:r>
          </w:p>
        </w:tc>
      </w:tr>
      <w:tr>
        <w:trPr>
          <w:cantSplit/>
        </w:trPr>
        <w:tc>
          <w:tcPr>
            <w:tcW w:type="dxa" w:w="3175"/>
            <w:vAlign w:val="top"/>
            <w:shd w:val="clear" w:color="auto" w:fill="FDF0F7"/>
          </w:tcPr>
          <w:p>
            <w:pPr>
              <w:spacing w:after="20" w:line="252" w:lineRule="auto"/>
            </w:pPr>
            <w:r>
              <w:rPr>
                <w:b w:val="0"/>
                <w:i w:val="0"/>
                <w:sz w:val="16"/>
              </w:rPr>
              <w:t>GitHub Actions / GitLab CI</w:t>
            </w:r>
          </w:p>
        </w:tc>
        <w:tc>
          <w:tcPr>
            <w:tcW w:type="dxa" w:w="3288"/>
            <w:vAlign w:val="top"/>
            <w:shd w:val="clear" w:color="auto" w:fill="FDF0F7"/>
          </w:tcPr>
          <w:p>
            <w:pPr>
              <w:spacing w:after="20" w:line="252" w:lineRule="auto"/>
            </w:pPr>
            <w:r>
              <w:rPr>
                <w:b w:val="0"/>
                <w:i w:val="0"/>
                <w:sz w:val="16"/>
              </w:rPr>
              <w:t>ci.yml</w:t>
            </w:r>
          </w:p>
        </w:tc>
        <w:tc>
          <w:tcPr>
            <w:tcW w:type="dxa" w:w="3175"/>
            <w:vAlign w:val="top"/>
            <w:shd w:val="clear" w:color="auto" w:fill="FDF0F7"/>
          </w:tcPr>
          <w:p>
            <w:pPr>
              <w:spacing w:after="20" w:line="252" w:lineRule="auto"/>
            </w:pPr>
            <w:r>
              <w:rPr>
                <w:b w:val="0"/>
                <w:i w:val="0"/>
                <w:sz w:val="16"/>
              </w:rPr>
              <w:t>Pipeline</w:t>
            </w:r>
          </w:p>
        </w:tc>
      </w:tr>
      <w:tr>
        <w:trPr>
          <w:cantSplit/>
        </w:trPr>
        <w:tc>
          <w:tcPr>
            <w:tcW w:type="dxa" w:w="3175"/>
            <w:vAlign w:val="top"/>
          </w:tcPr>
          <w:p>
            <w:pPr>
              <w:spacing w:after="20" w:line="252" w:lineRule="auto"/>
            </w:pPr>
            <w:r>
              <w:rPr>
                <w:b w:val="0"/>
                <w:i w:val="0"/>
                <w:sz w:val="16"/>
              </w:rPr>
              <w:t>CodeQL</w:t>
            </w:r>
          </w:p>
        </w:tc>
        <w:tc>
          <w:tcPr>
            <w:tcW w:type="dxa" w:w="3288"/>
            <w:vAlign w:val="top"/>
          </w:tcPr>
          <w:p>
            <w:pPr>
              <w:spacing w:after="20" w:line="252" w:lineRule="auto"/>
            </w:pPr>
            <w:r>
              <w:rPr>
                <w:b w:val="0"/>
                <w:i w:val="0"/>
                <w:sz w:val="16"/>
              </w:rPr>
              <w:t>v3 action</w:t>
            </w:r>
          </w:p>
        </w:tc>
        <w:tc>
          <w:tcPr>
            <w:tcW w:type="dxa" w:w="3175"/>
            <w:vAlign w:val="top"/>
          </w:tcPr>
          <w:p>
            <w:pPr>
              <w:spacing w:after="20" w:line="252" w:lineRule="auto"/>
            </w:pPr>
            <w:r>
              <w:rPr>
                <w:b w:val="0"/>
                <w:i w:val="0"/>
                <w:sz w:val="16"/>
              </w:rPr>
              <w:t>Static analysis</w:t>
            </w:r>
          </w:p>
        </w:tc>
      </w:tr>
      <w:tr>
        <w:trPr>
          <w:cantSplit/>
        </w:trPr>
        <w:tc>
          <w:tcPr>
            <w:tcW w:type="dxa" w:w="3175"/>
            <w:vAlign w:val="top"/>
            <w:shd w:val="clear" w:color="auto" w:fill="FDF0F7"/>
          </w:tcPr>
          <w:p>
            <w:pPr>
              <w:spacing w:after="20" w:line="252" w:lineRule="auto"/>
            </w:pPr>
            <w:r>
              <w:rPr>
                <w:b w:val="0"/>
                <w:i w:val="0"/>
                <w:sz w:val="16"/>
              </w:rPr>
              <w:t>gitleaks</w:t>
            </w:r>
          </w:p>
        </w:tc>
        <w:tc>
          <w:tcPr>
            <w:tcW w:type="dxa" w:w="3288"/>
            <w:vAlign w:val="top"/>
            <w:shd w:val="clear" w:color="auto" w:fill="FDF0F7"/>
          </w:tcPr>
          <w:p>
            <w:pPr>
              <w:spacing w:after="20" w:line="252" w:lineRule="auto"/>
            </w:pPr>
            <w:r>
              <w:rPr>
                <w:b w:val="0"/>
                <w:i w:val="0"/>
                <w:sz w:val="16"/>
              </w:rPr>
              <w:t>8.21.2</w:t>
            </w:r>
          </w:p>
        </w:tc>
        <w:tc>
          <w:tcPr>
            <w:tcW w:type="dxa" w:w="3175"/>
            <w:vAlign w:val="top"/>
            <w:shd w:val="clear" w:color="auto" w:fill="FDF0F7"/>
          </w:tcPr>
          <w:p>
            <w:pPr>
              <w:spacing w:after="20" w:line="252" w:lineRule="auto"/>
            </w:pPr>
            <w:r>
              <w:rPr>
                <w:b w:val="0"/>
                <w:i w:val="0"/>
                <w:sz w:val="16"/>
              </w:rPr>
              <w:t>Secret scan</w:t>
            </w:r>
          </w:p>
        </w:tc>
      </w:tr>
      <w:tr>
        <w:trPr>
          <w:cantSplit/>
        </w:trPr>
        <w:tc>
          <w:tcPr>
            <w:tcW w:type="dxa" w:w="3175"/>
            <w:vAlign w:val="top"/>
          </w:tcPr>
          <w:p>
            <w:pPr>
              <w:spacing w:after="20" w:line="252" w:lineRule="auto"/>
            </w:pPr>
            <w:r>
              <w:rPr>
                <w:b w:val="0"/>
                <w:i w:val="0"/>
                <w:sz w:val="16"/>
              </w:rPr>
              <w:t>Trivy</w:t>
            </w:r>
          </w:p>
        </w:tc>
        <w:tc>
          <w:tcPr>
            <w:tcW w:type="dxa" w:w="3288"/>
            <w:vAlign w:val="top"/>
          </w:tcPr>
          <w:p>
            <w:pPr>
              <w:spacing w:after="20" w:line="252" w:lineRule="auto"/>
            </w:pPr>
            <w:r>
              <w:rPr>
                <w:b w:val="0"/>
                <w:i w:val="0"/>
                <w:sz w:val="16"/>
              </w:rPr>
              <w:t>0.28 action</w:t>
            </w:r>
          </w:p>
        </w:tc>
        <w:tc>
          <w:tcPr>
            <w:tcW w:type="dxa" w:w="3175"/>
            <w:vAlign w:val="top"/>
          </w:tcPr>
          <w:p>
            <w:pPr>
              <w:spacing w:after="20" w:line="252" w:lineRule="auto"/>
            </w:pPr>
            <w:r>
              <w:rPr>
                <w:b w:val="0"/>
                <w:i w:val="0"/>
                <w:sz w:val="16"/>
              </w:rPr>
              <w:t>Image scan</w:t>
            </w:r>
          </w:p>
        </w:tc>
      </w:tr>
    </w:tbl>
    <w:p>
      <w:pPr>
        <w:pStyle w:val="Caption"/>
        <w:jc w:val="center"/>
      </w:pPr>
      <w:r>
        <w:rPr>
          <w:b w:val="0"/>
          <w:i w:val="0"/>
        </w:rPr>
        <w:t>Table 37: Technology stack</w:t>
      </w:r>
    </w:p>
    <w:p>
      <w:pPr>
        <w:pStyle w:val="Heading1"/>
        <w:pageBreakBefore/>
        <w:pBdr>
          <w:bottom w:val="single" w:sz="12" w:space="4" w:color="F58220"/>
        </w:pBdr>
      </w:pPr>
      <w:r>
        <w:t>13. Architecture Decisions</w:t>
      </w:r>
    </w:p>
    <w:p>
      <w:pPr>
        <w:keepNext w:val="0"/>
      </w:pPr>
      <w:r>
        <w:rPr>
          <w:b w:val="0"/>
          <w:i w:val="0"/>
        </w:rPr>
        <w:t>Each decision is recorded with the options considered and the reason for the choice. Changes to these decisions follow the change process and are added here.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737"/>
        <w:gridCol w:w="2041"/>
        <w:gridCol w:w="2494"/>
        <w:gridCol w:w="4365"/>
      </w:tblGrid>
      <w:tr>
        <w:trPr>
          <w:cantSplit/>
          <w:tblHeader/>
        </w:trPr>
        <w:tc>
          <w:tcPr>
            <w:tcW w:type="dxa" w:w="737"/>
            <w:shd w:val="clear" w:color="auto" w:fill="E1058C"/>
            <w:vAlign w:val="center"/>
          </w:tcPr>
          <w:p>
            <w:pPr>
              <w:spacing w:after="0"/>
            </w:pPr>
            <w:r>
              <w:rPr>
                <w:b/>
                <w:i w:val="0"/>
                <w:color w:val="FFFFFF"/>
                <w:sz w:val="16"/>
              </w:rPr>
              <w:t>Id</w:t>
            </w:r>
          </w:p>
        </w:tc>
        <w:tc>
          <w:tcPr>
            <w:tcW w:type="dxa" w:w="2041"/>
            <w:shd w:val="clear" w:color="auto" w:fill="E1058C"/>
            <w:vAlign w:val="center"/>
          </w:tcPr>
          <w:p>
            <w:pPr>
              <w:spacing w:after="0"/>
            </w:pPr>
            <w:r>
              <w:rPr>
                <w:b/>
                <w:i w:val="0"/>
                <w:color w:val="FFFFFF"/>
                <w:sz w:val="16"/>
              </w:rPr>
              <w:t>Decision</w:t>
            </w:r>
          </w:p>
        </w:tc>
        <w:tc>
          <w:tcPr>
            <w:tcW w:type="dxa" w:w="2494"/>
            <w:shd w:val="clear" w:color="auto" w:fill="E1058C"/>
            <w:vAlign w:val="center"/>
          </w:tcPr>
          <w:p>
            <w:pPr>
              <w:spacing w:after="0"/>
            </w:pPr>
            <w:r>
              <w:rPr>
                <w:b/>
                <w:i w:val="0"/>
                <w:color w:val="FFFFFF"/>
                <w:sz w:val="16"/>
              </w:rPr>
              <w:t>Options considered</w:t>
            </w:r>
          </w:p>
        </w:tc>
        <w:tc>
          <w:tcPr>
            <w:tcW w:type="dxa" w:w="4365"/>
            <w:shd w:val="clear" w:color="auto" w:fill="E1058C"/>
            <w:vAlign w:val="center"/>
          </w:tcPr>
          <w:p>
            <w:pPr>
              <w:spacing w:after="0"/>
            </w:pPr>
            <w:r>
              <w:rPr>
                <w:b/>
                <w:i w:val="0"/>
                <w:color w:val="FFFFFF"/>
                <w:sz w:val="16"/>
              </w:rPr>
              <w:t>Rationale</w:t>
            </w:r>
          </w:p>
        </w:tc>
      </w:tr>
      <w:tr>
        <w:trPr>
          <w:cantSplit/>
        </w:trPr>
        <w:tc>
          <w:tcPr>
            <w:tcW w:type="dxa" w:w="737"/>
            <w:vAlign w:val="top"/>
          </w:tcPr>
          <w:p>
            <w:pPr>
              <w:spacing w:after="20" w:line="252" w:lineRule="auto"/>
            </w:pPr>
            <w:r>
              <w:rPr>
                <w:b w:val="0"/>
                <w:i w:val="0"/>
                <w:sz w:val="16"/>
              </w:rPr>
              <w:t>AD-01</w:t>
            </w:r>
          </w:p>
        </w:tc>
        <w:tc>
          <w:tcPr>
            <w:tcW w:type="dxa" w:w="2041"/>
            <w:vAlign w:val="top"/>
          </w:tcPr>
          <w:p>
            <w:pPr>
              <w:spacing w:after="20" w:line="252" w:lineRule="auto"/>
            </w:pPr>
            <w:r>
              <w:rPr>
                <w:b w:val="0"/>
                <w:i w:val="0"/>
                <w:sz w:val="16"/>
              </w:rPr>
              <w:t>Modular monolith</w:t>
            </w:r>
          </w:p>
        </w:tc>
        <w:tc>
          <w:tcPr>
            <w:tcW w:type="dxa" w:w="2494"/>
            <w:vAlign w:val="top"/>
          </w:tcPr>
          <w:p>
            <w:pPr>
              <w:spacing w:after="20" w:line="252" w:lineRule="auto"/>
            </w:pPr>
            <w:r>
              <w:rPr>
                <w:b w:val="0"/>
                <w:i w:val="0"/>
                <w:sz w:val="16"/>
              </w:rPr>
              <w:t>Microservices; modular monolith</w:t>
            </w:r>
          </w:p>
        </w:tc>
        <w:tc>
          <w:tcPr>
            <w:tcW w:type="dxa" w:w="4365"/>
            <w:vAlign w:val="top"/>
          </w:tcPr>
          <w:p>
            <w:pPr>
              <w:spacing w:after="20" w:line="252" w:lineRule="auto"/>
            </w:pPr>
            <w:r>
              <w:rPr>
                <w:b w:val="0"/>
                <w:i w:val="0"/>
                <w:sz w:val="16"/>
              </w:rPr>
              <w:t>Small user base and volume; one deployment and one database transaction per operation; module boundaries keep a later split possible.</w:t>
            </w:r>
          </w:p>
        </w:tc>
      </w:tr>
      <w:tr>
        <w:trPr>
          <w:cantSplit/>
        </w:trPr>
        <w:tc>
          <w:tcPr>
            <w:tcW w:type="dxa" w:w="737"/>
            <w:vAlign w:val="top"/>
            <w:shd w:val="clear" w:color="auto" w:fill="FDF0F7"/>
          </w:tcPr>
          <w:p>
            <w:pPr>
              <w:spacing w:after="20" w:line="252" w:lineRule="auto"/>
            </w:pPr>
            <w:r>
              <w:rPr>
                <w:b w:val="0"/>
                <w:i w:val="0"/>
                <w:sz w:val="16"/>
              </w:rPr>
              <w:t>AD-02</w:t>
            </w:r>
          </w:p>
        </w:tc>
        <w:tc>
          <w:tcPr>
            <w:tcW w:type="dxa" w:w="2041"/>
            <w:vAlign w:val="top"/>
            <w:shd w:val="clear" w:color="auto" w:fill="FDF0F7"/>
          </w:tcPr>
          <w:p>
            <w:pPr>
              <w:spacing w:after="20" w:line="252" w:lineRule="auto"/>
            </w:pPr>
            <w:r>
              <w:rPr>
                <w:b w:val="0"/>
                <w:i w:val="0"/>
                <w:sz w:val="16"/>
              </w:rPr>
              <w:t>PostgreSQL 16</w:t>
            </w:r>
          </w:p>
        </w:tc>
        <w:tc>
          <w:tcPr>
            <w:tcW w:type="dxa" w:w="2494"/>
            <w:vAlign w:val="top"/>
            <w:shd w:val="clear" w:color="auto" w:fill="FDF0F7"/>
          </w:tcPr>
          <w:p>
            <w:pPr>
              <w:spacing w:after="20" w:line="252" w:lineRule="auto"/>
            </w:pPr>
            <w:r>
              <w:rPr>
                <w:b w:val="0"/>
                <w:i w:val="0"/>
                <w:sz w:val="16"/>
              </w:rPr>
              <w:t>PostgreSQL; MongoDB; SQL Server</w:t>
            </w:r>
          </w:p>
        </w:tc>
        <w:tc>
          <w:tcPr>
            <w:tcW w:type="dxa" w:w="4365"/>
            <w:vAlign w:val="top"/>
            <w:shd w:val="clear" w:color="auto" w:fill="FDF0F7"/>
          </w:tcPr>
          <w:p>
            <w:pPr>
              <w:spacing w:after="20" w:line="252" w:lineRule="auto"/>
            </w:pPr>
            <w:r>
              <w:rPr>
                <w:b w:val="0"/>
                <w:i w:val="0"/>
                <w:sz w:val="16"/>
              </w:rPr>
              <w:t>Relational, financial data with ACID across tables; no licence fee; mature replication and PITR; JSONB where flexibility is needed (section 6.2).</w:t>
            </w:r>
          </w:p>
        </w:tc>
      </w:tr>
      <w:tr>
        <w:trPr>
          <w:cantSplit/>
        </w:trPr>
        <w:tc>
          <w:tcPr>
            <w:tcW w:type="dxa" w:w="737"/>
            <w:vAlign w:val="top"/>
          </w:tcPr>
          <w:p>
            <w:pPr>
              <w:spacing w:after="20" w:line="252" w:lineRule="auto"/>
            </w:pPr>
            <w:r>
              <w:rPr>
                <w:b w:val="0"/>
                <w:i w:val="0"/>
                <w:sz w:val="16"/>
              </w:rPr>
              <w:t>AD-03</w:t>
            </w:r>
          </w:p>
        </w:tc>
        <w:tc>
          <w:tcPr>
            <w:tcW w:type="dxa" w:w="2041"/>
            <w:vAlign w:val="top"/>
          </w:tcPr>
          <w:p>
            <w:pPr>
              <w:spacing w:after="20" w:line="252" w:lineRule="auto"/>
            </w:pPr>
            <w:r>
              <w:rPr>
                <w:b w:val="0"/>
                <w:i w:val="0"/>
                <w:sz w:val="16"/>
              </w:rPr>
              <w:t>Prisma 7 with the pg driver adapter</w:t>
            </w:r>
          </w:p>
        </w:tc>
        <w:tc>
          <w:tcPr>
            <w:tcW w:type="dxa" w:w="2494"/>
            <w:vAlign w:val="top"/>
          </w:tcPr>
          <w:p>
            <w:pPr>
              <w:spacing w:after="20" w:line="252" w:lineRule="auto"/>
            </w:pPr>
            <w:r>
              <w:rPr>
                <w:b w:val="0"/>
                <w:i w:val="0"/>
                <w:sz w:val="16"/>
              </w:rPr>
              <w:t>Prisma; TypeORM; Knex; hand-written SQL</w:t>
            </w:r>
          </w:p>
        </w:tc>
        <w:tc>
          <w:tcPr>
            <w:tcW w:type="dxa" w:w="4365"/>
            <w:vAlign w:val="top"/>
          </w:tcPr>
          <w:p>
            <w:pPr>
              <w:spacing w:after="20" w:line="252" w:lineRule="auto"/>
            </w:pPr>
            <w:r>
              <w:rPr>
                <w:b w:val="0"/>
                <w:i w:val="0"/>
                <w:sz w:val="16"/>
              </w:rPr>
              <w:t>Typed queries generated from one schema; parameterised by construction; versioned SQL migrations reviewed in code review.</w:t>
            </w:r>
          </w:p>
        </w:tc>
      </w:tr>
      <w:tr>
        <w:trPr>
          <w:cantSplit/>
        </w:trPr>
        <w:tc>
          <w:tcPr>
            <w:tcW w:type="dxa" w:w="737"/>
            <w:vAlign w:val="top"/>
            <w:shd w:val="clear" w:color="auto" w:fill="FDF0F7"/>
          </w:tcPr>
          <w:p>
            <w:pPr>
              <w:spacing w:after="20" w:line="252" w:lineRule="auto"/>
            </w:pPr>
            <w:r>
              <w:rPr>
                <w:b w:val="0"/>
                <w:i w:val="0"/>
                <w:sz w:val="16"/>
              </w:rPr>
              <w:t>AD-04</w:t>
            </w:r>
          </w:p>
        </w:tc>
        <w:tc>
          <w:tcPr>
            <w:tcW w:type="dxa" w:w="2041"/>
            <w:vAlign w:val="top"/>
            <w:shd w:val="clear" w:color="auto" w:fill="FDF0F7"/>
          </w:tcPr>
          <w:p>
            <w:pPr>
              <w:spacing w:after="20" w:line="252" w:lineRule="auto"/>
            </w:pPr>
            <w:r>
              <w:rPr>
                <w:b w:val="0"/>
                <w:i w:val="0"/>
                <w:sz w:val="16"/>
              </w:rPr>
              <w:t>Server-side sessions</w:t>
            </w:r>
          </w:p>
        </w:tc>
        <w:tc>
          <w:tcPr>
            <w:tcW w:type="dxa" w:w="2494"/>
            <w:vAlign w:val="top"/>
            <w:shd w:val="clear" w:color="auto" w:fill="FDF0F7"/>
          </w:tcPr>
          <w:p>
            <w:pPr>
              <w:spacing w:after="20" w:line="252" w:lineRule="auto"/>
            </w:pPr>
            <w:r>
              <w:rPr>
                <w:b w:val="0"/>
                <w:i w:val="0"/>
                <w:sz w:val="16"/>
              </w:rPr>
              <w:t>Sessions in PostgreSQL; JWT in browser storage</w:t>
            </w:r>
          </w:p>
        </w:tc>
        <w:tc>
          <w:tcPr>
            <w:tcW w:type="dxa" w:w="4365"/>
            <w:vAlign w:val="top"/>
            <w:shd w:val="clear" w:color="auto" w:fill="FDF0F7"/>
          </w:tcPr>
          <w:p>
            <w:pPr>
              <w:spacing w:after="20" w:line="252" w:lineRule="auto"/>
            </w:pPr>
            <w:r>
              <w:rPr>
                <w:b w:val="0"/>
                <w:i w:val="0"/>
                <w:sz w:val="16"/>
              </w:rPr>
              <w:t>Revocable at once (sign-out, lockout, deactivation, password change); no tokens readable by scripts; no extra session store.</w:t>
            </w:r>
          </w:p>
        </w:tc>
      </w:tr>
      <w:tr>
        <w:trPr>
          <w:cantSplit/>
        </w:trPr>
        <w:tc>
          <w:tcPr>
            <w:tcW w:type="dxa" w:w="737"/>
            <w:vAlign w:val="top"/>
          </w:tcPr>
          <w:p>
            <w:pPr>
              <w:spacing w:after="20" w:line="252" w:lineRule="auto"/>
            </w:pPr>
            <w:r>
              <w:rPr>
                <w:b w:val="0"/>
                <w:i w:val="0"/>
                <w:sz w:val="16"/>
              </w:rPr>
              <w:t>AD-05</w:t>
            </w:r>
          </w:p>
        </w:tc>
        <w:tc>
          <w:tcPr>
            <w:tcW w:type="dxa" w:w="2041"/>
            <w:vAlign w:val="top"/>
          </w:tcPr>
          <w:p>
            <w:pPr>
              <w:spacing w:after="20" w:line="252" w:lineRule="auto"/>
            </w:pPr>
            <w:r>
              <w:rPr>
                <w:b w:val="0"/>
                <w:i w:val="0"/>
                <w:sz w:val="16"/>
              </w:rPr>
              <w:t>Synchroniser CSRF token with SameSite=Strict</w:t>
            </w:r>
          </w:p>
        </w:tc>
        <w:tc>
          <w:tcPr>
            <w:tcW w:type="dxa" w:w="2494"/>
            <w:vAlign w:val="top"/>
          </w:tcPr>
          <w:p>
            <w:pPr>
              <w:spacing w:after="20" w:line="252" w:lineRule="auto"/>
            </w:pPr>
            <w:r>
              <w:rPr>
                <w:b w:val="0"/>
                <w:i w:val="0"/>
                <w:sz w:val="16"/>
              </w:rPr>
              <w:t>Synchroniser token; double-submit cookie; SameSite only</w:t>
            </w:r>
          </w:p>
        </w:tc>
        <w:tc>
          <w:tcPr>
            <w:tcW w:type="dxa" w:w="4365"/>
            <w:vAlign w:val="top"/>
          </w:tcPr>
          <w:p>
            <w:pPr>
              <w:spacing w:after="20" w:line="252" w:lineRule="auto"/>
            </w:pPr>
            <w:r>
              <w:rPr>
                <w:b w:val="0"/>
                <w:i w:val="0"/>
                <w:sz w:val="16"/>
              </w:rPr>
              <w:t>Token bound to the server session and checked in constant time; SameSite gives a second layer.</w:t>
            </w:r>
          </w:p>
        </w:tc>
      </w:tr>
      <w:tr>
        <w:trPr>
          <w:cantSplit/>
        </w:trPr>
        <w:tc>
          <w:tcPr>
            <w:tcW w:type="dxa" w:w="737"/>
            <w:vAlign w:val="top"/>
            <w:shd w:val="clear" w:color="auto" w:fill="FDF0F7"/>
          </w:tcPr>
          <w:p>
            <w:pPr>
              <w:spacing w:after="20" w:line="252" w:lineRule="auto"/>
            </w:pPr>
            <w:r>
              <w:rPr>
                <w:b w:val="0"/>
                <w:i w:val="0"/>
                <w:sz w:val="16"/>
              </w:rPr>
              <w:t>AD-06</w:t>
            </w:r>
          </w:p>
        </w:tc>
        <w:tc>
          <w:tcPr>
            <w:tcW w:type="dxa" w:w="2041"/>
            <w:vAlign w:val="top"/>
            <w:shd w:val="clear" w:color="auto" w:fill="FDF0F7"/>
          </w:tcPr>
          <w:p>
            <w:pPr>
              <w:spacing w:after="20" w:line="252" w:lineRule="auto"/>
            </w:pPr>
            <w:r>
              <w:rPr>
                <w:b w:val="0"/>
                <w:i w:val="0"/>
                <w:sz w:val="16"/>
              </w:rPr>
              <w:t>Argon2id</w:t>
            </w:r>
          </w:p>
        </w:tc>
        <w:tc>
          <w:tcPr>
            <w:tcW w:type="dxa" w:w="2494"/>
            <w:vAlign w:val="top"/>
            <w:shd w:val="clear" w:color="auto" w:fill="FDF0F7"/>
          </w:tcPr>
          <w:p>
            <w:pPr>
              <w:spacing w:after="20" w:line="252" w:lineRule="auto"/>
            </w:pPr>
            <w:r>
              <w:rPr>
                <w:b w:val="0"/>
                <w:i w:val="0"/>
                <w:sz w:val="16"/>
              </w:rPr>
              <w:t>Argon2id; bcrypt; PBKDF2</w:t>
            </w:r>
          </w:p>
        </w:tc>
        <w:tc>
          <w:tcPr>
            <w:tcW w:type="dxa" w:w="4365"/>
            <w:vAlign w:val="top"/>
            <w:shd w:val="clear" w:color="auto" w:fill="FDF0F7"/>
          </w:tcPr>
          <w:p>
            <w:pPr>
              <w:spacing w:after="20" w:line="252" w:lineRule="auto"/>
            </w:pPr>
            <w:r>
              <w:rPr>
                <w:b w:val="0"/>
                <w:i w:val="0"/>
                <w:sz w:val="16"/>
              </w:rPr>
              <w:t>Current OWASP recommendation; memory-hard; native implementation without build tools.</w:t>
            </w:r>
          </w:p>
        </w:tc>
      </w:tr>
      <w:tr>
        <w:trPr>
          <w:cantSplit/>
        </w:trPr>
        <w:tc>
          <w:tcPr>
            <w:tcW w:type="dxa" w:w="737"/>
            <w:vAlign w:val="top"/>
          </w:tcPr>
          <w:p>
            <w:pPr>
              <w:spacing w:after="20" w:line="252" w:lineRule="auto"/>
            </w:pPr>
            <w:r>
              <w:rPr>
                <w:b w:val="0"/>
                <w:i w:val="0"/>
                <w:sz w:val="16"/>
              </w:rPr>
              <w:t>AD-07</w:t>
            </w:r>
          </w:p>
        </w:tc>
        <w:tc>
          <w:tcPr>
            <w:tcW w:type="dxa" w:w="2041"/>
            <w:vAlign w:val="top"/>
          </w:tcPr>
          <w:p>
            <w:pPr>
              <w:spacing w:after="20" w:line="252" w:lineRule="auto"/>
            </w:pPr>
            <w:r>
              <w:rPr>
                <w:b w:val="0"/>
                <w:i w:val="0"/>
                <w:sz w:val="16"/>
              </w:rPr>
              <w:t>Application-level field encryption with blind index</w:t>
            </w:r>
          </w:p>
        </w:tc>
        <w:tc>
          <w:tcPr>
            <w:tcW w:type="dxa" w:w="2494"/>
            <w:vAlign w:val="top"/>
          </w:tcPr>
          <w:p>
            <w:pPr>
              <w:spacing w:after="20" w:line="252" w:lineRule="auto"/>
            </w:pPr>
            <w:r>
              <w:rPr>
                <w:b w:val="0"/>
                <w:i w:val="0"/>
                <w:sz w:val="16"/>
              </w:rPr>
              <w:t>Disk encryption only; pgcrypto; application encryption</w:t>
            </w:r>
          </w:p>
        </w:tc>
        <w:tc>
          <w:tcPr>
            <w:tcW w:type="dxa" w:w="4365"/>
            <w:vAlign w:val="top"/>
          </w:tcPr>
          <w:p>
            <w:pPr>
              <w:spacing w:after="20" w:line="252" w:lineRule="auto"/>
            </w:pPr>
            <w:r>
              <w:rPr>
                <w:b w:val="0"/>
                <w:i w:val="0"/>
                <w:sz w:val="16"/>
              </w:rPr>
              <w:t>Keys never reach the database server; database administrators and backups see ciphertext; exact search and uniqueness still work.</w:t>
            </w:r>
          </w:p>
        </w:tc>
      </w:tr>
      <w:tr>
        <w:trPr>
          <w:cantSplit/>
        </w:trPr>
        <w:tc>
          <w:tcPr>
            <w:tcW w:type="dxa" w:w="737"/>
            <w:vAlign w:val="top"/>
            <w:shd w:val="clear" w:color="auto" w:fill="FDF0F7"/>
          </w:tcPr>
          <w:p>
            <w:pPr>
              <w:spacing w:after="20" w:line="252" w:lineRule="auto"/>
            </w:pPr>
            <w:r>
              <w:rPr>
                <w:b w:val="0"/>
                <w:i w:val="0"/>
                <w:sz w:val="16"/>
              </w:rPr>
              <w:t>AD-08</w:t>
            </w:r>
          </w:p>
        </w:tc>
        <w:tc>
          <w:tcPr>
            <w:tcW w:type="dxa" w:w="2041"/>
            <w:vAlign w:val="top"/>
            <w:shd w:val="clear" w:color="auto" w:fill="FDF0F7"/>
          </w:tcPr>
          <w:p>
            <w:pPr>
              <w:spacing w:after="20" w:line="252" w:lineRule="auto"/>
            </w:pPr>
            <w:r>
              <w:rPr>
                <w:b w:val="0"/>
                <w:i w:val="0"/>
                <w:sz w:val="16"/>
              </w:rPr>
              <w:t>Transactional outbox</w:t>
            </w:r>
          </w:p>
        </w:tc>
        <w:tc>
          <w:tcPr>
            <w:tcW w:type="dxa" w:w="2494"/>
            <w:vAlign w:val="top"/>
            <w:shd w:val="clear" w:color="auto" w:fill="FDF0F7"/>
          </w:tcPr>
          <w:p>
            <w:pPr>
              <w:spacing w:after="20" w:line="252" w:lineRule="auto"/>
            </w:pPr>
            <w:r>
              <w:rPr>
                <w:b w:val="0"/>
                <w:i w:val="0"/>
                <w:sz w:val="16"/>
              </w:rPr>
              <w:t>Synchronous calls; message broker; outbox table</w:t>
            </w:r>
          </w:p>
        </w:tc>
        <w:tc>
          <w:tcPr>
            <w:tcW w:type="dxa" w:w="4365"/>
            <w:vAlign w:val="top"/>
            <w:shd w:val="clear" w:color="auto" w:fill="FDF0F7"/>
          </w:tcPr>
          <w:p>
            <w:pPr>
              <w:spacing w:after="20" w:line="252" w:lineRule="auto"/>
            </w:pPr>
            <w:r>
              <w:rPr>
                <w:b w:val="0"/>
                <w:i w:val="0"/>
                <w:sz w:val="16"/>
              </w:rPr>
              <w:t>A message exists exactly when the business change commits; retries survive restarts; no broker to run for this volume.</w:t>
            </w:r>
          </w:p>
        </w:tc>
      </w:tr>
      <w:tr>
        <w:trPr>
          <w:cantSplit/>
        </w:trPr>
        <w:tc>
          <w:tcPr>
            <w:tcW w:type="dxa" w:w="737"/>
            <w:vAlign w:val="top"/>
          </w:tcPr>
          <w:p>
            <w:pPr>
              <w:spacing w:after="20" w:line="252" w:lineRule="auto"/>
            </w:pPr>
            <w:r>
              <w:rPr>
                <w:b w:val="0"/>
                <w:i w:val="0"/>
                <w:sz w:val="16"/>
              </w:rPr>
              <w:t>AD-09</w:t>
            </w:r>
          </w:p>
        </w:tc>
        <w:tc>
          <w:tcPr>
            <w:tcW w:type="dxa" w:w="2041"/>
            <w:vAlign w:val="top"/>
          </w:tcPr>
          <w:p>
            <w:pPr>
              <w:spacing w:after="20" w:line="252" w:lineRule="auto"/>
            </w:pPr>
            <w:r>
              <w:rPr>
                <w:b w:val="0"/>
                <w:i w:val="0"/>
                <w:sz w:val="16"/>
              </w:rPr>
              <w:t>In-process jobs with advisory locks</w:t>
            </w:r>
          </w:p>
        </w:tc>
        <w:tc>
          <w:tcPr>
            <w:tcW w:type="dxa" w:w="2494"/>
            <w:vAlign w:val="top"/>
          </w:tcPr>
          <w:p>
            <w:pPr>
              <w:spacing w:after="20" w:line="252" w:lineRule="auto"/>
            </w:pPr>
            <w:r>
              <w:rPr>
                <w:b w:val="0"/>
                <w:i w:val="0"/>
                <w:sz w:val="16"/>
              </w:rPr>
              <w:t>Separate scheduler; Redis queue; in-process with locks</w:t>
            </w:r>
          </w:p>
        </w:tc>
        <w:tc>
          <w:tcPr>
            <w:tcW w:type="dxa" w:w="4365"/>
            <w:vAlign w:val="top"/>
          </w:tcPr>
          <w:p>
            <w:pPr>
              <w:spacing w:after="20" w:line="252" w:lineRule="auto"/>
            </w:pPr>
            <w:r>
              <w:rPr>
                <w:b w:val="0"/>
                <w:i w:val="0"/>
                <w:sz w:val="16"/>
              </w:rPr>
              <w:t>No extra component; one runner across replicas; lock released if a process dies.</w:t>
            </w:r>
          </w:p>
        </w:tc>
      </w:tr>
      <w:tr>
        <w:trPr>
          <w:cantSplit/>
        </w:trPr>
        <w:tc>
          <w:tcPr>
            <w:tcW w:type="dxa" w:w="737"/>
            <w:vAlign w:val="top"/>
            <w:shd w:val="clear" w:color="auto" w:fill="FDF0F7"/>
          </w:tcPr>
          <w:p>
            <w:pPr>
              <w:spacing w:after="20" w:line="252" w:lineRule="auto"/>
            </w:pPr>
            <w:r>
              <w:rPr>
                <w:b w:val="0"/>
                <w:i w:val="0"/>
                <w:sz w:val="16"/>
              </w:rPr>
              <w:t>AD-10</w:t>
            </w:r>
          </w:p>
        </w:tc>
        <w:tc>
          <w:tcPr>
            <w:tcW w:type="dxa" w:w="2041"/>
            <w:vAlign w:val="top"/>
            <w:shd w:val="clear" w:color="auto" w:fill="FDF0F7"/>
          </w:tcPr>
          <w:p>
            <w:pPr>
              <w:spacing w:after="20" w:line="252" w:lineRule="auto"/>
            </w:pPr>
            <w:r>
              <w:rPr>
                <w:b w:val="0"/>
                <w:i w:val="0"/>
                <w:sz w:val="16"/>
              </w:rPr>
              <w:t>Encrypted files on a mounted volume</w:t>
            </w:r>
          </w:p>
        </w:tc>
        <w:tc>
          <w:tcPr>
            <w:tcW w:type="dxa" w:w="2494"/>
            <w:vAlign w:val="top"/>
            <w:shd w:val="clear" w:color="auto" w:fill="FDF0F7"/>
          </w:tcPr>
          <w:p>
            <w:pPr>
              <w:spacing w:after="20" w:line="252" w:lineRule="auto"/>
            </w:pPr>
            <w:r>
              <w:rPr>
                <w:b w:val="0"/>
                <w:i w:val="0"/>
                <w:sz w:val="16"/>
              </w:rPr>
              <w:t>Database BLOBs; object storage; encrypted volume</w:t>
            </w:r>
          </w:p>
        </w:tc>
        <w:tc>
          <w:tcPr>
            <w:tcW w:type="dxa" w:w="4365"/>
            <w:vAlign w:val="top"/>
            <w:shd w:val="clear" w:color="auto" w:fill="FDF0F7"/>
          </w:tcPr>
          <w:p>
            <w:pPr>
              <w:spacing w:after="20" w:line="252" w:lineRule="auto"/>
            </w:pPr>
            <w:r>
              <w:rPr>
                <w:b w:val="0"/>
                <w:i w:val="0"/>
                <w:sz w:val="16"/>
              </w:rPr>
              <w:t>Keeps the database small; works on NFS on-premise and EFS or Azure Files in the cloud; S3 adapter possible later.</w:t>
            </w:r>
          </w:p>
        </w:tc>
      </w:tr>
      <w:tr>
        <w:trPr>
          <w:cantSplit/>
        </w:trPr>
        <w:tc>
          <w:tcPr>
            <w:tcW w:type="dxa" w:w="737"/>
            <w:vAlign w:val="top"/>
          </w:tcPr>
          <w:p>
            <w:pPr>
              <w:spacing w:after="20" w:line="252" w:lineRule="auto"/>
            </w:pPr>
            <w:r>
              <w:rPr>
                <w:b w:val="0"/>
                <w:i w:val="0"/>
                <w:sz w:val="16"/>
              </w:rPr>
              <w:t>AD-11</w:t>
            </w:r>
          </w:p>
        </w:tc>
        <w:tc>
          <w:tcPr>
            <w:tcW w:type="dxa" w:w="2041"/>
            <w:vAlign w:val="top"/>
          </w:tcPr>
          <w:p>
            <w:pPr>
              <w:spacing w:after="20" w:line="252" w:lineRule="auto"/>
            </w:pPr>
            <w:r>
              <w:rPr>
                <w:b w:val="0"/>
                <w:i w:val="0"/>
                <w:sz w:val="16"/>
              </w:rPr>
              <w:t>React SPA with Ant Design</w:t>
            </w:r>
          </w:p>
        </w:tc>
        <w:tc>
          <w:tcPr>
            <w:tcW w:type="dxa" w:w="2494"/>
            <w:vAlign w:val="top"/>
          </w:tcPr>
          <w:p>
            <w:pPr>
              <w:spacing w:after="20" w:line="252" w:lineRule="auto"/>
            </w:pPr>
            <w:r>
              <w:rPr>
                <w:b w:val="0"/>
                <w:i w:val="0"/>
                <w:sz w:val="16"/>
              </w:rPr>
              <w:t>React SPA; server-rendered pages; Angular</w:t>
            </w:r>
          </w:p>
        </w:tc>
        <w:tc>
          <w:tcPr>
            <w:tcW w:type="dxa" w:w="4365"/>
            <w:vAlign w:val="top"/>
          </w:tcPr>
          <w:p>
            <w:pPr>
              <w:spacing w:after="20" w:line="252" w:lineRule="auto"/>
            </w:pPr>
            <w:r>
              <w:rPr>
                <w:b w:val="0"/>
                <w:i w:val="0"/>
                <w:sz w:val="16"/>
              </w:rPr>
              <w:t>Large talent pool; accessible component library; one code base for portal and back-office.</w:t>
            </w:r>
          </w:p>
        </w:tc>
      </w:tr>
      <w:tr>
        <w:trPr>
          <w:cantSplit/>
        </w:trPr>
        <w:tc>
          <w:tcPr>
            <w:tcW w:type="dxa" w:w="737"/>
            <w:vAlign w:val="top"/>
            <w:shd w:val="clear" w:color="auto" w:fill="FDF0F7"/>
          </w:tcPr>
          <w:p>
            <w:pPr>
              <w:spacing w:after="20" w:line="252" w:lineRule="auto"/>
            </w:pPr>
            <w:r>
              <w:rPr>
                <w:b w:val="0"/>
                <w:i w:val="0"/>
                <w:sz w:val="16"/>
              </w:rPr>
              <w:t>AD-12</w:t>
            </w:r>
          </w:p>
        </w:tc>
        <w:tc>
          <w:tcPr>
            <w:tcW w:type="dxa" w:w="2041"/>
            <w:vAlign w:val="top"/>
            <w:shd w:val="clear" w:color="auto" w:fill="FDF0F7"/>
          </w:tcPr>
          <w:p>
            <w:pPr>
              <w:spacing w:after="20" w:line="252" w:lineRule="auto"/>
            </w:pPr>
            <w:r>
              <w:rPr>
                <w:b w:val="0"/>
                <w:i w:val="0"/>
                <w:sz w:val="16"/>
              </w:rPr>
              <w:t>Business parameters in the database</w:t>
            </w:r>
          </w:p>
        </w:tc>
        <w:tc>
          <w:tcPr>
            <w:tcW w:type="dxa" w:w="2494"/>
            <w:vAlign w:val="top"/>
            <w:shd w:val="clear" w:color="auto" w:fill="FDF0F7"/>
          </w:tcPr>
          <w:p>
            <w:pPr>
              <w:spacing w:after="20" w:line="252" w:lineRule="auto"/>
            </w:pPr>
            <w:r>
              <w:rPr>
                <w:b w:val="0"/>
                <w:i w:val="0"/>
                <w:sz w:val="16"/>
              </w:rPr>
              <w:t>Environment variables; database parameters</w:t>
            </w:r>
          </w:p>
        </w:tc>
        <w:tc>
          <w:tcPr>
            <w:tcW w:type="dxa" w:w="4365"/>
            <w:vAlign w:val="top"/>
            <w:shd w:val="clear" w:color="auto" w:fill="FDF0F7"/>
          </w:tcPr>
          <w:p>
            <w:pPr>
              <w:spacing w:after="20" w:line="252" w:lineRule="auto"/>
            </w:pPr>
            <w:r>
              <w:rPr>
                <w:b w:val="0"/>
                <w:i w:val="0"/>
                <w:sz w:val="16"/>
              </w:rPr>
              <w:t>Operations staff change policy values without a release, within ranges, with audit.</w:t>
            </w:r>
          </w:p>
        </w:tc>
      </w:tr>
      <w:tr>
        <w:trPr>
          <w:cantSplit/>
        </w:trPr>
        <w:tc>
          <w:tcPr>
            <w:tcW w:type="dxa" w:w="737"/>
            <w:vAlign w:val="top"/>
          </w:tcPr>
          <w:p>
            <w:pPr>
              <w:spacing w:after="20" w:line="252" w:lineRule="auto"/>
            </w:pPr>
            <w:r>
              <w:rPr>
                <w:b w:val="0"/>
                <w:i w:val="0"/>
                <w:sz w:val="16"/>
              </w:rPr>
              <w:t>AD-13</w:t>
            </w:r>
          </w:p>
        </w:tc>
        <w:tc>
          <w:tcPr>
            <w:tcW w:type="dxa" w:w="2041"/>
            <w:vAlign w:val="top"/>
          </w:tcPr>
          <w:p>
            <w:pPr>
              <w:spacing w:after="20" w:line="252" w:lineRule="auto"/>
            </w:pPr>
            <w:r>
              <w:rPr>
                <w:b w:val="0"/>
                <w:i w:val="0"/>
                <w:sz w:val="16"/>
              </w:rPr>
              <w:t>Generic workflow engine with handlers</w:t>
            </w:r>
          </w:p>
        </w:tc>
        <w:tc>
          <w:tcPr>
            <w:tcW w:type="dxa" w:w="2494"/>
            <w:vAlign w:val="top"/>
          </w:tcPr>
          <w:p>
            <w:pPr>
              <w:spacing w:after="20" w:line="252" w:lineRule="auto"/>
            </w:pPr>
            <w:r>
              <w:rPr>
                <w:b w:val="0"/>
                <w:i w:val="0"/>
                <w:sz w:val="16"/>
              </w:rPr>
              <w:t>Per-feature approval code; BPMN engine; generic engine</w:t>
            </w:r>
          </w:p>
        </w:tc>
        <w:tc>
          <w:tcPr>
            <w:tcW w:type="dxa" w:w="4365"/>
            <w:vAlign w:val="top"/>
          </w:tcPr>
          <w:p>
            <w:pPr>
              <w:spacing w:after="20" w:line="252" w:lineRule="auto"/>
            </w:pPr>
            <w:r>
              <w:rPr>
                <w:b w:val="0"/>
                <w:i w:val="0"/>
                <w:sz w:val="16"/>
              </w:rPr>
              <w:t>Eight approval types share one inbox, rule set and history; a BPMN engine would add a product to operate.</w:t>
            </w:r>
          </w:p>
        </w:tc>
      </w:tr>
      <w:tr>
        <w:trPr>
          <w:cantSplit/>
        </w:trPr>
        <w:tc>
          <w:tcPr>
            <w:tcW w:type="dxa" w:w="737"/>
            <w:vAlign w:val="top"/>
            <w:shd w:val="clear" w:color="auto" w:fill="FDF0F7"/>
          </w:tcPr>
          <w:p>
            <w:pPr>
              <w:spacing w:after="20" w:line="252" w:lineRule="auto"/>
            </w:pPr>
            <w:r>
              <w:rPr>
                <w:b w:val="0"/>
                <w:i w:val="0"/>
                <w:sz w:val="16"/>
              </w:rPr>
              <w:t>AD-14</w:t>
            </w:r>
          </w:p>
        </w:tc>
        <w:tc>
          <w:tcPr>
            <w:tcW w:type="dxa" w:w="2041"/>
            <w:vAlign w:val="top"/>
            <w:shd w:val="clear" w:color="auto" w:fill="FDF0F7"/>
          </w:tcPr>
          <w:p>
            <w:pPr>
              <w:spacing w:after="20" w:line="252" w:lineRule="auto"/>
            </w:pPr>
            <w:r>
              <w:rPr>
                <w:b w:val="0"/>
                <w:i w:val="0"/>
                <w:sz w:val="16"/>
              </w:rPr>
              <w:t>Watch-list screening built in, external provider optional</w:t>
            </w:r>
          </w:p>
        </w:tc>
        <w:tc>
          <w:tcPr>
            <w:tcW w:type="dxa" w:w="2494"/>
            <w:vAlign w:val="top"/>
            <w:shd w:val="clear" w:color="auto" w:fill="FDF0F7"/>
          </w:tcPr>
          <w:p>
            <w:pPr>
              <w:spacing w:after="20" w:line="252" w:lineRule="auto"/>
            </w:pPr>
            <w:r>
              <w:rPr>
                <w:b w:val="0"/>
                <w:i w:val="0"/>
                <w:sz w:val="16"/>
              </w:rPr>
              <w:t>External only; built in only; both</w:t>
            </w:r>
          </w:p>
        </w:tc>
        <w:tc>
          <w:tcPr>
            <w:tcW w:type="dxa" w:w="4365"/>
            <w:vAlign w:val="top"/>
            <w:shd w:val="clear" w:color="auto" w:fill="FDF0F7"/>
          </w:tcPr>
          <w:p>
            <w:pPr>
              <w:spacing w:after="20" w:line="252" w:lineRule="auto"/>
            </w:pPr>
            <w:r>
              <w:rPr>
                <w:b w:val="0"/>
                <w:i w:val="0"/>
                <w:sz w:val="16"/>
              </w:rPr>
              <w:t>Compliance can screen from day one with UN and local lists; a commercial provider can be added by configuration; an unavailable provider forces manual review.</w:t>
            </w:r>
          </w:p>
        </w:tc>
      </w:tr>
      <w:tr>
        <w:trPr>
          <w:cantSplit/>
        </w:trPr>
        <w:tc>
          <w:tcPr>
            <w:tcW w:type="dxa" w:w="737"/>
            <w:vAlign w:val="top"/>
          </w:tcPr>
          <w:p>
            <w:pPr>
              <w:spacing w:after="20" w:line="252" w:lineRule="auto"/>
            </w:pPr>
            <w:r>
              <w:rPr>
                <w:b w:val="0"/>
                <w:i w:val="0"/>
                <w:sz w:val="16"/>
              </w:rPr>
              <w:t>AD-15</w:t>
            </w:r>
          </w:p>
        </w:tc>
        <w:tc>
          <w:tcPr>
            <w:tcW w:type="dxa" w:w="2041"/>
            <w:vAlign w:val="top"/>
          </w:tcPr>
          <w:p>
            <w:pPr>
              <w:spacing w:after="20" w:line="252" w:lineRule="auto"/>
            </w:pPr>
            <w:r>
              <w:rPr>
                <w:b w:val="0"/>
                <w:i w:val="0"/>
                <w:sz w:val="16"/>
              </w:rPr>
              <w:t>PostgreSQL sequences for reference numbers</w:t>
            </w:r>
          </w:p>
        </w:tc>
        <w:tc>
          <w:tcPr>
            <w:tcW w:type="dxa" w:w="2494"/>
            <w:vAlign w:val="top"/>
          </w:tcPr>
          <w:p>
            <w:pPr>
              <w:spacing w:after="20" w:line="252" w:lineRule="auto"/>
            </w:pPr>
            <w:r>
              <w:rPr>
                <w:b w:val="0"/>
                <w:i w:val="0"/>
                <w:sz w:val="16"/>
              </w:rPr>
              <w:t>Sequences; counter table with row locks</w:t>
            </w:r>
          </w:p>
        </w:tc>
        <w:tc>
          <w:tcPr>
            <w:tcW w:type="dxa" w:w="4365"/>
            <w:vAlign w:val="top"/>
          </w:tcPr>
          <w:p>
            <w:pPr>
              <w:spacing w:after="20" w:line="252" w:lineRule="auto"/>
            </w:pPr>
            <w:r>
              <w:rPr>
                <w:b w:val="0"/>
                <w:i w:val="0"/>
                <w:sz w:val="16"/>
              </w:rPr>
              <w:t>No lock contention across replicas; gaps are acceptable for these references.</w:t>
            </w:r>
          </w:p>
        </w:tc>
      </w:tr>
      <w:tr>
        <w:trPr>
          <w:cantSplit/>
        </w:trPr>
        <w:tc>
          <w:tcPr>
            <w:tcW w:type="dxa" w:w="737"/>
            <w:vAlign w:val="top"/>
            <w:shd w:val="clear" w:color="auto" w:fill="FDF0F7"/>
          </w:tcPr>
          <w:p>
            <w:pPr>
              <w:spacing w:after="20" w:line="252" w:lineRule="auto"/>
            </w:pPr>
            <w:r>
              <w:rPr>
                <w:b w:val="0"/>
                <w:i w:val="0"/>
                <w:sz w:val="16"/>
              </w:rPr>
              <w:t>AD-16</w:t>
            </w:r>
          </w:p>
        </w:tc>
        <w:tc>
          <w:tcPr>
            <w:tcW w:type="dxa" w:w="2041"/>
            <w:vAlign w:val="top"/>
            <w:shd w:val="clear" w:color="auto" w:fill="FDF0F7"/>
          </w:tcPr>
          <w:p>
            <w:pPr>
              <w:spacing w:after="20" w:line="252" w:lineRule="auto"/>
            </w:pPr>
            <w:r>
              <w:rPr>
                <w:b w:val="0"/>
                <w:i w:val="0"/>
                <w:sz w:val="16"/>
              </w:rPr>
              <w:t>Optimistic locking</w:t>
            </w:r>
          </w:p>
        </w:tc>
        <w:tc>
          <w:tcPr>
            <w:tcW w:type="dxa" w:w="2494"/>
            <w:vAlign w:val="top"/>
            <w:shd w:val="clear" w:color="auto" w:fill="FDF0F7"/>
          </w:tcPr>
          <w:p>
            <w:pPr>
              <w:spacing w:after="20" w:line="252" w:lineRule="auto"/>
            </w:pPr>
            <w:r>
              <w:rPr>
                <w:b w:val="0"/>
                <w:i w:val="0"/>
                <w:sz w:val="16"/>
              </w:rPr>
              <w:t>Pessimistic locks; version column</w:t>
            </w:r>
          </w:p>
        </w:tc>
        <w:tc>
          <w:tcPr>
            <w:tcW w:type="dxa" w:w="4365"/>
            <w:vAlign w:val="top"/>
            <w:shd w:val="clear" w:color="auto" w:fill="FDF0F7"/>
          </w:tcPr>
          <w:p>
            <w:pPr>
              <w:spacing w:after="20" w:line="252" w:lineRule="auto"/>
            </w:pPr>
            <w:r>
              <w:rPr>
                <w:b w:val="0"/>
                <w:i w:val="0"/>
                <w:sz w:val="16"/>
              </w:rPr>
              <w:t>Short web transactions; clear STALE_RECORD message instead of blocking users.</w:t>
            </w:r>
          </w:p>
        </w:tc>
      </w:tr>
      <w:tr>
        <w:trPr>
          <w:cantSplit/>
        </w:trPr>
        <w:tc>
          <w:tcPr>
            <w:tcW w:type="dxa" w:w="737"/>
            <w:vAlign w:val="top"/>
          </w:tcPr>
          <w:p>
            <w:pPr>
              <w:spacing w:after="20" w:line="252" w:lineRule="auto"/>
            </w:pPr>
            <w:r>
              <w:rPr>
                <w:b w:val="0"/>
                <w:i w:val="0"/>
                <w:sz w:val="16"/>
              </w:rPr>
              <w:t>AD-17</w:t>
            </w:r>
          </w:p>
        </w:tc>
        <w:tc>
          <w:tcPr>
            <w:tcW w:type="dxa" w:w="2041"/>
            <w:vAlign w:val="top"/>
          </w:tcPr>
          <w:p>
            <w:pPr>
              <w:spacing w:after="20" w:line="252" w:lineRule="auto"/>
            </w:pPr>
            <w:r>
              <w:rPr>
                <w:b w:val="0"/>
                <w:i w:val="0"/>
                <w:sz w:val="16"/>
              </w:rPr>
              <w:t>Simulated and live integration modes</w:t>
            </w:r>
          </w:p>
        </w:tc>
        <w:tc>
          <w:tcPr>
            <w:tcW w:type="dxa" w:w="2494"/>
            <w:vAlign w:val="top"/>
          </w:tcPr>
          <w:p>
            <w:pPr>
              <w:spacing w:after="20" w:line="252" w:lineRule="auto"/>
            </w:pPr>
            <w:r>
              <w:rPr>
                <w:b w:val="0"/>
                <w:i w:val="0"/>
                <w:sz w:val="16"/>
              </w:rPr>
              <w:t>Live only; switchable mode</w:t>
            </w:r>
          </w:p>
        </w:tc>
        <w:tc>
          <w:tcPr>
            <w:tcW w:type="dxa" w:w="4365"/>
            <w:vAlign w:val="top"/>
          </w:tcPr>
          <w:p>
            <w:pPr>
              <w:spacing w:after="20" w:line="252" w:lineRule="auto"/>
            </w:pPr>
            <w:r>
              <w:rPr>
                <w:b w:val="0"/>
                <w:i w:val="0"/>
                <w:sz w:val="16"/>
              </w:rPr>
              <w:t>Build and test end to end before IITH endpoints exist; production start-up checks the live settings.</w:t>
            </w:r>
          </w:p>
        </w:tc>
      </w:tr>
      <w:tr>
        <w:trPr>
          <w:cantSplit/>
        </w:trPr>
        <w:tc>
          <w:tcPr>
            <w:tcW w:type="dxa" w:w="737"/>
            <w:vAlign w:val="top"/>
            <w:shd w:val="clear" w:color="auto" w:fill="FDF0F7"/>
          </w:tcPr>
          <w:p>
            <w:pPr>
              <w:spacing w:after="20" w:line="252" w:lineRule="auto"/>
            </w:pPr>
            <w:r>
              <w:rPr>
                <w:b w:val="0"/>
                <w:i w:val="0"/>
                <w:sz w:val="16"/>
              </w:rPr>
              <w:t>AD-18</w:t>
            </w:r>
          </w:p>
        </w:tc>
        <w:tc>
          <w:tcPr>
            <w:tcW w:type="dxa" w:w="2041"/>
            <w:vAlign w:val="top"/>
            <w:shd w:val="clear" w:color="auto" w:fill="FDF0F7"/>
          </w:tcPr>
          <w:p>
            <w:pPr>
              <w:spacing w:after="20" w:line="252" w:lineRule="auto"/>
            </w:pPr>
            <w:r>
              <w:rPr>
                <w:b w:val="0"/>
                <w:i w:val="0"/>
                <w:sz w:val="16"/>
              </w:rPr>
              <w:t>Manual database promotion on PROD</w:t>
            </w:r>
          </w:p>
        </w:tc>
        <w:tc>
          <w:tcPr>
            <w:tcW w:type="dxa" w:w="2494"/>
            <w:vAlign w:val="top"/>
            <w:shd w:val="clear" w:color="auto" w:fill="FDF0F7"/>
          </w:tcPr>
          <w:p>
            <w:pPr>
              <w:spacing w:after="20" w:line="252" w:lineRule="auto"/>
            </w:pPr>
            <w:r>
              <w:rPr>
                <w:b w:val="0"/>
                <w:i w:val="0"/>
                <w:sz w:val="16"/>
              </w:rPr>
              <w:t>Automatic failover; manual promotion</w:t>
            </w:r>
          </w:p>
        </w:tc>
        <w:tc>
          <w:tcPr>
            <w:tcW w:type="dxa" w:w="4365"/>
            <w:vAlign w:val="top"/>
            <w:shd w:val="clear" w:color="auto" w:fill="FDF0F7"/>
          </w:tcPr>
          <w:p>
            <w:pPr>
              <w:spacing w:after="20" w:line="252" w:lineRule="auto"/>
            </w:pPr>
            <w:r>
              <w:rPr>
                <w:b w:val="0"/>
                <w:i w:val="0"/>
                <w:sz w:val="16"/>
              </w:rPr>
              <w:t>Two database nodes cannot form a safe quorum; a runbook promotion within the 4-hour RTO avoids split-brain.</w:t>
            </w:r>
          </w:p>
        </w:tc>
      </w:tr>
      <w:tr>
        <w:trPr>
          <w:cantSplit/>
        </w:trPr>
        <w:tc>
          <w:tcPr>
            <w:tcW w:type="dxa" w:w="737"/>
            <w:vAlign w:val="top"/>
          </w:tcPr>
          <w:p>
            <w:pPr>
              <w:spacing w:after="20" w:line="252" w:lineRule="auto"/>
            </w:pPr>
            <w:r>
              <w:rPr>
                <w:b w:val="0"/>
                <w:i w:val="0"/>
                <w:sz w:val="16"/>
              </w:rPr>
              <w:t>AD-19</w:t>
            </w:r>
          </w:p>
        </w:tc>
        <w:tc>
          <w:tcPr>
            <w:tcW w:type="dxa" w:w="2041"/>
            <w:vAlign w:val="top"/>
          </w:tcPr>
          <w:p>
            <w:pPr>
              <w:spacing w:after="20" w:line="252" w:lineRule="auto"/>
            </w:pPr>
            <w:r>
              <w:rPr>
                <w:b w:val="0"/>
                <w:i w:val="0"/>
                <w:sz w:val="16"/>
              </w:rPr>
              <w:t>JSON logs and Prometheus metrics</w:t>
            </w:r>
          </w:p>
        </w:tc>
        <w:tc>
          <w:tcPr>
            <w:tcW w:type="dxa" w:w="2494"/>
            <w:vAlign w:val="top"/>
          </w:tcPr>
          <w:p>
            <w:pPr>
              <w:spacing w:after="20" w:line="252" w:lineRule="auto"/>
            </w:pPr>
            <w:r>
              <w:rPr>
                <w:b w:val="0"/>
                <w:i w:val="0"/>
                <w:sz w:val="16"/>
              </w:rPr>
              <w:t>Vendor APM agent; open formats</w:t>
            </w:r>
          </w:p>
        </w:tc>
        <w:tc>
          <w:tcPr>
            <w:tcW w:type="dxa" w:w="4365"/>
            <w:vAlign w:val="top"/>
          </w:tcPr>
          <w:p>
            <w:pPr>
              <w:spacing w:after="20" w:line="252" w:lineRule="auto"/>
            </w:pPr>
            <w:r>
              <w:rPr>
                <w:b w:val="0"/>
                <w:i w:val="0"/>
                <w:sz w:val="16"/>
              </w:rPr>
              <w:t>Works with IITH's existing log and monitoring tools; no agent licence.</w:t>
            </w:r>
          </w:p>
        </w:tc>
      </w:tr>
    </w:tbl>
    <w:p>
      <w:pPr>
        <w:pStyle w:val="Caption"/>
        <w:jc w:val="center"/>
      </w:pPr>
      <w:r>
        <w:rPr>
          <w:b w:val="0"/>
          <w:i w:val="0"/>
        </w:rPr>
        <w:t>Table 38: Architecture decision log</w:t>
      </w:r>
    </w:p>
    <w:p>
      <w:pPr>
        <w:pStyle w:val="Heading1"/>
        <w:pageBreakBefore/>
        <w:pBdr>
          <w:bottom w:val="single" w:sz="12" w:space="4" w:color="F58220"/>
        </w:pBdr>
      </w:pPr>
      <w:r>
        <w:t>Appendix A: API Operations</w:t>
      </w:r>
    </w:p>
    <w:p>
      <w:pPr>
        <w:keepNext w:val="0"/>
      </w:pPr>
      <w:r>
        <w:rPr>
          <w:b w:val="0"/>
          <w:i w:val="0"/>
        </w:rPr>
        <w:t>All 149 operations on 128 paths in docs/api/openapi.json, grouped by tag. Request and response schemas are in the OpenAPI file.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15" w:type="dxa"/>
          <w:left w:w="90" w:type="dxa"/>
          <w:bottom w:w="15" w:type="dxa"/>
          <w:right w:w="90" w:type="dxa"/>
        </w:tblCellMar>
        <w:tblLayout w:type="fixed"/>
      </w:tblPr>
      <w:tblGrid>
        <w:gridCol w:w="1134"/>
        <w:gridCol w:w="8505"/>
      </w:tblGrid>
      <w:tr>
        <w:trPr>
          <w:cantSplit/>
          <w:tblHeader/>
        </w:trPr>
        <w:tc>
          <w:tcPr>
            <w:tcW w:type="dxa" w:w="1134"/>
            <w:shd w:val="clear" w:color="auto" w:fill="E1058C"/>
            <w:vAlign w:val="center"/>
          </w:tcPr>
          <w:p>
            <w:pPr>
              <w:spacing w:after="0"/>
            </w:pPr>
            <w:r>
              <w:rPr>
                <w:b/>
                <w:i w:val="0"/>
                <w:color w:val="FFFFFF"/>
                <w:sz w:val="15"/>
              </w:rPr>
              <w:t>Method</w:t>
            </w:r>
          </w:p>
        </w:tc>
        <w:tc>
          <w:tcPr>
            <w:tcW w:type="dxa" w:w="8504"/>
            <w:shd w:val="clear" w:color="auto" w:fill="E1058C"/>
            <w:vAlign w:val="center"/>
          </w:tcPr>
          <w:p>
            <w:pPr>
              <w:spacing w:after="0"/>
            </w:pPr>
            <w:r>
              <w:rPr>
                <w:b/>
                <w:i w:val="0"/>
                <w:color w:val="FFFFFF"/>
                <w:sz w:val="15"/>
              </w:rPr>
              <w:t>Path</w:t>
            </w:r>
          </w:p>
        </w:tc>
      </w:tr>
      <w:tr>
        <w:trPr>
          <w:cantSplit/>
        </w:trPr>
        <w:tc>
          <w:tcPr>
            <w:tcW w:type="dxa" w:w="8504"/>
            <w:gridSpan w:val="2"/>
            <w:shd w:val="clear" w:color="auto" w:fill="FEEBDD"/>
          </w:tcPr>
          <w:p>
            <w:pPr>
              <w:keepNext/>
              <w:spacing w:after="0"/>
            </w:pPr>
            <w:r>
              <w:rPr>
                <w:b/>
                <w:i w:val="0"/>
                <w:color w:val="333333"/>
                <w:sz w:val="15"/>
              </w:rPr>
              <w:t>Authentication</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/api/v1/auth/login</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/api/v1/auth/logout</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/api/v1/auth/me</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/api/v1/auth/change-password</w:t>
            </w:r>
          </w:p>
        </w:tc>
      </w:tr>
      <w:tr>
        <w:trPr>
          <w:cantSplit/>
        </w:trPr>
        <w:tc>
          <w:tcPr>
            <w:tcW w:type="dxa" w:w="8504"/>
            <w:gridSpan w:val="2"/>
            <w:shd w:val="clear" w:color="auto" w:fill="FEEBDD"/>
          </w:tcPr>
          <w:p>
            <w:pPr>
              <w:keepNext/>
              <w:spacing w:after="0"/>
            </w:pPr>
            <w:r>
              <w:rPr>
                <w:b/>
                <w:i w:val="0"/>
                <w:color w:val="333333"/>
                <w:sz w:val="15"/>
              </w:rPr>
              <w:t>Back-office: AML/KYC</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/api/v1/backoffice/aml/cases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/api/v1/backoffice/aml/cases/{id}/review</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/api/v1/backoffice/aml/watchlist</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/api/v1/backoffice/aml/watchlist</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/api/v1/backoffice/aml/watchlist/{id}/active</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/api/v1/backoffice/aml/watchlist/import</w:t>
            </w:r>
          </w:p>
        </w:tc>
      </w:tr>
      <w:tr>
        <w:trPr>
          <w:cantSplit/>
        </w:trPr>
        <w:tc>
          <w:tcPr>
            <w:tcW w:type="dxa" w:w="8504"/>
            <w:gridSpan w:val="2"/>
            <w:shd w:val="clear" w:color="auto" w:fill="FEEBDD"/>
          </w:tcPr>
          <w:p>
            <w:pPr>
              <w:keepNext/>
              <w:spacing w:after="0"/>
            </w:pPr>
            <w:r>
              <w:rPr>
                <w:b/>
                <w:i w:val="0"/>
                <w:color w:val="333333"/>
                <w:sz w:val="15"/>
              </w:rPr>
              <w:t>Back-office: Agencies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/api/v1/backoffice/agencies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/api/v1/backoffice/agencies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/api/v1/backoffice/agencies/options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/api/v1/backoffice/agencies/{id}</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/api/v1/backoffice/agencies/{id}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/api/v1/backoffice/agencies/{id}/lift-block</w:t>
            </w:r>
          </w:p>
        </w:tc>
      </w:tr>
      <w:tr>
        <w:trPr>
          <w:cantSplit/>
        </w:trPr>
        <w:tc>
          <w:tcPr>
            <w:tcW w:type="dxa" w:w="8504"/>
            <w:gridSpan w:val="2"/>
            <w:shd w:val="clear" w:color="auto" w:fill="FEEBDD"/>
          </w:tcPr>
          <w:p>
            <w:pPr>
              <w:keepNext/>
              <w:spacing w:after="0"/>
            </w:pPr>
            <w:r>
              <w:rPr>
                <w:b/>
                <w:i w:val="0"/>
                <w:color w:val="333333"/>
                <w:sz w:val="15"/>
              </w:rPr>
              <w:t>Back-office: Agents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/api/v1/backoffice/agents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/api/v1/backoffice/agents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/api/v1/backoffice/agents/{id}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/api/v1/backoffice/agents/{id}/update-requests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/api/v1/backoffice/agents/{id}/status-requests</w:t>
            </w:r>
          </w:p>
        </w:tc>
      </w:tr>
      <w:tr>
        <w:trPr>
          <w:cantSplit/>
        </w:trPr>
        <w:tc>
          <w:tcPr>
            <w:tcW w:type="dxa" w:w="8504"/>
            <w:gridSpan w:val="2"/>
            <w:shd w:val="clear" w:color="auto" w:fill="FEEBDD"/>
          </w:tcPr>
          <w:p>
            <w:pPr>
              <w:keepNext/>
              <w:spacing w:after="0"/>
            </w:pPr>
            <w:r>
              <w:rPr>
                <w:b/>
                <w:i w:val="0"/>
                <w:color w:val="333333"/>
                <w:sz w:val="15"/>
              </w:rPr>
              <w:t>Back-office: Approvals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/api/v1/backoffice/approvals/inbox</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/api/v1/backoffice/approvals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/api/v1/backoffice/approvals/{id}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/api/v1/backoffice/approvals/{id}/approve</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/api/v1/backoffice/approvals/{id}/reject</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/api/v1/backoffice/approvals/{id}/withdraw</w:t>
            </w:r>
          </w:p>
        </w:tc>
      </w:tr>
      <w:tr>
        <w:trPr>
          <w:cantSplit/>
        </w:trPr>
        <w:tc>
          <w:tcPr>
            <w:tcW w:type="dxa" w:w="8504"/>
            <w:gridSpan w:val="2"/>
            <w:shd w:val="clear" w:color="auto" w:fill="FEEBDD"/>
          </w:tcPr>
          <w:p>
            <w:pPr>
              <w:keepNext/>
              <w:spacing w:after="0"/>
            </w:pPr>
            <w:r>
              <w:rPr>
                <w:b/>
                <w:i w:val="0"/>
                <w:color w:val="333333"/>
                <w:sz w:val="15"/>
              </w:rPr>
              <w:t>Back-office: Audit</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/api/v1/backoffice/audit</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/api/v1/backoffice/audit/facets</w:t>
            </w:r>
          </w:p>
        </w:tc>
      </w:tr>
      <w:tr>
        <w:trPr>
          <w:cantSplit/>
        </w:trPr>
        <w:tc>
          <w:tcPr>
            <w:tcW w:type="dxa" w:w="8504"/>
            <w:gridSpan w:val="2"/>
            <w:shd w:val="clear" w:color="auto" w:fill="FEEBDD"/>
          </w:tcPr>
          <w:p>
            <w:pPr>
              <w:keepNext/>
              <w:spacing w:after="0"/>
            </w:pPr>
            <w:r>
              <w:rPr>
                <w:b/>
                <w:i w:val="0"/>
                <w:color w:val="333333"/>
                <w:sz w:val="15"/>
              </w:rPr>
              <w:t>Back-office: Billing</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/api/v1/backoffice/billing/payments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/api/v1/backoffice/billing/payments/{id}</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/api/v1/backoffice/billing/commissions</w:t>
            </w:r>
          </w:p>
        </w:tc>
      </w:tr>
      <w:tr>
        <w:trPr>
          <w:cantSplit/>
        </w:trPr>
        <w:tc>
          <w:tcPr>
            <w:tcW w:type="dxa" w:w="8504"/>
            <w:gridSpan w:val="2"/>
            <w:shd w:val="clear" w:color="auto" w:fill="FEEBDD"/>
          </w:tcPr>
          <w:p>
            <w:pPr>
              <w:keepNext/>
              <w:spacing w:after="0"/>
            </w:pPr>
            <w:r>
              <w:rPr>
                <w:b/>
                <w:i w:val="0"/>
                <w:color w:val="333333"/>
                <w:sz w:val="15"/>
              </w:rPr>
              <w:t>Back-office: Claims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/api/v1/backoffice/claims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/api/v1/backoffice/claims/{id}</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/api/v1/backoffice/claims/{id}/status</w:t>
            </w:r>
          </w:p>
        </w:tc>
      </w:tr>
      <w:tr>
        <w:trPr>
          <w:cantSplit/>
        </w:trPr>
        <w:tc>
          <w:tcPr>
            <w:tcW w:type="dxa" w:w="8504"/>
            <w:gridSpan w:val="2"/>
            <w:shd w:val="clear" w:color="auto" w:fill="FEEBDD"/>
          </w:tcPr>
          <w:p>
            <w:pPr>
              <w:keepNext/>
              <w:spacing w:after="0"/>
            </w:pPr>
            <w:r>
              <w:rPr>
                <w:b/>
                <w:i w:val="0"/>
                <w:color w:val="333333"/>
                <w:sz w:val="15"/>
              </w:rPr>
              <w:t>Back-office: Configuration</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/api/v1/backoffice/config/parameters</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/api/v1/backoffice/config/parameters/{key}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/api/v1/backoffice/config/codes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/api/v1/backoffice/config/codes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/api/v1/backoffice/config/code-categories</w:t>
            </w:r>
          </w:p>
        </w:tc>
      </w:tr>
      <w:tr>
        <w:trPr>
          <w:cantSplit/>
        </w:trPr>
        <w:tc>
          <w:tcPr>
            <w:tcW w:type="dxa" w:w="1134"/>
            <w:vAlign w:val="top"/>
          </w:tcPr>
          <w:p>
            <w:pPr>
              <w:spacing w:after="20" w:line="252" w:lineRule="auto"/>
            </w:pPr>
            <w:r>
              <w:rPr>
                <w:b w:val="0"/>
                <w:i w:val="0"/>
                <w:sz w:val="15"/>
              </w:rPr>
              <w:t>PATCH</w:t>
            </w:r>
          </w:p>
        </w:tc>
        <w:tc>
          <w:tcPr>
            <w:tcW w:type="dxa" w:w="8504"/>
            <w:vAlign w:val="top"/>
          </w:tcPr>
          <w:p>
            <w:pPr>
              <w:spacing w:after="20" w:line="252" w:lineRule="auto"/>
            </w:pPr>
            <w:r>
              <w:rPr>
                <w:b w:val="0"/>
                <w:i w:val="0"/>
                <w:sz w:val="15"/>
              </w:rPr>
              <w:t>/api/v1/backoffice/config/codes/{id}</w:t>
            </w:r>
          </w:p>
        </w:tc>
      </w:tr>
      <w:tr>
        <w:trPr>
          <w:cantSplit/>
        </w:trPr>
        <w:tc>
          <w:tcPr>
            <w:tcW w:type="dxa" w:w="8504"/>
            <w:gridSpan w:val="2"/>
            <w:shd w:val="clear" w:color="auto" w:fill="FEEBDD"/>
          </w:tcPr>
          <w:p>
            <w:pPr>
              <w:keepNext/>
              <w:spacing w:after="0"/>
            </w:pPr>
            <w:r>
              <w:rPr>
                <w:b/>
                <w:i w:val="0"/>
                <w:color w:val="333333"/>
                <w:sz w:val="15"/>
              </w:rPr>
              <w:t>Back-office: Dashboard</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/api/v1/backoffice/dashboard</w:t>
            </w:r>
          </w:p>
        </w:tc>
      </w:tr>
      <w:tr>
        <w:trPr>
          <w:cantSplit/>
        </w:trPr>
        <w:tc>
          <w:tcPr>
            <w:tcW w:type="dxa" w:w="8504"/>
            <w:gridSpan w:val="2"/>
            <w:shd w:val="clear" w:color="auto" w:fill="FEEBDD"/>
          </w:tcPr>
          <w:p>
            <w:pPr>
              <w:keepNext/>
              <w:spacing w:after="0"/>
            </w:pPr>
            <w:r>
              <w:rPr>
                <w:b/>
                <w:i w:val="0"/>
                <w:color w:val="333333"/>
                <w:sz w:val="15"/>
              </w:rPr>
              <w:t>Back-office: Documents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/api/v1/backoffice/documents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/api/v1/backoffice/documents/{id}/review</w:t>
            </w:r>
          </w:p>
        </w:tc>
      </w:tr>
      <w:tr>
        <w:trPr>
          <w:cantSplit/>
        </w:trPr>
        <w:tc>
          <w:tcPr>
            <w:tcW w:type="dxa" w:w="8504"/>
            <w:gridSpan w:val="2"/>
            <w:shd w:val="clear" w:color="auto" w:fill="FEEBDD"/>
          </w:tcPr>
          <w:p>
            <w:pPr>
              <w:keepNext/>
              <w:spacing w:after="0"/>
            </w:pPr>
            <w:r>
              <w:rPr>
                <w:b/>
                <w:i w:val="0"/>
                <w:color w:val="333333"/>
                <w:sz w:val="15"/>
              </w:rPr>
              <w:t>Back-office: End of day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/api/v1/backoffice/eod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/api/v1/backoffice/eod</w:t>
            </w:r>
          </w:p>
        </w:tc>
      </w:tr>
      <w:tr>
        <w:trPr>
          <w:cantSplit/>
        </w:trPr>
        <w:tc>
          <w:tcPr>
            <w:tcW w:type="dxa" w:w="8504"/>
            <w:gridSpan w:val="2"/>
            <w:shd w:val="clear" w:color="auto" w:fill="FEEBDD"/>
          </w:tcPr>
          <w:p>
            <w:pPr>
              <w:keepNext/>
              <w:spacing w:after="0"/>
            </w:pPr>
            <w:r>
              <w:rPr>
                <w:b/>
                <w:i w:val="0"/>
                <w:color w:val="333333"/>
                <w:sz w:val="15"/>
              </w:rPr>
              <w:t>Back-office: Integration</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/api/v1/backoffice/integration/summary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/api/v1/backoffice/integration/outbox</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/api/v1/backoffice/integration/outbox/{id}/retry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/api/v1/backoffice/integration/logs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/api/v1/backoffice/integration/reconciliations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/api/v1/backoffice/integration/reconciliations</w:t>
            </w:r>
          </w:p>
        </w:tc>
      </w:tr>
      <w:tr>
        <w:trPr>
          <w:cantSplit/>
        </w:trPr>
        <w:tc>
          <w:tcPr>
            <w:tcW w:type="dxa" w:w="8504"/>
            <w:gridSpan w:val="2"/>
            <w:shd w:val="clear" w:color="auto" w:fill="FEEBDD"/>
          </w:tcPr>
          <w:p>
            <w:pPr>
              <w:keepNext/>
              <w:spacing w:after="0"/>
            </w:pPr>
            <w:r>
              <w:rPr>
                <w:b/>
                <w:i w:val="0"/>
                <w:color w:val="333333"/>
                <w:sz w:val="15"/>
              </w:rPr>
              <w:t>Back-office: Issues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/api/v1/backoffice/issues/assignees</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/api/v1/backoffice/issues/{id}/assignment</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/api/v1/backoffice/issues/{id}/priority</w:t>
            </w:r>
          </w:p>
        </w:tc>
      </w:tr>
      <w:tr>
        <w:trPr>
          <w:cantSplit/>
        </w:trPr>
        <w:tc>
          <w:tcPr>
            <w:tcW w:type="dxa" w:w="8504"/>
            <w:gridSpan w:val="2"/>
            <w:shd w:val="clear" w:color="auto" w:fill="FEEBDD"/>
          </w:tcPr>
          <w:p>
            <w:pPr>
              <w:keepNext/>
              <w:spacing w:after="0"/>
            </w:pPr>
            <w:r>
              <w:rPr>
                <w:b/>
                <w:i w:val="0"/>
                <w:color w:val="333333"/>
                <w:sz w:val="15"/>
              </w:rPr>
              <w:t>Back-office: Participants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/api/v1/backoffice/participants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/api/v1/backoffice/participants/{id}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/api/v1/backoffice/participants/{id}/update-requests</w:t>
            </w:r>
          </w:p>
        </w:tc>
      </w:tr>
      <w:tr>
        <w:trPr>
          <w:cantSplit/>
        </w:trPr>
        <w:tc>
          <w:tcPr>
            <w:tcW w:type="dxa" w:w="8504"/>
            <w:gridSpan w:val="2"/>
            <w:shd w:val="clear" w:color="auto" w:fill="FEEBDD"/>
          </w:tcPr>
          <w:p>
            <w:pPr>
              <w:keepNext/>
              <w:spacing w:after="0"/>
            </w:pPr>
            <w:r>
              <w:rPr>
                <w:b/>
                <w:i w:val="0"/>
                <w:color w:val="333333"/>
                <w:sz w:val="15"/>
              </w:rPr>
              <w:t>Back-office: Policies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/api/v1/backoffice/policies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/api/v1/backoffice/policies/{id}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/api/v1/backoffice/policies/{id}/email-documents</w:t>
            </w:r>
          </w:p>
        </w:tc>
      </w:tr>
      <w:tr>
        <w:trPr>
          <w:cantSplit/>
        </w:trPr>
        <w:tc>
          <w:tcPr>
            <w:tcW w:type="dxa" w:w="8504"/>
            <w:gridSpan w:val="2"/>
            <w:shd w:val="clear" w:color="auto" w:fill="FEEBDD"/>
          </w:tcPr>
          <w:p>
            <w:pPr>
              <w:keepNext/>
              <w:spacing w:after="0"/>
            </w:pPr>
            <w:r>
              <w:rPr>
                <w:b/>
                <w:i w:val="0"/>
                <w:color w:val="333333"/>
                <w:sz w:val="15"/>
              </w:rPr>
              <w:t>Back-office: Products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/api/v1/backoffice/products</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/api/v1/backoffice/products/{id}</w:t>
            </w:r>
          </w:p>
        </w:tc>
      </w:tr>
      <w:tr>
        <w:trPr>
          <w:cantSplit/>
        </w:trPr>
        <w:tc>
          <w:tcPr>
            <w:tcW w:type="dxa" w:w="8504"/>
            <w:gridSpan w:val="2"/>
            <w:shd w:val="clear" w:color="auto" w:fill="FEEBDD"/>
          </w:tcPr>
          <w:p>
            <w:pPr>
              <w:keepNext/>
              <w:spacing w:after="0"/>
            </w:pPr>
            <w:r>
              <w:rPr>
                <w:b/>
                <w:i w:val="0"/>
                <w:color w:val="333333"/>
                <w:sz w:val="15"/>
              </w:rPr>
              <w:t>Back-office: Reports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/api/v1/backoffice/reports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/api/v1/backoffice/reports/schedules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/api/v1/backoffice/reports/schedules</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/api/v1/backoffice/reports/schedules/{id}/active</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/api/v1/backoffice/reports/{code}</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/api/v1/backoffice/reports/{code}/export</w:t>
            </w:r>
          </w:p>
        </w:tc>
      </w:tr>
      <w:tr>
        <w:trPr>
          <w:cantSplit/>
        </w:trPr>
        <w:tc>
          <w:tcPr>
            <w:tcW w:type="dxa" w:w="8504"/>
            <w:gridSpan w:val="2"/>
            <w:shd w:val="clear" w:color="auto" w:fill="FEEBDD"/>
          </w:tcPr>
          <w:p>
            <w:pPr>
              <w:keepNext/>
              <w:spacing w:after="0"/>
            </w:pPr>
            <w:r>
              <w:rPr>
                <w:b/>
                <w:i w:val="0"/>
                <w:color w:val="333333"/>
                <w:sz w:val="15"/>
              </w:rPr>
              <w:t>Back-office: Roles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/api/v1/backoffice/roles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/api/v1/backoffice/roles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/api/v1/backoffice/roles/permissions</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/api/v1/backoffice/roles/{id}</w:t>
            </w:r>
          </w:p>
        </w:tc>
      </w:tr>
      <w:tr>
        <w:trPr>
          <w:cantSplit/>
        </w:trPr>
        <w:tc>
          <w:tcPr>
            <w:tcW w:type="dxa" w:w="1134"/>
            <w:vAlign w:val="top"/>
          </w:tcPr>
          <w:p>
            <w:pPr>
              <w:spacing w:after="20" w:line="252" w:lineRule="auto"/>
            </w:pPr>
            <w:r>
              <w:rPr>
                <w:b w:val="0"/>
                <w:i w:val="0"/>
                <w:sz w:val="15"/>
              </w:rPr>
              <w:t>DELETE</w:t>
            </w:r>
          </w:p>
        </w:tc>
        <w:tc>
          <w:tcPr>
            <w:tcW w:type="dxa" w:w="8504"/>
            <w:vAlign w:val="top"/>
          </w:tcPr>
          <w:p>
            <w:pPr>
              <w:spacing w:after="20" w:line="252" w:lineRule="auto"/>
            </w:pPr>
            <w:r>
              <w:rPr>
                <w:b w:val="0"/>
                <w:i w:val="0"/>
                <w:sz w:val="15"/>
              </w:rPr>
              <w:t>/api/v1/backoffice/roles/{id}</w:t>
            </w:r>
          </w:p>
        </w:tc>
      </w:tr>
      <w:tr>
        <w:trPr>
          <w:cantSplit/>
        </w:trPr>
        <w:tc>
          <w:tcPr>
            <w:tcW w:type="dxa" w:w="8504"/>
            <w:gridSpan w:val="2"/>
            <w:shd w:val="clear" w:color="auto" w:fill="FEEBDD"/>
          </w:tcPr>
          <w:p>
            <w:pPr>
              <w:keepNext/>
              <w:spacing w:after="0"/>
            </w:pPr>
            <w:r>
              <w:rPr>
                <w:b/>
                <w:i w:val="0"/>
                <w:color w:val="333333"/>
                <w:sz w:val="15"/>
              </w:rPr>
              <w:t>Back-office: Users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/api/v1/backoffice/users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/api/v1/backoffice/users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/api/v1/backoffice/users/{id}</w:t>
            </w:r>
          </w:p>
        </w:tc>
      </w:tr>
      <w:tr>
        <w:trPr>
          <w:cantSplit/>
        </w:trPr>
        <w:tc>
          <w:tcPr>
            <w:tcW w:type="dxa" w:w="1134"/>
            <w:vAlign w:val="top"/>
          </w:tcPr>
          <w:p>
            <w:pPr>
              <w:spacing w:after="20" w:line="252" w:lineRule="auto"/>
            </w:pPr>
            <w:r>
              <w:rPr>
                <w:b w:val="0"/>
                <w:i w:val="0"/>
                <w:sz w:val="15"/>
              </w:rPr>
              <w:t>PATCH</w:t>
            </w:r>
          </w:p>
        </w:tc>
        <w:tc>
          <w:tcPr>
            <w:tcW w:type="dxa" w:w="8504"/>
            <w:vAlign w:val="top"/>
          </w:tcPr>
          <w:p>
            <w:pPr>
              <w:spacing w:after="20" w:line="252" w:lineRule="auto"/>
            </w:pPr>
            <w:r>
              <w:rPr>
                <w:b w:val="0"/>
                <w:i w:val="0"/>
                <w:sz w:val="15"/>
              </w:rPr>
              <w:t>/api/v1/backoffice/users/{id}</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/api/v1/backoffice/users/{id}/status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/api/v1/backoffice/users/{id}/unlock</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/api/v1/backoffice/users/{id}/reset-password</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/api/v1/backoffice/role-options</w:t>
            </w:r>
          </w:p>
        </w:tc>
      </w:tr>
      <w:tr>
        <w:trPr>
          <w:cantSplit/>
        </w:trPr>
        <w:tc>
          <w:tcPr>
            <w:tcW w:type="dxa" w:w="8504"/>
            <w:gridSpan w:val="2"/>
            <w:shd w:val="clear" w:color="auto" w:fill="FEEBDD"/>
          </w:tcPr>
          <w:p>
            <w:pPr>
              <w:keepNext/>
              <w:spacing w:after="0"/>
            </w:pPr>
            <w:r>
              <w:rPr>
                <w:b/>
                <w:i w:val="0"/>
                <w:color w:val="333333"/>
                <w:sz w:val="15"/>
              </w:rPr>
              <w:t>Back-office: Workflow configuration</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/api/v1/backoffice/workflows</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/api/v1/backoffice/workflows/{type}</w:t>
            </w:r>
          </w:p>
        </w:tc>
      </w:tr>
      <w:tr>
        <w:trPr>
          <w:cantSplit/>
        </w:trPr>
        <w:tc>
          <w:tcPr>
            <w:tcW w:type="dxa" w:w="8504"/>
            <w:gridSpan w:val="2"/>
            <w:shd w:val="clear" w:color="auto" w:fill="FEEBDD"/>
          </w:tcPr>
          <w:p>
            <w:pPr>
              <w:keepNext/>
              <w:spacing w:after="0"/>
            </w:pPr>
            <w:r>
              <w:rPr>
                <w:b/>
                <w:i w:val="0"/>
                <w:color w:val="333333"/>
                <w:sz w:val="15"/>
              </w:rPr>
              <w:t>Common: Documents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/api/v1/common/documents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/api/v1/common/documents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/api/v1/common/documents/{id}/content</w:t>
            </w:r>
          </w:p>
        </w:tc>
      </w:tr>
      <w:tr>
        <w:trPr>
          <w:cantSplit/>
        </w:trPr>
        <w:tc>
          <w:tcPr>
            <w:tcW w:type="dxa" w:w="8504"/>
            <w:gridSpan w:val="2"/>
            <w:shd w:val="clear" w:color="auto" w:fill="FEEBDD"/>
          </w:tcPr>
          <w:p>
            <w:pPr>
              <w:keepNext/>
              <w:spacing w:after="0"/>
            </w:pPr>
            <w:r>
              <w:rPr>
                <w:b/>
                <w:i w:val="0"/>
                <w:color w:val="333333"/>
                <w:sz w:val="15"/>
              </w:rPr>
              <w:t>Common: Issues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/api/v1/common/issues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/api/v1/common/issues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/api/v1/common/issues/{id}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/api/v1/common/issues/{id}/comments</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/api/v1/common/issues/{id}/status</w:t>
            </w:r>
          </w:p>
        </w:tc>
      </w:tr>
      <w:tr>
        <w:trPr>
          <w:cantSplit/>
        </w:trPr>
        <w:tc>
          <w:tcPr>
            <w:tcW w:type="dxa" w:w="8504"/>
            <w:gridSpan w:val="2"/>
            <w:shd w:val="clear" w:color="auto" w:fill="FEEBDD"/>
          </w:tcPr>
          <w:p>
            <w:pPr>
              <w:keepNext/>
              <w:spacing w:after="0"/>
            </w:pPr>
            <w:r>
              <w:rPr>
                <w:b/>
                <w:i w:val="0"/>
                <w:color w:val="333333"/>
                <w:sz w:val="15"/>
              </w:rPr>
              <w:t>Common: Master data</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/api/v1/common/codes</w:t>
            </w:r>
          </w:p>
        </w:tc>
      </w:tr>
      <w:tr>
        <w:trPr>
          <w:cantSplit/>
        </w:trPr>
        <w:tc>
          <w:tcPr>
            <w:tcW w:type="dxa" w:w="8504"/>
            <w:gridSpan w:val="2"/>
            <w:shd w:val="clear" w:color="auto" w:fill="FEEBDD"/>
          </w:tcPr>
          <w:p>
            <w:pPr>
              <w:keepNext/>
              <w:spacing w:after="0"/>
            </w:pPr>
            <w:r>
              <w:rPr>
                <w:b/>
                <w:i w:val="0"/>
                <w:color w:val="333333"/>
                <w:sz w:val="15"/>
              </w:rPr>
              <w:t>Common: Notifications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/api/v1/common/notifications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/api/v1/common/notifications/unread-count</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/api/v1/common/notifications/{id}/read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/api/v1/common/notifications/read-all</w:t>
            </w:r>
          </w:p>
        </w:tc>
      </w:tr>
      <w:tr>
        <w:trPr>
          <w:cantSplit/>
        </w:trPr>
        <w:tc>
          <w:tcPr>
            <w:tcW w:type="dxa" w:w="8504"/>
            <w:gridSpan w:val="2"/>
            <w:shd w:val="clear" w:color="auto" w:fill="FEEBDD"/>
          </w:tcPr>
          <w:p>
            <w:pPr>
              <w:keepNext/>
              <w:spacing w:after="0"/>
            </w:pPr>
            <w:r>
              <w:rPr>
                <w:b/>
                <w:i w:val="0"/>
                <w:color w:val="333333"/>
                <w:sz w:val="15"/>
              </w:rPr>
              <w:t>Common: Products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/api/v1/common/products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/api/v1/common/products/{id}</w:t>
            </w:r>
          </w:p>
        </w:tc>
      </w:tr>
      <w:tr>
        <w:trPr>
          <w:cantSplit/>
        </w:trPr>
        <w:tc>
          <w:tcPr>
            <w:tcW w:type="dxa" w:w="8504"/>
            <w:gridSpan w:val="2"/>
            <w:shd w:val="clear" w:color="auto" w:fill="FEEBDD"/>
          </w:tcPr>
          <w:p>
            <w:pPr>
              <w:keepNext/>
              <w:spacing w:after="0"/>
            </w:pPr>
            <w:r>
              <w:rPr>
                <w:b/>
                <w:i w:val="0"/>
                <w:color w:val="333333"/>
                <w:sz w:val="15"/>
              </w:rPr>
              <w:t>Integration (system-to-system)</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/api/v1/integration/agents/{agentCode}/status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/api/v1/integration/policies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/api/v1/integration/commissions/paid</w:t>
            </w:r>
          </w:p>
        </w:tc>
      </w:tr>
      <w:tr>
        <w:trPr>
          <w:cantSplit/>
        </w:trPr>
        <w:tc>
          <w:tcPr>
            <w:tcW w:type="dxa" w:w="8504"/>
            <w:gridSpan w:val="2"/>
            <w:shd w:val="clear" w:color="auto" w:fill="FEEBDD"/>
          </w:tcPr>
          <w:p>
            <w:pPr>
              <w:keepNext/>
              <w:spacing w:after="0"/>
            </w:pPr>
            <w:r>
              <w:rPr>
                <w:b/>
                <w:i w:val="0"/>
                <w:color w:val="333333"/>
                <w:sz w:val="15"/>
              </w:rPr>
              <w:t>Portal: Billing</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/api/v1/portal/billing/outstanding</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/api/v1/portal/billing/payments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/api/v1/portal/billing/payments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/api/v1/portal/billing/payments/{id}</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/api/v1/portal/billing/commissions</w:t>
            </w:r>
          </w:p>
        </w:tc>
      </w:tr>
      <w:tr>
        <w:trPr>
          <w:cantSplit/>
        </w:trPr>
        <w:tc>
          <w:tcPr>
            <w:tcW w:type="dxa" w:w="8504"/>
            <w:gridSpan w:val="2"/>
            <w:shd w:val="clear" w:color="auto" w:fill="FEEBDD"/>
          </w:tcPr>
          <w:p>
            <w:pPr>
              <w:keepNext/>
              <w:spacing w:after="0"/>
            </w:pPr>
            <w:r>
              <w:rPr>
                <w:b/>
                <w:i w:val="0"/>
                <w:color w:val="333333"/>
                <w:sz w:val="15"/>
              </w:rPr>
              <w:t>Portal: Claims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/api/v1/portal/claims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/api/v1/portal/claims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/api/v1/portal/claims/validate-policy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/api/v1/portal/claims/{id}</w:t>
            </w:r>
          </w:p>
        </w:tc>
      </w:tr>
      <w:tr>
        <w:trPr>
          <w:cantSplit/>
        </w:trPr>
        <w:tc>
          <w:tcPr>
            <w:tcW w:type="dxa" w:w="8504"/>
            <w:gridSpan w:val="2"/>
            <w:shd w:val="clear" w:color="auto" w:fill="FEEBDD"/>
          </w:tcPr>
          <w:p>
            <w:pPr>
              <w:keepNext/>
              <w:spacing w:after="0"/>
            </w:pPr>
            <w:r>
              <w:rPr>
                <w:b/>
                <w:i w:val="0"/>
                <w:color w:val="333333"/>
                <w:sz w:val="15"/>
              </w:rPr>
              <w:t>Portal: Dashboard</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/api/v1/portal/dashboard</w:t>
            </w:r>
          </w:p>
        </w:tc>
      </w:tr>
      <w:tr>
        <w:trPr>
          <w:cantSplit/>
        </w:trPr>
        <w:tc>
          <w:tcPr>
            <w:tcW w:type="dxa" w:w="8504"/>
            <w:gridSpan w:val="2"/>
            <w:shd w:val="clear" w:color="auto" w:fill="FEEBDD"/>
          </w:tcPr>
          <w:p>
            <w:pPr>
              <w:keepNext/>
              <w:spacing w:after="0"/>
            </w:pPr>
            <w:r>
              <w:rPr>
                <w:b/>
                <w:i w:val="0"/>
                <w:color w:val="333333"/>
                <w:sz w:val="15"/>
              </w:rPr>
              <w:t>Portal: Participants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/api/v1/portal/participants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/api/v1/portal/participants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/api/v1/portal/participants/lookup</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/api/v1/portal/participants/{id}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/api/v1/portal/participants/{id}/update-requests</w:t>
            </w:r>
          </w:p>
        </w:tc>
      </w:tr>
      <w:tr>
        <w:trPr>
          <w:cantSplit/>
        </w:trPr>
        <w:tc>
          <w:tcPr>
            <w:tcW w:type="dxa" w:w="8504"/>
            <w:gridSpan w:val="2"/>
            <w:shd w:val="clear" w:color="auto" w:fill="FEEBDD"/>
          </w:tcPr>
          <w:p>
            <w:pPr>
              <w:keepNext/>
              <w:spacing w:after="0"/>
            </w:pPr>
            <w:r>
              <w:rPr>
                <w:b/>
                <w:i w:val="0"/>
                <w:color w:val="333333"/>
                <w:sz w:val="15"/>
              </w:rPr>
              <w:t>Portal: Profile &amp; agency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/api/v1/portal/profile</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/api/v1/portal/profile/update-requests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/api/v1/portal/agency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/api/v1/portal/hierarchy</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/api/v1/portal/agents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/api/v1/portal/agents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/api/v1/portal/agents/{id}</w:t>
            </w:r>
          </w:p>
        </w:tc>
      </w:tr>
      <w:tr>
        <w:trPr>
          <w:cantSplit/>
        </w:trPr>
        <w:tc>
          <w:tcPr>
            <w:tcW w:type="dxa" w:w="8504"/>
            <w:gridSpan w:val="2"/>
            <w:shd w:val="clear" w:color="auto" w:fill="FEEBDD"/>
          </w:tcPr>
          <w:p>
            <w:pPr>
              <w:keepNext/>
              <w:spacing w:after="0"/>
            </w:pPr>
            <w:r>
              <w:rPr>
                <w:b/>
                <w:i w:val="0"/>
                <w:color w:val="333333"/>
                <w:sz w:val="15"/>
              </w:rPr>
              <w:t>Portal: Quotations &amp; policies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/api/v1/portal/policies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/api/v1/portal/policies/renewals-due</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/api/v1/portal/policies/{id}</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/api/v1/portal/policies/{id}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/api/v1/portal/policies/calculate</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/api/v1/portal/policies/{id}/questionnaire</w:t>
            </w:r>
          </w:p>
        </w:tc>
      </w:tr>
      <w:tr>
        <w:trPr>
          <w:cantSplit/>
        </w:trPr>
        <w:tc>
          <w:tcPr>
            <w:tcW w:type="dxa" w:w="1134"/>
            <w:vAlign w:val="top"/>
          </w:tcPr>
          <w:p>
            <w:pPr>
              <w:spacing w:after="20" w:line="252" w:lineRule="auto"/>
            </w:pPr>
            <w:r>
              <w:rPr>
                <w:b w:val="0"/>
                <w:i w:val="0"/>
                <w:sz w:val="15"/>
              </w:rPr>
              <w:t>PUT</w:t>
            </w:r>
          </w:p>
        </w:tc>
        <w:tc>
          <w:tcPr>
            <w:tcW w:type="dxa" w:w="8504"/>
            <w:vAlign w:val="top"/>
          </w:tcPr>
          <w:p>
            <w:pPr>
              <w:spacing w:after="20" w:line="252" w:lineRule="auto"/>
            </w:pPr>
            <w:r>
              <w:rPr>
                <w:b w:val="0"/>
                <w:i w:val="0"/>
                <w:sz w:val="15"/>
              </w:rPr>
              <w:t>/api/v1/portal/policies/{id}/nominees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/api/v1/portal/policies/{id}/submit</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/api/v1/portal/policies/{id}/discard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/api/v1/portal/policies/{id}/reopen</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/api/v1/portal/policies/{id}/renew</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/api/v1/portal/policies/{id}/endorsements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/api/v1/portal/policies/{id}/cancellations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/api/v1/portal/policies/{id}/email-documents</w:t>
            </w:r>
          </w:p>
        </w:tc>
      </w:tr>
      <w:tr>
        <w:trPr>
          <w:cantSplit/>
        </w:trPr>
        <w:tc>
          <w:tcPr>
            <w:tcW w:type="dxa" w:w="8504"/>
            <w:gridSpan w:val="2"/>
            <w:shd w:val="clear" w:color="auto" w:fill="FEEBDD"/>
          </w:tcPr>
          <w:p>
            <w:pPr>
              <w:keepNext/>
              <w:spacing w:after="0"/>
            </w:pPr>
            <w:r>
              <w:rPr>
                <w:b/>
                <w:i w:val="0"/>
                <w:color w:val="333333"/>
                <w:sz w:val="15"/>
              </w:rPr>
              <w:t>Portal: Reports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/api/v1/portal/reports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/api/v1/portal/reports/{code}</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/api/v1/portal/reports/{code}/export</w:t>
            </w:r>
          </w:p>
        </w:tc>
      </w:tr>
      <w:tr>
        <w:trPr>
          <w:cantSplit/>
        </w:trPr>
        <w:tc>
          <w:tcPr>
            <w:tcW w:type="dxa" w:w="8504"/>
            <w:gridSpan w:val="2"/>
            <w:shd w:val="clear" w:color="auto" w:fill="FEEBDD"/>
          </w:tcPr>
          <w:p>
            <w:pPr>
              <w:keepNext/>
              <w:spacing w:after="0"/>
            </w:pPr>
            <w:r>
              <w:rPr>
                <w:b/>
                <w:i w:val="0"/>
                <w:color w:val="333333"/>
                <w:sz w:val="15"/>
              </w:rPr>
              <w:t>Portal: Requests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/api/v1/portal/requests</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/api/v1/portal/requests/{id}</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/api/v1/portal/requests/{id}/withdraw</w:t>
            </w:r>
          </w:p>
        </w:tc>
      </w:tr>
      <w:tr>
        <w:trPr>
          <w:cantSplit/>
        </w:trPr>
        <w:tc>
          <w:tcPr>
            <w:tcW w:type="dxa" w:w="8504"/>
            <w:gridSpan w:val="2"/>
            <w:shd w:val="clear" w:color="auto" w:fill="FEEBDD"/>
          </w:tcPr>
          <w:p>
            <w:pPr>
              <w:keepNext/>
              <w:spacing w:after="0"/>
            </w:pPr>
            <w:r>
              <w:rPr>
                <w:b/>
                <w:i w:val="0"/>
                <w:color w:val="333333"/>
                <w:sz w:val="15"/>
              </w:rPr>
              <w:t>Portal: e-Signature</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/api/v1/portal/policies/{id}/signatures</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/api/v1/portal/policies/{id}/signatures/link</w:t>
            </w:r>
          </w:p>
        </w:tc>
      </w:tr>
      <w:tr>
        <w:trPr>
          <w:cantSplit/>
        </w:trPr>
        <w:tc>
          <w:tcPr>
            <w:tcW w:type="dxa" w:w="8504"/>
            <w:gridSpan w:val="2"/>
            <w:shd w:val="clear" w:color="auto" w:fill="FEEBDD"/>
          </w:tcPr>
          <w:p>
            <w:pPr>
              <w:keepNext/>
              <w:spacing w:after="0"/>
            </w:pPr>
            <w:r>
              <w:rPr>
                <w:b/>
                <w:i w:val="0"/>
                <w:color w:val="333333"/>
                <w:sz w:val="15"/>
              </w:rPr>
              <w:t>Public: e-Signature</w:t>
            </w:r>
          </w:p>
        </w:tc>
      </w:tr>
      <w:tr>
        <w:trPr>
          <w:cantSplit/>
        </w:trPr>
        <w:tc>
          <w:tcPr>
            <w:tcW w:type="dxa" w:w="1134"/>
            <w:vAlign w:val="top"/>
          </w:tcPr>
          <w:p>
            <w:pPr>
              <w:spacing w:after="20" w:line="252" w:lineRule="auto"/>
            </w:pPr>
            <w:r>
              <w:rPr>
                <w:b w:val="0"/>
                <w:i w:val="0"/>
                <w:sz w:val="15"/>
              </w:rPr>
              <w:t>GET</w:t>
            </w:r>
          </w:p>
        </w:tc>
        <w:tc>
          <w:tcPr>
            <w:tcW w:type="dxa" w:w="8504"/>
            <w:vAlign w:val="top"/>
          </w:tcPr>
          <w:p>
            <w:pPr>
              <w:spacing w:after="20" w:line="252" w:lineRule="auto"/>
            </w:pPr>
            <w:r>
              <w:rPr>
                <w:b w:val="0"/>
                <w:i w:val="0"/>
                <w:sz w:val="15"/>
              </w:rPr>
              <w:t>/api/v1/public/esign/{token}</w:t>
            </w:r>
          </w:p>
        </w:tc>
      </w:tr>
      <w:tr>
        <w:trPr>
          <w:cantSplit/>
        </w:trPr>
        <w:tc>
          <w:tcPr>
            <w:tcW w:type="dxa" w:w="1134"/>
            <w:vAlign w:val="top"/>
          </w:tcPr>
          <w:p>
            <w:pPr>
              <w:spacing w:after="20" w:line="252" w:lineRule="auto"/>
            </w:pPr>
            <w:r>
              <w:rPr>
                <w:b w:val="0"/>
                <w:i w:val="0"/>
                <w:sz w:val="15"/>
              </w:rPr>
              <w:t>POST</w:t>
            </w:r>
          </w:p>
        </w:tc>
        <w:tc>
          <w:tcPr>
            <w:tcW w:type="dxa" w:w="8504"/>
            <w:vAlign w:val="top"/>
          </w:tcPr>
          <w:p>
            <w:pPr>
              <w:spacing w:after="20" w:line="252" w:lineRule="auto"/>
            </w:pPr>
            <w:r>
              <w:rPr>
                <w:b w:val="0"/>
                <w:i w:val="0"/>
                <w:sz w:val="15"/>
              </w:rPr>
              <w:t>/api/v1/public/esign/{token}</w:t>
            </w:r>
          </w:p>
        </w:tc>
      </w:tr>
    </w:tbl>
    <w:p>
      <w:pPr>
        <w:spacing w:after="0" w:before="0"/>
      </w:pPr>
      <w:r>
        <w:rPr>
          <w:sz w:val="8"/>
        </w:rPr>
      </w:r>
    </w:p>
    <w:p>
      <w:pPr>
        <w:pStyle w:val="Heading1"/>
        <w:pageBreakBefore/>
        <w:pBdr>
          <w:bottom w:val="single" w:sz="12" w:space="4" w:color="F58220"/>
        </w:pBdr>
      </w:pPr>
      <w:r>
        <w:t>Appendix B: Glossary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7597"/>
      </w:tblGrid>
      <w:tr>
        <w:trPr>
          <w:cantSplit/>
          <w:tblHeader/>
        </w:trPr>
        <w:tc>
          <w:tcPr>
            <w:tcW w:type="dxa" w:w="2041"/>
            <w:shd w:val="clear" w:color="auto" w:fill="E1058C"/>
            <w:vAlign w:val="center"/>
          </w:tcPr>
          <w:p>
            <w:pPr>
              <w:spacing w:after="0"/>
            </w:pPr>
            <w:r>
              <w:rPr>
                <w:b/>
                <w:i w:val="0"/>
                <w:color w:val="FFFFFF"/>
                <w:sz w:val="17"/>
              </w:rPr>
              <w:t>Term</w:t>
            </w:r>
          </w:p>
        </w:tc>
        <w:tc>
          <w:tcPr>
            <w:tcW w:type="dxa" w:w="7597"/>
            <w:shd w:val="clear" w:color="auto" w:fill="E1058C"/>
            <w:vAlign w:val="center"/>
          </w:tcPr>
          <w:p>
            <w:pPr>
              <w:spacing w:after="0"/>
            </w:pPr>
            <w:r>
              <w:rPr>
                <w:b/>
                <w:i w:val="0"/>
                <w:color w:val="FFFFFF"/>
                <w:sz w:val="17"/>
              </w:rPr>
              <w:t>Meaning</w:t>
            </w:r>
          </w:p>
        </w:tc>
      </w:tr>
      <w:tr>
        <w:trPr>
          <w:cantSplit/>
        </w:trPr>
        <w:tc>
          <w:tcPr>
            <w:tcW w:type="dxa" w:w="2041"/>
            <w:vAlign w:val="top"/>
          </w:tcPr>
          <w:p>
            <w:pPr>
              <w:spacing w:after="20" w:line="252" w:lineRule="auto"/>
            </w:pPr>
            <w:r>
              <w:rPr>
                <w:b/>
                <w:i w:val="0"/>
                <w:sz w:val="17"/>
              </w:rPr>
              <w:t>Advisory lock</w:t>
            </w:r>
          </w:p>
        </w:tc>
        <w:tc>
          <w:tcPr>
            <w:tcW w:type="dxa" w:w="7597"/>
            <w:vAlign w:val="top"/>
          </w:tcPr>
          <w:p>
            <w:pPr>
              <w:spacing w:after="20" w:line="252" w:lineRule="auto"/>
            </w:pPr>
            <w:r>
              <w:rPr>
                <w:b w:val="0"/>
                <w:i w:val="0"/>
                <w:sz w:val="17"/>
              </w:rPr>
              <w:t>PostgreSQL lock identified by a number, used here so one API instance runs each job</w:t>
            </w:r>
          </w:p>
        </w:tc>
      </w:tr>
      <w:tr>
        <w:trPr>
          <w:cantSplit/>
        </w:trPr>
        <w:tc>
          <w:tcPr>
            <w:tcW w:type="dxa" w:w="2041"/>
            <w:vAlign w:val="top"/>
            <w:shd w:val="clear" w:color="auto" w:fill="FDF0F7"/>
          </w:tcPr>
          <w:p>
            <w:pPr>
              <w:spacing w:after="20" w:line="252" w:lineRule="auto"/>
            </w:pPr>
            <w:r>
              <w:rPr>
                <w:b/>
                <w:i w:val="0"/>
                <w:sz w:val="17"/>
              </w:rPr>
              <w:t>AMBD</w:t>
            </w:r>
          </w:p>
        </w:tc>
        <w:tc>
          <w:tcPr>
            <w:tcW w:type="dxa" w:w="7597"/>
            <w:vAlign w:val="top"/>
            <w:shd w:val="clear" w:color="auto" w:fill="FDF0F7"/>
          </w:tcPr>
          <w:p>
            <w:pPr>
              <w:spacing w:after="20" w:line="252" w:lineRule="auto"/>
            </w:pPr>
            <w:r>
              <w:rPr>
                <w:b w:val="0"/>
                <w:i w:val="0"/>
                <w:sz w:val="17"/>
              </w:rPr>
              <w:t>Autoriti Monetari Brunei Darussalam, the financial regulator</w:t>
            </w:r>
          </w:p>
        </w:tc>
      </w:tr>
      <w:tr>
        <w:trPr>
          <w:cantSplit/>
        </w:trPr>
        <w:tc>
          <w:tcPr>
            <w:tcW w:type="dxa" w:w="2041"/>
            <w:vAlign w:val="top"/>
          </w:tcPr>
          <w:p>
            <w:pPr>
              <w:spacing w:after="20" w:line="252" w:lineRule="auto"/>
            </w:pPr>
            <w:r>
              <w:rPr>
                <w:b/>
                <w:i w:val="0"/>
                <w:sz w:val="17"/>
              </w:rPr>
              <w:t>Blind index</w:t>
            </w:r>
          </w:p>
        </w:tc>
        <w:tc>
          <w:tcPr>
            <w:tcW w:type="dxa" w:w="7597"/>
            <w:vAlign w:val="top"/>
          </w:tcPr>
          <w:p>
            <w:pPr>
              <w:spacing w:after="20" w:line="252" w:lineRule="auto"/>
            </w:pPr>
            <w:r>
              <w:rPr>
                <w:b w:val="0"/>
                <w:i w:val="0"/>
                <w:sz w:val="17"/>
              </w:rPr>
              <w:t>Keyed hash of a value stored next to its ciphertext so the value can be matched exactly without decrypting</w:t>
            </w:r>
          </w:p>
        </w:tc>
      </w:tr>
      <w:tr>
        <w:trPr>
          <w:cantSplit/>
        </w:trPr>
        <w:tc>
          <w:tcPr>
            <w:tcW w:type="dxa" w:w="2041"/>
            <w:vAlign w:val="top"/>
            <w:shd w:val="clear" w:color="auto" w:fill="FDF0F7"/>
          </w:tcPr>
          <w:p>
            <w:pPr>
              <w:spacing w:after="20" w:line="252" w:lineRule="auto"/>
            </w:pPr>
            <w:r>
              <w:rPr>
                <w:b/>
                <w:i w:val="0"/>
                <w:sz w:val="17"/>
              </w:rPr>
              <w:t>CSRF</w:t>
            </w:r>
          </w:p>
        </w:tc>
        <w:tc>
          <w:tcPr>
            <w:tcW w:type="dxa" w:w="7597"/>
            <w:vAlign w:val="top"/>
            <w:shd w:val="clear" w:color="auto" w:fill="FDF0F7"/>
          </w:tcPr>
          <w:p>
            <w:pPr>
              <w:spacing w:after="20" w:line="252" w:lineRule="auto"/>
            </w:pPr>
            <w:r>
              <w:rPr>
                <w:b w:val="0"/>
                <w:i w:val="0"/>
                <w:sz w:val="17"/>
              </w:rPr>
              <w:t>Cross-site request forgery</w:t>
            </w:r>
          </w:p>
        </w:tc>
      </w:tr>
      <w:tr>
        <w:trPr>
          <w:cantSplit/>
        </w:trPr>
        <w:tc>
          <w:tcPr>
            <w:tcW w:type="dxa" w:w="2041"/>
            <w:vAlign w:val="top"/>
          </w:tcPr>
          <w:p>
            <w:pPr>
              <w:spacing w:after="20" w:line="252" w:lineRule="auto"/>
            </w:pPr>
            <w:r>
              <w:rPr>
                <w:b/>
                <w:i w:val="0"/>
                <w:sz w:val="17"/>
              </w:rPr>
              <w:t>Dead-letter</w:t>
            </w:r>
          </w:p>
        </w:tc>
        <w:tc>
          <w:tcPr>
            <w:tcW w:type="dxa" w:w="7597"/>
            <w:vAlign w:val="top"/>
          </w:tcPr>
          <w:p>
            <w:pPr>
              <w:spacing w:after="20" w:line="252" w:lineRule="auto"/>
            </w:pPr>
            <w:r>
              <w:rPr>
                <w:b w:val="0"/>
                <w:i w:val="0"/>
                <w:sz w:val="17"/>
              </w:rPr>
              <w:t>State of a message that will not be retried automatically</w:t>
            </w:r>
          </w:p>
        </w:tc>
      </w:tr>
      <w:tr>
        <w:trPr>
          <w:cantSplit/>
        </w:trPr>
        <w:tc>
          <w:tcPr>
            <w:tcW w:type="dxa" w:w="2041"/>
            <w:vAlign w:val="top"/>
            <w:shd w:val="clear" w:color="auto" w:fill="FDF0F7"/>
          </w:tcPr>
          <w:p>
            <w:pPr>
              <w:spacing w:after="20" w:line="252" w:lineRule="auto"/>
            </w:pPr>
            <w:r>
              <w:rPr>
                <w:b/>
                <w:i w:val="0"/>
                <w:sz w:val="17"/>
              </w:rPr>
              <w:t>EOD</w:t>
            </w:r>
          </w:p>
        </w:tc>
        <w:tc>
          <w:tcPr>
            <w:tcW w:type="dxa" w:w="7597"/>
            <w:vAlign w:val="top"/>
            <w:shd w:val="clear" w:color="auto" w:fill="FDF0F7"/>
          </w:tcPr>
          <w:p>
            <w:pPr>
              <w:spacing w:after="20" w:line="252" w:lineRule="auto"/>
            </w:pPr>
            <w:r>
              <w:rPr>
                <w:b w:val="0"/>
                <w:i w:val="0"/>
                <w:sz w:val="17"/>
              </w:rPr>
              <w:t>End-of-day processing</w:t>
            </w:r>
          </w:p>
        </w:tc>
      </w:tr>
      <w:tr>
        <w:trPr>
          <w:cantSplit/>
        </w:trPr>
        <w:tc>
          <w:tcPr>
            <w:tcW w:type="dxa" w:w="2041"/>
            <w:vAlign w:val="top"/>
          </w:tcPr>
          <w:p>
            <w:pPr>
              <w:spacing w:after="20" w:line="252" w:lineRule="auto"/>
            </w:pPr>
            <w:r>
              <w:rPr>
                <w:b/>
                <w:i w:val="0"/>
                <w:sz w:val="17"/>
              </w:rPr>
              <w:t>FIN</w:t>
            </w:r>
          </w:p>
        </w:tc>
        <w:tc>
          <w:tcPr>
            <w:tcW w:type="dxa" w:w="7597"/>
            <w:vAlign w:val="top"/>
          </w:tcPr>
          <w:p>
            <w:pPr>
              <w:spacing w:after="20" w:line="252" w:lineRule="auto"/>
            </w:pPr>
            <w:r>
              <w:rPr>
                <w:b w:val="0"/>
                <w:i w:val="0"/>
                <w:sz w:val="17"/>
              </w:rPr>
              <w:t>IITH financial system</w:t>
            </w:r>
          </w:p>
        </w:tc>
      </w:tr>
      <w:tr>
        <w:trPr>
          <w:cantSplit/>
        </w:trPr>
        <w:tc>
          <w:tcPr>
            <w:tcW w:type="dxa" w:w="2041"/>
            <w:vAlign w:val="top"/>
            <w:shd w:val="clear" w:color="auto" w:fill="FDF0F7"/>
          </w:tcPr>
          <w:p>
            <w:pPr>
              <w:spacing w:after="20" w:line="252" w:lineRule="auto"/>
            </w:pPr>
            <w:r>
              <w:rPr>
                <w:b/>
                <w:i w:val="0"/>
                <w:sz w:val="17"/>
              </w:rPr>
              <w:t>Idempotency key</w:t>
            </w:r>
          </w:p>
        </w:tc>
        <w:tc>
          <w:tcPr>
            <w:tcW w:type="dxa" w:w="7597"/>
            <w:vAlign w:val="top"/>
            <w:shd w:val="clear" w:color="auto" w:fill="FDF0F7"/>
          </w:tcPr>
          <w:p>
            <w:pPr>
              <w:spacing w:after="20" w:line="252" w:lineRule="auto"/>
            </w:pPr>
            <w:r>
              <w:rPr>
                <w:b w:val="0"/>
                <w:i w:val="0"/>
                <w:sz w:val="17"/>
              </w:rPr>
              <w:t>Identifier that lets a receiver ignore a repeated delivery</w:t>
            </w:r>
          </w:p>
        </w:tc>
      </w:tr>
      <w:tr>
        <w:trPr>
          <w:cantSplit/>
        </w:trPr>
        <w:tc>
          <w:tcPr>
            <w:tcW w:type="dxa" w:w="2041"/>
            <w:vAlign w:val="top"/>
          </w:tcPr>
          <w:p>
            <w:pPr>
              <w:spacing w:after="20" w:line="252" w:lineRule="auto"/>
            </w:pPr>
            <w:r>
              <w:rPr>
                <w:b/>
                <w:i w:val="0"/>
                <w:sz w:val="17"/>
              </w:rPr>
              <w:t>Maker-checker</w:t>
            </w:r>
          </w:p>
        </w:tc>
        <w:tc>
          <w:tcPr>
            <w:tcW w:type="dxa" w:w="7597"/>
            <w:vAlign w:val="top"/>
          </w:tcPr>
          <w:p>
            <w:pPr>
              <w:spacing w:after="20" w:line="252" w:lineRule="auto"/>
            </w:pPr>
            <w:r>
              <w:rPr>
                <w:b w:val="0"/>
                <w:i w:val="0"/>
                <w:sz w:val="17"/>
              </w:rPr>
              <w:t>Control where one person raises a change and another approves it</w:t>
            </w:r>
          </w:p>
        </w:tc>
      </w:tr>
      <w:tr>
        <w:trPr>
          <w:cantSplit/>
        </w:trPr>
        <w:tc>
          <w:tcPr>
            <w:tcW w:type="dxa" w:w="2041"/>
            <w:vAlign w:val="top"/>
            <w:shd w:val="clear" w:color="auto" w:fill="FDF0F7"/>
          </w:tcPr>
          <w:p>
            <w:pPr>
              <w:spacing w:after="20" w:line="252" w:lineRule="auto"/>
            </w:pPr>
            <w:r>
              <w:rPr>
                <w:b/>
                <w:i w:val="0"/>
                <w:sz w:val="17"/>
              </w:rPr>
              <w:t>Outbox</w:t>
            </w:r>
          </w:p>
        </w:tc>
        <w:tc>
          <w:tcPr>
            <w:tcW w:type="dxa" w:w="7597"/>
            <w:vAlign w:val="top"/>
            <w:shd w:val="clear" w:color="auto" w:fill="FDF0F7"/>
          </w:tcPr>
          <w:p>
            <w:pPr>
              <w:spacing w:after="20" w:line="252" w:lineRule="auto"/>
            </w:pPr>
            <w:r>
              <w:rPr>
                <w:b w:val="0"/>
                <w:i w:val="0"/>
                <w:sz w:val="17"/>
              </w:rPr>
              <w:t>Table of messages written with the business change and delivered afterwards</w:t>
            </w:r>
          </w:p>
        </w:tc>
      </w:tr>
      <w:tr>
        <w:trPr>
          <w:cantSplit/>
        </w:trPr>
        <w:tc>
          <w:tcPr>
            <w:tcW w:type="dxa" w:w="2041"/>
            <w:vAlign w:val="top"/>
          </w:tcPr>
          <w:p>
            <w:pPr>
              <w:spacing w:after="20" w:line="252" w:lineRule="auto"/>
            </w:pPr>
            <w:r>
              <w:rPr>
                <w:b/>
                <w:i w:val="0"/>
                <w:sz w:val="17"/>
              </w:rPr>
              <w:t>PDPO</w:t>
            </w:r>
          </w:p>
        </w:tc>
        <w:tc>
          <w:tcPr>
            <w:tcW w:type="dxa" w:w="7597"/>
            <w:vAlign w:val="top"/>
          </w:tcPr>
          <w:p>
            <w:pPr>
              <w:spacing w:after="20" w:line="252" w:lineRule="auto"/>
            </w:pPr>
            <w:r>
              <w:rPr>
                <w:b w:val="0"/>
                <w:i w:val="0"/>
                <w:sz w:val="17"/>
              </w:rPr>
              <w:t>Personal Data Protection Order 2025 (Brunei)</w:t>
            </w:r>
          </w:p>
        </w:tc>
      </w:tr>
      <w:tr>
        <w:trPr>
          <w:cantSplit/>
        </w:trPr>
        <w:tc>
          <w:tcPr>
            <w:tcW w:type="dxa" w:w="2041"/>
            <w:vAlign w:val="top"/>
            <w:shd w:val="clear" w:color="auto" w:fill="FDF0F7"/>
          </w:tcPr>
          <w:p>
            <w:pPr>
              <w:spacing w:after="20" w:line="252" w:lineRule="auto"/>
            </w:pPr>
            <w:r>
              <w:rPr>
                <w:b/>
                <w:i w:val="0"/>
                <w:sz w:val="17"/>
              </w:rPr>
              <w:t>PITR</w:t>
            </w:r>
          </w:p>
        </w:tc>
        <w:tc>
          <w:tcPr>
            <w:tcW w:type="dxa" w:w="7597"/>
            <w:vAlign w:val="top"/>
            <w:shd w:val="clear" w:color="auto" w:fill="FDF0F7"/>
          </w:tcPr>
          <w:p>
            <w:pPr>
              <w:spacing w:after="20" w:line="252" w:lineRule="auto"/>
            </w:pPr>
            <w:r>
              <w:rPr>
                <w:b w:val="0"/>
                <w:i w:val="0"/>
                <w:sz w:val="17"/>
              </w:rPr>
              <w:t>Point-in-time recovery</w:t>
            </w:r>
          </w:p>
        </w:tc>
      </w:tr>
      <w:tr>
        <w:trPr>
          <w:cantSplit/>
        </w:trPr>
        <w:tc>
          <w:tcPr>
            <w:tcW w:type="dxa" w:w="2041"/>
            <w:vAlign w:val="top"/>
          </w:tcPr>
          <w:p>
            <w:pPr>
              <w:spacing w:after="20" w:line="252" w:lineRule="auto"/>
            </w:pPr>
            <w:r>
              <w:rPr>
                <w:b/>
                <w:i w:val="0"/>
                <w:sz w:val="17"/>
              </w:rPr>
              <w:t>RPO / RTO</w:t>
            </w:r>
          </w:p>
        </w:tc>
        <w:tc>
          <w:tcPr>
            <w:tcW w:type="dxa" w:w="7597"/>
            <w:vAlign w:val="top"/>
          </w:tcPr>
          <w:p>
            <w:pPr>
              <w:spacing w:after="20" w:line="252" w:lineRule="auto"/>
            </w:pPr>
            <w:r>
              <w:rPr>
                <w:b w:val="0"/>
                <w:i w:val="0"/>
                <w:sz w:val="17"/>
              </w:rPr>
              <w:t>Recovery point objective (data loss) / recovery time objective (downtime)</w:t>
            </w:r>
          </w:p>
        </w:tc>
      </w:tr>
      <w:tr>
        <w:trPr>
          <w:cantSplit/>
        </w:trPr>
        <w:tc>
          <w:tcPr>
            <w:tcW w:type="dxa" w:w="2041"/>
            <w:vAlign w:val="top"/>
            <w:shd w:val="clear" w:color="auto" w:fill="FDF0F7"/>
          </w:tcPr>
          <w:p>
            <w:pPr>
              <w:spacing w:after="20" w:line="252" w:lineRule="auto"/>
            </w:pPr>
            <w:r>
              <w:rPr>
                <w:b/>
                <w:i w:val="0"/>
                <w:sz w:val="17"/>
              </w:rPr>
              <w:t>SPA</w:t>
            </w:r>
          </w:p>
        </w:tc>
        <w:tc>
          <w:tcPr>
            <w:tcW w:type="dxa" w:w="7597"/>
            <w:vAlign w:val="top"/>
            <w:shd w:val="clear" w:color="auto" w:fill="FDF0F7"/>
          </w:tcPr>
          <w:p>
            <w:pPr>
              <w:spacing w:after="20" w:line="252" w:lineRule="auto"/>
            </w:pPr>
            <w:r>
              <w:rPr>
                <w:b w:val="0"/>
                <w:i w:val="0"/>
                <w:sz w:val="17"/>
              </w:rPr>
              <w:t>Single-page application</w:t>
            </w:r>
          </w:p>
        </w:tc>
      </w:tr>
      <w:tr>
        <w:trPr>
          <w:cantSplit/>
        </w:trPr>
        <w:tc>
          <w:tcPr>
            <w:tcW w:type="dxa" w:w="2041"/>
            <w:vAlign w:val="top"/>
          </w:tcPr>
          <w:p>
            <w:pPr>
              <w:spacing w:after="20" w:line="252" w:lineRule="auto"/>
            </w:pPr>
            <w:r>
              <w:rPr>
                <w:b/>
                <w:i w:val="0"/>
                <w:sz w:val="17"/>
              </w:rPr>
              <w:t>Tabarru'</w:t>
            </w:r>
          </w:p>
        </w:tc>
        <w:tc>
          <w:tcPr>
            <w:tcW w:type="dxa" w:w="7597"/>
            <w:vAlign w:val="top"/>
          </w:tcPr>
          <w:p>
            <w:pPr>
              <w:spacing w:after="20" w:line="252" w:lineRule="auto"/>
            </w:pPr>
            <w:r>
              <w:rPr>
                <w:b w:val="0"/>
                <w:i w:val="0"/>
                <w:sz w:val="17"/>
              </w:rPr>
              <w:t>Donation portion of the contribution to the participants' risk fund</w:t>
            </w:r>
          </w:p>
        </w:tc>
      </w:tr>
      <w:tr>
        <w:trPr>
          <w:cantSplit/>
        </w:trPr>
        <w:tc>
          <w:tcPr>
            <w:tcW w:type="dxa" w:w="2041"/>
            <w:vAlign w:val="top"/>
            <w:shd w:val="clear" w:color="auto" w:fill="FDF0F7"/>
          </w:tcPr>
          <w:p>
            <w:pPr>
              <w:spacing w:after="20" w:line="252" w:lineRule="auto"/>
            </w:pPr>
            <w:r>
              <w:rPr>
                <w:b/>
                <w:i w:val="0"/>
                <w:sz w:val="17"/>
              </w:rPr>
              <w:t>Wakalah</w:t>
            </w:r>
          </w:p>
        </w:tc>
        <w:tc>
          <w:tcPr>
            <w:tcW w:type="dxa" w:w="7597"/>
            <w:vAlign w:val="top"/>
            <w:shd w:val="clear" w:color="auto" w:fill="FDF0F7"/>
          </w:tcPr>
          <w:p>
            <w:pPr>
              <w:spacing w:after="20" w:line="252" w:lineRule="auto"/>
            </w:pPr>
            <w:r>
              <w:rPr>
                <w:b w:val="0"/>
                <w:i w:val="0"/>
                <w:sz w:val="17"/>
              </w:rPr>
              <w:t>Agency fee charged by the takaful operator</w:t>
            </w:r>
          </w:p>
        </w:tc>
      </w:tr>
    </w:tbl>
    <w:p>
      <w:pPr>
        <w:spacing w:after="0" w:before="0"/>
      </w:pPr>
      <w:r>
        <w:rPr>
          <w:sz w:val="8"/>
        </w:rPr>
      </w: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IIFT-SV2-SAD v1.0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jc w:val="left"/>
      <w:pBdr>
        <w:bottom w:val="single" w:sz="6" w:space="2" w:color="F58220"/>
      </w:pBdr>
    </w:pPr>
    <w:r>
      <w:drawing>
        <wp:inline xmlns:a="http://schemas.openxmlformats.org/drawingml/2006/main" xmlns:pic="http://schemas.openxmlformats.org/drawingml/2006/picture">
          <wp:extent cx="643238" cy="1980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643238" cy="198000"/>
                  </a:xfrm>
                  <a:prstGeom prst="rect"/>
                </pic:spPr>
              </pic:pic>
            </a:graphicData>
          </a:graphic>
        </wp:inline>
      </w:drawing>
    </w:r>
    <w:r>
      <w:tab/>
    </w:r>
    <w:r>
      <w:rPr>
        <w:b w:val="0"/>
        <w:i w:val="0"/>
        <w:color w:val="6B6B6B"/>
        <w:sz w:val="16"/>
      </w:rPr>
      <w:t>SalesVerse 2.0 Solution Architecture | IIFT Agent/Banca Portal &amp; Back-office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cs="Arial" w:eastAsia="Arial"/>
      <w:b/>
      <w:bCs/>
      <w:i w:val="0"/>
      <w:color w:val="E1058C"/>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Arial" w:hAnsi="Arial" w:cs="Arial" w:eastAsia="Arial"/>
      <w:b/>
      <w:bCs/>
      <w:i w:val="0"/>
      <w:color w:val="E1058C"/>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rial" w:hAnsi="Arial" w:cs="Arial" w:eastAsia="Arial"/>
      <w:b/>
      <w:bCs/>
      <w:i w:val="0"/>
      <w:color w:val="F58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cs="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SalesVerse 2.0 Solution Architecture</dc:title>
  <dc:subject>IIFT Agent/Banca Portal &amp; Back-office – Solution Architecture</dc:subject>
  <dc:creator>iorta TechNXT</dc:creator>
  <cp:keywords>solution architecture; SalesVerse 2.0; IIFT; NestJS; PostgreSQL; deployment; security</cp:keywords>
  <dc:description/>
  <cp:lastModifiedBy>iorta TechNXT</cp:lastModifiedBy>
  <cp:revision>1</cp:revision>
  <dcterms:created xsi:type="dcterms:W3CDTF">2026-10-02T21:27:57Z</dcterms:created>
  <dcterms:modified xsi:type="dcterms:W3CDTF">2026-10-02T21:27:57Z</dcterms:modified>
  <cp:category>Commercial-in-Confidence</cp:category>
  <dc:identifier>IIFT-SV2-SAD</dc:identifier>
  <cp:version>1.0</cp:version>
</cp:coreProperties>
</file>