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b/>
          <w:i w:val="0"/>
          <w:color w:val="E1058C"/>
          <w:sz w:val="52"/>
        </w:rPr>
        <w:t>iorta</w:t>
      </w:r>
      <w:r>
        <w:rPr>
          <w:b w:val="0"/>
          <w:i w:val="0"/>
          <w:color w:val="333333"/>
          <w:sz w:val="52"/>
        </w:rPr>
        <w:t xml:space="preserve"> TechNXT</w:t>
      </w:r>
    </w:p>
    <w:p>
      <w:r>
        <w:drawing>
          <wp:inline xmlns:a="http://schemas.openxmlformats.org/drawingml/2006/main" xmlns:pic="http://schemas.openxmlformats.org/drawingml/2006/picture">
            <wp:extent cx="6120000" cy="214200"/>
            <wp:docPr id="1" name="Picture 1"/>
            <wp:cNvGraphicFramePr>
              <a:graphicFrameLocks noChangeAspect="1"/>
            </wp:cNvGraphicFramePr>
            <a:graphic>
              <a:graphicData uri="http://schemas.openxmlformats.org/drawingml/2006/picture">
                <pic:pic>
                  <pic:nvPicPr>
                    <pic:cNvPr id="0" name="cover-band.png"/>
                    <pic:cNvPicPr/>
                  </pic:nvPicPr>
                  <pic:blipFill>
                    <a:blip r:embed="rId11"/>
                    <a:stretch>
                      <a:fillRect/>
                    </a:stretch>
                  </pic:blipFill>
                  <pic:spPr>
                    <a:xfrm>
                      <a:off x="0" y="0"/>
                      <a:ext cx="6120000" cy="214200"/>
                    </a:xfrm>
                    <a:prstGeom prst="rect"/>
                  </pic:spPr>
                </pic:pic>
              </a:graphicData>
            </a:graphic>
          </wp:inline>
        </w:drawing>
      </w:r>
    </w:p>
    <w:p>
      <w:pPr>
        <w:spacing w:after="0" w:before="0"/>
      </w:pPr>
      <w:r>
        <w:rPr>
          <w:sz w:val="36"/>
        </w:rPr>
      </w:r>
    </w:p>
    <w:p>
      <w:pPr>
        <w:keepNext w:val="0"/>
        <w:spacing w:after="200"/>
      </w:pPr>
      <w:r>
        <w:rPr>
          <w:b/>
          <w:i w:val="0"/>
          <w:color w:val="E1058C"/>
          <w:sz w:val="52"/>
        </w:rPr>
        <w:t>SalesVerse 2.0</w:t>
        <w:br/>
        <w:t>Code Standards and Quality Report</w:t>
      </w:r>
    </w:p>
    <w:p>
      <w:pPr>
        <w:keepNext w:val="0"/>
        <w:spacing w:after="720"/>
      </w:pPr>
      <w:r>
        <w:rPr>
          <w:b/>
          <w:i w:val="0"/>
          <w:color w:val="F58220"/>
          <w:sz w:val="26"/>
        </w:rPr>
        <w:t>Coding standards, static analysis, tests, coverage, dependencies and licences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rPr>
        <w:tc>
          <w:tcPr>
            <w:tcW w:type="dxa" w:w="2835"/>
            <w:shd w:val="clear" w:color="auto" w:fill="FDF0F7"/>
          </w:tcPr>
          <w:p>
            <w:pPr>
              <w:spacing w:after="20"/>
            </w:pPr>
            <w:r>
              <w:rPr>
                <w:b/>
                <w:i w:val="0"/>
                <w:sz w:val="18"/>
              </w:rPr>
              <w:t>Prepared for</w:t>
            </w:r>
          </w:p>
        </w:tc>
        <w:tc>
          <w:tcPr>
            <w:tcW w:type="dxa" w:w="6803"/>
          </w:tcPr>
          <w:p>
            <w:pPr>
              <w:spacing w:after="20"/>
            </w:pPr>
            <w:r>
              <w:rPr>
                <w:b w:val="0"/>
                <w:i w:val="0"/>
                <w:sz w:val="18"/>
              </w:rPr>
              <w:t>Insurans Islam Family Takaful Sendirian Berhad</w:t>
            </w:r>
          </w:p>
        </w:tc>
      </w:tr>
      <w:tr>
        <w:trPr>
          <w:cantSplit/>
        </w:trPr>
        <w:tc>
          <w:tcPr>
            <w:tcW w:type="dxa" w:w="2835"/>
            <w:shd w:val="clear" w:color="auto" w:fill="FDF0F7"/>
          </w:tcPr>
          <w:p>
            <w:pPr>
              <w:spacing w:after="20"/>
            </w:pPr>
            <w:r>
              <w:rPr>
                <w:b/>
                <w:i w:val="0"/>
                <w:sz w:val="18"/>
              </w:rPr>
              <w:t>Solution</w:t>
            </w:r>
          </w:p>
        </w:tc>
        <w:tc>
          <w:tcPr>
            <w:tcW w:type="dxa" w:w="6803"/>
          </w:tcPr>
          <w:p>
            <w:pPr>
              <w:spacing w:after="20"/>
            </w:pPr>
            <w:r>
              <w:rPr>
                <w:b w:val="0"/>
                <w:i w:val="0"/>
                <w:sz w:val="18"/>
              </w:rPr>
              <w:t>IIFT Agent/Banca Portal &amp; Back-office</w:t>
            </w:r>
          </w:p>
        </w:tc>
      </w:tr>
      <w:tr>
        <w:trPr>
          <w:cantSplit/>
        </w:trPr>
        <w:tc>
          <w:tcPr>
            <w:tcW w:type="dxa" w:w="2835"/>
            <w:shd w:val="clear" w:color="auto" w:fill="FDF0F7"/>
          </w:tcPr>
          <w:p>
            <w:pPr>
              <w:spacing w:after="20"/>
            </w:pPr>
            <w:r>
              <w:rPr>
                <w:b/>
                <w:i w:val="0"/>
                <w:sz w:val="18"/>
              </w:rPr>
              <w:t>Build assessed</w:t>
            </w:r>
          </w:p>
        </w:tc>
        <w:tc>
          <w:tcPr>
            <w:tcW w:type="dxa" w:w="6803"/>
          </w:tcPr>
          <w:p>
            <w:pPr>
              <w:spacing w:after="20"/>
            </w:pPr>
            <w:r>
              <w:rPr>
                <w:b w:val="0"/>
                <w:i w:val="0"/>
                <w:sz w:val="18"/>
              </w:rPr>
              <w:t>Commit 47f239c</w:t>
            </w:r>
          </w:p>
        </w:tc>
      </w:tr>
      <w:tr>
        <w:trPr>
          <w:cantSplit/>
        </w:trPr>
        <w:tc>
          <w:tcPr>
            <w:tcW w:type="dxa" w:w="2835"/>
            <w:shd w:val="clear" w:color="auto" w:fill="FDF0F7"/>
          </w:tcPr>
          <w:p>
            <w:pPr>
              <w:spacing w:after="20"/>
            </w:pPr>
            <w:r>
              <w:rPr>
                <w:b/>
                <w:i w:val="0"/>
                <w:sz w:val="18"/>
              </w:rPr>
              <w:t>Evidence date</w:t>
            </w:r>
          </w:p>
        </w:tc>
        <w:tc>
          <w:tcPr>
            <w:tcW w:type="dxa" w:w="6803"/>
          </w:tcPr>
          <w:p>
            <w:pPr>
              <w:spacing w:after="20"/>
            </w:pPr>
            <w:r>
              <w:rPr>
                <w:b w:val="0"/>
                <w:i w:val="0"/>
                <w:sz w:val="18"/>
              </w:rPr>
              <w:t>2 October 2026, 14:55 UTC</w:t>
            </w:r>
          </w:p>
        </w:tc>
      </w:tr>
      <w:tr>
        <w:trPr>
          <w:cantSplit/>
        </w:trPr>
        <w:tc>
          <w:tcPr>
            <w:tcW w:type="dxa" w:w="2835"/>
            <w:shd w:val="clear" w:color="auto" w:fill="FDF0F7"/>
          </w:tcPr>
          <w:p>
            <w:pPr>
              <w:spacing w:after="20"/>
            </w:pPr>
            <w:r>
              <w:rPr>
                <w:b/>
                <w:i w:val="0"/>
                <w:sz w:val="18"/>
              </w:rPr>
              <w:t>Document date</w:t>
            </w:r>
          </w:p>
        </w:tc>
        <w:tc>
          <w:tcPr>
            <w:tcW w:type="dxa" w:w="6803"/>
          </w:tcPr>
          <w:p>
            <w:pPr>
              <w:spacing w:after="20"/>
            </w:pPr>
            <w:r>
              <w:rPr>
                <w:b w:val="0"/>
                <w:i w:val="0"/>
                <w:sz w:val="18"/>
              </w:rPr>
              <w:t>October 2026</w:t>
            </w:r>
          </w:p>
        </w:tc>
      </w:tr>
      <w:tr>
        <w:trPr>
          <w:cantSplit/>
        </w:trPr>
        <w:tc>
          <w:tcPr>
            <w:tcW w:type="dxa" w:w="2835"/>
            <w:shd w:val="clear" w:color="auto" w:fill="FDF0F7"/>
          </w:tcPr>
          <w:p>
            <w:pPr>
              <w:spacing w:after="20"/>
            </w:pPr>
            <w:r>
              <w:rPr>
                <w:b/>
                <w:i w:val="0"/>
                <w:sz w:val="18"/>
              </w:rPr>
              <w:t>Version</w:t>
            </w:r>
          </w:p>
        </w:tc>
        <w:tc>
          <w:tcPr>
            <w:tcW w:type="dxa" w:w="6803"/>
          </w:tcPr>
          <w:p>
            <w:pPr>
              <w:spacing w:after="20"/>
            </w:pPr>
            <w:r>
              <w:rPr>
                <w:b w:val="0"/>
                <w:i w:val="0"/>
                <w:sz w:val="18"/>
              </w:rPr>
              <w:t>1.0</w:t>
            </w:r>
          </w:p>
        </w:tc>
      </w:tr>
      <w:tr>
        <w:trPr>
          <w:cantSplit/>
        </w:trPr>
        <w:tc>
          <w:tcPr>
            <w:tcW w:type="dxa" w:w="2835"/>
            <w:shd w:val="clear" w:color="auto" w:fill="FDF0F7"/>
          </w:tcPr>
          <w:p>
            <w:pPr>
              <w:spacing w:after="20"/>
            </w:pPr>
            <w:r>
              <w:rPr>
                <w:b/>
                <w:i w:val="0"/>
                <w:sz w:val="18"/>
              </w:rPr>
              <w:t>Classification</w:t>
            </w:r>
          </w:p>
        </w:tc>
        <w:tc>
          <w:tcPr>
            <w:tcW w:type="dxa" w:w="6803"/>
          </w:tcPr>
          <w:p>
            <w:pPr>
              <w:spacing w:after="20"/>
            </w:pPr>
            <w:r>
              <w:rPr>
                <w:b w:val="0"/>
                <w:i w:val="0"/>
                <w:sz w:val="18"/>
              </w:rPr>
              <w:t>Commercial-in-Confidence</w:t>
            </w:r>
          </w:p>
        </w:tc>
      </w:tr>
    </w:tbl>
    <w:p>
      <w:pPr>
        <w:spacing w:after="0" w:before="0"/>
      </w:pPr>
      <w:r>
        <w:rPr>
          <w:sz w:val="8"/>
        </w:rPr>
      </w:r>
    </w:p>
    <w:p>
      <w:pPr>
        <w:spacing w:after="0" w:before="0"/>
      </w:pPr>
      <w:r>
        <w:rPr>
          <w:sz w:val="28"/>
        </w:rPr>
      </w:r>
    </w:p>
    <w:p>
      <w:pPr>
        <w:keepNext w:val="0"/>
      </w:pPr>
      <w:r>
        <w:rPr>
          <w:b w:val="0"/>
          <w:i/>
          <w:color w:val="6B6B6B"/>
          <w:sz w:val="16"/>
        </w:rPr>
        <w:t>Commercial-in-Confidence. Prepared by iorta TechNXT for Insurans Islam Family Takaful Sendirian Berhad as part of the proposal for the Agent/Banca Portal and Back-office Solution.</w:t>
      </w:r>
    </w:p>
    <w:p>
      <w:pPr>
        <w:pStyle w:val="Heading1"/>
        <w:pageBreakBefore/>
        <w:pBdr>
          <w:bottom w:val="single" w:sz="12" w:space="4" w:color="F58220"/>
        </w:pBdr>
      </w:pPr>
      <w:r>
        <w:t>Contents</w:t>
      </w:r>
    </w:p>
    <w:p>
      <w:r>
        <w:rPr>
          <w:b w:val="0"/>
        </w:rPr>
        <w:fldChar w:fldCharType="begin" w:dirty="true"/>
      </w:r>
      <w:r>
        <w:rPr>
          <w:b w:val="0"/>
        </w:rPr>
        <w:instrText xml:space="preserve"> TOC \o "1-2" \h \z \u </w:instrText>
      </w:r>
      <w:r>
        <w:rPr>
          <w:b w:val="0"/>
        </w:rPr>
        <w:fldChar w:fldCharType="separate"/>
      </w:r>
      <w:r>
        <w:rPr>
          <w:b w:val="0"/>
        </w:rPr>
        <w:t>Right-click here and choose Update Field to build the table of contents.</w:t>
      </w:r>
      <w:r>
        <w:rPr>
          <w:b w:val="0"/>
        </w:rPr>
        <w:fldChar w:fldCharType="end"/>
      </w:r>
    </w:p>
    <w:p>
      <w:pPr>
        <w:pStyle w:val="Heading1"/>
        <w:pageBreakBefore/>
        <w:pBdr>
          <w:bottom w:val="single" w:sz="12" w:space="4" w:color="F58220"/>
        </w:pBdr>
      </w:pPr>
      <w:r>
        <w:t>1. Summary</w:t>
      </w:r>
    </w:p>
    <w:p>
      <w:pPr>
        <w:keepNext w:val="0"/>
      </w:pPr>
      <w:r>
        <w:rPr>
          <w:b w:val="0"/>
          <w:i w:val="0"/>
        </w:rPr>
        <w:t>This report describes the coding standards used to build SalesVerse 2.0 and the quality evidence for the current build (commit 47f239c). All results are produced by tools, not by assessment, and the report is rebuilt from the evidence files each time they are refreshed.</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969"/>
        <w:gridCol w:w="5670"/>
      </w:tblGrid>
      <w:tr>
        <w:trPr>
          <w:cantSplit/>
          <w:tblHeader/>
        </w:trPr>
        <w:tc>
          <w:tcPr>
            <w:tcW w:type="dxa" w:w="3969"/>
            <w:shd w:val="clear" w:color="auto" w:fill="E1058C"/>
            <w:vAlign w:val="center"/>
          </w:tcPr>
          <w:p>
            <w:pPr>
              <w:spacing w:after="0"/>
            </w:pPr>
            <w:r>
              <w:rPr>
                <w:b/>
                <w:i w:val="0"/>
                <w:color w:val="FFFFFF"/>
                <w:sz w:val="17"/>
              </w:rPr>
              <w:t>Measure</w:t>
            </w:r>
          </w:p>
        </w:tc>
        <w:tc>
          <w:tcPr>
            <w:tcW w:type="dxa" w:w="5669"/>
            <w:shd w:val="clear" w:color="auto" w:fill="E1058C"/>
            <w:vAlign w:val="center"/>
          </w:tcPr>
          <w:p>
            <w:pPr>
              <w:spacing w:after="0"/>
            </w:pPr>
            <w:r>
              <w:rPr>
                <w:b/>
                <w:i w:val="0"/>
                <w:color w:val="FFFFFF"/>
                <w:sz w:val="17"/>
              </w:rPr>
              <w:t>Result</w:t>
            </w:r>
          </w:p>
        </w:tc>
      </w:tr>
      <w:tr>
        <w:trPr>
          <w:cantSplit/>
        </w:trPr>
        <w:tc>
          <w:tcPr>
            <w:tcW w:type="dxa" w:w="3969"/>
            <w:vAlign w:val="top"/>
          </w:tcPr>
          <w:p>
            <w:pPr>
              <w:spacing w:after="20" w:line="252" w:lineRule="auto"/>
            </w:pPr>
            <w:r>
              <w:rPr>
                <w:b/>
                <w:i w:val="0"/>
                <w:sz w:val="17"/>
              </w:rPr>
              <w:t>Lint (oxlint)</w:t>
            </w:r>
          </w:p>
        </w:tc>
        <w:tc>
          <w:tcPr>
            <w:tcW w:type="dxa" w:w="5669"/>
            <w:vAlign w:val="top"/>
          </w:tcPr>
          <w:p>
            <w:pPr>
              <w:spacing w:after="20" w:line="252" w:lineRule="auto"/>
            </w:pPr>
            <w:r>
              <w:rPr>
                <w:b w:val="0"/>
                <w:i w:val="0"/>
                <w:sz w:val="17"/>
              </w:rPr>
              <w:t>0 errors, 0 warnings</w:t>
            </w:r>
          </w:p>
        </w:tc>
      </w:tr>
      <w:tr>
        <w:trPr>
          <w:cantSplit/>
        </w:trPr>
        <w:tc>
          <w:tcPr>
            <w:tcW w:type="dxa" w:w="3969"/>
            <w:vAlign w:val="top"/>
            <w:shd w:val="clear" w:color="auto" w:fill="FDF0F7"/>
          </w:tcPr>
          <w:p>
            <w:pPr>
              <w:spacing w:after="20" w:line="252" w:lineRule="auto"/>
            </w:pPr>
            <w:r>
              <w:rPr>
                <w:b/>
                <w:i w:val="0"/>
                <w:sz w:val="17"/>
              </w:rPr>
              <w:t>Type check (TypeScript compiler)</w:t>
            </w:r>
          </w:p>
        </w:tc>
        <w:tc>
          <w:tcPr>
            <w:tcW w:type="dxa" w:w="5669"/>
            <w:vAlign w:val="top"/>
            <w:shd w:val="clear" w:color="auto" w:fill="FDF0F7"/>
          </w:tcPr>
          <w:p>
            <w:pPr>
              <w:spacing w:after="20" w:line="252" w:lineRule="auto"/>
            </w:pPr>
            <w:r>
              <w:rPr>
                <w:b w:val="0"/>
                <w:i w:val="0"/>
                <w:sz w:val="17"/>
              </w:rPr>
              <w:t>0 errors, 0 warnings</w:t>
            </w:r>
          </w:p>
        </w:tc>
      </w:tr>
      <w:tr>
        <w:trPr>
          <w:cantSplit/>
        </w:trPr>
        <w:tc>
          <w:tcPr>
            <w:tcW w:type="dxa" w:w="3969"/>
            <w:vAlign w:val="top"/>
          </w:tcPr>
          <w:p>
            <w:pPr>
              <w:spacing w:after="20" w:line="252" w:lineRule="auto"/>
            </w:pPr>
            <w:r>
              <w:rPr>
                <w:b/>
                <w:i w:val="0"/>
                <w:sz w:val="17"/>
              </w:rPr>
              <w:t>Formatting (Prettier)</w:t>
            </w:r>
          </w:p>
        </w:tc>
        <w:tc>
          <w:tcPr>
            <w:tcW w:type="dxa" w:w="5669"/>
            <w:vAlign w:val="top"/>
          </w:tcPr>
          <w:p>
            <w:pPr>
              <w:spacing w:after="20" w:line="252" w:lineRule="auto"/>
            </w:pPr>
            <w:r>
              <w:rPr>
                <w:b w:val="0"/>
                <w:i w:val="0"/>
                <w:sz w:val="17"/>
              </w:rPr>
              <w:t>0 errors, 0 warnings</w:t>
            </w:r>
          </w:p>
        </w:tc>
      </w:tr>
      <w:tr>
        <w:trPr>
          <w:cantSplit/>
        </w:trPr>
        <w:tc>
          <w:tcPr>
            <w:tcW w:type="dxa" w:w="3969"/>
            <w:vAlign w:val="top"/>
            <w:shd w:val="clear" w:color="auto" w:fill="FDF0F7"/>
          </w:tcPr>
          <w:p>
            <w:pPr>
              <w:spacing w:after="20" w:line="252" w:lineRule="auto"/>
            </w:pPr>
            <w:r>
              <w:rPr>
                <w:b/>
                <w:i w:val="0"/>
                <w:sz w:val="17"/>
              </w:rPr>
              <w:t>API unit tests</w:t>
            </w:r>
          </w:p>
        </w:tc>
        <w:tc>
          <w:tcPr>
            <w:tcW w:type="dxa" w:w="5669"/>
            <w:vAlign w:val="top"/>
            <w:shd w:val="clear" w:color="auto" w:fill="FDF0F7"/>
          </w:tcPr>
          <w:p>
            <w:pPr>
              <w:spacing w:after="20" w:line="252" w:lineRule="auto"/>
            </w:pPr>
            <w:r>
              <w:rPr>
                <w:b w:val="0"/>
                <w:i w:val="0"/>
                <w:sz w:val="17"/>
              </w:rPr>
              <w:t>59 of 59 passed</w:t>
            </w:r>
          </w:p>
        </w:tc>
      </w:tr>
      <w:tr>
        <w:trPr>
          <w:cantSplit/>
        </w:trPr>
        <w:tc>
          <w:tcPr>
            <w:tcW w:type="dxa" w:w="3969"/>
            <w:vAlign w:val="top"/>
          </w:tcPr>
          <w:p>
            <w:pPr>
              <w:spacing w:after="20" w:line="252" w:lineRule="auto"/>
            </w:pPr>
            <w:r>
              <w:rPr>
                <w:b/>
                <w:i w:val="0"/>
                <w:sz w:val="17"/>
              </w:rPr>
              <w:t>API end-to-end tests</w:t>
            </w:r>
          </w:p>
        </w:tc>
        <w:tc>
          <w:tcPr>
            <w:tcW w:type="dxa" w:w="5669"/>
            <w:vAlign w:val="top"/>
          </w:tcPr>
          <w:p>
            <w:pPr>
              <w:spacing w:after="20" w:line="252" w:lineRule="auto"/>
            </w:pPr>
            <w:r>
              <w:rPr>
                <w:b w:val="0"/>
                <w:i w:val="0"/>
                <w:sz w:val="17"/>
              </w:rPr>
              <w:t>32 of 32 passed</w:t>
            </w:r>
          </w:p>
        </w:tc>
      </w:tr>
      <w:tr>
        <w:trPr>
          <w:cantSplit/>
        </w:trPr>
        <w:tc>
          <w:tcPr>
            <w:tcW w:type="dxa" w:w="3969"/>
            <w:vAlign w:val="top"/>
            <w:shd w:val="clear" w:color="auto" w:fill="FDF0F7"/>
          </w:tcPr>
          <w:p>
            <w:pPr>
              <w:spacing w:after="20" w:line="252" w:lineRule="auto"/>
            </w:pPr>
            <w:r>
              <w:rPr>
                <w:b/>
                <w:i w:val="0"/>
                <w:sz w:val="17"/>
              </w:rPr>
              <w:t>Web unit and component tests</w:t>
            </w:r>
          </w:p>
        </w:tc>
        <w:tc>
          <w:tcPr>
            <w:tcW w:type="dxa" w:w="5669"/>
            <w:vAlign w:val="top"/>
            <w:shd w:val="clear" w:color="auto" w:fill="FDF0F7"/>
          </w:tcPr>
          <w:p>
            <w:pPr>
              <w:spacing w:after="20" w:line="252" w:lineRule="auto"/>
            </w:pPr>
            <w:r>
              <w:rPr>
                <w:b w:val="0"/>
                <w:i w:val="0"/>
                <w:sz w:val="17"/>
              </w:rPr>
              <w:t>81 of 81 passed</w:t>
            </w:r>
          </w:p>
        </w:tc>
      </w:tr>
      <w:tr>
        <w:trPr>
          <w:cantSplit/>
        </w:trPr>
        <w:tc>
          <w:tcPr>
            <w:tcW w:type="dxa" w:w="3969"/>
            <w:vAlign w:val="top"/>
          </w:tcPr>
          <w:p>
            <w:pPr>
              <w:spacing w:after="20" w:line="252" w:lineRule="auto"/>
            </w:pPr>
            <w:r>
              <w:rPr>
                <w:b/>
                <w:i w:val="0"/>
                <w:sz w:val="17"/>
              </w:rPr>
              <w:t>End-to-end line coverage (API)</w:t>
            </w:r>
          </w:p>
        </w:tc>
        <w:tc>
          <w:tcPr>
            <w:tcW w:type="dxa" w:w="5669"/>
            <w:vAlign w:val="top"/>
          </w:tcPr>
          <w:p>
            <w:pPr>
              <w:spacing w:after="20" w:line="252" w:lineRule="auto"/>
            </w:pPr>
            <w:r>
              <w:rPr>
                <w:b w:val="0"/>
                <w:i w:val="0"/>
                <w:sz w:val="17"/>
              </w:rPr>
              <w:t>68.06% of 131 source files</w:t>
            </w:r>
          </w:p>
        </w:tc>
      </w:tr>
      <w:tr>
        <w:trPr>
          <w:cantSplit/>
        </w:trPr>
        <w:tc>
          <w:tcPr>
            <w:tcW w:type="dxa" w:w="3969"/>
            <w:vAlign w:val="top"/>
            <w:shd w:val="clear" w:color="auto" w:fill="FDF0F7"/>
          </w:tcPr>
          <w:p>
            <w:pPr>
              <w:spacing w:after="20" w:line="252" w:lineRule="auto"/>
            </w:pPr>
            <w:r>
              <w:rPr>
                <w:b/>
                <w:i w:val="0"/>
                <w:sz w:val="17"/>
              </w:rPr>
              <w:t>Unit line coverage (API)</w:t>
            </w:r>
          </w:p>
        </w:tc>
        <w:tc>
          <w:tcPr>
            <w:tcW w:type="dxa" w:w="5669"/>
            <w:vAlign w:val="top"/>
            <w:shd w:val="clear" w:color="auto" w:fill="FDF0F7"/>
          </w:tcPr>
          <w:p>
            <w:pPr>
              <w:spacing w:after="20" w:line="252" w:lineRule="auto"/>
            </w:pPr>
            <w:r>
              <w:rPr>
                <w:b w:val="0"/>
                <w:i w:val="0"/>
                <w:sz w:val="17"/>
              </w:rPr>
              <w:t>14.89% of 131 source files</w:t>
            </w:r>
          </w:p>
        </w:tc>
      </w:tr>
      <w:tr>
        <w:trPr>
          <w:cantSplit/>
        </w:trPr>
        <w:tc>
          <w:tcPr>
            <w:tcW w:type="dxa" w:w="3969"/>
            <w:vAlign w:val="top"/>
          </w:tcPr>
          <w:p>
            <w:pPr>
              <w:spacing w:after="20" w:line="252" w:lineRule="auto"/>
            </w:pPr>
            <w:r>
              <w:rPr>
                <w:b/>
                <w:i w:val="0"/>
                <w:sz w:val="17"/>
              </w:rPr>
              <w:t>Dependency vulnerabilities (npm audit)</w:t>
            </w:r>
          </w:p>
        </w:tc>
        <w:tc>
          <w:tcPr>
            <w:tcW w:type="dxa" w:w="5669"/>
            <w:vAlign w:val="top"/>
          </w:tcPr>
          <w:p>
            <w:pPr>
              <w:spacing w:after="20" w:line="252" w:lineRule="auto"/>
            </w:pPr>
            <w:r>
              <w:rPr>
                <w:b w:val="0"/>
                <w:i w:val="0"/>
                <w:sz w:val="17"/>
              </w:rPr>
              <w:t>0 found</w:t>
            </w:r>
          </w:p>
        </w:tc>
      </w:tr>
      <w:tr>
        <w:trPr>
          <w:cantSplit/>
        </w:trPr>
        <w:tc>
          <w:tcPr>
            <w:tcW w:type="dxa" w:w="3969"/>
            <w:vAlign w:val="top"/>
            <w:shd w:val="clear" w:color="auto" w:fill="FDF0F7"/>
          </w:tcPr>
          <w:p>
            <w:pPr>
              <w:spacing w:after="20" w:line="252" w:lineRule="auto"/>
            </w:pPr>
            <w:r>
              <w:rPr>
                <w:b/>
                <w:i w:val="0"/>
                <w:sz w:val="17"/>
              </w:rPr>
              <w:t>Runtime packages in licence inventory</w:t>
            </w:r>
          </w:p>
        </w:tc>
        <w:tc>
          <w:tcPr>
            <w:tcW w:type="dxa" w:w="5669"/>
            <w:vAlign w:val="top"/>
            <w:shd w:val="clear" w:color="auto" w:fill="FDF0F7"/>
          </w:tcPr>
          <w:p>
            <w:pPr>
              <w:spacing w:after="20" w:line="252" w:lineRule="auto"/>
            </w:pPr>
            <w:r>
              <w:rPr>
                <w:b w:val="0"/>
                <w:i w:val="0"/>
                <w:sz w:val="17"/>
              </w:rPr>
              <w:t>494</w:t>
            </w:r>
          </w:p>
        </w:tc>
      </w:tr>
      <w:tr>
        <w:trPr>
          <w:cantSplit/>
        </w:trPr>
        <w:tc>
          <w:tcPr>
            <w:tcW w:type="dxa" w:w="3969"/>
            <w:vAlign w:val="top"/>
          </w:tcPr>
          <w:p>
            <w:pPr>
              <w:spacing w:after="20" w:line="252" w:lineRule="auto"/>
            </w:pPr>
            <w:r>
              <w:rPr>
                <w:b/>
                <w:i w:val="0"/>
                <w:sz w:val="17"/>
              </w:rPr>
              <w:t>Web lint (oxlint)</w:t>
            </w:r>
          </w:p>
        </w:tc>
        <w:tc>
          <w:tcPr>
            <w:tcW w:type="dxa" w:w="5669"/>
            <w:vAlign w:val="top"/>
          </w:tcPr>
          <w:p>
            <w:pPr>
              <w:spacing w:after="20" w:line="252" w:lineRule="auto"/>
            </w:pPr>
            <w:r>
              <w:rPr>
                <w:b w:val="0"/>
                <w:i w:val="0"/>
                <w:sz w:val="17"/>
              </w:rPr>
              <w:t>0 errors, 0 warnings (184 files, 213 rules)</w:t>
            </w:r>
          </w:p>
        </w:tc>
      </w:tr>
      <w:tr>
        <w:trPr>
          <w:cantSplit/>
        </w:trPr>
        <w:tc>
          <w:tcPr>
            <w:tcW w:type="dxa" w:w="3969"/>
            <w:vAlign w:val="top"/>
            <w:shd w:val="clear" w:color="auto" w:fill="FDF0F7"/>
          </w:tcPr>
          <w:p>
            <w:pPr>
              <w:spacing w:after="20" w:line="252" w:lineRule="auto"/>
            </w:pPr>
            <w:r>
              <w:rPr>
                <w:b/>
                <w:i w:val="0"/>
                <w:sz w:val="17"/>
              </w:rPr>
              <w:t>Web type check (tsc)</w:t>
            </w:r>
          </w:p>
        </w:tc>
        <w:tc>
          <w:tcPr>
            <w:tcW w:type="dxa" w:w="5669"/>
            <w:vAlign w:val="top"/>
            <w:shd w:val="clear" w:color="auto" w:fill="FDF0F7"/>
          </w:tcPr>
          <w:p>
            <w:pPr>
              <w:spacing w:after="20" w:line="252" w:lineRule="auto"/>
            </w:pPr>
            <w:r>
              <w:rPr>
                <w:b w:val="0"/>
                <w:i w:val="0"/>
                <w:sz w:val="17"/>
              </w:rPr>
              <w:t>No errors reported</w:t>
            </w:r>
          </w:p>
        </w:tc>
      </w:tr>
      <w:tr>
        <w:trPr>
          <w:cantSplit/>
        </w:trPr>
        <w:tc>
          <w:tcPr>
            <w:tcW w:type="dxa" w:w="3969"/>
            <w:vAlign w:val="top"/>
          </w:tcPr>
          <w:p>
            <w:pPr>
              <w:spacing w:after="20" w:line="252" w:lineRule="auto"/>
            </w:pPr>
            <w:r>
              <w:rPr>
                <w:b/>
                <w:i w:val="0"/>
                <w:sz w:val="17"/>
              </w:rPr>
              <w:t>Web production build (Vite)</w:t>
            </w:r>
          </w:p>
        </w:tc>
        <w:tc>
          <w:tcPr>
            <w:tcW w:type="dxa" w:w="5669"/>
            <w:vAlign w:val="top"/>
          </w:tcPr>
          <w:p>
            <w:pPr>
              <w:spacing w:after="20" w:line="252" w:lineRule="auto"/>
            </w:pPr>
            <w:r>
              <w:rPr>
                <w:b w:val="0"/>
                <w:i w:val="0"/>
                <w:sz w:val="17"/>
              </w:rPr>
              <w:t>No errors reported; largest chunk antd 1,378.82 kB (437.98 kB gzip)</w:t>
            </w:r>
          </w:p>
        </w:tc>
      </w:tr>
    </w:tbl>
    <w:p>
      <w:pPr>
        <w:pStyle w:val="Caption"/>
        <w:jc w:val="center"/>
      </w:pPr>
      <w:r>
        <w:rPr>
          <w:b w:val="0"/>
          <w:i w:val="0"/>
        </w:rPr>
        <w:t>Table 1: Quality results</w:t>
      </w:r>
    </w:p>
    <w:p>
      <w:pPr>
        <w:keepNext w:val="0"/>
      </w:pPr>
      <w:r>
        <w:rPr>
          <w:b w:val="0"/>
          <w:i w:val="0"/>
        </w:rPr>
        <w:t>Static analysis, the three test suites and the dependency audit are clean. Coverage is measured over all 131 API source files, including files that no test loads. End-to-end coverage is 68.06% of lines because those tests drive the real HTTP pipeline against PostgreSQL. Unit coverage is lower by design at this stage: unit tests target the calculation and rule code where defects are most costly. Section 5 sets the coverage targets for implementation.</w:t>
      </w:r>
    </w:p>
    <w:p>
      <w:pPr>
        <w:pStyle w:val="Heading1"/>
        <w:pageBreakBefore/>
        <w:pBdr>
          <w:bottom w:val="single" w:sz="12" w:space="4" w:color="F58220"/>
        </w:pBdr>
      </w:pPr>
      <w:r>
        <w:t>2. Coding standards</w:t>
      </w:r>
    </w:p>
    <w:p>
      <w:pPr>
        <w:keepNext w:val="0"/>
      </w:pPr>
      <w:r>
        <w:rPr>
          <w:b w:val="0"/>
          <w:i w:val="0"/>
        </w:rPr>
        <w:t>The standards below apply to every change. Most are enforced by tools in the CI pipeline, so a change that breaks them cannot be merged.</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587"/>
        <w:gridCol w:w="5896"/>
        <w:gridCol w:w="2154"/>
      </w:tblGrid>
      <w:tr>
        <w:trPr>
          <w:cantSplit/>
          <w:tblHeader/>
        </w:trPr>
        <w:tc>
          <w:tcPr>
            <w:tcW w:type="dxa" w:w="1587"/>
            <w:shd w:val="clear" w:color="auto" w:fill="E1058C"/>
            <w:vAlign w:val="center"/>
          </w:tcPr>
          <w:p>
            <w:pPr>
              <w:spacing w:after="0"/>
            </w:pPr>
            <w:r>
              <w:rPr>
                <w:b/>
                <w:i w:val="0"/>
                <w:color w:val="FFFFFF"/>
                <w:sz w:val="16"/>
              </w:rPr>
              <w:t>Area</w:t>
            </w:r>
          </w:p>
        </w:tc>
        <w:tc>
          <w:tcPr>
            <w:tcW w:type="dxa" w:w="5896"/>
            <w:shd w:val="clear" w:color="auto" w:fill="E1058C"/>
            <w:vAlign w:val="center"/>
          </w:tcPr>
          <w:p>
            <w:pPr>
              <w:spacing w:after="0"/>
            </w:pPr>
            <w:r>
              <w:rPr>
                <w:b/>
                <w:i w:val="0"/>
                <w:color w:val="FFFFFF"/>
                <w:sz w:val="16"/>
              </w:rPr>
              <w:t>Standard</w:t>
            </w:r>
          </w:p>
        </w:tc>
        <w:tc>
          <w:tcPr>
            <w:tcW w:type="dxa" w:w="2154"/>
            <w:shd w:val="clear" w:color="auto" w:fill="E1058C"/>
            <w:vAlign w:val="center"/>
          </w:tcPr>
          <w:p>
            <w:pPr>
              <w:spacing w:after="0"/>
            </w:pPr>
            <w:r>
              <w:rPr>
                <w:b/>
                <w:i w:val="0"/>
                <w:color w:val="FFFFFF"/>
                <w:sz w:val="16"/>
              </w:rPr>
              <w:t>Enforced by</w:t>
            </w:r>
          </w:p>
        </w:tc>
      </w:tr>
      <w:tr>
        <w:trPr>
          <w:cantSplit/>
        </w:trPr>
        <w:tc>
          <w:tcPr>
            <w:tcW w:type="dxa" w:w="1587"/>
            <w:vAlign w:val="top"/>
          </w:tcPr>
          <w:p>
            <w:pPr>
              <w:spacing w:after="20" w:line="252" w:lineRule="auto"/>
            </w:pPr>
            <w:r>
              <w:rPr>
                <w:b/>
                <w:i w:val="0"/>
                <w:sz w:val="16"/>
              </w:rPr>
              <w:t>Language</w:t>
            </w:r>
          </w:p>
        </w:tc>
        <w:tc>
          <w:tcPr>
            <w:tcW w:type="dxa" w:w="5896"/>
            <w:vAlign w:val="top"/>
          </w:tcPr>
          <w:p>
            <w:pPr>
              <w:spacing w:after="20" w:line="252" w:lineRule="auto"/>
            </w:pPr>
            <w:r>
              <w:rPr>
                <w:b w:val="0"/>
                <w:i w:val="0"/>
                <w:sz w:val="16"/>
              </w:rPr>
              <w:t>TypeScript with strict, noImplicitReturns, noFallthroughCasesInSwitch, isolatedModules; target ES2023; module nodenext (ES modules on Node.js 22)</w:t>
            </w:r>
          </w:p>
        </w:tc>
        <w:tc>
          <w:tcPr>
            <w:tcW w:type="dxa" w:w="2154"/>
            <w:vAlign w:val="top"/>
          </w:tcPr>
          <w:p>
            <w:pPr>
              <w:spacing w:after="20" w:line="252" w:lineRule="auto"/>
            </w:pPr>
            <w:r>
              <w:rPr>
                <w:b w:val="0"/>
                <w:i w:val="0"/>
                <w:sz w:val="16"/>
              </w:rPr>
              <w:t>Type check in CI</w:t>
            </w:r>
          </w:p>
        </w:tc>
      </w:tr>
      <w:tr>
        <w:trPr>
          <w:cantSplit/>
        </w:trPr>
        <w:tc>
          <w:tcPr>
            <w:tcW w:type="dxa" w:w="1587"/>
            <w:vAlign w:val="top"/>
            <w:shd w:val="clear" w:color="auto" w:fill="FDF0F7"/>
          </w:tcPr>
          <w:p>
            <w:pPr>
              <w:spacing w:after="20" w:line="252" w:lineRule="auto"/>
            </w:pPr>
            <w:r>
              <w:rPr>
                <w:b/>
                <w:i w:val="0"/>
                <w:sz w:val="16"/>
              </w:rPr>
              <w:t>Module structure</w:t>
            </w:r>
          </w:p>
        </w:tc>
        <w:tc>
          <w:tcPr>
            <w:tcW w:type="dxa" w:w="5896"/>
            <w:vAlign w:val="top"/>
            <w:shd w:val="clear" w:color="auto" w:fill="FDF0F7"/>
          </w:tcPr>
          <w:p>
            <w:pPr>
              <w:spacing w:after="20" w:line="252" w:lineRule="auto"/>
            </w:pPr>
            <w:r>
              <w:rPr>
                <w:b w:val="0"/>
                <w:i w:val="0"/>
                <w:sz w:val="16"/>
              </w:rPr>
              <w:t>One NestJS module per functional area (22 modules: access, agency, aml, audit, auth, billing, claims, dashboard, documents, eod, esign, health, integration, integration-api, issues, notifications, participants, policies, products, reports, settings, workflow); shared code in src/common</w:t>
            </w:r>
          </w:p>
        </w:tc>
        <w:tc>
          <w:tcPr>
            <w:tcW w:type="dxa" w:w="2154"/>
            <w:vAlign w:val="top"/>
            <w:shd w:val="clear" w:color="auto" w:fill="FDF0F7"/>
          </w:tcPr>
          <w:p>
            <w:pPr>
              <w:spacing w:after="20" w:line="252" w:lineRule="auto"/>
            </w:pPr>
            <w:r>
              <w:rPr>
                <w:b w:val="0"/>
                <w:i w:val="0"/>
                <w:sz w:val="16"/>
              </w:rPr>
              <w:t>Code review</w:t>
            </w:r>
          </w:p>
        </w:tc>
      </w:tr>
      <w:tr>
        <w:trPr>
          <w:cantSplit/>
        </w:trPr>
        <w:tc>
          <w:tcPr>
            <w:tcW w:type="dxa" w:w="1587"/>
            <w:vAlign w:val="top"/>
          </w:tcPr>
          <w:p>
            <w:pPr>
              <w:spacing w:after="20" w:line="252" w:lineRule="auto"/>
            </w:pPr>
            <w:r>
              <w:rPr>
                <w:b/>
                <w:i w:val="0"/>
                <w:sz w:val="16"/>
              </w:rPr>
              <w:t>Naming</w:t>
            </w:r>
          </w:p>
        </w:tc>
        <w:tc>
          <w:tcPr>
            <w:tcW w:type="dxa" w:w="5896"/>
            <w:vAlign w:val="top"/>
          </w:tcPr>
          <w:p>
            <w:pPr>
              <w:spacing w:after="20" w:line="252" w:lineRule="auto"/>
            </w:pPr>
            <w:r>
              <w:rPr>
                <w:b w:val="0"/>
                <w:i w:val="0"/>
                <w:sz w:val="16"/>
              </w:rPr>
              <w:t>Files in kebab-case with role suffix (.controller, .service, .dto, .guard, .spec); classes in PascalCase; database tables and columns in snake_case mapped from camelCase</w:t>
            </w:r>
          </w:p>
        </w:tc>
        <w:tc>
          <w:tcPr>
            <w:tcW w:type="dxa" w:w="2154"/>
            <w:vAlign w:val="top"/>
          </w:tcPr>
          <w:p>
            <w:pPr>
              <w:spacing w:after="20" w:line="252" w:lineRule="auto"/>
            </w:pPr>
            <w:r>
              <w:rPr>
                <w:b w:val="0"/>
                <w:i w:val="0"/>
                <w:sz w:val="16"/>
              </w:rPr>
              <w:t>Code review</w:t>
            </w:r>
          </w:p>
        </w:tc>
      </w:tr>
      <w:tr>
        <w:trPr>
          <w:cantSplit/>
        </w:trPr>
        <w:tc>
          <w:tcPr>
            <w:tcW w:type="dxa" w:w="1587"/>
            <w:vAlign w:val="top"/>
            <w:shd w:val="clear" w:color="auto" w:fill="FDF0F7"/>
          </w:tcPr>
          <w:p>
            <w:pPr>
              <w:spacing w:after="20" w:line="252" w:lineRule="auto"/>
            </w:pPr>
            <w:r>
              <w:rPr>
                <w:b/>
                <w:i w:val="0"/>
                <w:sz w:val="16"/>
              </w:rPr>
              <w:t>Input validation</w:t>
            </w:r>
          </w:p>
        </w:tc>
        <w:tc>
          <w:tcPr>
            <w:tcW w:type="dxa" w:w="5896"/>
            <w:vAlign w:val="top"/>
            <w:shd w:val="clear" w:color="auto" w:fill="FDF0F7"/>
          </w:tcPr>
          <w:p>
            <w:pPr>
              <w:spacing w:after="20" w:line="252" w:lineRule="auto"/>
            </w:pPr>
            <w:r>
              <w:rPr>
                <w:b w:val="0"/>
                <w:i w:val="0"/>
                <w:sz w:val="16"/>
              </w:rPr>
              <w:t>Every request body is a DTO class with class-validator rules; the global pipe uses whitelist, forbidNonWhitelisted and transform, so unknown fields are rejected</w:t>
            </w:r>
          </w:p>
        </w:tc>
        <w:tc>
          <w:tcPr>
            <w:tcW w:type="dxa" w:w="2154"/>
            <w:vAlign w:val="top"/>
            <w:shd w:val="clear" w:color="auto" w:fill="FDF0F7"/>
          </w:tcPr>
          <w:p>
            <w:pPr>
              <w:spacing w:after="20" w:line="252" w:lineRule="auto"/>
            </w:pPr>
            <w:r>
              <w:rPr>
                <w:b w:val="0"/>
                <w:i w:val="0"/>
                <w:sz w:val="16"/>
              </w:rPr>
              <w:t>Global ValidationPipe; e2e tests</w:t>
            </w:r>
          </w:p>
        </w:tc>
      </w:tr>
      <w:tr>
        <w:trPr>
          <w:cantSplit/>
        </w:trPr>
        <w:tc>
          <w:tcPr>
            <w:tcW w:type="dxa" w:w="1587"/>
            <w:vAlign w:val="top"/>
          </w:tcPr>
          <w:p>
            <w:pPr>
              <w:spacing w:after="20" w:line="252" w:lineRule="auto"/>
            </w:pPr>
            <w:r>
              <w:rPr>
                <w:b/>
                <w:i w:val="0"/>
                <w:sz w:val="16"/>
              </w:rPr>
              <w:t>Data access</w:t>
            </w:r>
          </w:p>
        </w:tc>
        <w:tc>
          <w:tcPr>
            <w:tcW w:type="dxa" w:w="5896"/>
            <w:vAlign w:val="top"/>
          </w:tcPr>
          <w:p>
            <w:pPr>
              <w:spacing w:after="20" w:line="252" w:lineRule="auto"/>
            </w:pPr>
            <w:r>
              <w:rPr>
                <w:b w:val="0"/>
                <w:i w:val="0"/>
                <w:sz w:val="16"/>
              </w:rPr>
              <w:t>Prisma client only. 9 raw SQL statements use Prisma's tagged templates, which bind parameters; 0 use the unsafe string API</w:t>
            </w:r>
          </w:p>
        </w:tc>
        <w:tc>
          <w:tcPr>
            <w:tcW w:type="dxa" w:w="2154"/>
            <w:vAlign w:val="top"/>
          </w:tcPr>
          <w:p>
            <w:pPr>
              <w:spacing w:after="20" w:line="252" w:lineRule="auto"/>
            </w:pPr>
            <w:r>
              <w:rPr>
                <w:b w:val="0"/>
                <w:i w:val="0"/>
                <w:sz w:val="16"/>
              </w:rPr>
              <w:t>Code review; source scan in this report</w:t>
            </w:r>
          </w:p>
        </w:tc>
      </w:tr>
      <w:tr>
        <w:trPr>
          <w:cantSplit/>
        </w:trPr>
        <w:tc>
          <w:tcPr>
            <w:tcW w:type="dxa" w:w="1587"/>
            <w:vAlign w:val="top"/>
            <w:shd w:val="clear" w:color="auto" w:fill="FDF0F7"/>
          </w:tcPr>
          <w:p>
            <w:pPr>
              <w:spacing w:after="20" w:line="252" w:lineRule="auto"/>
            </w:pPr>
            <w:r>
              <w:rPr>
                <w:b/>
                <w:i w:val="0"/>
                <w:sz w:val="16"/>
              </w:rPr>
              <w:t>Error handling</w:t>
            </w:r>
          </w:p>
        </w:tc>
        <w:tc>
          <w:tcPr>
            <w:tcW w:type="dxa" w:w="5896"/>
            <w:vAlign w:val="top"/>
            <w:shd w:val="clear" w:color="auto" w:fill="FDF0F7"/>
          </w:tcPr>
          <w:p>
            <w:pPr>
              <w:spacing w:after="20" w:line="252" w:lineRule="auto"/>
            </w:pPr>
            <w:r>
              <w:rPr>
                <w:b w:val="0"/>
                <w:i w:val="0"/>
                <w:sz w:val="16"/>
              </w:rPr>
              <w:t>Business errors carry a code and a user message; one global filter returns status, code, message and correlation id, and logs full detail only on the server for 5xx</w:t>
            </w:r>
          </w:p>
        </w:tc>
        <w:tc>
          <w:tcPr>
            <w:tcW w:type="dxa" w:w="2154"/>
            <w:vAlign w:val="top"/>
            <w:shd w:val="clear" w:color="auto" w:fill="FDF0F7"/>
          </w:tcPr>
          <w:p>
            <w:pPr>
              <w:spacing w:after="20" w:line="252" w:lineRule="auto"/>
            </w:pPr>
            <w:r>
              <w:rPr>
                <w:b w:val="0"/>
                <w:i w:val="0"/>
                <w:sz w:val="16"/>
              </w:rPr>
              <w:t>AllExceptionsFilter; security checks</w:t>
            </w:r>
          </w:p>
        </w:tc>
      </w:tr>
      <w:tr>
        <w:trPr>
          <w:cantSplit/>
        </w:trPr>
        <w:tc>
          <w:tcPr>
            <w:tcW w:type="dxa" w:w="1587"/>
            <w:vAlign w:val="top"/>
          </w:tcPr>
          <w:p>
            <w:pPr>
              <w:spacing w:after="20" w:line="252" w:lineRule="auto"/>
            </w:pPr>
            <w:r>
              <w:rPr>
                <w:b/>
                <w:i w:val="0"/>
                <w:sz w:val="16"/>
              </w:rPr>
              <w:t>Logging</w:t>
            </w:r>
          </w:p>
        </w:tc>
        <w:tc>
          <w:tcPr>
            <w:tcW w:type="dxa" w:w="5896"/>
            <w:vAlign w:val="top"/>
          </w:tcPr>
          <w:p>
            <w:pPr>
              <w:spacing w:after="20" w:line="252" w:lineRule="auto"/>
            </w:pPr>
            <w:r>
              <w:rPr>
                <w:b w:val="0"/>
                <w:i w:val="0"/>
                <w:sz w:val="16"/>
              </w:rPr>
              <w:t>Structured JSON logs (pino) with the request correlation id; cookies, authorisation and CSRF headers redacted; console logging forbidden</w:t>
            </w:r>
          </w:p>
        </w:tc>
        <w:tc>
          <w:tcPr>
            <w:tcW w:type="dxa" w:w="2154"/>
            <w:vAlign w:val="top"/>
          </w:tcPr>
          <w:p>
            <w:pPr>
              <w:spacing w:after="20" w:line="252" w:lineRule="auto"/>
            </w:pPr>
            <w:r>
              <w:rPr>
                <w:b w:val="0"/>
                <w:i w:val="0"/>
                <w:sz w:val="16"/>
              </w:rPr>
              <w:t>no-console lint rule</w:t>
            </w:r>
          </w:p>
        </w:tc>
      </w:tr>
      <w:tr>
        <w:trPr>
          <w:cantSplit/>
        </w:trPr>
        <w:tc>
          <w:tcPr>
            <w:tcW w:type="dxa" w:w="1587"/>
            <w:vAlign w:val="top"/>
            <w:shd w:val="clear" w:color="auto" w:fill="FDF0F7"/>
          </w:tcPr>
          <w:p>
            <w:pPr>
              <w:spacing w:after="20" w:line="252" w:lineRule="auto"/>
            </w:pPr>
            <w:r>
              <w:rPr>
                <w:b/>
                <w:i w:val="0"/>
                <w:sz w:val="16"/>
              </w:rPr>
              <w:t>Comments</w:t>
            </w:r>
          </w:p>
        </w:tc>
        <w:tc>
          <w:tcPr>
            <w:tcW w:type="dxa" w:w="5896"/>
            <w:vAlign w:val="top"/>
            <w:shd w:val="clear" w:color="auto" w:fill="FDF0F7"/>
          </w:tcPr>
          <w:p>
            <w:pPr>
              <w:spacing w:after="20" w:line="252" w:lineRule="auto"/>
            </w:pPr>
            <w:r>
              <w:rPr>
                <w:b w:val="0"/>
                <w:i w:val="0"/>
                <w:sz w:val="16"/>
              </w:rPr>
              <w:t>Comments explain why, not what; public services and guards carry a short doc comment, often citing the RFP requirement (for example AP-01/03/04)</w:t>
            </w:r>
          </w:p>
        </w:tc>
        <w:tc>
          <w:tcPr>
            <w:tcW w:type="dxa" w:w="2154"/>
            <w:vAlign w:val="top"/>
            <w:shd w:val="clear" w:color="auto" w:fill="FDF0F7"/>
          </w:tcPr>
          <w:p>
            <w:pPr>
              <w:spacing w:after="20" w:line="252" w:lineRule="auto"/>
            </w:pPr>
            <w:r>
              <w:rPr>
                <w:b w:val="0"/>
                <w:i w:val="0"/>
                <w:sz w:val="16"/>
              </w:rPr>
              <w:t>Code review</w:t>
            </w:r>
          </w:p>
        </w:tc>
      </w:tr>
      <w:tr>
        <w:trPr>
          <w:cantSplit/>
        </w:trPr>
        <w:tc>
          <w:tcPr>
            <w:tcW w:type="dxa" w:w="1587"/>
            <w:vAlign w:val="top"/>
          </w:tcPr>
          <w:p>
            <w:pPr>
              <w:spacing w:after="20" w:line="252" w:lineRule="auto"/>
            </w:pPr>
            <w:r>
              <w:rPr>
                <w:b/>
                <w:i w:val="0"/>
                <w:sz w:val="16"/>
              </w:rPr>
              <w:t>Formatting</w:t>
            </w:r>
          </w:p>
        </w:tc>
        <w:tc>
          <w:tcPr>
            <w:tcW w:type="dxa" w:w="5896"/>
            <w:vAlign w:val="top"/>
          </w:tcPr>
          <w:p>
            <w:pPr>
              <w:spacing w:after="20" w:line="252" w:lineRule="auto"/>
            </w:pPr>
            <w:r>
              <w:rPr>
                <w:b w:val="0"/>
                <w:i w:val="0"/>
                <w:sz w:val="16"/>
              </w:rPr>
              <w:t>Prettier with single quotes, trailing commas 'all' and a line width of 100</w:t>
            </w:r>
          </w:p>
        </w:tc>
        <w:tc>
          <w:tcPr>
            <w:tcW w:type="dxa" w:w="2154"/>
            <w:vAlign w:val="top"/>
          </w:tcPr>
          <w:p>
            <w:pPr>
              <w:spacing w:after="20" w:line="252" w:lineRule="auto"/>
            </w:pPr>
            <w:r>
              <w:rPr>
                <w:b w:val="0"/>
                <w:i w:val="0"/>
                <w:sz w:val="16"/>
              </w:rPr>
              <w:t>prettier --check in CI</w:t>
            </w:r>
          </w:p>
        </w:tc>
      </w:tr>
      <w:tr>
        <w:trPr>
          <w:cantSplit/>
        </w:trPr>
        <w:tc>
          <w:tcPr>
            <w:tcW w:type="dxa" w:w="1587"/>
            <w:vAlign w:val="top"/>
            <w:shd w:val="clear" w:color="auto" w:fill="FDF0F7"/>
          </w:tcPr>
          <w:p>
            <w:pPr>
              <w:spacing w:after="20" w:line="252" w:lineRule="auto"/>
            </w:pPr>
            <w:r>
              <w:rPr>
                <w:b/>
                <w:i w:val="0"/>
                <w:sz w:val="16"/>
              </w:rPr>
              <w:t>Linting (API)</w:t>
            </w:r>
          </w:p>
        </w:tc>
        <w:tc>
          <w:tcPr>
            <w:tcW w:type="dxa" w:w="5896"/>
            <w:vAlign w:val="top"/>
            <w:shd w:val="clear" w:color="auto" w:fill="FDF0F7"/>
          </w:tcPr>
          <w:p>
            <w:pPr>
              <w:spacing w:after="20" w:line="252" w:lineRule="auto"/>
            </w:pPr>
            <w:r>
              <w:rPr>
                <w:b w:val="0"/>
                <w:i w:val="0"/>
                <w:sz w:val="16"/>
              </w:rPr>
              <w:t>oxlint plugins typescript, unicorn, oxc, import; categories correctness=error, suspicious=warn; rules as errors: no-console, typescript/no-explicit-any, eqeqeq, no-eval</w:t>
            </w:r>
          </w:p>
        </w:tc>
        <w:tc>
          <w:tcPr>
            <w:tcW w:type="dxa" w:w="2154"/>
            <w:vAlign w:val="top"/>
            <w:shd w:val="clear" w:color="auto" w:fill="FDF0F7"/>
          </w:tcPr>
          <w:p>
            <w:pPr>
              <w:spacing w:after="20" w:line="252" w:lineRule="auto"/>
            </w:pPr>
            <w:r>
              <w:rPr>
                <w:b w:val="0"/>
                <w:i w:val="0"/>
                <w:sz w:val="16"/>
              </w:rPr>
              <w:t>Lint step in CI</w:t>
            </w:r>
          </w:p>
        </w:tc>
      </w:tr>
      <w:tr>
        <w:trPr>
          <w:cantSplit/>
        </w:trPr>
        <w:tc>
          <w:tcPr>
            <w:tcW w:type="dxa" w:w="1587"/>
            <w:vAlign w:val="top"/>
          </w:tcPr>
          <w:p>
            <w:pPr>
              <w:spacing w:after="20" w:line="252" w:lineRule="auto"/>
            </w:pPr>
            <w:r>
              <w:rPr>
                <w:b/>
                <w:i w:val="0"/>
                <w:sz w:val="16"/>
              </w:rPr>
              <w:t>Linting (web)</w:t>
            </w:r>
          </w:p>
        </w:tc>
        <w:tc>
          <w:tcPr>
            <w:tcW w:type="dxa" w:w="5896"/>
            <w:vAlign w:val="top"/>
          </w:tcPr>
          <w:p>
            <w:pPr>
              <w:spacing w:after="20" w:line="252" w:lineRule="auto"/>
            </w:pPr>
            <w:r>
              <w:rPr>
                <w:b w:val="0"/>
                <w:i w:val="0"/>
                <w:sz w:val="16"/>
              </w:rPr>
              <w:t>oxlint plugins typescript, react, react-perf, jsx-a11y, unicorn, oxc, import, including accessibility (jsx-a11y) and React hooks rules</w:t>
            </w:r>
          </w:p>
        </w:tc>
        <w:tc>
          <w:tcPr>
            <w:tcW w:type="dxa" w:w="2154"/>
            <w:vAlign w:val="top"/>
          </w:tcPr>
          <w:p>
            <w:pPr>
              <w:spacing w:after="20" w:line="252" w:lineRule="auto"/>
            </w:pPr>
            <w:r>
              <w:rPr>
                <w:b w:val="0"/>
                <w:i w:val="0"/>
                <w:sz w:val="16"/>
              </w:rPr>
              <w:t>Lint step in CI</w:t>
            </w:r>
          </w:p>
        </w:tc>
      </w:tr>
      <w:tr>
        <w:trPr>
          <w:cantSplit/>
        </w:trPr>
        <w:tc>
          <w:tcPr>
            <w:tcW w:type="dxa" w:w="1587"/>
            <w:vAlign w:val="top"/>
            <w:shd w:val="clear" w:color="auto" w:fill="FDF0F7"/>
          </w:tcPr>
          <w:p>
            <w:pPr>
              <w:spacing w:after="20" w:line="252" w:lineRule="auto"/>
            </w:pPr>
            <w:r>
              <w:rPr>
                <w:b/>
                <w:i w:val="0"/>
                <w:sz w:val="16"/>
              </w:rPr>
              <w:t>Commits and review</w:t>
            </w:r>
          </w:p>
        </w:tc>
        <w:tc>
          <w:tcPr>
            <w:tcW w:type="dxa" w:w="5896"/>
            <w:vAlign w:val="top"/>
            <w:shd w:val="clear" w:color="auto" w:fill="FDF0F7"/>
          </w:tcPr>
          <w:p>
            <w:pPr>
              <w:spacing w:after="20" w:line="252" w:lineRule="auto"/>
            </w:pPr>
            <w:r>
              <w:rPr>
                <w:b w:val="0"/>
                <w:i w:val="0"/>
                <w:sz w:val="16"/>
              </w:rPr>
              <w:t>Small commits with a descriptive message; every change through a pull request reviewed by a second engineer; the reviewer checks security, tests and RFP traceability</w:t>
            </w:r>
          </w:p>
        </w:tc>
        <w:tc>
          <w:tcPr>
            <w:tcW w:type="dxa" w:w="2154"/>
            <w:vAlign w:val="top"/>
            <w:shd w:val="clear" w:color="auto" w:fill="FDF0F7"/>
          </w:tcPr>
          <w:p>
            <w:pPr>
              <w:spacing w:after="20" w:line="252" w:lineRule="auto"/>
            </w:pPr>
            <w:r>
              <w:rPr>
                <w:b w:val="0"/>
                <w:i w:val="0"/>
                <w:sz w:val="16"/>
              </w:rPr>
              <w:t>Pull-request review; branch protection on main</w:t>
            </w:r>
          </w:p>
        </w:tc>
      </w:tr>
      <w:tr>
        <w:trPr>
          <w:cantSplit/>
        </w:trPr>
        <w:tc>
          <w:tcPr>
            <w:tcW w:type="dxa" w:w="1587"/>
            <w:vAlign w:val="top"/>
          </w:tcPr>
          <w:p>
            <w:pPr>
              <w:spacing w:after="20" w:line="252" w:lineRule="auto"/>
            </w:pPr>
            <w:r>
              <w:rPr>
                <w:b/>
                <w:i w:val="0"/>
                <w:sz w:val="16"/>
              </w:rPr>
              <w:t>Branching</w:t>
            </w:r>
          </w:p>
        </w:tc>
        <w:tc>
          <w:tcPr>
            <w:tcW w:type="dxa" w:w="5896"/>
            <w:vAlign w:val="top"/>
          </w:tcPr>
          <w:p>
            <w:pPr>
              <w:spacing w:after="20" w:line="252" w:lineRule="auto"/>
            </w:pPr>
            <w:r>
              <w:rPr>
                <w:b w:val="0"/>
                <w:i w:val="0"/>
                <w:sz w:val="16"/>
              </w:rPr>
              <w:t>Short-lived feature branches from main; main is always releasable; releases are tagged</w:t>
            </w:r>
          </w:p>
        </w:tc>
        <w:tc>
          <w:tcPr>
            <w:tcW w:type="dxa" w:w="2154"/>
            <w:vAlign w:val="top"/>
          </w:tcPr>
          <w:p>
            <w:pPr>
              <w:spacing w:after="20" w:line="252" w:lineRule="auto"/>
            </w:pPr>
            <w:r>
              <w:rPr>
                <w:b w:val="0"/>
                <w:i w:val="0"/>
                <w:sz w:val="16"/>
              </w:rPr>
              <w:t>Branch protection</w:t>
            </w:r>
          </w:p>
        </w:tc>
      </w:tr>
    </w:tbl>
    <w:p>
      <w:pPr>
        <w:pStyle w:val="Caption"/>
        <w:jc w:val="center"/>
      </w:pPr>
      <w:r>
        <w:rPr>
          <w:b w:val="0"/>
          <w:i w:val="0"/>
        </w:rPr>
        <w:t>Table 2: Coding standards</w:t>
      </w:r>
    </w:p>
    <w:p>
      <w:pPr>
        <w:pStyle w:val="Heading2"/>
      </w:pPr>
      <w:r>
        <w:t>CI pipeline gates</w:t>
      </w:r>
    </w:p>
    <w:p>
      <w:pPr>
        <w:keepNext w:val="0"/>
      </w:pPr>
      <w:r>
        <w:rPr>
          <w:b w:val="0"/>
          <w:i w:val="0"/>
        </w:rPr>
        <w:t>The pipeline runs on every pull request and on main. A failing step stops the merge.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134"/>
        <w:gridCol w:w="3175"/>
        <w:gridCol w:w="5329"/>
      </w:tblGrid>
      <w:tr>
        <w:trPr>
          <w:cantSplit/>
          <w:tblHeader/>
        </w:trPr>
        <w:tc>
          <w:tcPr>
            <w:tcW w:type="dxa" w:w="1134"/>
            <w:shd w:val="clear" w:color="auto" w:fill="E1058C"/>
            <w:vAlign w:val="center"/>
          </w:tcPr>
          <w:p>
            <w:pPr>
              <w:spacing w:after="0"/>
            </w:pPr>
            <w:r>
              <w:rPr>
                <w:b/>
                <w:i w:val="0"/>
                <w:color w:val="FFFFFF"/>
                <w:sz w:val="16"/>
              </w:rPr>
              <w:t>Job</w:t>
            </w:r>
          </w:p>
        </w:tc>
        <w:tc>
          <w:tcPr>
            <w:tcW w:type="dxa" w:w="3175"/>
            <w:shd w:val="clear" w:color="auto" w:fill="E1058C"/>
            <w:vAlign w:val="center"/>
          </w:tcPr>
          <w:p>
            <w:pPr>
              <w:spacing w:after="0"/>
            </w:pPr>
            <w:r>
              <w:rPr>
                <w:b/>
                <w:i w:val="0"/>
                <w:color w:val="FFFFFF"/>
                <w:sz w:val="16"/>
              </w:rPr>
              <w:t>Step</w:t>
            </w:r>
          </w:p>
        </w:tc>
        <w:tc>
          <w:tcPr>
            <w:tcW w:type="dxa" w:w="5329"/>
            <w:shd w:val="clear" w:color="auto" w:fill="E1058C"/>
            <w:vAlign w:val="center"/>
          </w:tcPr>
          <w:p>
            <w:pPr>
              <w:spacing w:after="0"/>
            </w:pPr>
            <w:r>
              <w:rPr>
                <w:b/>
                <w:i w:val="0"/>
                <w:color w:val="FFFFFF"/>
                <w:sz w:val="16"/>
              </w:rPr>
              <w:t>Command or action</w:t>
            </w:r>
          </w:p>
        </w:tc>
      </w:tr>
      <w:tr>
        <w:trPr>
          <w:cantSplit/>
        </w:trPr>
        <w:tc>
          <w:tcPr>
            <w:tcW w:type="dxa" w:w="1134"/>
            <w:vAlign w:val="top"/>
          </w:tcPr>
          <w:p>
            <w:pPr>
              <w:spacing w:after="20" w:line="252" w:lineRule="auto"/>
            </w:pPr>
            <w:r>
              <w:rPr>
                <w:b w:val="0"/>
                <w:i w:val="0"/>
                <w:sz w:val="16"/>
              </w:rPr>
              <w:t>secrets</w:t>
            </w:r>
          </w:p>
        </w:tc>
        <w:tc>
          <w:tcPr>
            <w:tcW w:type="dxa" w:w="3175"/>
            <w:vAlign w:val="top"/>
          </w:tcPr>
          <w:p>
            <w:pPr>
              <w:spacing w:after="20" w:line="252" w:lineRule="auto"/>
            </w:pPr>
            <w:r>
              <w:rPr>
                <w:b w:val="0"/>
                <w:i w:val="0"/>
                <w:sz w:val="16"/>
              </w:rPr>
              <w:t>Secret scan (full history)</w:t>
            </w:r>
          </w:p>
        </w:tc>
        <w:tc>
          <w:tcPr>
            <w:tcW w:type="dxa" w:w="5329"/>
            <w:vAlign w:val="top"/>
          </w:tcPr>
          <w:p>
            <w:pPr>
              <w:spacing w:after="20" w:line="252" w:lineRule="auto"/>
            </w:pPr>
            <w:r>
              <w:rPr>
                <w:b w:val="0"/>
                <w:i w:val="0"/>
                <w:sz w:val="16"/>
              </w:rPr>
              <w:t>docker run --rm -v "$PWD:/repo" zricethezav/gitleaks:v8.21.2 detect…</w:t>
            </w:r>
          </w:p>
        </w:tc>
      </w:tr>
      <w:tr>
        <w:trPr>
          <w:cantSplit/>
        </w:trPr>
        <w:tc>
          <w:tcPr>
            <w:tcW w:type="dxa" w:w="1134"/>
            <w:vAlign w:val="top"/>
            <w:shd w:val="clear" w:color="auto" w:fill="FDF0F7"/>
          </w:tcPr>
          <w:p>
            <w:pPr>
              <w:spacing w:after="20" w:line="252" w:lineRule="auto"/>
            </w:pPr>
            <w:r>
              <w:rPr>
                <w:b w:val="0"/>
                <w:i w:val="0"/>
                <w:sz w:val="16"/>
              </w:rPr>
              <w:t>codeql</w:t>
            </w:r>
          </w:p>
        </w:tc>
        <w:tc>
          <w:tcPr>
            <w:tcW w:type="dxa" w:w="3175"/>
            <w:vAlign w:val="top"/>
            <w:shd w:val="clear" w:color="auto" w:fill="FDF0F7"/>
          </w:tcPr>
          <w:p>
            <w:pPr>
              <w:spacing w:after="20" w:line="252" w:lineRule="auto"/>
            </w:pPr>
            <w:r>
              <w:rPr>
                <w:b w:val="0"/>
                <w:i w:val="0"/>
                <w:sz w:val="16"/>
              </w:rPr>
              <w:t>CodeQL set-up: javascript-typescript, security-extended</w:t>
            </w:r>
          </w:p>
        </w:tc>
        <w:tc>
          <w:tcPr>
            <w:tcW w:type="dxa" w:w="5329"/>
            <w:vAlign w:val="top"/>
            <w:shd w:val="clear" w:color="auto" w:fill="FDF0F7"/>
          </w:tcPr>
          <w:p>
            <w:pPr>
              <w:spacing w:after="20" w:line="252" w:lineRule="auto"/>
            </w:pPr>
            <w:r>
              <w:rPr>
                <w:b w:val="0"/>
                <w:i w:val="0"/>
                <w:sz w:val="16"/>
              </w:rPr>
              <w:t>github/codeql-action/init@v3</w:t>
            </w:r>
          </w:p>
        </w:tc>
      </w:tr>
      <w:tr>
        <w:trPr>
          <w:cantSplit/>
        </w:trPr>
        <w:tc>
          <w:tcPr>
            <w:tcW w:type="dxa" w:w="1134"/>
            <w:vAlign w:val="top"/>
          </w:tcPr>
          <w:p>
            <w:pPr>
              <w:spacing w:after="20" w:line="252" w:lineRule="auto"/>
            </w:pPr>
            <w:r>
              <w:rPr>
                <w:b w:val="0"/>
                <w:i w:val="0"/>
                <w:sz w:val="16"/>
              </w:rPr>
              <w:t>codeql</w:t>
            </w:r>
          </w:p>
        </w:tc>
        <w:tc>
          <w:tcPr>
            <w:tcW w:type="dxa" w:w="3175"/>
            <w:vAlign w:val="top"/>
          </w:tcPr>
          <w:p>
            <w:pPr>
              <w:spacing w:after="20" w:line="252" w:lineRule="auto"/>
            </w:pPr>
            <w:r>
              <w:rPr>
                <w:b w:val="0"/>
                <w:i w:val="0"/>
                <w:sz w:val="16"/>
              </w:rPr>
              <w:t>CodeQL analysis (SAST)</w:t>
            </w:r>
          </w:p>
        </w:tc>
        <w:tc>
          <w:tcPr>
            <w:tcW w:type="dxa" w:w="5329"/>
            <w:vAlign w:val="top"/>
          </w:tcPr>
          <w:p>
            <w:pPr>
              <w:spacing w:after="20" w:line="252" w:lineRule="auto"/>
            </w:pPr>
            <w:r>
              <w:rPr>
                <w:b w:val="0"/>
                <w:i w:val="0"/>
                <w:sz w:val="16"/>
              </w:rPr>
              <w:t>github/codeql-action/analyze@v3</w:t>
            </w:r>
          </w:p>
        </w:tc>
      </w:tr>
      <w:tr>
        <w:trPr>
          <w:cantSplit/>
        </w:trPr>
        <w:tc>
          <w:tcPr>
            <w:tcW w:type="dxa" w:w="1134"/>
            <w:vAlign w:val="top"/>
            <w:shd w:val="clear" w:color="auto" w:fill="FDF0F7"/>
          </w:tcPr>
          <w:p>
            <w:pPr>
              <w:spacing w:after="20" w:line="252" w:lineRule="auto"/>
            </w:pPr>
            <w:r>
              <w:rPr>
                <w:b w:val="0"/>
                <w:i w:val="0"/>
                <w:sz w:val="16"/>
              </w:rPr>
              <w:t>verify</w:t>
            </w:r>
          </w:p>
        </w:tc>
        <w:tc>
          <w:tcPr>
            <w:tcW w:type="dxa" w:w="3175"/>
            <w:vAlign w:val="top"/>
            <w:shd w:val="clear" w:color="auto" w:fill="FDF0F7"/>
          </w:tcPr>
          <w:p>
            <w:pPr>
              <w:spacing w:after="20" w:line="252" w:lineRule="auto"/>
            </w:pPr>
            <w:r>
              <w:rPr>
                <w:b w:val="0"/>
                <w:i w:val="0"/>
                <w:sz w:val="16"/>
              </w:rPr>
              <w:t>npm ci</w:t>
            </w:r>
          </w:p>
        </w:tc>
        <w:tc>
          <w:tcPr>
            <w:tcW w:type="dxa" w:w="5329"/>
            <w:vAlign w:val="top"/>
            <w:shd w:val="clear" w:color="auto" w:fill="FDF0F7"/>
          </w:tcPr>
          <w:p>
            <w:pPr>
              <w:spacing w:after="20" w:line="252" w:lineRule="auto"/>
            </w:pPr>
            <w:r>
              <w:rPr>
                <w:b w:val="0"/>
                <w:i w:val="0"/>
                <w:sz w:val="16"/>
              </w:rPr>
              <w:t>npm ci</w:t>
            </w:r>
          </w:p>
        </w:tc>
      </w:tr>
      <w:tr>
        <w:trPr>
          <w:cantSplit/>
        </w:trPr>
        <w:tc>
          <w:tcPr>
            <w:tcW w:type="dxa" w:w="1134"/>
            <w:vAlign w:val="top"/>
          </w:tcPr>
          <w:p>
            <w:pPr>
              <w:spacing w:after="20" w:line="252" w:lineRule="auto"/>
            </w:pPr>
            <w:r>
              <w:rPr>
                <w:b w:val="0"/>
                <w:i w:val="0"/>
                <w:sz w:val="16"/>
              </w:rPr>
              <w:t>verify</w:t>
            </w:r>
          </w:p>
        </w:tc>
        <w:tc>
          <w:tcPr>
            <w:tcW w:type="dxa" w:w="3175"/>
            <w:vAlign w:val="top"/>
          </w:tcPr>
          <w:p>
            <w:pPr>
              <w:spacing w:after="20" w:line="252" w:lineRule="auto"/>
            </w:pPr>
            <w:r>
              <w:rPr>
                <w:b w:val="0"/>
                <w:i w:val="0"/>
                <w:sz w:val="16"/>
              </w:rPr>
              <w:t>Generate database client</w:t>
            </w:r>
          </w:p>
        </w:tc>
        <w:tc>
          <w:tcPr>
            <w:tcW w:type="dxa" w:w="5329"/>
            <w:vAlign w:val="top"/>
          </w:tcPr>
          <w:p>
            <w:pPr>
              <w:spacing w:after="20" w:line="252" w:lineRule="auto"/>
            </w:pPr>
            <w:r>
              <w:rPr>
                <w:b w:val="0"/>
                <w:i w:val="0"/>
                <w:sz w:val="16"/>
              </w:rPr>
              <w:t>npx prisma generate</w:t>
            </w:r>
          </w:p>
        </w:tc>
      </w:tr>
      <w:tr>
        <w:trPr>
          <w:cantSplit/>
        </w:trPr>
        <w:tc>
          <w:tcPr>
            <w:tcW w:type="dxa" w:w="1134"/>
            <w:vAlign w:val="top"/>
            <w:shd w:val="clear" w:color="auto" w:fill="FDF0F7"/>
          </w:tcPr>
          <w:p>
            <w:pPr>
              <w:spacing w:after="20" w:line="252" w:lineRule="auto"/>
            </w:pPr>
            <w:r>
              <w:rPr>
                <w:b w:val="0"/>
                <w:i w:val="0"/>
                <w:sz w:val="16"/>
              </w:rPr>
              <w:t>verify</w:t>
            </w:r>
          </w:p>
        </w:tc>
        <w:tc>
          <w:tcPr>
            <w:tcW w:type="dxa" w:w="3175"/>
            <w:vAlign w:val="top"/>
            <w:shd w:val="clear" w:color="auto" w:fill="FDF0F7"/>
          </w:tcPr>
          <w:p>
            <w:pPr>
              <w:spacing w:after="20" w:line="252" w:lineRule="auto"/>
            </w:pPr>
            <w:r>
              <w:rPr>
                <w:b w:val="0"/>
                <w:i w:val="0"/>
                <w:sz w:val="16"/>
              </w:rPr>
              <w:t>Formatting</w:t>
            </w:r>
          </w:p>
        </w:tc>
        <w:tc>
          <w:tcPr>
            <w:tcW w:type="dxa" w:w="5329"/>
            <w:vAlign w:val="top"/>
            <w:shd w:val="clear" w:color="auto" w:fill="FDF0F7"/>
          </w:tcPr>
          <w:p>
            <w:pPr>
              <w:spacing w:after="20" w:line="252" w:lineRule="auto"/>
            </w:pPr>
            <w:r>
              <w:rPr>
                <w:b w:val="0"/>
                <w:i w:val="0"/>
                <w:sz w:val="16"/>
              </w:rPr>
              <w:t>npx prettier --check "apps/*/src/*​*/*.{ts,tsx}" "apps/api/test/*​*/*…</w:t>
            </w:r>
          </w:p>
        </w:tc>
      </w:tr>
      <w:tr>
        <w:trPr>
          <w:cantSplit/>
        </w:trPr>
        <w:tc>
          <w:tcPr>
            <w:tcW w:type="dxa" w:w="1134"/>
            <w:vAlign w:val="top"/>
          </w:tcPr>
          <w:p>
            <w:pPr>
              <w:spacing w:after="20" w:line="252" w:lineRule="auto"/>
            </w:pPr>
            <w:r>
              <w:rPr>
                <w:b w:val="0"/>
                <w:i w:val="0"/>
                <w:sz w:val="16"/>
              </w:rPr>
              <w:t>verify</w:t>
            </w:r>
          </w:p>
        </w:tc>
        <w:tc>
          <w:tcPr>
            <w:tcW w:type="dxa" w:w="3175"/>
            <w:vAlign w:val="top"/>
          </w:tcPr>
          <w:p>
            <w:pPr>
              <w:spacing w:after="20" w:line="252" w:lineRule="auto"/>
            </w:pPr>
            <w:r>
              <w:rPr>
                <w:b w:val="0"/>
                <w:i w:val="0"/>
                <w:sz w:val="16"/>
              </w:rPr>
              <w:t>Lint</w:t>
            </w:r>
          </w:p>
        </w:tc>
        <w:tc>
          <w:tcPr>
            <w:tcW w:type="dxa" w:w="5329"/>
            <w:vAlign w:val="top"/>
          </w:tcPr>
          <w:p>
            <w:pPr>
              <w:spacing w:after="20" w:line="252" w:lineRule="auto"/>
            </w:pPr>
            <w:r>
              <w:rPr>
                <w:b w:val="0"/>
                <w:i w:val="0"/>
                <w:sz w:val="16"/>
              </w:rPr>
              <w:t>npm run lint</w:t>
            </w:r>
          </w:p>
        </w:tc>
      </w:tr>
      <w:tr>
        <w:trPr>
          <w:cantSplit/>
        </w:trPr>
        <w:tc>
          <w:tcPr>
            <w:tcW w:type="dxa" w:w="1134"/>
            <w:vAlign w:val="top"/>
            <w:shd w:val="clear" w:color="auto" w:fill="FDF0F7"/>
          </w:tcPr>
          <w:p>
            <w:pPr>
              <w:spacing w:after="20" w:line="252" w:lineRule="auto"/>
            </w:pPr>
            <w:r>
              <w:rPr>
                <w:b w:val="0"/>
                <w:i w:val="0"/>
                <w:sz w:val="16"/>
              </w:rPr>
              <w:t>verify</w:t>
            </w:r>
          </w:p>
        </w:tc>
        <w:tc>
          <w:tcPr>
            <w:tcW w:type="dxa" w:w="3175"/>
            <w:vAlign w:val="top"/>
            <w:shd w:val="clear" w:color="auto" w:fill="FDF0F7"/>
          </w:tcPr>
          <w:p>
            <w:pPr>
              <w:spacing w:after="20" w:line="252" w:lineRule="auto"/>
            </w:pPr>
            <w:r>
              <w:rPr>
                <w:b w:val="0"/>
                <w:i w:val="0"/>
                <w:sz w:val="16"/>
              </w:rPr>
              <w:t>Type check</w:t>
            </w:r>
          </w:p>
        </w:tc>
        <w:tc>
          <w:tcPr>
            <w:tcW w:type="dxa" w:w="5329"/>
            <w:vAlign w:val="top"/>
            <w:shd w:val="clear" w:color="auto" w:fill="FDF0F7"/>
          </w:tcPr>
          <w:p>
            <w:pPr>
              <w:spacing w:after="20" w:line="252" w:lineRule="auto"/>
            </w:pPr>
            <w:r>
              <w:rPr>
                <w:b w:val="0"/>
                <w:i w:val="0"/>
                <w:sz w:val="16"/>
              </w:rPr>
              <w:t>npm run typecheck --workspaces</w:t>
            </w:r>
          </w:p>
        </w:tc>
      </w:tr>
      <w:tr>
        <w:trPr>
          <w:cantSplit/>
        </w:trPr>
        <w:tc>
          <w:tcPr>
            <w:tcW w:type="dxa" w:w="1134"/>
            <w:vAlign w:val="top"/>
          </w:tcPr>
          <w:p>
            <w:pPr>
              <w:spacing w:after="20" w:line="252" w:lineRule="auto"/>
            </w:pPr>
            <w:r>
              <w:rPr>
                <w:b w:val="0"/>
                <w:i w:val="0"/>
                <w:sz w:val="16"/>
              </w:rPr>
              <w:t>verify</w:t>
            </w:r>
          </w:p>
        </w:tc>
        <w:tc>
          <w:tcPr>
            <w:tcW w:type="dxa" w:w="3175"/>
            <w:vAlign w:val="top"/>
          </w:tcPr>
          <w:p>
            <w:pPr>
              <w:spacing w:after="20" w:line="252" w:lineRule="auto"/>
            </w:pPr>
            <w:r>
              <w:rPr>
                <w:b w:val="0"/>
                <w:i w:val="0"/>
                <w:sz w:val="16"/>
              </w:rPr>
              <w:t>Unit tests</w:t>
            </w:r>
          </w:p>
        </w:tc>
        <w:tc>
          <w:tcPr>
            <w:tcW w:type="dxa" w:w="5329"/>
            <w:vAlign w:val="top"/>
          </w:tcPr>
          <w:p>
            <w:pPr>
              <w:spacing w:after="20" w:line="252" w:lineRule="auto"/>
            </w:pPr>
            <w:r>
              <w:rPr>
                <w:b w:val="0"/>
                <w:i w:val="0"/>
                <w:sz w:val="16"/>
              </w:rPr>
              <w:t>npm test --workspaces</w:t>
            </w:r>
          </w:p>
        </w:tc>
      </w:tr>
      <w:tr>
        <w:trPr>
          <w:cantSplit/>
        </w:trPr>
        <w:tc>
          <w:tcPr>
            <w:tcW w:type="dxa" w:w="1134"/>
            <w:vAlign w:val="top"/>
            <w:shd w:val="clear" w:color="auto" w:fill="FDF0F7"/>
          </w:tcPr>
          <w:p>
            <w:pPr>
              <w:spacing w:after="20" w:line="252" w:lineRule="auto"/>
            </w:pPr>
            <w:r>
              <w:rPr>
                <w:b w:val="0"/>
                <w:i w:val="0"/>
                <w:sz w:val="16"/>
              </w:rPr>
              <w:t>verify</w:t>
            </w:r>
          </w:p>
        </w:tc>
        <w:tc>
          <w:tcPr>
            <w:tcW w:type="dxa" w:w="3175"/>
            <w:vAlign w:val="top"/>
            <w:shd w:val="clear" w:color="auto" w:fill="FDF0F7"/>
          </w:tcPr>
          <w:p>
            <w:pPr>
              <w:spacing w:after="20" w:line="252" w:lineRule="auto"/>
            </w:pPr>
            <w:r>
              <w:rPr>
                <w:b w:val="0"/>
                <w:i w:val="0"/>
                <w:sz w:val="16"/>
              </w:rPr>
              <w:t>End-to-end API tests</w:t>
            </w:r>
          </w:p>
        </w:tc>
        <w:tc>
          <w:tcPr>
            <w:tcW w:type="dxa" w:w="5329"/>
            <w:vAlign w:val="top"/>
            <w:shd w:val="clear" w:color="auto" w:fill="FDF0F7"/>
          </w:tcPr>
          <w:p>
            <w:pPr>
              <w:spacing w:after="20" w:line="252" w:lineRule="auto"/>
            </w:pPr>
            <w:r>
              <w:rPr>
                <w:b w:val="0"/>
                <w:i w:val="0"/>
                <w:sz w:val="16"/>
              </w:rPr>
              <w:t>npm run test:e2e --workspace apps/api</w:t>
            </w:r>
          </w:p>
        </w:tc>
      </w:tr>
      <w:tr>
        <w:trPr>
          <w:cantSplit/>
        </w:trPr>
        <w:tc>
          <w:tcPr>
            <w:tcW w:type="dxa" w:w="1134"/>
            <w:vAlign w:val="top"/>
          </w:tcPr>
          <w:p>
            <w:pPr>
              <w:spacing w:after="20" w:line="252" w:lineRule="auto"/>
            </w:pPr>
            <w:r>
              <w:rPr>
                <w:b w:val="0"/>
                <w:i w:val="0"/>
                <w:sz w:val="16"/>
              </w:rPr>
              <w:t>verify</w:t>
            </w:r>
          </w:p>
        </w:tc>
        <w:tc>
          <w:tcPr>
            <w:tcW w:type="dxa" w:w="3175"/>
            <w:vAlign w:val="top"/>
          </w:tcPr>
          <w:p>
            <w:pPr>
              <w:spacing w:after="20" w:line="252" w:lineRule="auto"/>
            </w:pPr>
            <w:r>
              <w:rPr>
                <w:b w:val="0"/>
                <w:i w:val="0"/>
                <w:sz w:val="16"/>
              </w:rPr>
              <w:t>Build</w:t>
            </w:r>
          </w:p>
        </w:tc>
        <w:tc>
          <w:tcPr>
            <w:tcW w:type="dxa" w:w="5329"/>
            <w:vAlign w:val="top"/>
          </w:tcPr>
          <w:p>
            <w:pPr>
              <w:spacing w:after="20" w:line="252" w:lineRule="auto"/>
            </w:pPr>
            <w:r>
              <w:rPr>
                <w:b w:val="0"/>
                <w:i w:val="0"/>
                <w:sz w:val="16"/>
              </w:rPr>
              <w:t>npm run build</w:t>
            </w:r>
          </w:p>
        </w:tc>
      </w:tr>
      <w:tr>
        <w:trPr>
          <w:cantSplit/>
        </w:trPr>
        <w:tc>
          <w:tcPr>
            <w:tcW w:type="dxa" w:w="1134"/>
            <w:vAlign w:val="top"/>
            <w:shd w:val="clear" w:color="auto" w:fill="FDF0F7"/>
          </w:tcPr>
          <w:p>
            <w:pPr>
              <w:spacing w:after="20" w:line="252" w:lineRule="auto"/>
            </w:pPr>
            <w:r>
              <w:rPr>
                <w:b w:val="0"/>
                <w:i w:val="0"/>
                <w:sz w:val="16"/>
              </w:rPr>
              <w:t>verify</w:t>
            </w:r>
          </w:p>
        </w:tc>
        <w:tc>
          <w:tcPr>
            <w:tcW w:type="dxa" w:w="3175"/>
            <w:vAlign w:val="top"/>
            <w:shd w:val="clear" w:color="auto" w:fill="FDF0F7"/>
          </w:tcPr>
          <w:p>
            <w:pPr>
              <w:spacing w:after="20" w:line="252" w:lineRule="auto"/>
            </w:pPr>
            <w:r>
              <w:rPr>
                <w:b w:val="0"/>
                <w:i w:val="0"/>
                <w:sz w:val="16"/>
              </w:rPr>
              <w:t>Dependency audit</w:t>
            </w:r>
          </w:p>
        </w:tc>
        <w:tc>
          <w:tcPr>
            <w:tcW w:type="dxa" w:w="5329"/>
            <w:vAlign w:val="top"/>
            <w:shd w:val="clear" w:color="auto" w:fill="FDF0F7"/>
          </w:tcPr>
          <w:p>
            <w:pPr>
              <w:spacing w:after="20" w:line="252" w:lineRule="auto"/>
            </w:pPr>
            <w:r>
              <w:rPr>
                <w:b w:val="0"/>
                <w:i w:val="0"/>
                <w:sz w:val="16"/>
              </w:rPr>
              <w:t>npm audit --audit-level=moderate</w:t>
            </w:r>
          </w:p>
        </w:tc>
      </w:tr>
      <w:tr>
        <w:trPr>
          <w:cantSplit/>
        </w:trPr>
        <w:tc>
          <w:tcPr>
            <w:tcW w:type="dxa" w:w="1134"/>
            <w:vAlign w:val="top"/>
          </w:tcPr>
          <w:p>
            <w:pPr>
              <w:spacing w:after="20" w:line="252" w:lineRule="auto"/>
            </w:pPr>
            <w:r>
              <w:rPr>
                <w:b w:val="0"/>
                <w:i w:val="0"/>
                <w:sz w:val="16"/>
              </w:rPr>
              <w:t>verify</w:t>
            </w:r>
          </w:p>
        </w:tc>
        <w:tc>
          <w:tcPr>
            <w:tcW w:type="dxa" w:w="3175"/>
            <w:vAlign w:val="top"/>
          </w:tcPr>
          <w:p>
            <w:pPr>
              <w:spacing w:after="20" w:line="252" w:lineRule="auto"/>
            </w:pPr>
            <w:r>
              <w:rPr>
                <w:b w:val="0"/>
                <w:i w:val="0"/>
                <w:sz w:val="16"/>
              </w:rPr>
              <w:t>Software bill of materials</w:t>
            </w:r>
          </w:p>
        </w:tc>
        <w:tc>
          <w:tcPr>
            <w:tcW w:type="dxa" w:w="5329"/>
            <w:vAlign w:val="top"/>
          </w:tcPr>
          <w:p>
            <w:pPr>
              <w:spacing w:after="20" w:line="252" w:lineRule="auto"/>
            </w:pPr>
            <w:r>
              <w:rPr>
                <w:b w:val="0"/>
                <w:i w:val="0"/>
                <w:sz w:val="16"/>
              </w:rPr>
              <w:t>npm sbom --sbom-format cyclonedx --omit dev &gt; sbom.cdx.json</w:t>
            </w:r>
          </w:p>
        </w:tc>
      </w:tr>
      <w:tr>
        <w:trPr>
          <w:cantSplit/>
        </w:trPr>
        <w:tc>
          <w:tcPr>
            <w:tcW w:type="dxa" w:w="1134"/>
            <w:vAlign w:val="top"/>
            <w:shd w:val="clear" w:color="auto" w:fill="FDF0F7"/>
          </w:tcPr>
          <w:p>
            <w:pPr>
              <w:spacing w:after="20" w:line="252" w:lineRule="auto"/>
            </w:pPr>
            <w:r>
              <w:rPr>
                <w:b w:val="0"/>
                <w:i w:val="0"/>
                <w:sz w:val="16"/>
              </w:rPr>
              <w:t>verify</w:t>
            </w:r>
          </w:p>
        </w:tc>
        <w:tc>
          <w:tcPr>
            <w:tcW w:type="dxa" w:w="3175"/>
            <w:vAlign w:val="top"/>
            <w:shd w:val="clear" w:color="auto" w:fill="FDF0F7"/>
          </w:tcPr>
          <w:p>
            <w:pPr>
              <w:spacing w:after="20" w:line="252" w:lineRule="auto"/>
            </w:pPr>
            <w:r>
              <w:rPr>
                <w:b w:val="0"/>
                <w:i w:val="0"/>
                <w:sz w:val="16"/>
              </w:rPr>
              <w:t>Keep sbom.cdx.json as build artifact</w:t>
            </w:r>
          </w:p>
        </w:tc>
        <w:tc>
          <w:tcPr>
            <w:tcW w:type="dxa" w:w="5329"/>
            <w:vAlign w:val="top"/>
            <w:shd w:val="clear" w:color="auto" w:fill="FDF0F7"/>
          </w:tcPr>
          <w:p>
            <w:pPr>
              <w:spacing w:after="20" w:line="252" w:lineRule="auto"/>
            </w:pPr>
            <w:r>
              <w:rPr>
                <w:b w:val="0"/>
                <w:i w:val="0"/>
                <w:sz w:val="16"/>
              </w:rPr>
              <w:t>actions/upload-artifact@v4</w:t>
            </w:r>
          </w:p>
        </w:tc>
      </w:tr>
      <w:tr>
        <w:trPr>
          <w:cantSplit/>
        </w:trPr>
        <w:tc>
          <w:tcPr>
            <w:tcW w:type="dxa" w:w="1134"/>
            <w:vAlign w:val="top"/>
          </w:tcPr>
          <w:p>
            <w:pPr>
              <w:spacing w:after="20" w:line="252" w:lineRule="auto"/>
            </w:pPr>
            <w:r>
              <w:rPr>
                <w:b w:val="0"/>
                <w:i w:val="0"/>
                <w:sz w:val="16"/>
              </w:rPr>
              <w:t>images</w:t>
            </w:r>
          </w:p>
        </w:tc>
        <w:tc>
          <w:tcPr>
            <w:tcW w:type="dxa" w:w="3175"/>
            <w:vAlign w:val="top"/>
          </w:tcPr>
          <w:p>
            <w:pPr>
              <w:spacing w:after="20" w:line="252" w:lineRule="auto"/>
            </w:pPr>
            <w:r>
              <w:rPr>
                <w:b w:val="0"/>
                <w:i w:val="0"/>
                <w:sz w:val="16"/>
              </w:rPr>
              <w:t>Build image from apps/api/Dockerfile</w:t>
            </w:r>
          </w:p>
        </w:tc>
        <w:tc>
          <w:tcPr>
            <w:tcW w:type="dxa" w:w="5329"/>
            <w:vAlign w:val="top"/>
          </w:tcPr>
          <w:p>
            <w:pPr>
              <w:spacing w:after="20" w:line="252" w:lineRule="auto"/>
            </w:pPr>
            <w:r>
              <w:rPr>
                <w:b w:val="0"/>
                <w:i w:val="0"/>
                <w:sz w:val="16"/>
              </w:rPr>
              <w:t>docker build -f apps/api/Dockerfile --target runtime -t salesverse-…</w:t>
            </w:r>
          </w:p>
        </w:tc>
      </w:tr>
      <w:tr>
        <w:trPr>
          <w:cantSplit/>
        </w:trPr>
        <w:tc>
          <w:tcPr>
            <w:tcW w:type="dxa" w:w="1134"/>
            <w:vAlign w:val="top"/>
            <w:shd w:val="clear" w:color="auto" w:fill="FDF0F7"/>
          </w:tcPr>
          <w:p>
            <w:pPr>
              <w:spacing w:after="20" w:line="252" w:lineRule="auto"/>
            </w:pPr>
            <w:r>
              <w:rPr>
                <w:b w:val="0"/>
                <w:i w:val="0"/>
                <w:sz w:val="16"/>
              </w:rPr>
              <w:t>images</w:t>
            </w:r>
          </w:p>
        </w:tc>
        <w:tc>
          <w:tcPr>
            <w:tcW w:type="dxa" w:w="3175"/>
            <w:vAlign w:val="top"/>
            <w:shd w:val="clear" w:color="auto" w:fill="FDF0F7"/>
          </w:tcPr>
          <w:p>
            <w:pPr>
              <w:spacing w:after="20" w:line="252" w:lineRule="auto"/>
            </w:pPr>
            <w:r>
              <w:rPr>
                <w:b w:val="0"/>
                <w:i w:val="0"/>
                <w:sz w:val="16"/>
              </w:rPr>
              <w:t>Build image from apps/web/Dockerfile</w:t>
            </w:r>
          </w:p>
        </w:tc>
        <w:tc>
          <w:tcPr>
            <w:tcW w:type="dxa" w:w="5329"/>
            <w:vAlign w:val="top"/>
            <w:shd w:val="clear" w:color="auto" w:fill="FDF0F7"/>
          </w:tcPr>
          <w:p>
            <w:pPr>
              <w:spacing w:after="20" w:line="252" w:lineRule="auto"/>
            </w:pPr>
            <w:r>
              <w:rPr>
                <w:b w:val="0"/>
                <w:i w:val="0"/>
                <w:sz w:val="16"/>
              </w:rPr>
              <w:t>docker build -f apps/web/Dockerfile -t salesverse-web:${{ github.sh…</w:t>
            </w:r>
          </w:p>
        </w:tc>
      </w:tr>
      <w:tr>
        <w:trPr>
          <w:cantSplit/>
        </w:trPr>
        <w:tc>
          <w:tcPr>
            <w:tcW w:type="dxa" w:w="1134"/>
            <w:vAlign w:val="top"/>
          </w:tcPr>
          <w:p>
            <w:pPr>
              <w:spacing w:after="20" w:line="252" w:lineRule="auto"/>
            </w:pPr>
            <w:r>
              <w:rPr>
                <w:b w:val="0"/>
                <w:i w:val="0"/>
                <w:sz w:val="16"/>
              </w:rPr>
              <w:t>images</w:t>
            </w:r>
          </w:p>
        </w:tc>
        <w:tc>
          <w:tcPr>
            <w:tcW w:type="dxa" w:w="3175"/>
            <w:vAlign w:val="top"/>
          </w:tcPr>
          <w:p>
            <w:pPr>
              <w:spacing w:after="20" w:line="252" w:lineRule="auto"/>
            </w:pPr>
            <w:r>
              <w:rPr>
                <w:b w:val="0"/>
                <w:i w:val="0"/>
                <w:sz w:val="16"/>
              </w:rPr>
              <w:t>Container vulnerability scan</w:t>
            </w:r>
          </w:p>
        </w:tc>
        <w:tc>
          <w:tcPr>
            <w:tcW w:type="dxa" w:w="5329"/>
            <w:vAlign w:val="top"/>
          </w:tcPr>
          <w:p>
            <w:pPr>
              <w:spacing w:after="20" w:line="252" w:lineRule="auto"/>
            </w:pPr>
            <w:r>
              <w:rPr>
                <w:b w:val="0"/>
                <w:i w:val="0"/>
                <w:sz w:val="16"/>
              </w:rPr>
              <w:t>aquasecurity/trivy-action@0.28.0</w:t>
            </w:r>
          </w:p>
        </w:tc>
      </w:tr>
    </w:tbl>
    <w:p>
      <w:pPr>
        <w:pStyle w:val="Caption"/>
        <w:jc w:val="center"/>
      </w:pPr>
      <w:r>
        <w:rPr>
          <w:b w:val="0"/>
          <w:i w:val="0"/>
        </w:rPr>
        <w:t>Table 3: CI steps (.github/workflows/ci.yml)</w:t>
      </w:r>
    </w:p>
    <w:p>
      <w:pPr>
        <w:pStyle w:val="Heading1"/>
        <w:pageBreakBefore w:val="0"/>
        <w:pBdr>
          <w:bottom w:val="single" w:sz="12" w:space="4" w:color="F58220"/>
        </w:pBdr>
      </w:pPr>
      <w:r>
        <w:t>3. Static analysis</w:t>
      </w:r>
    </w:p>
    <w:p>
      <w:pPr>
        <w:keepNext w:val="0"/>
      </w:pPr>
      <w:r>
        <w:rPr>
          <w:b w:val="0"/>
          <w:i w:val="0"/>
        </w:rPr>
        <w:t>Run on 2 October 2026, 14:57 UTC with the same commands as the CI pipeline.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474"/>
        <w:gridCol w:w="1474"/>
        <w:gridCol w:w="3742"/>
        <w:gridCol w:w="850"/>
        <w:gridCol w:w="963"/>
        <w:gridCol w:w="1134"/>
      </w:tblGrid>
      <w:tr>
        <w:trPr>
          <w:cantSplit/>
          <w:tblHeader/>
        </w:trPr>
        <w:tc>
          <w:tcPr>
            <w:tcW w:type="dxa" w:w="1474"/>
            <w:shd w:val="clear" w:color="auto" w:fill="E1058C"/>
            <w:vAlign w:val="center"/>
          </w:tcPr>
          <w:p>
            <w:pPr>
              <w:spacing w:after="0"/>
            </w:pPr>
            <w:r>
              <w:rPr>
                <w:b/>
                <w:i w:val="0"/>
                <w:color w:val="FFFFFF"/>
                <w:sz w:val="15"/>
              </w:rPr>
              <w:t>Check</w:t>
            </w:r>
          </w:p>
        </w:tc>
        <w:tc>
          <w:tcPr>
            <w:tcW w:type="dxa" w:w="1474"/>
            <w:shd w:val="clear" w:color="auto" w:fill="E1058C"/>
            <w:vAlign w:val="center"/>
          </w:tcPr>
          <w:p>
            <w:pPr>
              <w:spacing w:after="0"/>
            </w:pPr>
            <w:r>
              <w:rPr>
                <w:b/>
                <w:i w:val="0"/>
                <w:color w:val="FFFFFF"/>
                <w:sz w:val="15"/>
              </w:rPr>
              <w:t>Tool</w:t>
            </w:r>
          </w:p>
        </w:tc>
        <w:tc>
          <w:tcPr>
            <w:tcW w:type="dxa" w:w="3742"/>
            <w:shd w:val="clear" w:color="auto" w:fill="E1058C"/>
            <w:vAlign w:val="center"/>
          </w:tcPr>
          <w:p>
            <w:pPr>
              <w:spacing w:after="0"/>
            </w:pPr>
            <w:r>
              <w:rPr>
                <w:b/>
                <w:i w:val="0"/>
                <w:color w:val="FFFFFF"/>
                <w:sz w:val="15"/>
              </w:rPr>
              <w:t>Command</w:t>
            </w:r>
          </w:p>
        </w:tc>
        <w:tc>
          <w:tcPr>
            <w:tcW w:type="dxa" w:w="850"/>
            <w:shd w:val="clear" w:color="auto" w:fill="E1058C"/>
            <w:vAlign w:val="center"/>
          </w:tcPr>
          <w:p>
            <w:pPr>
              <w:spacing w:after="0"/>
            </w:pPr>
            <w:r>
              <w:rPr>
                <w:b/>
                <w:i w:val="0"/>
                <w:color w:val="FFFFFF"/>
                <w:sz w:val="15"/>
              </w:rPr>
              <w:t>Errors</w:t>
            </w:r>
          </w:p>
        </w:tc>
        <w:tc>
          <w:tcPr>
            <w:tcW w:type="dxa" w:w="964"/>
            <w:shd w:val="clear" w:color="auto" w:fill="E1058C"/>
            <w:vAlign w:val="center"/>
          </w:tcPr>
          <w:p>
            <w:pPr>
              <w:spacing w:after="0"/>
            </w:pPr>
            <w:r>
              <w:rPr>
                <w:b/>
                <w:i w:val="0"/>
                <w:color w:val="FFFFFF"/>
                <w:sz w:val="15"/>
              </w:rPr>
              <w:t>Warnings</w:t>
            </w:r>
          </w:p>
        </w:tc>
        <w:tc>
          <w:tcPr>
            <w:tcW w:type="dxa" w:w="1134"/>
            <w:shd w:val="clear" w:color="auto" w:fill="E1058C"/>
            <w:vAlign w:val="center"/>
          </w:tcPr>
          <w:p>
            <w:pPr>
              <w:spacing w:after="0"/>
            </w:pPr>
            <w:r>
              <w:rPr>
                <w:b/>
                <w:i w:val="0"/>
                <w:color w:val="FFFFFF"/>
                <w:sz w:val="15"/>
              </w:rPr>
              <w:t>Result</w:t>
            </w:r>
          </w:p>
        </w:tc>
      </w:tr>
      <w:tr>
        <w:trPr>
          <w:cantSplit/>
        </w:trPr>
        <w:tc>
          <w:tcPr>
            <w:tcW w:type="dxa" w:w="1474"/>
            <w:vAlign w:val="top"/>
          </w:tcPr>
          <w:p>
            <w:pPr>
              <w:spacing w:after="20" w:line="252" w:lineRule="auto"/>
            </w:pPr>
            <w:r>
              <w:rPr>
                <w:b w:val="0"/>
                <w:i w:val="0"/>
                <w:sz w:val="15"/>
              </w:rPr>
              <w:t>Lint</w:t>
            </w:r>
          </w:p>
        </w:tc>
        <w:tc>
          <w:tcPr>
            <w:tcW w:type="dxa" w:w="1474"/>
            <w:vAlign w:val="top"/>
          </w:tcPr>
          <w:p>
            <w:pPr>
              <w:spacing w:after="20" w:line="252" w:lineRule="auto"/>
            </w:pPr>
            <w:r>
              <w:rPr>
                <w:b w:val="0"/>
                <w:i w:val="0"/>
                <w:sz w:val="15"/>
              </w:rPr>
              <w:t>oxlint 1.86.0</w:t>
            </w:r>
          </w:p>
        </w:tc>
        <w:tc>
          <w:tcPr>
            <w:tcW w:type="dxa" w:w="3742"/>
            <w:vAlign w:val="top"/>
          </w:tcPr>
          <w:p>
            <w:pPr>
              <w:spacing w:after="20" w:line="252" w:lineRule="auto"/>
            </w:pPr>
            <w:r>
              <w:rPr>
                <w:b w:val="0"/>
                <w:i w:val="0"/>
                <w:sz w:val="15"/>
              </w:rPr>
              <w:t>npx oxlint src test</w:t>
            </w:r>
          </w:p>
        </w:tc>
        <w:tc>
          <w:tcPr>
            <w:tcW w:type="dxa" w:w="850"/>
            <w:vAlign w:val="top"/>
          </w:tcPr>
          <w:p>
            <w:pPr>
              <w:spacing w:after="20" w:line="252" w:lineRule="auto"/>
              <w:jc w:val="center"/>
            </w:pPr>
            <w:r>
              <w:rPr>
                <w:b w:val="0"/>
                <w:i w:val="0"/>
                <w:sz w:val="15"/>
              </w:rPr>
              <w:t>0</w:t>
            </w:r>
          </w:p>
        </w:tc>
        <w:tc>
          <w:tcPr>
            <w:tcW w:type="dxa" w:w="964"/>
            <w:vAlign w:val="top"/>
          </w:tcPr>
          <w:p>
            <w:pPr>
              <w:spacing w:after="20" w:line="252" w:lineRule="auto"/>
              <w:jc w:val="center"/>
            </w:pPr>
            <w:r>
              <w:rPr>
                <w:b w:val="0"/>
                <w:i w:val="0"/>
                <w:sz w:val="15"/>
              </w:rPr>
              <w:t>0</w:t>
            </w:r>
          </w:p>
        </w:tc>
        <w:tc>
          <w:tcPr>
            <w:tcW w:type="dxa" w:w="1134"/>
            <w:vAlign w:val="top"/>
          </w:tcPr>
          <w:p>
            <w:pPr>
              <w:spacing w:after="20" w:line="252" w:lineRule="auto"/>
            </w:pPr>
            <w:r>
              <w:rPr>
                <w:b w:val="0"/>
                <w:i w:val="0"/>
                <w:sz w:val="15"/>
              </w:rPr>
              <w:t>Pass</w:t>
            </w:r>
          </w:p>
        </w:tc>
      </w:tr>
      <w:tr>
        <w:trPr>
          <w:cantSplit/>
        </w:trPr>
        <w:tc>
          <w:tcPr>
            <w:tcW w:type="dxa" w:w="1474"/>
            <w:vAlign w:val="top"/>
            <w:shd w:val="clear" w:color="auto" w:fill="FDF0F7"/>
          </w:tcPr>
          <w:p>
            <w:pPr>
              <w:spacing w:after="20" w:line="252" w:lineRule="auto"/>
            </w:pPr>
            <w:r>
              <w:rPr>
                <w:b w:val="0"/>
                <w:i w:val="0"/>
                <w:sz w:val="15"/>
              </w:rPr>
              <w:t>Type check</w:t>
            </w:r>
          </w:p>
        </w:tc>
        <w:tc>
          <w:tcPr>
            <w:tcW w:type="dxa" w:w="1474"/>
            <w:vAlign w:val="top"/>
            <w:shd w:val="clear" w:color="auto" w:fill="FDF0F7"/>
          </w:tcPr>
          <w:p>
            <w:pPr>
              <w:spacing w:after="20" w:line="252" w:lineRule="auto"/>
            </w:pPr>
            <w:r>
              <w:rPr>
                <w:b w:val="0"/>
                <w:i w:val="0"/>
                <w:sz w:val="15"/>
              </w:rPr>
              <w:t>TypeScript compiler 6.0.3</w:t>
            </w:r>
          </w:p>
        </w:tc>
        <w:tc>
          <w:tcPr>
            <w:tcW w:type="dxa" w:w="3742"/>
            <w:vAlign w:val="top"/>
            <w:shd w:val="clear" w:color="auto" w:fill="FDF0F7"/>
          </w:tcPr>
          <w:p>
            <w:pPr>
              <w:spacing w:after="20" w:line="252" w:lineRule="auto"/>
            </w:pPr>
            <w:r>
              <w:rPr>
                <w:b w:val="0"/>
                <w:i w:val="0"/>
                <w:sz w:val="15"/>
              </w:rPr>
              <w:t>npx tsc --noEmit -p tsconfig.json</w:t>
            </w:r>
          </w:p>
        </w:tc>
        <w:tc>
          <w:tcPr>
            <w:tcW w:type="dxa" w:w="850"/>
            <w:vAlign w:val="top"/>
            <w:shd w:val="clear" w:color="auto" w:fill="FDF0F7"/>
          </w:tcPr>
          <w:p>
            <w:pPr>
              <w:spacing w:after="20" w:line="252" w:lineRule="auto"/>
              <w:jc w:val="center"/>
            </w:pPr>
            <w:r>
              <w:rPr>
                <w:b w:val="0"/>
                <w:i w:val="0"/>
                <w:sz w:val="15"/>
              </w:rPr>
              <w:t>0</w:t>
            </w:r>
          </w:p>
        </w:tc>
        <w:tc>
          <w:tcPr>
            <w:tcW w:type="dxa" w:w="964"/>
            <w:vAlign w:val="top"/>
            <w:shd w:val="clear" w:color="auto" w:fill="FDF0F7"/>
          </w:tcPr>
          <w:p>
            <w:pPr>
              <w:spacing w:after="20" w:line="252" w:lineRule="auto"/>
              <w:jc w:val="center"/>
            </w:pPr>
            <w:r>
              <w:rPr>
                <w:b w:val="0"/>
                <w:i w:val="0"/>
                <w:sz w:val="15"/>
              </w:rPr>
              <w:t>0</w:t>
            </w:r>
          </w:p>
        </w:tc>
        <w:tc>
          <w:tcPr>
            <w:tcW w:type="dxa" w:w="1134"/>
            <w:vAlign w:val="top"/>
            <w:shd w:val="clear" w:color="auto" w:fill="FDF0F7"/>
          </w:tcPr>
          <w:p>
            <w:pPr>
              <w:spacing w:after="20" w:line="252" w:lineRule="auto"/>
            </w:pPr>
            <w:r>
              <w:rPr>
                <w:b w:val="0"/>
                <w:i w:val="0"/>
                <w:sz w:val="15"/>
              </w:rPr>
              <w:t>Pass</w:t>
            </w:r>
          </w:p>
        </w:tc>
      </w:tr>
      <w:tr>
        <w:trPr>
          <w:cantSplit/>
        </w:trPr>
        <w:tc>
          <w:tcPr>
            <w:tcW w:type="dxa" w:w="1474"/>
            <w:vAlign w:val="top"/>
          </w:tcPr>
          <w:p>
            <w:pPr>
              <w:spacing w:after="20" w:line="252" w:lineRule="auto"/>
            </w:pPr>
            <w:r>
              <w:rPr>
                <w:b w:val="0"/>
                <w:i w:val="0"/>
                <w:sz w:val="15"/>
              </w:rPr>
              <w:t>Formatting</w:t>
            </w:r>
          </w:p>
        </w:tc>
        <w:tc>
          <w:tcPr>
            <w:tcW w:type="dxa" w:w="1474"/>
            <w:vAlign w:val="top"/>
          </w:tcPr>
          <w:p>
            <w:pPr>
              <w:spacing w:after="20" w:line="252" w:lineRule="auto"/>
            </w:pPr>
            <w:r>
              <w:rPr>
                <w:b w:val="0"/>
                <w:i w:val="0"/>
                <w:sz w:val="15"/>
              </w:rPr>
              <w:t>Prettier 3.9.9</w:t>
            </w:r>
          </w:p>
        </w:tc>
        <w:tc>
          <w:tcPr>
            <w:tcW w:type="dxa" w:w="3742"/>
            <w:vAlign w:val="top"/>
          </w:tcPr>
          <w:p>
            <w:pPr>
              <w:spacing w:after="20" w:line="252" w:lineRule="auto"/>
            </w:pPr>
            <w:r>
              <w:rPr>
                <w:b w:val="0"/>
                <w:i w:val="0"/>
                <w:sz w:val="15"/>
              </w:rPr>
              <w:t>npx prettier --check apps/api/src/*​*/*.ts apps/api/test/*​*/*.ts apps/api/prisma/*​*/*.ts</w:t>
            </w:r>
          </w:p>
        </w:tc>
        <w:tc>
          <w:tcPr>
            <w:tcW w:type="dxa" w:w="850"/>
            <w:vAlign w:val="top"/>
          </w:tcPr>
          <w:p>
            <w:pPr>
              <w:spacing w:after="20" w:line="252" w:lineRule="auto"/>
              <w:jc w:val="center"/>
            </w:pPr>
            <w:r>
              <w:rPr>
                <w:b w:val="0"/>
                <w:i w:val="0"/>
                <w:sz w:val="15"/>
              </w:rPr>
              <w:t>0</w:t>
            </w:r>
          </w:p>
        </w:tc>
        <w:tc>
          <w:tcPr>
            <w:tcW w:type="dxa" w:w="964"/>
            <w:vAlign w:val="top"/>
          </w:tcPr>
          <w:p>
            <w:pPr>
              <w:spacing w:after="20" w:line="252" w:lineRule="auto"/>
              <w:jc w:val="center"/>
            </w:pPr>
            <w:r>
              <w:rPr>
                <w:b w:val="0"/>
                <w:i w:val="0"/>
                <w:sz w:val="15"/>
              </w:rPr>
              <w:t>0</w:t>
            </w:r>
          </w:p>
        </w:tc>
        <w:tc>
          <w:tcPr>
            <w:tcW w:type="dxa" w:w="1134"/>
            <w:vAlign w:val="top"/>
          </w:tcPr>
          <w:p>
            <w:pPr>
              <w:spacing w:after="20" w:line="252" w:lineRule="auto"/>
            </w:pPr>
            <w:r>
              <w:rPr>
                <w:b w:val="0"/>
                <w:i w:val="0"/>
                <w:sz w:val="15"/>
              </w:rPr>
              <w:t>Pass</w:t>
            </w:r>
          </w:p>
        </w:tc>
      </w:tr>
    </w:tbl>
    <w:p>
      <w:pPr>
        <w:pStyle w:val="Caption"/>
        <w:jc w:val="center"/>
      </w:pPr>
      <w:r>
        <w:rPr>
          <w:b w:val="0"/>
          <w:i w:val="0"/>
        </w:rPr>
        <w:t>Table 4: API static analysis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969"/>
        <w:gridCol w:w="5670"/>
      </w:tblGrid>
      <w:tr>
        <w:trPr>
          <w:cantSplit/>
          <w:tblHeader/>
        </w:trPr>
        <w:tc>
          <w:tcPr>
            <w:tcW w:type="dxa" w:w="3969"/>
            <w:shd w:val="clear" w:color="auto" w:fill="E1058C"/>
            <w:vAlign w:val="center"/>
          </w:tcPr>
          <w:p>
            <w:pPr>
              <w:spacing w:after="0"/>
            </w:pPr>
            <w:r>
              <w:rPr>
                <w:b/>
                <w:i w:val="0"/>
                <w:color w:val="FFFFFF"/>
                <w:sz w:val="16"/>
              </w:rPr>
              <w:t>Web application check</w:t>
            </w:r>
          </w:p>
        </w:tc>
        <w:tc>
          <w:tcPr>
            <w:tcW w:type="dxa" w:w="5669"/>
            <w:shd w:val="clear" w:color="auto" w:fill="E1058C"/>
            <w:vAlign w:val="center"/>
          </w:tcPr>
          <w:p>
            <w:pPr>
              <w:spacing w:after="0"/>
            </w:pPr>
            <w:r>
              <w:rPr>
                <w:b/>
                <w:i w:val="0"/>
                <w:color w:val="FFFFFF"/>
                <w:sz w:val="16"/>
              </w:rPr>
              <w:t>Result</w:t>
            </w:r>
          </w:p>
        </w:tc>
      </w:tr>
      <w:tr>
        <w:trPr>
          <w:cantSplit/>
        </w:trPr>
        <w:tc>
          <w:tcPr>
            <w:tcW w:type="dxa" w:w="3969"/>
            <w:vAlign w:val="top"/>
          </w:tcPr>
          <w:p>
            <w:pPr>
              <w:spacing w:after="20" w:line="252" w:lineRule="auto"/>
            </w:pPr>
            <w:r>
              <w:rPr>
                <w:b/>
                <w:i w:val="0"/>
                <w:sz w:val="16"/>
              </w:rPr>
              <w:t>Web lint (oxlint)</w:t>
            </w:r>
          </w:p>
        </w:tc>
        <w:tc>
          <w:tcPr>
            <w:tcW w:type="dxa" w:w="5669"/>
            <w:vAlign w:val="top"/>
          </w:tcPr>
          <w:p>
            <w:pPr>
              <w:spacing w:after="20" w:line="252" w:lineRule="auto"/>
            </w:pPr>
            <w:r>
              <w:rPr>
                <w:b w:val="0"/>
                <w:i w:val="0"/>
                <w:sz w:val="16"/>
              </w:rPr>
              <w:t>0 errors, 0 warnings (184 files, 213 rules)</w:t>
            </w:r>
          </w:p>
        </w:tc>
      </w:tr>
      <w:tr>
        <w:trPr>
          <w:cantSplit/>
        </w:trPr>
        <w:tc>
          <w:tcPr>
            <w:tcW w:type="dxa" w:w="3969"/>
            <w:vAlign w:val="top"/>
            <w:shd w:val="clear" w:color="auto" w:fill="FDF0F7"/>
          </w:tcPr>
          <w:p>
            <w:pPr>
              <w:spacing w:after="20" w:line="252" w:lineRule="auto"/>
            </w:pPr>
            <w:r>
              <w:rPr>
                <w:b/>
                <w:i w:val="0"/>
                <w:sz w:val="16"/>
              </w:rPr>
              <w:t>Web type check (tsc)</w:t>
            </w:r>
          </w:p>
        </w:tc>
        <w:tc>
          <w:tcPr>
            <w:tcW w:type="dxa" w:w="5669"/>
            <w:vAlign w:val="top"/>
            <w:shd w:val="clear" w:color="auto" w:fill="FDF0F7"/>
          </w:tcPr>
          <w:p>
            <w:pPr>
              <w:spacing w:after="20" w:line="252" w:lineRule="auto"/>
            </w:pPr>
            <w:r>
              <w:rPr>
                <w:b w:val="0"/>
                <w:i w:val="0"/>
                <w:sz w:val="16"/>
              </w:rPr>
              <w:t>No errors reported</w:t>
            </w:r>
          </w:p>
        </w:tc>
      </w:tr>
      <w:tr>
        <w:trPr>
          <w:cantSplit/>
        </w:trPr>
        <w:tc>
          <w:tcPr>
            <w:tcW w:type="dxa" w:w="3969"/>
            <w:vAlign w:val="top"/>
          </w:tcPr>
          <w:p>
            <w:pPr>
              <w:spacing w:after="20" w:line="252" w:lineRule="auto"/>
            </w:pPr>
            <w:r>
              <w:rPr>
                <w:b/>
                <w:i w:val="0"/>
                <w:sz w:val="16"/>
              </w:rPr>
              <w:t>Web production build (Vite)</w:t>
            </w:r>
          </w:p>
        </w:tc>
        <w:tc>
          <w:tcPr>
            <w:tcW w:type="dxa" w:w="5669"/>
            <w:vAlign w:val="top"/>
          </w:tcPr>
          <w:p>
            <w:pPr>
              <w:spacing w:after="20" w:line="252" w:lineRule="auto"/>
            </w:pPr>
            <w:r>
              <w:rPr>
                <w:b w:val="0"/>
                <w:i w:val="0"/>
                <w:sz w:val="16"/>
              </w:rPr>
              <w:t>No errors reported; largest chunk antd 1,378.82 kB (437.98 kB gzip)</w:t>
            </w:r>
          </w:p>
        </w:tc>
      </w:tr>
    </w:tbl>
    <w:p>
      <w:pPr>
        <w:pStyle w:val="Caption"/>
        <w:jc w:val="center"/>
      </w:pPr>
      <w:r>
        <w:rPr>
          <w:b w:val="0"/>
          <w:i w:val="0"/>
        </w:rPr>
        <w:t>Table 5: Web application static analysis and build</w:t>
      </w:r>
    </w:p>
    <w:p>
      <w:pPr>
        <w:pStyle w:val="Heading1"/>
        <w:pageBreakBefore/>
        <w:pBdr>
          <w:bottom w:val="single" w:sz="12" w:space="4" w:color="F58220"/>
        </w:pBdr>
      </w:pPr>
      <w:r>
        <w:t>4. Automated tests</w:t>
      </w:r>
    </w:p>
    <w:p>
      <w:pPr>
        <w:keepNext w:val="0"/>
      </w:pPr>
      <w:r>
        <w:rPr>
          <w:b w:val="0"/>
          <w:i w:val="0"/>
        </w:rPr>
        <w:t>Unit tests run with Vitest and need no database. End-to-end tests start the API with the production HTTP pipeline (the same middleware, guards, validation and error handling as the server) against a PostgreSQL 16 database, and call it over HTTP. Web unit and component tests run with Vitest and Testing Library in a simulated browser (jsdom) and cover the API client, formatting, permissions, navigation and shared components. All three suites run in CI on every change.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608"/>
        <w:gridCol w:w="793"/>
        <w:gridCol w:w="850"/>
        <w:gridCol w:w="850"/>
        <w:gridCol w:w="850"/>
        <w:gridCol w:w="3685"/>
      </w:tblGrid>
      <w:tr>
        <w:trPr>
          <w:cantSplit/>
          <w:tblHeader/>
        </w:trPr>
        <w:tc>
          <w:tcPr>
            <w:tcW w:type="dxa" w:w="2608"/>
            <w:shd w:val="clear" w:color="auto" w:fill="E1058C"/>
            <w:vAlign w:val="center"/>
          </w:tcPr>
          <w:p>
            <w:pPr>
              <w:spacing w:after="0"/>
            </w:pPr>
            <w:r>
              <w:rPr>
                <w:b/>
                <w:i w:val="0"/>
                <w:color w:val="FFFFFF"/>
                <w:sz w:val="17"/>
              </w:rPr>
              <w:t>Suite</w:t>
            </w:r>
          </w:p>
        </w:tc>
        <w:tc>
          <w:tcPr>
            <w:tcW w:type="dxa" w:w="794"/>
            <w:shd w:val="clear" w:color="auto" w:fill="E1058C"/>
            <w:vAlign w:val="center"/>
          </w:tcPr>
          <w:p>
            <w:pPr>
              <w:spacing w:after="0"/>
            </w:pPr>
            <w:r>
              <w:rPr>
                <w:b/>
                <w:i w:val="0"/>
                <w:color w:val="FFFFFF"/>
                <w:sz w:val="17"/>
              </w:rPr>
              <w:t>Files</w:t>
            </w:r>
          </w:p>
        </w:tc>
        <w:tc>
          <w:tcPr>
            <w:tcW w:type="dxa" w:w="850"/>
            <w:shd w:val="clear" w:color="auto" w:fill="E1058C"/>
            <w:vAlign w:val="center"/>
          </w:tcPr>
          <w:p>
            <w:pPr>
              <w:spacing w:after="0"/>
            </w:pPr>
            <w:r>
              <w:rPr>
                <w:b/>
                <w:i w:val="0"/>
                <w:color w:val="FFFFFF"/>
                <w:sz w:val="17"/>
              </w:rPr>
              <w:t>Tests</w:t>
            </w:r>
          </w:p>
        </w:tc>
        <w:tc>
          <w:tcPr>
            <w:tcW w:type="dxa" w:w="850"/>
            <w:shd w:val="clear" w:color="auto" w:fill="E1058C"/>
            <w:vAlign w:val="center"/>
          </w:tcPr>
          <w:p>
            <w:pPr>
              <w:spacing w:after="0"/>
            </w:pPr>
            <w:r>
              <w:rPr>
                <w:b/>
                <w:i w:val="0"/>
                <w:color w:val="FFFFFF"/>
                <w:sz w:val="17"/>
              </w:rPr>
              <w:t>Passed</w:t>
            </w:r>
          </w:p>
        </w:tc>
        <w:tc>
          <w:tcPr>
            <w:tcW w:type="dxa" w:w="850"/>
            <w:shd w:val="clear" w:color="auto" w:fill="E1058C"/>
            <w:vAlign w:val="center"/>
          </w:tcPr>
          <w:p>
            <w:pPr>
              <w:spacing w:after="0"/>
            </w:pPr>
            <w:r>
              <w:rPr>
                <w:b/>
                <w:i w:val="0"/>
                <w:color w:val="FFFFFF"/>
                <w:sz w:val="17"/>
              </w:rPr>
              <w:t>Failed</w:t>
            </w:r>
          </w:p>
        </w:tc>
        <w:tc>
          <w:tcPr>
            <w:tcW w:type="dxa" w:w="3685"/>
            <w:shd w:val="clear" w:color="auto" w:fill="E1058C"/>
            <w:vAlign w:val="center"/>
          </w:tcPr>
          <w:p>
            <w:pPr>
              <w:spacing w:after="0"/>
            </w:pPr>
            <w:r>
              <w:rPr>
                <w:b/>
                <w:i w:val="0"/>
                <w:color w:val="FFFFFF"/>
                <w:sz w:val="17"/>
              </w:rPr>
              <w:t>Run</w:t>
            </w:r>
          </w:p>
        </w:tc>
      </w:tr>
      <w:tr>
        <w:trPr>
          <w:cantSplit/>
        </w:trPr>
        <w:tc>
          <w:tcPr>
            <w:tcW w:type="dxa" w:w="2608"/>
            <w:vAlign w:val="top"/>
          </w:tcPr>
          <w:p>
            <w:pPr>
              <w:spacing w:after="20" w:line="252" w:lineRule="auto"/>
            </w:pPr>
            <w:r>
              <w:rPr>
                <w:b w:val="0"/>
                <w:i w:val="0"/>
                <w:sz w:val="17"/>
              </w:rPr>
              <w:t>API unit tests</w:t>
            </w:r>
          </w:p>
        </w:tc>
        <w:tc>
          <w:tcPr>
            <w:tcW w:type="dxa" w:w="794"/>
            <w:vAlign w:val="top"/>
          </w:tcPr>
          <w:p>
            <w:pPr>
              <w:spacing w:after="20" w:line="252" w:lineRule="auto"/>
              <w:jc w:val="center"/>
            </w:pPr>
            <w:r>
              <w:rPr>
                <w:b w:val="0"/>
                <w:i w:val="0"/>
                <w:sz w:val="17"/>
              </w:rPr>
              <w:t>13</w:t>
            </w:r>
          </w:p>
        </w:tc>
        <w:tc>
          <w:tcPr>
            <w:tcW w:type="dxa" w:w="850"/>
            <w:vAlign w:val="top"/>
          </w:tcPr>
          <w:p>
            <w:pPr>
              <w:spacing w:after="20" w:line="252" w:lineRule="auto"/>
              <w:jc w:val="center"/>
            </w:pPr>
            <w:r>
              <w:rPr>
                <w:b w:val="0"/>
                <w:i w:val="0"/>
                <w:sz w:val="17"/>
              </w:rPr>
              <w:t>59</w:t>
            </w:r>
          </w:p>
        </w:tc>
        <w:tc>
          <w:tcPr>
            <w:tcW w:type="dxa" w:w="850"/>
            <w:vAlign w:val="top"/>
          </w:tcPr>
          <w:p>
            <w:pPr>
              <w:spacing w:after="20" w:line="252" w:lineRule="auto"/>
              <w:jc w:val="center"/>
            </w:pPr>
            <w:r>
              <w:rPr>
                <w:b w:val="0"/>
                <w:i w:val="0"/>
                <w:sz w:val="17"/>
              </w:rPr>
              <w:t>59</w:t>
            </w:r>
          </w:p>
        </w:tc>
        <w:tc>
          <w:tcPr>
            <w:tcW w:type="dxa" w:w="850"/>
            <w:vAlign w:val="top"/>
          </w:tcPr>
          <w:p>
            <w:pPr>
              <w:spacing w:after="20" w:line="252" w:lineRule="auto"/>
              <w:jc w:val="center"/>
            </w:pPr>
            <w:r>
              <w:rPr>
                <w:b w:val="0"/>
                <w:i w:val="0"/>
                <w:sz w:val="17"/>
              </w:rPr>
              <w:t>0</w:t>
            </w:r>
          </w:p>
        </w:tc>
        <w:tc>
          <w:tcPr>
            <w:tcW w:type="dxa" w:w="3685"/>
            <w:vAlign w:val="top"/>
          </w:tcPr>
          <w:p>
            <w:pPr>
              <w:spacing w:after="20" w:line="252" w:lineRule="auto"/>
            </w:pPr>
            <w:r>
              <w:rPr>
                <w:b w:val="0"/>
                <w:i w:val="0"/>
                <w:sz w:val="17"/>
              </w:rPr>
              <w:t>2 October 2026, 14:55 UTC</w:t>
            </w:r>
          </w:p>
        </w:tc>
      </w:tr>
      <w:tr>
        <w:trPr>
          <w:cantSplit/>
        </w:trPr>
        <w:tc>
          <w:tcPr>
            <w:tcW w:type="dxa" w:w="2608"/>
            <w:vAlign w:val="top"/>
            <w:shd w:val="clear" w:color="auto" w:fill="FDF0F7"/>
          </w:tcPr>
          <w:p>
            <w:pPr>
              <w:spacing w:after="20" w:line="252" w:lineRule="auto"/>
            </w:pPr>
            <w:r>
              <w:rPr>
                <w:b w:val="0"/>
                <w:i w:val="0"/>
                <w:sz w:val="17"/>
              </w:rPr>
              <w:t>API end-to-end tests</w:t>
            </w:r>
          </w:p>
        </w:tc>
        <w:tc>
          <w:tcPr>
            <w:tcW w:type="dxa" w:w="794"/>
            <w:vAlign w:val="top"/>
            <w:shd w:val="clear" w:color="auto" w:fill="FDF0F7"/>
          </w:tcPr>
          <w:p>
            <w:pPr>
              <w:spacing w:after="20" w:line="252" w:lineRule="auto"/>
              <w:jc w:val="center"/>
            </w:pPr>
            <w:r>
              <w:rPr>
                <w:b w:val="0"/>
                <w:i w:val="0"/>
                <w:sz w:val="17"/>
              </w:rPr>
              <w:t>4</w:t>
            </w:r>
          </w:p>
        </w:tc>
        <w:tc>
          <w:tcPr>
            <w:tcW w:type="dxa" w:w="850"/>
            <w:vAlign w:val="top"/>
            <w:shd w:val="clear" w:color="auto" w:fill="FDF0F7"/>
          </w:tcPr>
          <w:p>
            <w:pPr>
              <w:spacing w:after="20" w:line="252" w:lineRule="auto"/>
              <w:jc w:val="center"/>
            </w:pPr>
            <w:r>
              <w:rPr>
                <w:b w:val="0"/>
                <w:i w:val="0"/>
                <w:sz w:val="17"/>
              </w:rPr>
              <w:t>32</w:t>
            </w:r>
          </w:p>
        </w:tc>
        <w:tc>
          <w:tcPr>
            <w:tcW w:type="dxa" w:w="850"/>
            <w:vAlign w:val="top"/>
            <w:shd w:val="clear" w:color="auto" w:fill="FDF0F7"/>
          </w:tcPr>
          <w:p>
            <w:pPr>
              <w:spacing w:after="20" w:line="252" w:lineRule="auto"/>
              <w:jc w:val="center"/>
            </w:pPr>
            <w:r>
              <w:rPr>
                <w:b w:val="0"/>
                <w:i w:val="0"/>
                <w:sz w:val="17"/>
              </w:rPr>
              <w:t>32</w:t>
            </w:r>
          </w:p>
        </w:tc>
        <w:tc>
          <w:tcPr>
            <w:tcW w:type="dxa" w:w="850"/>
            <w:vAlign w:val="top"/>
            <w:shd w:val="clear" w:color="auto" w:fill="FDF0F7"/>
          </w:tcPr>
          <w:p>
            <w:pPr>
              <w:spacing w:after="20" w:line="252" w:lineRule="auto"/>
              <w:jc w:val="center"/>
            </w:pPr>
            <w:r>
              <w:rPr>
                <w:b w:val="0"/>
                <w:i w:val="0"/>
                <w:sz w:val="17"/>
              </w:rPr>
              <w:t>0</w:t>
            </w:r>
          </w:p>
        </w:tc>
        <w:tc>
          <w:tcPr>
            <w:tcW w:type="dxa" w:w="3685"/>
            <w:vAlign w:val="top"/>
            <w:shd w:val="clear" w:color="auto" w:fill="FDF0F7"/>
          </w:tcPr>
          <w:p>
            <w:pPr>
              <w:spacing w:after="20" w:line="252" w:lineRule="auto"/>
            </w:pPr>
            <w:r>
              <w:rPr>
                <w:b w:val="0"/>
                <w:i w:val="0"/>
                <w:sz w:val="17"/>
              </w:rPr>
              <w:t>2 October 2026, 14:55 UTC</w:t>
            </w:r>
          </w:p>
        </w:tc>
      </w:tr>
      <w:tr>
        <w:trPr>
          <w:cantSplit/>
        </w:trPr>
        <w:tc>
          <w:tcPr>
            <w:tcW w:type="dxa" w:w="2608"/>
            <w:vAlign w:val="top"/>
          </w:tcPr>
          <w:p>
            <w:pPr>
              <w:spacing w:after="20" w:line="252" w:lineRule="auto"/>
            </w:pPr>
            <w:r>
              <w:rPr>
                <w:b w:val="0"/>
                <w:i w:val="0"/>
                <w:sz w:val="17"/>
              </w:rPr>
              <w:t>Web unit and component tests</w:t>
            </w:r>
          </w:p>
        </w:tc>
        <w:tc>
          <w:tcPr>
            <w:tcW w:type="dxa" w:w="794"/>
            <w:vAlign w:val="top"/>
          </w:tcPr>
          <w:p>
            <w:pPr>
              <w:spacing w:after="20" w:line="252" w:lineRule="auto"/>
              <w:jc w:val="center"/>
            </w:pPr>
            <w:r>
              <w:rPr>
                <w:b w:val="0"/>
                <w:i w:val="0"/>
                <w:sz w:val="17"/>
              </w:rPr>
              <w:t>16</w:t>
            </w:r>
          </w:p>
        </w:tc>
        <w:tc>
          <w:tcPr>
            <w:tcW w:type="dxa" w:w="850"/>
            <w:vAlign w:val="top"/>
          </w:tcPr>
          <w:p>
            <w:pPr>
              <w:spacing w:after="20" w:line="252" w:lineRule="auto"/>
              <w:jc w:val="center"/>
            </w:pPr>
            <w:r>
              <w:rPr>
                <w:b w:val="0"/>
                <w:i w:val="0"/>
                <w:sz w:val="17"/>
              </w:rPr>
              <w:t>81</w:t>
            </w:r>
          </w:p>
        </w:tc>
        <w:tc>
          <w:tcPr>
            <w:tcW w:type="dxa" w:w="850"/>
            <w:vAlign w:val="top"/>
          </w:tcPr>
          <w:p>
            <w:pPr>
              <w:spacing w:after="20" w:line="252" w:lineRule="auto"/>
              <w:jc w:val="center"/>
            </w:pPr>
            <w:r>
              <w:rPr>
                <w:b w:val="0"/>
                <w:i w:val="0"/>
                <w:sz w:val="17"/>
              </w:rPr>
              <w:t>81</w:t>
            </w:r>
          </w:p>
        </w:tc>
        <w:tc>
          <w:tcPr>
            <w:tcW w:type="dxa" w:w="850"/>
            <w:vAlign w:val="top"/>
          </w:tcPr>
          <w:p>
            <w:pPr>
              <w:spacing w:after="20" w:line="252" w:lineRule="auto"/>
              <w:jc w:val="center"/>
            </w:pPr>
            <w:r>
              <w:rPr>
                <w:b w:val="0"/>
                <w:i w:val="0"/>
                <w:sz w:val="17"/>
              </w:rPr>
              <w:t>0</w:t>
            </w:r>
          </w:p>
        </w:tc>
        <w:tc>
          <w:tcPr>
            <w:tcW w:type="dxa" w:w="3685"/>
            <w:vAlign w:val="top"/>
          </w:tcPr>
          <w:p>
            <w:pPr>
              <w:spacing w:after="20" w:line="252" w:lineRule="auto"/>
            </w:pPr>
            <w:r>
              <w:rPr>
                <w:b w:val="0"/>
                <w:i w:val="0"/>
                <w:sz w:val="17"/>
              </w:rPr>
              <w:t>2 October 2026, 14:56 UTC</w:t>
            </w:r>
          </w:p>
        </w:tc>
      </w:tr>
    </w:tbl>
    <w:p>
      <w:pPr>
        <w:pStyle w:val="Caption"/>
        <w:jc w:val="center"/>
      </w:pPr>
      <w:r>
        <w:rPr>
          <w:b w:val="0"/>
          <w:i w:val="0"/>
        </w:rPr>
        <w:t>Table 6: Test results</w:t>
      </w:r>
    </w:p>
    <w:p>
      <w:pPr>
        <w:pStyle w:val="Heading2"/>
      </w:pPr>
      <w:r>
        <w:t>What the suites cover</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608"/>
        <w:gridCol w:w="5329"/>
        <w:gridCol w:w="850"/>
        <w:gridCol w:w="850"/>
      </w:tblGrid>
      <w:tr>
        <w:trPr>
          <w:cantSplit/>
          <w:tblHeader/>
        </w:trPr>
        <w:tc>
          <w:tcPr>
            <w:tcW w:type="dxa" w:w="2608"/>
            <w:shd w:val="clear" w:color="auto" w:fill="E1058C"/>
            <w:vAlign w:val="center"/>
          </w:tcPr>
          <w:p>
            <w:pPr>
              <w:spacing w:after="0"/>
            </w:pPr>
            <w:r>
              <w:rPr>
                <w:b/>
                <w:i w:val="0"/>
                <w:color w:val="FFFFFF"/>
                <w:sz w:val="16"/>
              </w:rPr>
              <w:t>Test file</w:t>
            </w:r>
          </w:p>
        </w:tc>
        <w:tc>
          <w:tcPr>
            <w:tcW w:type="dxa" w:w="5329"/>
            <w:shd w:val="clear" w:color="auto" w:fill="E1058C"/>
            <w:vAlign w:val="center"/>
          </w:tcPr>
          <w:p>
            <w:pPr>
              <w:spacing w:after="0"/>
            </w:pPr>
            <w:r>
              <w:rPr>
                <w:b/>
                <w:i w:val="0"/>
                <w:color w:val="FFFFFF"/>
                <w:sz w:val="16"/>
              </w:rPr>
              <w:t>What it asserts</w:t>
            </w:r>
          </w:p>
        </w:tc>
        <w:tc>
          <w:tcPr>
            <w:tcW w:type="dxa" w:w="850"/>
            <w:shd w:val="clear" w:color="auto" w:fill="E1058C"/>
            <w:vAlign w:val="center"/>
          </w:tcPr>
          <w:p>
            <w:pPr>
              <w:spacing w:after="0"/>
            </w:pPr>
            <w:r>
              <w:rPr>
                <w:b/>
                <w:i w:val="0"/>
                <w:color w:val="FFFFFF"/>
                <w:sz w:val="16"/>
              </w:rPr>
              <w:t>Tests</w:t>
            </w:r>
          </w:p>
        </w:tc>
        <w:tc>
          <w:tcPr>
            <w:tcW w:type="dxa" w:w="850"/>
            <w:shd w:val="clear" w:color="auto" w:fill="E1058C"/>
            <w:vAlign w:val="center"/>
          </w:tcPr>
          <w:p>
            <w:pPr>
              <w:spacing w:after="0"/>
            </w:pPr>
            <w:r>
              <w:rPr>
                <w:b/>
                <w:i w:val="0"/>
                <w:color w:val="FFFFFF"/>
                <w:sz w:val="16"/>
              </w:rPr>
              <w:t>Passed</w:t>
            </w:r>
          </w:p>
        </w:tc>
      </w:tr>
      <w:tr>
        <w:trPr>
          <w:cantSplit/>
        </w:trPr>
        <w:tc>
          <w:tcPr>
            <w:tcW w:type="dxa" w:w="2608"/>
            <w:vAlign w:val="top"/>
          </w:tcPr>
          <w:p>
            <w:pPr>
              <w:spacing w:after="20" w:line="252" w:lineRule="auto"/>
            </w:pPr>
            <w:r>
              <w:rPr>
                <w:b w:val="0"/>
                <w:i w:val="0"/>
                <w:sz w:val="16"/>
              </w:rPr>
              <w:t>app-config.spec.ts</w:t>
            </w:r>
          </w:p>
        </w:tc>
        <w:tc>
          <w:tcPr>
            <w:tcW w:type="dxa" w:w="5329"/>
            <w:vAlign w:val="top"/>
          </w:tcPr>
          <w:p>
            <w:pPr>
              <w:spacing w:after="20" w:line="252" w:lineRule="auto"/>
            </w:pPr>
            <w:r>
              <w:rPr>
                <w:b w:val="0"/>
                <w:i w:val="0"/>
                <w:sz w:val="16"/>
              </w:rPr>
              <w:t>Start-up configuration: safe defaults, weak secrets rejected, insecure production settings refused</w:t>
            </w:r>
          </w:p>
        </w:tc>
        <w:tc>
          <w:tcPr>
            <w:tcW w:type="dxa" w:w="850"/>
            <w:vAlign w:val="top"/>
          </w:tcPr>
          <w:p>
            <w:pPr>
              <w:spacing w:after="20" w:line="252" w:lineRule="auto"/>
              <w:jc w:val="center"/>
            </w:pPr>
            <w:r>
              <w:rPr>
                <w:b w:val="0"/>
                <w:i w:val="0"/>
                <w:sz w:val="16"/>
              </w:rPr>
              <w:t>4</w:t>
            </w:r>
          </w:p>
        </w:tc>
        <w:tc>
          <w:tcPr>
            <w:tcW w:type="dxa" w:w="850"/>
            <w:vAlign w:val="top"/>
          </w:tcPr>
          <w:p>
            <w:pPr>
              <w:spacing w:after="20" w:line="252" w:lineRule="auto"/>
              <w:jc w:val="center"/>
            </w:pPr>
            <w:r>
              <w:rPr>
                <w:b w:val="0"/>
                <w:i w:val="0"/>
                <w:sz w:val="16"/>
              </w:rPr>
              <w:t>4</w:t>
            </w:r>
          </w:p>
        </w:tc>
      </w:tr>
      <w:tr>
        <w:trPr>
          <w:cantSplit/>
        </w:trPr>
        <w:tc>
          <w:tcPr>
            <w:tcW w:type="dxa" w:w="2608"/>
            <w:vAlign w:val="top"/>
            <w:shd w:val="clear" w:color="auto" w:fill="FDF0F7"/>
          </w:tcPr>
          <w:p>
            <w:pPr>
              <w:spacing w:after="20" w:line="252" w:lineRule="auto"/>
            </w:pPr>
            <w:r>
              <w:rPr>
                <w:b w:val="0"/>
                <w:i w:val="0"/>
                <w:sz w:val="16"/>
              </w:rPr>
              <w:t>field-crypto.service.spec.ts</w:t>
            </w:r>
          </w:p>
        </w:tc>
        <w:tc>
          <w:tcPr>
            <w:tcW w:type="dxa" w:w="5329"/>
            <w:vAlign w:val="top"/>
            <w:shd w:val="clear" w:color="auto" w:fill="FDF0F7"/>
          </w:tcPr>
          <w:p>
            <w:pPr>
              <w:spacing w:after="20" w:line="252" w:lineRule="auto"/>
            </w:pPr>
            <w:r>
              <w:rPr>
                <w:b w:val="0"/>
                <w:i w:val="0"/>
                <w:sz w:val="16"/>
              </w:rPr>
              <w:t>AES-256-GCM field encryption, tamper detection, blind index for identifiers</w:t>
            </w:r>
          </w:p>
        </w:tc>
        <w:tc>
          <w:tcPr>
            <w:tcW w:type="dxa" w:w="850"/>
            <w:vAlign w:val="top"/>
            <w:shd w:val="clear" w:color="auto" w:fill="FDF0F7"/>
          </w:tcPr>
          <w:p>
            <w:pPr>
              <w:spacing w:after="20" w:line="252" w:lineRule="auto"/>
              <w:jc w:val="center"/>
            </w:pPr>
            <w:r>
              <w:rPr>
                <w:b w:val="0"/>
                <w:i w:val="0"/>
                <w:sz w:val="16"/>
              </w:rPr>
              <w:t>4</w:t>
            </w:r>
          </w:p>
        </w:tc>
        <w:tc>
          <w:tcPr>
            <w:tcW w:type="dxa" w:w="850"/>
            <w:vAlign w:val="top"/>
            <w:shd w:val="clear" w:color="auto" w:fill="FDF0F7"/>
          </w:tcPr>
          <w:p>
            <w:pPr>
              <w:spacing w:after="20" w:line="252" w:lineRule="auto"/>
              <w:jc w:val="center"/>
            </w:pPr>
            <w:r>
              <w:rPr>
                <w:b w:val="0"/>
                <w:i w:val="0"/>
                <w:sz w:val="16"/>
              </w:rPr>
              <w:t>4</w:t>
            </w:r>
          </w:p>
        </w:tc>
      </w:tr>
      <w:tr>
        <w:trPr>
          <w:cantSplit/>
        </w:trPr>
        <w:tc>
          <w:tcPr>
            <w:tcW w:type="dxa" w:w="2608"/>
            <w:vAlign w:val="top"/>
          </w:tcPr>
          <w:p>
            <w:pPr>
              <w:spacing w:after="20" w:line="252" w:lineRule="auto"/>
            </w:pPr>
            <w:r>
              <w:rPr>
                <w:b w:val="0"/>
                <w:i w:val="0"/>
                <w:sz w:val="16"/>
              </w:rPr>
              <w:t>dates.spec.ts</w:t>
            </w:r>
          </w:p>
        </w:tc>
        <w:tc>
          <w:tcPr>
            <w:tcW w:type="dxa" w:w="5329"/>
            <w:vAlign w:val="top"/>
          </w:tcPr>
          <w:p>
            <w:pPr>
              <w:spacing w:after="20" w:line="252" w:lineRule="auto"/>
            </w:pPr>
            <w:r>
              <w:rPr>
                <w:b w:val="0"/>
                <w:i w:val="0"/>
                <w:sz w:val="16"/>
              </w:rPr>
              <w:t>Age at next birthday and Brunei business-day boundaries (UTC+8)</w:t>
            </w:r>
          </w:p>
        </w:tc>
        <w:tc>
          <w:tcPr>
            <w:tcW w:type="dxa" w:w="850"/>
            <w:vAlign w:val="top"/>
          </w:tcPr>
          <w:p>
            <w:pPr>
              <w:spacing w:after="20" w:line="252" w:lineRule="auto"/>
              <w:jc w:val="center"/>
            </w:pPr>
            <w:r>
              <w:rPr>
                <w:b w:val="0"/>
                <w:i w:val="0"/>
                <w:sz w:val="16"/>
              </w:rPr>
              <w:t>4</w:t>
            </w:r>
          </w:p>
        </w:tc>
        <w:tc>
          <w:tcPr>
            <w:tcW w:type="dxa" w:w="850"/>
            <w:vAlign w:val="top"/>
          </w:tcPr>
          <w:p>
            <w:pPr>
              <w:spacing w:after="20" w:line="252" w:lineRule="auto"/>
              <w:jc w:val="center"/>
            </w:pPr>
            <w:r>
              <w:rPr>
                <w:b w:val="0"/>
                <w:i w:val="0"/>
                <w:sz w:val="16"/>
              </w:rPr>
              <w:t>4</w:t>
            </w:r>
          </w:p>
        </w:tc>
      </w:tr>
      <w:tr>
        <w:trPr>
          <w:cantSplit/>
        </w:trPr>
        <w:tc>
          <w:tcPr>
            <w:tcW w:type="dxa" w:w="2608"/>
            <w:vAlign w:val="top"/>
            <w:shd w:val="clear" w:color="auto" w:fill="FDF0F7"/>
          </w:tcPr>
          <w:p>
            <w:pPr>
              <w:spacing w:after="20" w:line="252" w:lineRule="auto"/>
            </w:pPr>
            <w:r>
              <w:rPr>
                <w:b w:val="0"/>
                <w:i w:val="0"/>
                <w:sz w:val="16"/>
              </w:rPr>
              <w:t>name-matching.spec.ts</w:t>
            </w:r>
          </w:p>
        </w:tc>
        <w:tc>
          <w:tcPr>
            <w:tcW w:type="dxa" w:w="5329"/>
            <w:vAlign w:val="top"/>
            <w:shd w:val="clear" w:color="auto" w:fill="FDF0F7"/>
          </w:tcPr>
          <w:p>
            <w:pPr>
              <w:spacing w:after="20" w:line="252" w:lineRule="auto"/>
            </w:pPr>
            <w:r>
              <w:rPr>
                <w:b w:val="0"/>
                <w:i w:val="0"/>
                <w:sz w:val="16"/>
              </w:rPr>
              <w:t>AML fuzzy name matching: normalisation, honorifics, transliterations, thresholds</w:t>
            </w:r>
          </w:p>
        </w:tc>
        <w:tc>
          <w:tcPr>
            <w:tcW w:type="dxa" w:w="850"/>
            <w:vAlign w:val="top"/>
            <w:shd w:val="clear" w:color="auto" w:fill="FDF0F7"/>
          </w:tcPr>
          <w:p>
            <w:pPr>
              <w:spacing w:after="20" w:line="252" w:lineRule="auto"/>
              <w:jc w:val="center"/>
            </w:pPr>
            <w:r>
              <w:rPr>
                <w:b w:val="0"/>
                <w:i w:val="0"/>
                <w:sz w:val="16"/>
              </w:rPr>
              <w:t>5</w:t>
            </w:r>
          </w:p>
        </w:tc>
        <w:tc>
          <w:tcPr>
            <w:tcW w:type="dxa" w:w="850"/>
            <w:vAlign w:val="top"/>
            <w:shd w:val="clear" w:color="auto" w:fill="FDF0F7"/>
          </w:tcPr>
          <w:p>
            <w:pPr>
              <w:spacing w:after="20" w:line="252" w:lineRule="auto"/>
              <w:jc w:val="center"/>
            </w:pPr>
            <w:r>
              <w:rPr>
                <w:b w:val="0"/>
                <w:i w:val="0"/>
                <w:sz w:val="16"/>
              </w:rPr>
              <w:t>5</w:t>
            </w:r>
          </w:p>
        </w:tc>
      </w:tr>
      <w:tr>
        <w:trPr>
          <w:cantSplit/>
        </w:trPr>
        <w:tc>
          <w:tcPr>
            <w:tcW w:type="dxa" w:w="2608"/>
            <w:vAlign w:val="top"/>
          </w:tcPr>
          <w:p>
            <w:pPr>
              <w:spacing w:after="20" w:line="252" w:lineRule="auto"/>
            </w:pPr>
            <w:r>
              <w:rPr>
                <w:b w:val="0"/>
                <w:i w:val="0"/>
                <w:sz w:val="16"/>
              </w:rPr>
              <w:t>watchlist.spec.ts</w:t>
            </w:r>
          </w:p>
        </w:tc>
        <w:tc>
          <w:tcPr>
            <w:tcW w:type="dxa" w:w="5329"/>
            <w:vAlign w:val="top"/>
          </w:tcPr>
          <w:p>
            <w:pPr>
              <w:spacing w:after="20" w:line="252" w:lineRule="auto"/>
            </w:pPr>
            <w:r>
              <w:rPr>
                <w:b w:val="0"/>
                <w:i w:val="0"/>
                <w:sz w:val="16"/>
              </w:rPr>
              <w:t>Watch-list file parsing (quoted fields, CRLF)</w:t>
            </w:r>
          </w:p>
        </w:tc>
        <w:tc>
          <w:tcPr>
            <w:tcW w:type="dxa" w:w="850"/>
            <w:vAlign w:val="top"/>
          </w:tcPr>
          <w:p>
            <w:pPr>
              <w:spacing w:after="20" w:line="252" w:lineRule="auto"/>
              <w:jc w:val="center"/>
            </w:pPr>
            <w:r>
              <w:rPr>
                <w:b w:val="0"/>
                <w:i w:val="0"/>
                <w:sz w:val="16"/>
              </w:rPr>
              <w:t>1</w:t>
            </w:r>
          </w:p>
        </w:tc>
        <w:tc>
          <w:tcPr>
            <w:tcW w:type="dxa" w:w="850"/>
            <w:vAlign w:val="top"/>
          </w:tcPr>
          <w:p>
            <w:pPr>
              <w:spacing w:after="20" w:line="252" w:lineRule="auto"/>
              <w:jc w:val="center"/>
            </w:pPr>
            <w:r>
              <w:rPr>
                <w:b w:val="0"/>
                <w:i w:val="0"/>
                <w:sz w:val="16"/>
              </w:rPr>
              <w:t>1</w:t>
            </w:r>
          </w:p>
        </w:tc>
      </w:tr>
      <w:tr>
        <w:trPr>
          <w:cantSplit/>
        </w:trPr>
        <w:tc>
          <w:tcPr>
            <w:tcW w:type="dxa" w:w="2608"/>
            <w:vAlign w:val="top"/>
            <w:shd w:val="clear" w:color="auto" w:fill="FDF0F7"/>
          </w:tcPr>
          <w:p>
            <w:pPr>
              <w:spacing w:after="20" w:line="252" w:lineRule="auto"/>
            </w:pPr>
            <w:r>
              <w:rPr>
                <w:b w:val="0"/>
                <w:i w:val="0"/>
                <w:sz w:val="16"/>
              </w:rPr>
              <w:t>password.service.spec.ts</w:t>
            </w:r>
          </w:p>
        </w:tc>
        <w:tc>
          <w:tcPr>
            <w:tcW w:type="dxa" w:w="5329"/>
            <w:vAlign w:val="top"/>
            <w:shd w:val="clear" w:color="auto" w:fill="FDF0F7"/>
          </w:tcPr>
          <w:p>
            <w:pPr>
              <w:spacing w:after="20" w:line="252" w:lineRule="auto"/>
            </w:pPr>
            <w:r>
              <w:rPr>
                <w:b w:val="0"/>
                <w:i w:val="0"/>
                <w:sz w:val="16"/>
              </w:rPr>
              <w:t>Password policy rules, username check, history and expiry</w:t>
            </w:r>
          </w:p>
        </w:tc>
        <w:tc>
          <w:tcPr>
            <w:tcW w:type="dxa" w:w="850"/>
            <w:vAlign w:val="top"/>
            <w:shd w:val="clear" w:color="auto" w:fill="FDF0F7"/>
          </w:tcPr>
          <w:p>
            <w:pPr>
              <w:spacing w:after="20" w:line="252" w:lineRule="auto"/>
              <w:jc w:val="center"/>
            </w:pPr>
            <w:r>
              <w:rPr>
                <w:b w:val="0"/>
                <w:i w:val="0"/>
                <w:sz w:val="16"/>
              </w:rPr>
              <w:t>6</w:t>
            </w:r>
          </w:p>
        </w:tc>
        <w:tc>
          <w:tcPr>
            <w:tcW w:type="dxa" w:w="850"/>
            <w:vAlign w:val="top"/>
            <w:shd w:val="clear" w:color="auto" w:fill="FDF0F7"/>
          </w:tcPr>
          <w:p>
            <w:pPr>
              <w:spacing w:after="20" w:line="252" w:lineRule="auto"/>
              <w:jc w:val="center"/>
            </w:pPr>
            <w:r>
              <w:rPr>
                <w:b w:val="0"/>
                <w:i w:val="0"/>
                <w:sz w:val="16"/>
              </w:rPr>
              <w:t>6</w:t>
            </w:r>
          </w:p>
        </w:tc>
      </w:tr>
      <w:tr>
        <w:trPr>
          <w:cantSplit/>
        </w:trPr>
        <w:tc>
          <w:tcPr>
            <w:tcW w:type="dxa" w:w="2608"/>
            <w:vAlign w:val="top"/>
          </w:tcPr>
          <w:p>
            <w:pPr>
              <w:spacing w:after="20" w:line="252" w:lineRule="auto"/>
            </w:pPr>
            <w:r>
              <w:rPr>
                <w:b w:val="0"/>
                <w:i w:val="0"/>
                <w:sz w:val="16"/>
              </w:rPr>
              <w:t>file-inspector.spec.ts</w:t>
            </w:r>
          </w:p>
        </w:tc>
        <w:tc>
          <w:tcPr>
            <w:tcW w:type="dxa" w:w="5329"/>
            <w:vAlign w:val="top"/>
          </w:tcPr>
          <w:p>
            <w:pPr>
              <w:spacing w:after="20" w:line="252" w:lineRule="auto"/>
            </w:pPr>
            <w:r>
              <w:rPr>
                <w:b w:val="0"/>
                <w:i w:val="0"/>
                <w:sz w:val="16"/>
              </w:rPr>
              <w:t>Upload checks by content, forced extension, size limit</w:t>
            </w:r>
          </w:p>
        </w:tc>
        <w:tc>
          <w:tcPr>
            <w:tcW w:type="dxa" w:w="850"/>
            <w:vAlign w:val="top"/>
          </w:tcPr>
          <w:p>
            <w:pPr>
              <w:spacing w:after="20" w:line="252" w:lineRule="auto"/>
              <w:jc w:val="center"/>
            </w:pPr>
            <w:r>
              <w:rPr>
                <w:b w:val="0"/>
                <w:i w:val="0"/>
                <w:sz w:val="16"/>
              </w:rPr>
              <w:t>4</w:t>
            </w:r>
          </w:p>
        </w:tc>
        <w:tc>
          <w:tcPr>
            <w:tcW w:type="dxa" w:w="850"/>
            <w:vAlign w:val="top"/>
          </w:tcPr>
          <w:p>
            <w:pPr>
              <w:spacing w:after="20" w:line="252" w:lineRule="auto"/>
              <w:jc w:val="center"/>
            </w:pPr>
            <w:r>
              <w:rPr>
                <w:b w:val="0"/>
                <w:i w:val="0"/>
                <w:sz w:val="16"/>
              </w:rPr>
              <w:t>4</w:t>
            </w:r>
          </w:p>
        </w:tc>
      </w:tr>
      <w:tr>
        <w:trPr>
          <w:cantSplit/>
        </w:trPr>
        <w:tc>
          <w:tcPr>
            <w:tcW w:type="dxa" w:w="2608"/>
            <w:vAlign w:val="top"/>
            <w:shd w:val="clear" w:color="auto" w:fill="FDF0F7"/>
          </w:tcPr>
          <w:p>
            <w:pPr>
              <w:spacing w:after="20" w:line="252" w:lineRule="auto"/>
            </w:pPr>
            <w:r>
              <w:rPr>
                <w:b w:val="0"/>
                <w:i w:val="0"/>
                <w:sz w:val="16"/>
              </w:rPr>
              <w:t>plan-label.spec.ts</w:t>
            </w:r>
          </w:p>
        </w:tc>
        <w:tc>
          <w:tcPr>
            <w:tcW w:type="dxa" w:w="5329"/>
            <w:vAlign w:val="top"/>
            <w:shd w:val="clear" w:color="auto" w:fill="FDF0F7"/>
          </w:tcPr>
          <w:p>
            <w:pPr>
              <w:spacing w:after="20" w:line="252" w:lineRule="auto"/>
            </w:pPr>
            <w:r>
              <w:rPr>
                <w:b w:val="0"/>
                <w:i w:val="0"/>
                <w:sz w:val="16"/>
              </w:rPr>
              <w:t>Configured plan names on documents and the e-signature page, with fallback to the code</w:t>
            </w:r>
          </w:p>
        </w:tc>
        <w:tc>
          <w:tcPr>
            <w:tcW w:type="dxa" w:w="850"/>
            <w:vAlign w:val="top"/>
            <w:shd w:val="clear" w:color="auto" w:fill="FDF0F7"/>
          </w:tcPr>
          <w:p>
            <w:pPr>
              <w:spacing w:after="20" w:line="252" w:lineRule="auto"/>
              <w:jc w:val="center"/>
            </w:pPr>
            <w:r>
              <w:rPr>
                <w:b w:val="0"/>
                <w:i w:val="0"/>
                <w:sz w:val="16"/>
              </w:rPr>
              <w:t>3</w:t>
            </w:r>
          </w:p>
        </w:tc>
        <w:tc>
          <w:tcPr>
            <w:tcW w:type="dxa" w:w="850"/>
            <w:vAlign w:val="top"/>
            <w:shd w:val="clear" w:color="auto" w:fill="FDF0F7"/>
          </w:tcPr>
          <w:p>
            <w:pPr>
              <w:spacing w:after="20" w:line="252" w:lineRule="auto"/>
              <w:jc w:val="center"/>
            </w:pPr>
            <w:r>
              <w:rPr>
                <w:b w:val="0"/>
                <w:i w:val="0"/>
                <w:sz w:val="16"/>
              </w:rPr>
              <w:t>3</w:t>
            </w:r>
          </w:p>
        </w:tc>
      </w:tr>
      <w:tr>
        <w:trPr>
          <w:cantSplit/>
        </w:trPr>
        <w:tc>
          <w:tcPr>
            <w:tcW w:type="dxa" w:w="2608"/>
            <w:vAlign w:val="top"/>
          </w:tcPr>
          <w:p>
            <w:pPr>
              <w:spacing w:after="20" w:line="252" w:lineRule="auto"/>
            </w:pPr>
            <w:r>
              <w:rPr>
                <w:b w:val="0"/>
                <w:i w:val="0"/>
                <w:sz w:val="16"/>
              </w:rPr>
              <w:t>product-definitions.spec.ts</w:t>
            </w:r>
          </w:p>
        </w:tc>
        <w:tc>
          <w:tcPr>
            <w:tcW w:type="dxa" w:w="5329"/>
            <w:vAlign w:val="top"/>
          </w:tcPr>
          <w:p>
            <w:pPr>
              <w:spacing w:after="20" w:line="252" w:lineRule="auto"/>
            </w:pPr>
            <w:r>
              <w:rPr>
                <w:b w:val="0"/>
                <w:i w:val="0"/>
                <w:sz w:val="16"/>
              </w:rPr>
              <w:t>Product questionnaires: referral answers, completeness, unknown questions</w:t>
            </w:r>
          </w:p>
        </w:tc>
        <w:tc>
          <w:tcPr>
            <w:tcW w:type="dxa" w:w="850"/>
            <w:vAlign w:val="top"/>
          </w:tcPr>
          <w:p>
            <w:pPr>
              <w:spacing w:after="20" w:line="252" w:lineRule="auto"/>
              <w:jc w:val="center"/>
            </w:pPr>
            <w:r>
              <w:rPr>
                <w:b w:val="0"/>
                <w:i w:val="0"/>
                <w:sz w:val="16"/>
              </w:rPr>
              <w:t>4</w:t>
            </w:r>
          </w:p>
        </w:tc>
        <w:tc>
          <w:tcPr>
            <w:tcW w:type="dxa" w:w="850"/>
            <w:vAlign w:val="top"/>
          </w:tcPr>
          <w:p>
            <w:pPr>
              <w:spacing w:after="20" w:line="252" w:lineRule="auto"/>
              <w:jc w:val="center"/>
            </w:pPr>
            <w:r>
              <w:rPr>
                <w:b w:val="0"/>
                <w:i w:val="0"/>
                <w:sz w:val="16"/>
              </w:rPr>
              <w:t>4</w:t>
            </w:r>
          </w:p>
        </w:tc>
      </w:tr>
      <w:tr>
        <w:trPr>
          <w:cantSplit/>
        </w:trPr>
        <w:tc>
          <w:tcPr>
            <w:tcW w:type="dxa" w:w="2608"/>
            <w:vAlign w:val="top"/>
            <w:shd w:val="clear" w:color="auto" w:fill="FDF0F7"/>
          </w:tcPr>
          <w:p>
            <w:pPr>
              <w:spacing w:after="20" w:line="252" w:lineRule="auto"/>
            </w:pPr>
            <w:r>
              <w:rPr>
                <w:b w:val="0"/>
                <w:i w:val="0"/>
                <w:sz w:val="16"/>
              </w:rPr>
              <w:t>reports.spec.ts</w:t>
            </w:r>
          </w:p>
        </w:tc>
        <w:tc>
          <w:tcPr>
            <w:tcW w:type="dxa" w:w="5329"/>
            <w:vAlign w:val="top"/>
            <w:shd w:val="clear" w:color="auto" w:fill="FDF0F7"/>
          </w:tcPr>
          <w:p>
            <w:pPr>
              <w:spacing w:after="20" w:line="252" w:lineRule="auto"/>
            </w:pPr>
            <w:r>
              <w:rPr>
                <w:b w:val="0"/>
                <w:i w:val="0"/>
                <w:sz w:val="16"/>
              </w:rPr>
              <w:t>CSV formula neutralisation and report schedules in Brunei time</w:t>
            </w:r>
          </w:p>
        </w:tc>
        <w:tc>
          <w:tcPr>
            <w:tcW w:type="dxa" w:w="850"/>
            <w:vAlign w:val="top"/>
            <w:shd w:val="clear" w:color="auto" w:fill="FDF0F7"/>
          </w:tcPr>
          <w:p>
            <w:pPr>
              <w:spacing w:after="20" w:line="252" w:lineRule="auto"/>
              <w:jc w:val="center"/>
            </w:pPr>
            <w:r>
              <w:rPr>
                <w:b w:val="0"/>
                <w:i w:val="0"/>
                <w:sz w:val="16"/>
              </w:rPr>
              <w:t>4</w:t>
            </w:r>
          </w:p>
        </w:tc>
        <w:tc>
          <w:tcPr>
            <w:tcW w:type="dxa" w:w="850"/>
            <w:vAlign w:val="top"/>
            <w:shd w:val="clear" w:color="auto" w:fill="FDF0F7"/>
          </w:tcPr>
          <w:p>
            <w:pPr>
              <w:spacing w:after="20" w:line="252" w:lineRule="auto"/>
              <w:jc w:val="center"/>
            </w:pPr>
            <w:r>
              <w:rPr>
                <w:b w:val="0"/>
                <w:i w:val="0"/>
                <w:sz w:val="16"/>
              </w:rPr>
              <w:t>4</w:t>
            </w:r>
          </w:p>
        </w:tc>
      </w:tr>
      <w:tr>
        <w:trPr>
          <w:cantSplit/>
        </w:trPr>
        <w:tc>
          <w:tcPr>
            <w:tcW w:type="dxa" w:w="2608"/>
            <w:vAlign w:val="top"/>
          </w:tcPr>
          <w:p>
            <w:pPr>
              <w:spacing w:after="20" w:line="252" w:lineRule="auto"/>
            </w:pPr>
            <w:r>
              <w:rPr>
                <w:b w:val="0"/>
                <w:i w:val="0"/>
                <w:sz w:val="16"/>
              </w:rPr>
              <w:t>workflow-payload.spec.ts</w:t>
            </w:r>
          </w:p>
        </w:tc>
        <w:tc>
          <w:tcPr>
            <w:tcW w:type="dxa" w:w="5329"/>
            <w:vAlign w:val="top"/>
          </w:tcPr>
          <w:p>
            <w:pPr>
              <w:spacing w:after="20" w:line="252" w:lineRule="auto"/>
            </w:pPr>
            <w:r>
              <w:rPr>
                <w:b w:val="0"/>
                <w:i w:val="0"/>
                <w:sz w:val="16"/>
              </w:rPr>
              <w:t>Encrypted values removed from approval request payloads before they are shown</w:t>
            </w:r>
          </w:p>
        </w:tc>
        <w:tc>
          <w:tcPr>
            <w:tcW w:type="dxa" w:w="850"/>
            <w:vAlign w:val="top"/>
          </w:tcPr>
          <w:p>
            <w:pPr>
              <w:spacing w:after="20" w:line="252" w:lineRule="auto"/>
              <w:jc w:val="center"/>
            </w:pPr>
            <w:r>
              <w:rPr>
                <w:b w:val="0"/>
                <w:i w:val="0"/>
                <w:sz w:val="16"/>
              </w:rPr>
              <w:t>2</w:t>
            </w:r>
          </w:p>
        </w:tc>
        <w:tc>
          <w:tcPr>
            <w:tcW w:type="dxa" w:w="850"/>
            <w:vAlign w:val="top"/>
          </w:tcPr>
          <w:p>
            <w:pPr>
              <w:spacing w:after="20" w:line="252" w:lineRule="auto"/>
              <w:jc w:val="center"/>
            </w:pPr>
            <w:r>
              <w:rPr>
                <w:b w:val="0"/>
                <w:i w:val="0"/>
                <w:sz w:val="16"/>
              </w:rPr>
              <w:t>2</w:t>
            </w:r>
          </w:p>
        </w:tc>
      </w:tr>
      <w:tr>
        <w:trPr>
          <w:cantSplit/>
        </w:trPr>
        <w:tc>
          <w:tcPr>
            <w:tcW w:type="dxa" w:w="2608"/>
            <w:vAlign w:val="top"/>
            <w:shd w:val="clear" w:color="auto" w:fill="FDF0F7"/>
          </w:tcPr>
          <w:p>
            <w:pPr>
              <w:spacing w:after="20" w:line="252" w:lineRule="auto"/>
            </w:pPr>
            <w:r>
              <w:rPr>
                <w:b w:val="0"/>
                <w:i w:val="0"/>
                <w:sz w:val="16"/>
              </w:rPr>
              <w:t>financing.engine.spec.ts</w:t>
            </w:r>
          </w:p>
        </w:tc>
        <w:tc>
          <w:tcPr>
            <w:tcW w:type="dxa" w:w="5329"/>
            <w:vAlign w:val="top"/>
            <w:shd w:val="clear" w:color="auto" w:fill="FDF0F7"/>
          </w:tcPr>
          <w:p>
            <w:pPr>
              <w:spacing w:after="20" w:line="252" w:lineRule="auto"/>
            </w:pPr>
            <w:r>
              <w:rPr>
                <w:b w:val="0"/>
                <w:i w:val="0"/>
                <w:sz w:val="16"/>
              </w:rPr>
              <w:t>Mortgage Takaful rating (FTP-HP, FTP-NP, PFT) and the B$150,000 referral</w:t>
            </w:r>
          </w:p>
        </w:tc>
        <w:tc>
          <w:tcPr>
            <w:tcW w:type="dxa" w:w="850"/>
            <w:vAlign w:val="top"/>
            <w:shd w:val="clear" w:color="auto" w:fill="FDF0F7"/>
          </w:tcPr>
          <w:p>
            <w:pPr>
              <w:spacing w:after="20" w:line="252" w:lineRule="auto"/>
              <w:jc w:val="center"/>
            </w:pPr>
            <w:r>
              <w:rPr>
                <w:b w:val="0"/>
                <w:i w:val="0"/>
                <w:sz w:val="16"/>
              </w:rPr>
              <w:t>7</w:t>
            </w:r>
          </w:p>
        </w:tc>
        <w:tc>
          <w:tcPr>
            <w:tcW w:type="dxa" w:w="850"/>
            <w:vAlign w:val="top"/>
            <w:shd w:val="clear" w:color="auto" w:fill="FDF0F7"/>
          </w:tcPr>
          <w:p>
            <w:pPr>
              <w:spacing w:after="20" w:line="252" w:lineRule="auto"/>
              <w:jc w:val="center"/>
            </w:pPr>
            <w:r>
              <w:rPr>
                <w:b w:val="0"/>
                <w:i w:val="0"/>
                <w:sz w:val="16"/>
              </w:rPr>
              <w:t>7</w:t>
            </w:r>
          </w:p>
        </w:tc>
      </w:tr>
      <w:tr>
        <w:trPr>
          <w:cantSplit/>
        </w:trPr>
        <w:tc>
          <w:tcPr>
            <w:tcW w:type="dxa" w:w="2608"/>
            <w:vAlign w:val="top"/>
          </w:tcPr>
          <w:p>
            <w:pPr>
              <w:spacing w:after="20" w:line="252" w:lineRule="auto"/>
            </w:pPr>
            <w:r>
              <w:rPr>
                <w:b w:val="0"/>
                <w:i w:val="0"/>
                <w:sz w:val="16"/>
              </w:rPr>
              <w:t>fixed-plan.engine.spec.ts</w:t>
            </w:r>
          </w:p>
        </w:tc>
        <w:tc>
          <w:tcPr>
            <w:tcW w:type="dxa" w:w="5329"/>
            <w:vAlign w:val="top"/>
          </w:tcPr>
          <w:p>
            <w:pPr>
              <w:spacing w:after="20" w:line="252" w:lineRule="auto"/>
            </w:pPr>
            <w:r>
              <w:rPr>
                <w:b w:val="0"/>
                <w:i w:val="0"/>
                <w:sz w:val="16"/>
              </w:rPr>
              <w:t>Annual plan rating (PHA, PRO, KHR, OSA), eligibility and riders</w:t>
            </w:r>
          </w:p>
        </w:tc>
        <w:tc>
          <w:tcPr>
            <w:tcW w:type="dxa" w:w="850"/>
            <w:vAlign w:val="top"/>
          </w:tcPr>
          <w:p>
            <w:pPr>
              <w:spacing w:after="20" w:line="252" w:lineRule="auto"/>
              <w:jc w:val="center"/>
            </w:pPr>
            <w:r>
              <w:rPr>
                <w:b w:val="0"/>
                <w:i w:val="0"/>
                <w:sz w:val="16"/>
              </w:rPr>
              <w:t>11</w:t>
            </w:r>
          </w:p>
        </w:tc>
        <w:tc>
          <w:tcPr>
            <w:tcW w:type="dxa" w:w="850"/>
            <w:vAlign w:val="top"/>
          </w:tcPr>
          <w:p>
            <w:pPr>
              <w:spacing w:after="20" w:line="252" w:lineRule="auto"/>
              <w:jc w:val="center"/>
            </w:pPr>
            <w:r>
              <w:rPr>
                <w:b w:val="0"/>
                <w:i w:val="0"/>
                <w:sz w:val="16"/>
              </w:rPr>
              <w:t>11</w:t>
            </w:r>
          </w:p>
        </w:tc>
      </w:tr>
      <w:tr>
        <w:trPr>
          <w:cantSplit/>
        </w:trPr>
        <w:tc>
          <w:tcPr>
            <w:tcW w:type="dxa" w:w="2608"/>
            <w:vAlign w:val="top"/>
            <w:shd w:val="clear" w:color="auto" w:fill="FDF0F7"/>
          </w:tcPr>
          <w:p>
            <w:pPr>
              <w:spacing w:after="20" w:line="252" w:lineRule="auto"/>
            </w:pPr>
            <w:r>
              <w:rPr>
                <w:b w:val="0"/>
                <w:i w:val="0"/>
                <w:sz w:val="16"/>
              </w:rPr>
              <w:t>access-control.e2e-spec.ts</w:t>
            </w:r>
          </w:p>
        </w:tc>
        <w:tc>
          <w:tcPr>
            <w:tcW w:type="dxa" w:w="5329"/>
            <w:vAlign w:val="top"/>
            <w:shd w:val="clear" w:color="auto" w:fill="FDF0F7"/>
          </w:tcPr>
          <w:p>
            <w:pPr>
              <w:spacing w:after="20" w:line="252" w:lineRule="auto"/>
            </w:pPr>
            <w:r>
              <w:rPr>
                <w:b w:val="0"/>
                <w:i w:val="0"/>
                <w:sz w:val="16"/>
              </w:rPr>
              <w:t>Authentication, audience separation, permissions and data scoping over HTTP</w:t>
            </w:r>
          </w:p>
        </w:tc>
        <w:tc>
          <w:tcPr>
            <w:tcW w:type="dxa" w:w="850"/>
            <w:vAlign w:val="top"/>
            <w:shd w:val="clear" w:color="auto" w:fill="FDF0F7"/>
          </w:tcPr>
          <w:p>
            <w:pPr>
              <w:spacing w:after="20" w:line="252" w:lineRule="auto"/>
              <w:jc w:val="center"/>
            </w:pPr>
            <w:r>
              <w:rPr>
                <w:b w:val="0"/>
                <w:i w:val="0"/>
                <w:sz w:val="16"/>
              </w:rPr>
              <w:t>11</w:t>
            </w:r>
          </w:p>
        </w:tc>
        <w:tc>
          <w:tcPr>
            <w:tcW w:type="dxa" w:w="850"/>
            <w:vAlign w:val="top"/>
            <w:shd w:val="clear" w:color="auto" w:fill="FDF0F7"/>
          </w:tcPr>
          <w:p>
            <w:pPr>
              <w:spacing w:after="20" w:line="252" w:lineRule="auto"/>
              <w:jc w:val="center"/>
            </w:pPr>
            <w:r>
              <w:rPr>
                <w:b w:val="0"/>
                <w:i w:val="0"/>
                <w:sz w:val="16"/>
              </w:rPr>
              <w:t>11</w:t>
            </w:r>
          </w:p>
        </w:tc>
      </w:tr>
      <w:tr>
        <w:trPr>
          <w:cantSplit/>
        </w:trPr>
        <w:tc>
          <w:tcPr>
            <w:tcW w:type="dxa" w:w="2608"/>
            <w:vAlign w:val="top"/>
          </w:tcPr>
          <w:p>
            <w:pPr>
              <w:spacing w:after="20" w:line="252" w:lineRule="auto"/>
            </w:pPr>
            <w:r>
              <w:rPr>
                <w:b w:val="0"/>
                <w:i w:val="0"/>
                <w:sz w:val="16"/>
              </w:rPr>
              <w:t>auth.e2e-spec.ts</w:t>
            </w:r>
          </w:p>
        </w:tc>
        <w:tc>
          <w:tcPr>
            <w:tcW w:type="dxa" w:w="5329"/>
            <w:vAlign w:val="top"/>
          </w:tcPr>
          <w:p>
            <w:pPr>
              <w:spacing w:after="20" w:line="252" w:lineRule="auto"/>
            </w:pPr>
            <w:r>
              <w:rPr>
                <w:b w:val="0"/>
                <w:i w:val="0"/>
                <w:sz w:val="16"/>
              </w:rPr>
              <w:t>Sign-in, cookie flags, lockout, password change, logout and session revocation</w:t>
            </w:r>
          </w:p>
        </w:tc>
        <w:tc>
          <w:tcPr>
            <w:tcW w:type="dxa" w:w="850"/>
            <w:vAlign w:val="top"/>
          </w:tcPr>
          <w:p>
            <w:pPr>
              <w:spacing w:after="20" w:line="252" w:lineRule="auto"/>
              <w:jc w:val="center"/>
            </w:pPr>
            <w:r>
              <w:rPr>
                <w:b w:val="0"/>
                <w:i w:val="0"/>
                <w:sz w:val="16"/>
              </w:rPr>
              <w:t>7</w:t>
            </w:r>
          </w:p>
        </w:tc>
        <w:tc>
          <w:tcPr>
            <w:tcW w:type="dxa" w:w="850"/>
            <w:vAlign w:val="top"/>
          </w:tcPr>
          <w:p>
            <w:pPr>
              <w:spacing w:after="20" w:line="252" w:lineRule="auto"/>
              <w:jc w:val="center"/>
            </w:pPr>
            <w:r>
              <w:rPr>
                <w:b w:val="0"/>
                <w:i w:val="0"/>
                <w:sz w:val="16"/>
              </w:rPr>
              <w:t>7</w:t>
            </w:r>
          </w:p>
        </w:tc>
      </w:tr>
      <w:tr>
        <w:trPr>
          <w:cantSplit/>
        </w:trPr>
        <w:tc>
          <w:tcPr>
            <w:tcW w:type="dxa" w:w="2608"/>
            <w:vAlign w:val="top"/>
            <w:shd w:val="clear" w:color="auto" w:fill="FDF0F7"/>
          </w:tcPr>
          <w:p>
            <w:pPr>
              <w:spacing w:after="20" w:line="252" w:lineRule="auto"/>
            </w:pPr>
            <w:r>
              <w:rPr>
                <w:b w:val="0"/>
                <w:i w:val="0"/>
                <w:sz w:val="16"/>
              </w:rPr>
              <w:t>operations.e2e-spec.ts</w:t>
            </w:r>
          </w:p>
        </w:tc>
        <w:tc>
          <w:tcPr>
            <w:tcW w:type="dxa" w:w="5329"/>
            <w:vAlign w:val="top"/>
            <w:shd w:val="clear" w:color="auto" w:fill="FDF0F7"/>
          </w:tcPr>
          <w:p>
            <w:pPr>
              <w:spacing w:after="20" w:line="252" w:lineRule="auto"/>
            </w:pPr>
            <w:r>
              <w:rPr>
                <w:b w:val="0"/>
                <w:i w:val="0"/>
                <w:sz w:val="16"/>
              </w:rPr>
              <w:t>Onboarding, AML review, issues with SLA and other back-office journeys</w:t>
            </w:r>
          </w:p>
        </w:tc>
        <w:tc>
          <w:tcPr>
            <w:tcW w:type="dxa" w:w="850"/>
            <w:vAlign w:val="top"/>
            <w:shd w:val="clear" w:color="auto" w:fill="FDF0F7"/>
          </w:tcPr>
          <w:p>
            <w:pPr>
              <w:spacing w:after="20" w:line="252" w:lineRule="auto"/>
              <w:jc w:val="center"/>
            </w:pPr>
            <w:r>
              <w:rPr>
                <w:b w:val="0"/>
                <w:i w:val="0"/>
                <w:sz w:val="16"/>
              </w:rPr>
              <w:t>10</w:t>
            </w:r>
          </w:p>
        </w:tc>
        <w:tc>
          <w:tcPr>
            <w:tcW w:type="dxa" w:w="850"/>
            <w:vAlign w:val="top"/>
            <w:shd w:val="clear" w:color="auto" w:fill="FDF0F7"/>
          </w:tcPr>
          <w:p>
            <w:pPr>
              <w:spacing w:after="20" w:line="252" w:lineRule="auto"/>
              <w:jc w:val="center"/>
            </w:pPr>
            <w:r>
              <w:rPr>
                <w:b w:val="0"/>
                <w:i w:val="0"/>
                <w:sz w:val="16"/>
              </w:rPr>
              <w:t>10</w:t>
            </w:r>
          </w:p>
        </w:tc>
      </w:tr>
      <w:tr>
        <w:trPr>
          <w:cantSplit/>
        </w:trPr>
        <w:tc>
          <w:tcPr>
            <w:tcW w:type="dxa" w:w="2608"/>
            <w:vAlign w:val="top"/>
          </w:tcPr>
          <w:p>
            <w:pPr>
              <w:spacing w:after="20" w:line="252" w:lineRule="auto"/>
            </w:pPr>
            <w:r>
              <w:rPr>
                <w:b w:val="0"/>
                <w:i w:val="0"/>
                <w:sz w:val="16"/>
              </w:rPr>
              <w:t>policy-lifecycle.e2e-spec.ts</w:t>
            </w:r>
          </w:p>
        </w:tc>
        <w:tc>
          <w:tcPr>
            <w:tcW w:type="dxa" w:w="5329"/>
            <w:vAlign w:val="top"/>
          </w:tcPr>
          <w:p>
            <w:pPr>
              <w:spacing w:after="20" w:line="252" w:lineRule="auto"/>
            </w:pPr>
            <w:r>
              <w:rPr>
                <w:b w:val="0"/>
                <w:i w:val="0"/>
                <w:sz w:val="16"/>
              </w:rPr>
              <w:t>Quotation to policy with maker-checker payment, agency block, referral approval</w:t>
            </w:r>
          </w:p>
        </w:tc>
        <w:tc>
          <w:tcPr>
            <w:tcW w:type="dxa" w:w="850"/>
            <w:vAlign w:val="top"/>
          </w:tcPr>
          <w:p>
            <w:pPr>
              <w:spacing w:after="20" w:line="252" w:lineRule="auto"/>
              <w:jc w:val="center"/>
            </w:pPr>
            <w:r>
              <w:rPr>
                <w:b w:val="0"/>
                <w:i w:val="0"/>
                <w:sz w:val="16"/>
              </w:rPr>
              <w:t>4</w:t>
            </w:r>
          </w:p>
        </w:tc>
        <w:tc>
          <w:tcPr>
            <w:tcW w:type="dxa" w:w="850"/>
            <w:vAlign w:val="top"/>
          </w:tcPr>
          <w:p>
            <w:pPr>
              <w:spacing w:after="20" w:line="252" w:lineRule="auto"/>
              <w:jc w:val="center"/>
            </w:pPr>
            <w:r>
              <w:rPr>
                <w:b w:val="0"/>
                <w:i w:val="0"/>
                <w:sz w:val="16"/>
              </w:rPr>
              <w:t>4</w:t>
            </w:r>
          </w:p>
        </w:tc>
      </w:tr>
      <w:tr>
        <w:trPr>
          <w:cantSplit/>
        </w:trPr>
        <w:tc>
          <w:tcPr>
            <w:tcW w:type="dxa" w:w="2608"/>
            <w:vAlign w:val="top"/>
            <w:shd w:val="clear" w:color="auto" w:fill="FDF0F7"/>
          </w:tcPr>
          <w:p>
            <w:pPr>
              <w:spacing w:after="20" w:line="252" w:lineRule="auto"/>
            </w:pPr>
            <w:r>
              <w:rPr>
                <w:b w:val="0"/>
                <w:i w:val="0"/>
                <w:sz w:val="16"/>
              </w:rPr>
              <w:t>client.test.ts</w:t>
            </w:r>
          </w:p>
        </w:tc>
        <w:tc>
          <w:tcPr>
            <w:tcW w:type="dxa" w:w="5329"/>
            <w:vAlign w:val="top"/>
            <w:shd w:val="clear" w:color="auto" w:fill="FDF0F7"/>
          </w:tcPr>
          <w:p>
            <w:pPr>
              <w:spacing w:after="20" w:line="252" w:lineRule="auto"/>
            </w:pPr>
            <w:r>
              <w:rPr>
                <w:b w:val="0"/>
                <w:i w:val="0"/>
                <w:sz w:val="16"/>
              </w:rPr>
              <w:t>API client: base path, CSRF header, uploads, error mapping, session-ended handling</w:t>
            </w:r>
          </w:p>
        </w:tc>
        <w:tc>
          <w:tcPr>
            <w:tcW w:type="dxa" w:w="850"/>
            <w:vAlign w:val="top"/>
            <w:shd w:val="clear" w:color="auto" w:fill="FDF0F7"/>
          </w:tcPr>
          <w:p>
            <w:pPr>
              <w:spacing w:after="20" w:line="252" w:lineRule="auto"/>
              <w:jc w:val="center"/>
            </w:pPr>
            <w:r>
              <w:rPr>
                <w:b w:val="0"/>
                <w:i w:val="0"/>
                <w:sz w:val="16"/>
              </w:rPr>
              <w:t>12</w:t>
            </w:r>
          </w:p>
        </w:tc>
        <w:tc>
          <w:tcPr>
            <w:tcW w:type="dxa" w:w="850"/>
            <w:vAlign w:val="top"/>
            <w:shd w:val="clear" w:color="auto" w:fill="FDF0F7"/>
          </w:tcPr>
          <w:p>
            <w:pPr>
              <w:spacing w:after="20" w:line="252" w:lineRule="auto"/>
              <w:jc w:val="center"/>
            </w:pPr>
            <w:r>
              <w:rPr>
                <w:b w:val="0"/>
                <w:i w:val="0"/>
                <w:sz w:val="16"/>
              </w:rPr>
              <w:t>12</w:t>
            </w:r>
          </w:p>
        </w:tc>
      </w:tr>
      <w:tr>
        <w:trPr>
          <w:cantSplit/>
        </w:trPr>
        <w:tc>
          <w:tcPr>
            <w:tcW w:type="dxa" w:w="2608"/>
            <w:vAlign w:val="top"/>
          </w:tcPr>
          <w:p>
            <w:pPr>
              <w:spacing w:after="20" w:line="252" w:lineRule="auto"/>
            </w:pPr>
            <w:r>
              <w:rPr>
                <w:b w:val="0"/>
                <w:i w:val="0"/>
                <w:sz w:val="16"/>
              </w:rPr>
              <w:t>ErrorAlert.test.tsx</w:t>
            </w:r>
          </w:p>
        </w:tc>
        <w:tc>
          <w:tcPr>
            <w:tcW w:type="dxa" w:w="5329"/>
            <w:vAlign w:val="top"/>
          </w:tcPr>
          <w:p>
            <w:pPr>
              <w:spacing w:after="20" w:line="252" w:lineRule="auto"/>
            </w:pPr>
            <w:r>
              <w:rPr>
                <w:b w:val="0"/>
                <w:i w:val="0"/>
                <w:sz w:val="16"/>
              </w:rPr>
              <w:t>Error messages, validation details and the support reference for server errors</w:t>
            </w:r>
          </w:p>
        </w:tc>
        <w:tc>
          <w:tcPr>
            <w:tcW w:type="dxa" w:w="850"/>
            <w:vAlign w:val="top"/>
          </w:tcPr>
          <w:p>
            <w:pPr>
              <w:spacing w:after="20" w:line="252" w:lineRule="auto"/>
              <w:jc w:val="center"/>
            </w:pPr>
            <w:r>
              <w:rPr>
                <w:b w:val="0"/>
                <w:i w:val="0"/>
                <w:sz w:val="16"/>
              </w:rPr>
              <w:t>4</w:t>
            </w:r>
          </w:p>
        </w:tc>
        <w:tc>
          <w:tcPr>
            <w:tcW w:type="dxa" w:w="850"/>
            <w:vAlign w:val="top"/>
          </w:tcPr>
          <w:p>
            <w:pPr>
              <w:spacing w:after="20" w:line="252" w:lineRule="auto"/>
              <w:jc w:val="center"/>
            </w:pPr>
            <w:r>
              <w:rPr>
                <w:b w:val="0"/>
                <w:i w:val="0"/>
                <w:sz w:val="16"/>
              </w:rPr>
              <w:t>4</w:t>
            </w:r>
          </w:p>
        </w:tc>
      </w:tr>
      <w:tr>
        <w:trPr>
          <w:cantSplit/>
        </w:trPr>
        <w:tc>
          <w:tcPr>
            <w:tcW w:type="dxa" w:w="2608"/>
            <w:vAlign w:val="top"/>
            <w:shd w:val="clear" w:color="auto" w:fill="FDF0F7"/>
          </w:tcPr>
          <w:p>
            <w:pPr>
              <w:spacing w:after="20" w:line="252" w:lineRule="auto"/>
            </w:pPr>
            <w:r>
              <w:rPr>
                <w:b w:val="0"/>
                <w:i w:val="0"/>
                <w:sz w:val="16"/>
              </w:rPr>
              <w:t>Money.test.tsx</w:t>
            </w:r>
          </w:p>
        </w:tc>
        <w:tc>
          <w:tcPr>
            <w:tcW w:type="dxa" w:w="5329"/>
            <w:vAlign w:val="top"/>
            <w:shd w:val="clear" w:color="auto" w:fill="FDF0F7"/>
          </w:tcPr>
          <w:p>
            <w:pPr>
              <w:spacing w:after="20" w:line="252" w:lineRule="auto"/>
            </w:pPr>
            <w:r>
              <w:rPr>
                <w:b w:val="0"/>
                <w:i w:val="0"/>
                <w:sz w:val="16"/>
              </w:rPr>
              <w:t>Amount display</w:t>
            </w:r>
          </w:p>
        </w:tc>
        <w:tc>
          <w:tcPr>
            <w:tcW w:type="dxa" w:w="850"/>
            <w:vAlign w:val="top"/>
            <w:shd w:val="clear" w:color="auto" w:fill="FDF0F7"/>
          </w:tcPr>
          <w:p>
            <w:pPr>
              <w:spacing w:after="20" w:line="252" w:lineRule="auto"/>
              <w:jc w:val="center"/>
            </w:pPr>
            <w:r>
              <w:rPr>
                <w:b w:val="0"/>
                <w:i w:val="0"/>
                <w:sz w:val="16"/>
              </w:rPr>
              <w:t>2</w:t>
            </w:r>
          </w:p>
        </w:tc>
        <w:tc>
          <w:tcPr>
            <w:tcW w:type="dxa" w:w="850"/>
            <w:vAlign w:val="top"/>
            <w:shd w:val="clear" w:color="auto" w:fill="FDF0F7"/>
          </w:tcPr>
          <w:p>
            <w:pPr>
              <w:spacing w:after="20" w:line="252" w:lineRule="auto"/>
              <w:jc w:val="center"/>
            </w:pPr>
            <w:r>
              <w:rPr>
                <w:b w:val="0"/>
                <w:i w:val="0"/>
                <w:sz w:val="16"/>
              </w:rPr>
              <w:t>2</w:t>
            </w:r>
          </w:p>
        </w:tc>
      </w:tr>
      <w:tr>
        <w:trPr>
          <w:cantSplit/>
        </w:trPr>
        <w:tc>
          <w:tcPr>
            <w:tcW w:type="dxa" w:w="2608"/>
            <w:vAlign w:val="top"/>
          </w:tcPr>
          <w:p>
            <w:pPr>
              <w:spacing w:after="20" w:line="252" w:lineRule="auto"/>
            </w:pPr>
            <w:r>
              <w:rPr>
                <w:b w:val="0"/>
                <w:i w:val="0"/>
                <w:sz w:val="16"/>
              </w:rPr>
              <w:t>RequirePermission.test.tsx</w:t>
            </w:r>
          </w:p>
        </w:tc>
        <w:tc>
          <w:tcPr>
            <w:tcW w:type="dxa" w:w="5329"/>
            <w:vAlign w:val="top"/>
          </w:tcPr>
          <w:p>
            <w:pPr>
              <w:spacing w:after="20" w:line="252" w:lineRule="auto"/>
            </w:pPr>
            <w:r>
              <w:rPr>
                <w:b w:val="0"/>
                <w:i w:val="0"/>
                <w:sz w:val="16"/>
              </w:rPr>
              <w:t>Pages shown only to users holding the permission</w:t>
            </w:r>
          </w:p>
        </w:tc>
        <w:tc>
          <w:tcPr>
            <w:tcW w:type="dxa" w:w="850"/>
            <w:vAlign w:val="top"/>
          </w:tcPr>
          <w:p>
            <w:pPr>
              <w:spacing w:after="20" w:line="252" w:lineRule="auto"/>
              <w:jc w:val="center"/>
            </w:pPr>
            <w:r>
              <w:rPr>
                <w:b w:val="0"/>
                <w:i w:val="0"/>
                <w:sz w:val="16"/>
              </w:rPr>
              <w:t>2</w:t>
            </w:r>
          </w:p>
        </w:tc>
        <w:tc>
          <w:tcPr>
            <w:tcW w:type="dxa" w:w="850"/>
            <w:vAlign w:val="top"/>
          </w:tcPr>
          <w:p>
            <w:pPr>
              <w:spacing w:after="20" w:line="252" w:lineRule="auto"/>
              <w:jc w:val="center"/>
            </w:pPr>
            <w:r>
              <w:rPr>
                <w:b w:val="0"/>
                <w:i w:val="0"/>
                <w:sz w:val="16"/>
              </w:rPr>
              <w:t>2</w:t>
            </w:r>
          </w:p>
        </w:tc>
      </w:tr>
      <w:tr>
        <w:trPr>
          <w:cantSplit/>
        </w:trPr>
        <w:tc>
          <w:tcPr>
            <w:tcW w:type="dxa" w:w="2608"/>
            <w:vAlign w:val="top"/>
            <w:shd w:val="clear" w:color="auto" w:fill="FDF0F7"/>
          </w:tcPr>
          <w:p>
            <w:pPr>
              <w:spacing w:after="20" w:line="252" w:lineRule="auto"/>
            </w:pPr>
            <w:r>
              <w:rPr>
                <w:b w:val="0"/>
                <w:i w:val="0"/>
                <w:sz w:val="16"/>
              </w:rPr>
              <w:t>StatusTag.test.tsx</w:t>
            </w:r>
          </w:p>
        </w:tc>
        <w:tc>
          <w:tcPr>
            <w:tcW w:type="dxa" w:w="5329"/>
            <w:vAlign w:val="top"/>
            <w:shd w:val="clear" w:color="auto" w:fill="FDF0F7"/>
          </w:tcPr>
          <w:p>
            <w:pPr>
              <w:spacing w:after="20" w:line="252" w:lineRule="auto"/>
            </w:pPr>
            <w:r>
              <w:rPr>
                <w:b w:val="0"/>
                <w:i w:val="0"/>
                <w:sz w:val="16"/>
              </w:rPr>
              <w:t>Status labels and colours</w:t>
            </w:r>
          </w:p>
        </w:tc>
        <w:tc>
          <w:tcPr>
            <w:tcW w:type="dxa" w:w="850"/>
            <w:vAlign w:val="top"/>
            <w:shd w:val="clear" w:color="auto" w:fill="FDF0F7"/>
          </w:tcPr>
          <w:p>
            <w:pPr>
              <w:spacing w:after="20" w:line="252" w:lineRule="auto"/>
              <w:jc w:val="center"/>
            </w:pPr>
            <w:r>
              <w:rPr>
                <w:b w:val="0"/>
                <w:i w:val="0"/>
                <w:sz w:val="16"/>
              </w:rPr>
              <w:t>3</w:t>
            </w:r>
          </w:p>
        </w:tc>
        <w:tc>
          <w:tcPr>
            <w:tcW w:type="dxa" w:w="850"/>
            <w:vAlign w:val="top"/>
            <w:shd w:val="clear" w:color="auto" w:fill="FDF0F7"/>
          </w:tcPr>
          <w:p>
            <w:pPr>
              <w:spacing w:after="20" w:line="252" w:lineRule="auto"/>
              <w:jc w:val="center"/>
            </w:pPr>
            <w:r>
              <w:rPr>
                <w:b w:val="0"/>
                <w:i w:val="0"/>
                <w:sz w:val="16"/>
              </w:rPr>
              <w:t>3</w:t>
            </w:r>
          </w:p>
        </w:tc>
      </w:tr>
      <w:tr>
        <w:trPr>
          <w:cantSplit/>
        </w:trPr>
        <w:tc>
          <w:tcPr>
            <w:tcW w:type="dxa" w:w="2608"/>
            <w:vAlign w:val="top"/>
          </w:tcPr>
          <w:p>
            <w:pPr>
              <w:spacing w:after="20" w:line="252" w:lineRule="auto"/>
            </w:pPr>
            <w:r>
              <w:rPr>
                <w:b w:val="0"/>
                <w:i w:val="0"/>
                <w:sz w:val="16"/>
              </w:rPr>
              <w:t>menus.test.ts</w:t>
            </w:r>
          </w:p>
        </w:tc>
        <w:tc>
          <w:tcPr>
            <w:tcW w:type="dxa" w:w="5329"/>
            <w:vAlign w:val="top"/>
          </w:tcPr>
          <w:p>
            <w:pPr>
              <w:spacing w:after="20" w:line="252" w:lineRule="auto"/>
            </w:pPr>
            <w:r>
              <w:rPr>
                <w:b w:val="0"/>
                <w:i w:val="0"/>
                <w:sz w:val="16"/>
              </w:rPr>
              <w:t>Menu highlighting for the current page</w:t>
            </w:r>
          </w:p>
        </w:tc>
        <w:tc>
          <w:tcPr>
            <w:tcW w:type="dxa" w:w="850"/>
            <w:vAlign w:val="top"/>
          </w:tcPr>
          <w:p>
            <w:pPr>
              <w:spacing w:after="20" w:line="252" w:lineRule="auto"/>
              <w:jc w:val="center"/>
            </w:pPr>
            <w:r>
              <w:rPr>
                <w:b w:val="0"/>
                <w:i w:val="0"/>
                <w:sz w:val="16"/>
              </w:rPr>
              <w:t>6</w:t>
            </w:r>
          </w:p>
        </w:tc>
        <w:tc>
          <w:tcPr>
            <w:tcW w:type="dxa" w:w="850"/>
            <w:vAlign w:val="top"/>
          </w:tcPr>
          <w:p>
            <w:pPr>
              <w:spacing w:after="20" w:line="252" w:lineRule="auto"/>
              <w:jc w:val="center"/>
            </w:pPr>
            <w:r>
              <w:rPr>
                <w:b w:val="0"/>
                <w:i w:val="0"/>
                <w:sz w:val="16"/>
              </w:rPr>
              <w:t>6</w:t>
            </w:r>
          </w:p>
        </w:tc>
      </w:tr>
      <w:tr>
        <w:trPr>
          <w:cantSplit/>
        </w:trPr>
        <w:tc>
          <w:tcPr>
            <w:tcW w:type="dxa" w:w="2608"/>
            <w:vAlign w:val="top"/>
            <w:shd w:val="clear" w:color="auto" w:fill="FDF0F7"/>
          </w:tcPr>
          <w:p>
            <w:pPr>
              <w:spacing w:after="20" w:line="252" w:lineRule="auto"/>
            </w:pPr>
            <w:r>
              <w:rPr>
                <w:b w:val="0"/>
                <w:i w:val="0"/>
                <w:sz w:val="16"/>
              </w:rPr>
              <w:t>format.test.ts</w:t>
            </w:r>
          </w:p>
        </w:tc>
        <w:tc>
          <w:tcPr>
            <w:tcW w:type="dxa" w:w="5329"/>
            <w:vAlign w:val="top"/>
            <w:shd w:val="clear" w:color="auto" w:fill="FDF0F7"/>
          </w:tcPr>
          <w:p>
            <w:pPr>
              <w:spacing w:after="20" w:line="252" w:lineRule="auto"/>
            </w:pPr>
            <w:r>
              <w:rPr>
                <w:b w:val="0"/>
                <w:i w:val="0"/>
                <w:sz w:val="16"/>
              </w:rPr>
              <w:t>Money, number, date and file-size formatting in Brunei dollars and local time</w:t>
            </w:r>
          </w:p>
        </w:tc>
        <w:tc>
          <w:tcPr>
            <w:tcW w:type="dxa" w:w="850"/>
            <w:vAlign w:val="top"/>
            <w:shd w:val="clear" w:color="auto" w:fill="FDF0F7"/>
          </w:tcPr>
          <w:p>
            <w:pPr>
              <w:spacing w:after="20" w:line="252" w:lineRule="auto"/>
              <w:jc w:val="center"/>
            </w:pPr>
            <w:r>
              <w:rPr>
                <w:b w:val="0"/>
                <w:i w:val="0"/>
                <w:sz w:val="16"/>
              </w:rPr>
              <w:t>11</w:t>
            </w:r>
          </w:p>
        </w:tc>
        <w:tc>
          <w:tcPr>
            <w:tcW w:type="dxa" w:w="850"/>
            <w:vAlign w:val="top"/>
            <w:shd w:val="clear" w:color="auto" w:fill="FDF0F7"/>
          </w:tcPr>
          <w:p>
            <w:pPr>
              <w:spacing w:after="20" w:line="252" w:lineRule="auto"/>
              <w:jc w:val="center"/>
            </w:pPr>
            <w:r>
              <w:rPr>
                <w:b w:val="0"/>
                <w:i w:val="0"/>
                <w:sz w:val="16"/>
              </w:rPr>
              <w:t>11</w:t>
            </w:r>
          </w:p>
        </w:tc>
      </w:tr>
      <w:tr>
        <w:trPr>
          <w:cantSplit/>
        </w:trPr>
        <w:tc>
          <w:tcPr>
            <w:tcW w:type="dxa" w:w="2608"/>
            <w:vAlign w:val="top"/>
          </w:tcPr>
          <w:p>
            <w:pPr>
              <w:spacing w:after="20" w:line="252" w:lineRule="auto"/>
            </w:pPr>
            <w:r>
              <w:rPr>
                <w:b w:val="0"/>
                <w:i w:val="0"/>
                <w:sz w:val="16"/>
              </w:rPr>
              <w:t>permissions.test.ts</w:t>
            </w:r>
          </w:p>
        </w:tc>
        <w:tc>
          <w:tcPr>
            <w:tcW w:type="dxa" w:w="5329"/>
            <w:vAlign w:val="top"/>
          </w:tcPr>
          <w:p>
            <w:pPr>
              <w:spacing w:after="20" w:line="252" w:lineRule="auto"/>
            </w:pPr>
            <w:r>
              <w:rPr>
                <w:b w:val="0"/>
                <w:i w:val="0"/>
                <w:sz w:val="16"/>
              </w:rPr>
              <w:t>Permission codes unique, prefixed by audience, approval permissions grouped</w:t>
            </w:r>
          </w:p>
        </w:tc>
        <w:tc>
          <w:tcPr>
            <w:tcW w:type="dxa" w:w="850"/>
            <w:vAlign w:val="top"/>
          </w:tcPr>
          <w:p>
            <w:pPr>
              <w:spacing w:after="20" w:line="252" w:lineRule="auto"/>
              <w:jc w:val="center"/>
            </w:pPr>
            <w:r>
              <w:rPr>
                <w:b w:val="0"/>
                <w:i w:val="0"/>
                <w:sz w:val="16"/>
              </w:rPr>
              <w:t>3</w:t>
            </w:r>
          </w:p>
        </w:tc>
        <w:tc>
          <w:tcPr>
            <w:tcW w:type="dxa" w:w="850"/>
            <w:vAlign w:val="top"/>
          </w:tcPr>
          <w:p>
            <w:pPr>
              <w:spacing w:after="20" w:line="252" w:lineRule="auto"/>
              <w:jc w:val="center"/>
            </w:pPr>
            <w:r>
              <w:rPr>
                <w:b w:val="0"/>
                <w:i w:val="0"/>
                <w:sz w:val="16"/>
              </w:rPr>
              <w:t>3</w:t>
            </w:r>
          </w:p>
        </w:tc>
      </w:tr>
      <w:tr>
        <w:trPr>
          <w:cantSplit/>
        </w:trPr>
        <w:tc>
          <w:tcPr>
            <w:tcW w:type="dxa" w:w="2608"/>
            <w:vAlign w:val="top"/>
            <w:shd w:val="clear" w:color="auto" w:fill="FDF0F7"/>
          </w:tcPr>
          <w:p>
            <w:pPr>
              <w:spacing w:after="20" w:line="252" w:lineRule="auto"/>
            </w:pPr>
            <w:r>
              <w:rPr>
                <w:b w:val="0"/>
                <w:i w:val="0"/>
                <w:sz w:val="16"/>
              </w:rPr>
              <w:t>status.test.ts</w:t>
            </w:r>
          </w:p>
        </w:tc>
        <w:tc>
          <w:tcPr>
            <w:tcW w:type="dxa" w:w="5329"/>
            <w:vAlign w:val="top"/>
            <w:shd w:val="clear" w:color="auto" w:fill="FDF0F7"/>
          </w:tcPr>
          <w:p>
            <w:pPr>
              <w:spacing w:after="20" w:line="252" w:lineRule="auto"/>
            </w:pPr>
            <w:r>
              <w:rPr>
                <w:b w:val="0"/>
                <w:i w:val="0"/>
                <w:sz w:val="16"/>
              </w:rPr>
              <w:t>Status colour mapping</w:t>
            </w:r>
          </w:p>
        </w:tc>
        <w:tc>
          <w:tcPr>
            <w:tcW w:type="dxa" w:w="850"/>
            <w:vAlign w:val="top"/>
            <w:shd w:val="clear" w:color="auto" w:fill="FDF0F7"/>
          </w:tcPr>
          <w:p>
            <w:pPr>
              <w:spacing w:after="20" w:line="252" w:lineRule="auto"/>
              <w:jc w:val="center"/>
            </w:pPr>
            <w:r>
              <w:rPr>
                <w:b w:val="0"/>
                <w:i w:val="0"/>
                <w:sz w:val="16"/>
              </w:rPr>
              <w:t>2</w:t>
            </w:r>
          </w:p>
        </w:tc>
        <w:tc>
          <w:tcPr>
            <w:tcW w:type="dxa" w:w="850"/>
            <w:vAlign w:val="top"/>
            <w:shd w:val="clear" w:color="auto" w:fill="FDF0F7"/>
          </w:tcPr>
          <w:p>
            <w:pPr>
              <w:spacing w:after="20" w:line="252" w:lineRule="auto"/>
              <w:jc w:val="center"/>
            </w:pPr>
            <w:r>
              <w:rPr>
                <w:b w:val="0"/>
                <w:i w:val="0"/>
                <w:sz w:val="16"/>
              </w:rPr>
              <w:t>2</w:t>
            </w:r>
          </w:p>
        </w:tc>
      </w:tr>
      <w:tr>
        <w:trPr>
          <w:cantSplit/>
        </w:trPr>
        <w:tc>
          <w:tcPr>
            <w:tcW w:type="dxa" w:w="2608"/>
            <w:vAlign w:val="top"/>
          </w:tcPr>
          <w:p>
            <w:pPr>
              <w:spacing w:after="20" w:line="252" w:lineRule="auto"/>
            </w:pPr>
            <w:r>
              <w:rPr>
                <w:b w:val="0"/>
                <w:i w:val="0"/>
                <w:sz w:val="16"/>
              </w:rPr>
              <w:t>LoginPage.test.tsx</w:t>
            </w:r>
          </w:p>
        </w:tc>
        <w:tc>
          <w:tcPr>
            <w:tcW w:type="dxa" w:w="5329"/>
            <w:vAlign w:val="top"/>
          </w:tcPr>
          <w:p>
            <w:pPr>
              <w:spacing w:after="20" w:line="252" w:lineRule="auto"/>
            </w:pPr>
            <w:r>
              <w:rPr>
                <w:b w:val="0"/>
                <w:i w:val="0"/>
                <w:sz w:val="16"/>
              </w:rPr>
              <w:t>Sign-in form: validation, forced password change, rejected credentials, ended session</w:t>
            </w:r>
          </w:p>
        </w:tc>
        <w:tc>
          <w:tcPr>
            <w:tcW w:type="dxa" w:w="850"/>
            <w:vAlign w:val="top"/>
          </w:tcPr>
          <w:p>
            <w:pPr>
              <w:spacing w:after="20" w:line="252" w:lineRule="auto"/>
              <w:jc w:val="center"/>
            </w:pPr>
            <w:r>
              <w:rPr>
                <w:b w:val="0"/>
                <w:i w:val="0"/>
                <w:sz w:val="16"/>
              </w:rPr>
              <w:t>6</w:t>
            </w:r>
          </w:p>
        </w:tc>
        <w:tc>
          <w:tcPr>
            <w:tcW w:type="dxa" w:w="850"/>
            <w:vAlign w:val="top"/>
          </w:tcPr>
          <w:p>
            <w:pPr>
              <w:spacing w:after="20" w:line="252" w:lineRule="auto"/>
              <w:jc w:val="center"/>
            </w:pPr>
            <w:r>
              <w:rPr>
                <w:b w:val="0"/>
                <w:i w:val="0"/>
                <w:sz w:val="16"/>
              </w:rPr>
              <w:t>6</w:t>
            </w:r>
          </w:p>
        </w:tc>
      </w:tr>
      <w:tr>
        <w:trPr>
          <w:cantSplit/>
        </w:trPr>
        <w:tc>
          <w:tcPr>
            <w:tcW w:type="dxa" w:w="2608"/>
            <w:vAlign w:val="top"/>
            <w:shd w:val="clear" w:color="auto" w:fill="FDF0F7"/>
          </w:tcPr>
          <w:p>
            <w:pPr>
              <w:spacing w:after="20" w:line="252" w:lineRule="auto"/>
            </w:pPr>
            <w:r>
              <w:rPr>
                <w:b w:val="0"/>
                <w:i w:val="0"/>
                <w:sz w:val="16"/>
              </w:rPr>
              <w:t>CellText.test.tsx</w:t>
            </w:r>
          </w:p>
        </w:tc>
        <w:tc>
          <w:tcPr>
            <w:tcW w:type="dxa" w:w="5329"/>
            <w:vAlign w:val="top"/>
            <w:shd w:val="clear" w:color="auto" w:fill="FDF0F7"/>
          </w:tcPr>
          <w:p>
            <w:pPr>
              <w:spacing w:after="20" w:line="252" w:lineRule="auto"/>
            </w:pPr>
            <w:r>
              <w:rPr>
                <w:b w:val="0"/>
                <w:i w:val="0"/>
                <w:sz w:val="16"/>
              </w:rPr>
              <w:t>Table cell text</w:t>
            </w:r>
          </w:p>
        </w:tc>
        <w:tc>
          <w:tcPr>
            <w:tcW w:type="dxa" w:w="850"/>
            <w:vAlign w:val="top"/>
            <w:shd w:val="clear" w:color="auto" w:fill="FDF0F7"/>
          </w:tcPr>
          <w:p>
            <w:pPr>
              <w:spacing w:after="20" w:line="252" w:lineRule="auto"/>
              <w:jc w:val="center"/>
            </w:pPr>
            <w:r>
              <w:rPr>
                <w:b w:val="0"/>
                <w:i w:val="0"/>
                <w:sz w:val="16"/>
              </w:rPr>
              <w:t>2</w:t>
            </w:r>
          </w:p>
        </w:tc>
        <w:tc>
          <w:tcPr>
            <w:tcW w:type="dxa" w:w="850"/>
            <w:vAlign w:val="top"/>
            <w:shd w:val="clear" w:color="auto" w:fill="FDF0F7"/>
          </w:tcPr>
          <w:p>
            <w:pPr>
              <w:spacing w:after="20" w:line="252" w:lineRule="auto"/>
              <w:jc w:val="center"/>
            </w:pPr>
            <w:r>
              <w:rPr>
                <w:b w:val="0"/>
                <w:i w:val="0"/>
                <w:sz w:val="16"/>
              </w:rPr>
              <w:t>2</w:t>
            </w:r>
          </w:p>
        </w:tc>
      </w:tr>
      <w:tr>
        <w:trPr>
          <w:cantSplit/>
        </w:trPr>
        <w:tc>
          <w:tcPr>
            <w:tcW w:type="dxa" w:w="2608"/>
            <w:vAlign w:val="top"/>
          </w:tcPr>
          <w:p>
            <w:pPr>
              <w:spacing w:after="20" w:line="252" w:lineRule="auto"/>
            </w:pPr>
            <w:r>
              <w:rPr>
                <w:b w:val="0"/>
                <w:i w:val="0"/>
                <w:sz w:val="16"/>
              </w:rPr>
              <w:t>links.test.ts</w:t>
            </w:r>
          </w:p>
        </w:tc>
        <w:tc>
          <w:tcPr>
            <w:tcW w:type="dxa" w:w="5329"/>
            <w:vAlign w:val="top"/>
          </w:tcPr>
          <w:p>
            <w:pPr>
              <w:spacing w:after="20" w:line="252" w:lineRule="auto"/>
            </w:pPr>
            <w:r>
              <w:rPr>
                <w:b w:val="0"/>
                <w:i w:val="0"/>
                <w:sz w:val="16"/>
              </w:rPr>
              <w:t>Links to record pages for each audience and from notifications</w:t>
            </w:r>
          </w:p>
        </w:tc>
        <w:tc>
          <w:tcPr>
            <w:tcW w:type="dxa" w:w="850"/>
            <w:vAlign w:val="top"/>
          </w:tcPr>
          <w:p>
            <w:pPr>
              <w:spacing w:after="20" w:line="252" w:lineRule="auto"/>
              <w:jc w:val="center"/>
            </w:pPr>
            <w:r>
              <w:rPr>
                <w:b w:val="0"/>
                <w:i w:val="0"/>
                <w:sz w:val="16"/>
              </w:rPr>
              <w:t>5</w:t>
            </w:r>
          </w:p>
        </w:tc>
        <w:tc>
          <w:tcPr>
            <w:tcW w:type="dxa" w:w="850"/>
            <w:vAlign w:val="top"/>
          </w:tcPr>
          <w:p>
            <w:pPr>
              <w:spacing w:after="20" w:line="252" w:lineRule="auto"/>
              <w:jc w:val="center"/>
            </w:pPr>
            <w:r>
              <w:rPr>
                <w:b w:val="0"/>
                <w:i w:val="0"/>
                <w:sz w:val="16"/>
              </w:rPr>
              <w:t>5</w:t>
            </w:r>
          </w:p>
        </w:tc>
      </w:tr>
      <w:tr>
        <w:trPr>
          <w:cantSplit/>
        </w:trPr>
        <w:tc>
          <w:tcPr>
            <w:tcW w:type="dxa" w:w="2608"/>
            <w:vAlign w:val="top"/>
            <w:shd w:val="clear" w:color="auto" w:fill="FDF0F7"/>
          </w:tcPr>
          <w:p>
            <w:pPr>
              <w:spacing w:after="20" w:line="252" w:lineRule="auto"/>
            </w:pPr>
            <w:r>
              <w:rPr>
                <w:b w:val="0"/>
                <w:i w:val="0"/>
                <w:sz w:val="16"/>
              </w:rPr>
              <w:t>values.test.ts</w:t>
            </w:r>
          </w:p>
        </w:tc>
        <w:tc>
          <w:tcPr>
            <w:tcW w:type="dxa" w:w="5329"/>
            <w:vAlign w:val="top"/>
            <w:shd w:val="clear" w:color="auto" w:fill="FDF0F7"/>
          </w:tcPr>
          <w:p>
            <w:pPr>
              <w:spacing w:after="20" w:line="252" w:lineRule="auto"/>
            </w:pPr>
            <w:r>
              <w:rPr>
                <w:b w:val="0"/>
                <w:i w:val="0"/>
                <w:sz w:val="16"/>
              </w:rPr>
              <w:t>Display of approval values: hidden encrypted and hashed keys, labels, money and dates</w:t>
            </w:r>
          </w:p>
        </w:tc>
        <w:tc>
          <w:tcPr>
            <w:tcW w:type="dxa" w:w="850"/>
            <w:vAlign w:val="top"/>
            <w:shd w:val="clear" w:color="auto" w:fill="FDF0F7"/>
          </w:tcPr>
          <w:p>
            <w:pPr>
              <w:spacing w:after="20" w:line="252" w:lineRule="auto"/>
              <w:jc w:val="center"/>
            </w:pPr>
            <w:r>
              <w:rPr>
                <w:b w:val="0"/>
                <w:i w:val="0"/>
                <w:sz w:val="16"/>
              </w:rPr>
              <w:t>8</w:t>
            </w:r>
          </w:p>
        </w:tc>
        <w:tc>
          <w:tcPr>
            <w:tcW w:type="dxa" w:w="850"/>
            <w:vAlign w:val="top"/>
            <w:shd w:val="clear" w:color="auto" w:fill="FDF0F7"/>
          </w:tcPr>
          <w:p>
            <w:pPr>
              <w:spacing w:after="20" w:line="252" w:lineRule="auto"/>
              <w:jc w:val="center"/>
            </w:pPr>
            <w:r>
              <w:rPr>
                <w:b w:val="0"/>
                <w:i w:val="0"/>
                <w:sz w:val="16"/>
              </w:rPr>
              <w:t>8</w:t>
            </w:r>
          </w:p>
        </w:tc>
      </w:tr>
      <w:tr>
        <w:trPr>
          <w:cantSplit/>
        </w:trPr>
        <w:tc>
          <w:tcPr>
            <w:tcW w:type="dxa" w:w="2608"/>
            <w:vAlign w:val="top"/>
          </w:tcPr>
          <w:p>
            <w:pPr>
              <w:spacing w:after="20" w:line="252" w:lineRule="auto"/>
            </w:pPr>
            <w:r>
              <w:rPr>
                <w:b w:val="0"/>
                <w:i w:val="0"/>
                <w:sz w:val="16"/>
              </w:rPr>
              <w:t>NomineesEditor.test.ts</w:t>
            </w:r>
          </w:p>
        </w:tc>
        <w:tc>
          <w:tcPr>
            <w:tcW w:type="dxa" w:w="5329"/>
            <w:vAlign w:val="top"/>
          </w:tcPr>
          <w:p>
            <w:pPr>
              <w:spacing w:after="20" w:line="252" w:lineRule="auto"/>
            </w:pPr>
            <w:r>
              <w:rPr>
                <w:b w:val="0"/>
                <w:i w:val="0"/>
                <w:sz w:val="16"/>
              </w:rPr>
              <w:t>Nominee rows: existing ids kept, blank ID number keeps the stored one, shares</w:t>
            </w:r>
          </w:p>
        </w:tc>
        <w:tc>
          <w:tcPr>
            <w:tcW w:type="dxa" w:w="850"/>
            <w:vAlign w:val="top"/>
          </w:tcPr>
          <w:p>
            <w:pPr>
              <w:spacing w:after="20" w:line="252" w:lineRule="auto"/>
              <w:jc w:val="center"/>
            </w:pPr>
            <w:r>
              <w:rPr>
                <w:b w:val="0"/>
                <w:i w:val="0"/>
                <w:sz w:val="16"/>
              </w:rPr>
              <w:t>8</w:t>
            </w:r>
          </w:p>
        </w:tc>
        <w:tc>
          <w:tcPr>
            <w:tcW w:type="dxa" w:w="850"/>
            <w:vAlign w:val="top"/>
          </w:tcPr>
          <w:p>
            <w:pPr>
              <w:spacing w:after="20" w:line="252" w:lineRule="auto"/>
              <w:jc w:val="center"/>
            </w:pPr>
            <w:r>
              <w:rPr>
                <w:b w:val="0"/>
                <w:i w:val="0"/>
                <w:sz w:val="16"/>
              </w:rPr>
              <w:t>8</w:t>
            </w:r>
          </w:p>
        </w:tc>
      </w:tr>
      <w:tr>
        <w:trPr>
          <w:cantSplit/>
        </w:trPr>
        <w:tc>
          <w:tcPr>
            <w:tcW w:type="dxa" w:w="2608"/>
            <w:vAlign w:val="top"/>
            <w:shd w:val="clear" w:color="auto" w:fill="FDF0F7"/>
          </w:tcPr>
          <w:p>
            <w:pPr>
              <w:spacing w:after="20" w:line="252" w:lineRule="auto"/>
            </w:pPr>
            <w:r>
              <w:rPr>
                <w:b w:val="0"/>
                <w:i w:val="0"/>
                <w:sz w:val="16"/>
              </w:rPr>
              <w:t>PaymentList.test.tsx</w:t>
            </w:r>
          </w:p>
        </w:tc>
        <w:tc>
          <w:tcPr>
            <w:tcW w:type="dxa" w:w="5329"/>
            <w:vAlign w:val="top"/>
            <w:shd w:val="clear" w:color="auto" w:fill="FDF0F7"/>
          </w:tcPr>
          <w:p>
            <w:pPr>
              <w:spacing w:after="20" w:line="252" w:lineRule="auto"/>
            </w:pPr>
            <w:r>
              <w:rPr>
                <w:b w:val="0"/>
                <w:i w:val="0"/>
                <w:sz w:val="16"/>
              </w:rPr>
              <w:t>Payment list filtered by the status in the URL</w:t>
            </w:r>
          </w:p>
        </w:tc>
        <w:tc>
          <w:tcPr>
            <w:tcW w:type="dxa" w:w="850"/>
            <w:vAlign w:val="top"/>
            <w:shd w:val="clear" w:color="auto" w:fill="FDF0F7"/>
          </w:tcPr>
          <w:p>
            <w:pPr>
              <w:spacing w:after="20" w:line="252" w:lineRule="auto"/>
              <w:jc w:val="center"/>
            </w:pPr>
            <w:r>
              <w:rPr>
                <w:b w:val="0"/>
                <w:i w:val="0"/>
                <w:sz w:val="16"/>
              </w:rPr>
              <w:t>3</w:t>
            </w:r>
          </w:p>
        </w:tc>
        <w:tc>
          <w:tcPr>
            <w:tcW w:type="dxa" w:w="850"/>
            <w:vAlign w:val="top"/>
            <w:shd w:val="clear" w:color="auto" w:fill="FDF0F7"/>
          </w:tcPr>
          <w:p>
            <w:pPr>
              <w:spacing w:after="20" w:line="252" w:lineRule="auto"/>
              <w:jc w:val="center"/>
            </w:pPr>
            <w:r>
              <w:rPr>
                <w:b w:val="0"/>
                <w:i w:val="0"/>
                <w:sz w:val="16"/>
              </w:rPr>
              <w:t>3</w:t>
            </w:r>
          </w:p>
        </w:tc>
      </w:tr>
      <w:tr>
        <w:trPr>
          <w:cantSplit/>
        </w:trPr>
        <w:tc>
          <w:tcPr>
            <w:tcW w:type="dxa" w:w="2608"/>
            <w:vAlign w:val="top"/>
          </w:tcPr>
          <w:p>
            <w:pPr>
              <w:spacing w:after="20" w:line="252" w:lineRule="auto"/>
            </w:pPr>
            <w:r>
              <w:rPr>
                <w:b w:val="0"/>
                <w:i w:val="0"/>
                <w:sz w:val="16"/>
              </w:rPr>
              <w:t>options.test.ts</w:t>
            </w:r>
          </w:p>
        </w:tc>
        <w:tc>
          <w:tcPr>
            <w:tcW w:type="dxa" w:w="5329"/>
            <w:vAlign w:val="top"/>
          </w:tcPr>
          <w:p>
            <w:pPr>
              <w:spacing w:after="20" w:line="252" w:lineRule="auto"/>
            </w:pPr>
            <w:r>
              <w:rPr>
                <w:b w:val="0"/>
                <w:i w:val="0"/>
                <w:sz w:val="16"/>
              </w:rPr>
              <w:t>Option labels, policy reference and term display</w:t>
            </w:r>
          </w:p>
        </w:tc>
        <w:tc>
          <w:tcPr>
            <w:tcW w:type="dxa" w:w="850"/>
            <w:vAlign w:val="top"/>
          </w:tcPr>
          <w:p>
            <w:pPr>
              <w:spacing w:after="20" w:line="252" w:lineRule="auto"/>
              <w:jc w:val="center"/>
            </w:pPr>
            <w:r>
              <w:rPr>
                <w:b w:val="0"/>
                <w:i w:val="0"/>
                <w:sz w:val="16"/>
              </w:rPr>
              <w:t>4</w:t>
            </w:r>
          </w:p>
        </w:tc>
        <w:tc>
          <w:tcPr>
            <w:tcW w:type="dxa" w:w="850"/>
            <w:vAlign w:val="top"/>
          </w:tcPr>
          <w:p>
            <w:pPr>
              <w:spacing w:after="20" w:line="252" w:lineRule="auto"/>
              <w:jc w:val="center"/>
            </w:pPr>
            <w:r>
              <w:rPr>
                <w:b w:val="0"/>
                <w:i w:val="0"/>
                <w:sz w:val="16"/>
              </w:rPr>
              <w:t>4</w:t>
            </w:r>
          </w:p>
        </w:tc>
      </w:tr>
    </w:tbl>
    <w:p>
      <w:pPr>
        <w:pStyle w:val="Caption"/>
        <w:jc w:val="center"/>
      </w:pPr>
      <w:r>
        <w:rPr>
          <w:b w:val="0"/>
          <w:i w:val="0"/>
        </w:rPr>
        <w:t>Table 7: Test files</w:t>
      </w:r>
    </w:p>
    <w:p>
      <w:pPr>
        <w:keepNext w:val="0"/>
      </w:pPr>
      <w:r>
        <w:rPr>
          <w:b w:val="0"/>
          <w:i w:val="0"/>
        </w:rPr>
        <w:t>Every test title is listed in Annex A.</w:t>
      </w:r>
    </w:p>
    <w:p>
      <w:pPr>
        <w:pStyle w:val="Heading1"/>
        <w:pageBreakBefore/>
        <w:pBdr>
          <w:bottom w:val="single" w:sz="12" w:space="4" w:color="F58220"/>
        </w:pBdr>
      </w:pPr>
      <w:r>
        <w:t>5. Coverage</w:t>
      </w:r>
    </w:p>
    <w:p>
      <w:pPr>
        <w:keepNext w:val="0"/>
      </w:pPr>
      <w:r>
        <w:rPr>
          <w:b w:val="0"/>
          <w:i w:val="0"/>
        </w:rPr>
        <w:t>Coverage is measured with the V8 provider over all 131 API source files under apps/api/src, excluding the Prisma database client in src/generated, the test files and the start-up file main.ts. Files that a suite never loads count as uncovered. Earlier versions of this report measured end-to-end coverage over the files the tests loaded, so the figures here are lower but complete. Front-end coverage is not yet measured.</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3402"/>
        <w:gridCol w:w="3402"/>
      </w:tblGrid>
      <w:tr>
        <w:trPr>
          <w:cantSplit/>
          <w:tblHeader/>
        </w:trPr>
        <w:tc>
          <w:tcPr>
            <w:tcW w:type="dxa" w:w="2835"/>
            <w:shd w:val="clear" w:color="auto" w:fill="E1058C"/>
            <w:vAlign w:val="center"/>
          </w:tcPr>
          <w:p>
            <w:pPr>
              <w:spacing w:after="0"/>
            </w:pPr>
            <w:r>
              <w:rPr>
                <w:b/>
                <w:i w:val="0"/>
                <w:color w:val="FFFFFF"/>
                <w:sz w:val="17"/>
              </w:rPr>
              <w:t>Measure</w:t>
            </w:r>
          </w:p>
        </w:tc>
        <w:tc>
          <w:tcPr>
            <w:tcW w:type="dxa" w:w="3402"/>
            <w:shd w:val="clear" w:color="auto" w:fill="E1058C"/>
            <w:vAlign w:val="center"/>
          </w:tcPr>
          <w:p>
            <w:pPr>
              <w:spacing w:after="0"/>
            </w:pPr>
            <w:r>
              <w:rPr>
                <w:b/>
                <w:i w:val="0"/>
                <w:color w:val="FFFFFF"/>
                <w:sz w:val="17"/>
              </w:rPr>
              <w:t>Unit tests</w:t>
            </w:r>
          </w:p>
        </w:tc>
        <w:tc>
          <w:tcPr>
            <w:tcW w:type="dxa" w:w="3402"/>
            <w:shd w:val="clear" w:color="auto" w:fill="E1058C"/>
            <w:vAlign w:val="center"/>
          </w:tcPr>
          <w:p>
            <w:pPr>
              <w:spacing w:after="0"/>
            </w:pPr>
            <w:r>
              <w:rPr>
                <w:b/>
                <w:i w:val="0"/>
                <w:color w:val="FFFFFF"/>
                <w:sz w:val="17"/>
              </w:rPr>
              <w:t>End-to-end tests</w:t>
            </w:r>
          </w:p>
        </w:tc>
      </w:tr>
      <w:tr>
        <w:trPr>
          <w:cantSplit/>
        </w:trPr>
        <w:tc>
          <w:tcPr>
            <w:tcW w:type="dxa" w:w="2835"/>
            <w:vAlign w:val="top"/>
          </w:tcPr>
          <w:p>
            <w:pPr>
              <w:spacing w:after="20" w:line="252" w:lineRule="auto"/>
            </w:pPr>
            <w:r>
              <w:rPr>
                <w:b w:val="0"/>
                <w:i w:val="0"/>
                <w:sz w:val="17"/>
              </w:rPr>
              <w:t>Lines</w:t>
            </w:r>
          </w:p>
        </w:tc>
        <w:tc>
          <w:tcPr>
            <w:tcW w:type="dxa" w:w="3402"/>
            <w:vAlign w:val="top"/>
          </w:tcPr>
          <w:p>
            <w:pPr>
              <w:spacing w:after="20" w:line="252" w:lineRule="auto"/>
              <w:jc w:val="center"/>
            </w:pPr>
            <w:r>
              <w:rPr>
                <w:b w:val="0"/>
                <w:i w:val="0"/>
                <w:sz w:val="17"/>
              </w:rPr>
              <w:t>14.89%</w:t>
            </w:r>
          </w:p>
        </w:tc>
        <w:tc>
          <w:tcPr>
            <w:tcW w:type="dxa" w:w="3402"/>
            <w:vAlign w:val="top"/>
          </w:tcPr>
          <w:p>
            <w:pPr>
              <w:spacing w:after="20" w:line="252" w:lineRule="auto"/>
              <w:jc w:val="center"/>
            </w:pPr>
            <w:r>
              <w:rPr>
                <w:b w:val="0"/>
                <w:i w:val="0"/>
                <w:sz w:val="17"/>
              </w:rPr>
              <w:t>68.06%</w:t>
            </w:r>
          </w:p>
        </w:tc>
      </w:tr>
      <w:tr>
        <w:trPr>
          <w:cantSplit/>
        </w:trPr>
        <w:tc>
          <w:tcPr>
            <w:tcW w:type="dxa" w:w="2835"/>
            <w:vAlign w:val="top"/>
            <w:shd w:val="clear" w:color="auto" w:fill="FDF0F7"/>
          </w:tcPr>
          <w:p>
            <w:pPr>
              <w:spacing w:after="20" w:line="252" w:lineRule="auto"/>
            </w:pPr>
            <w:r>
              <w:rPr>
                <w:b w:val="0"/>
                <w:i w:val="0"/>
                <w:sz w:val="17"/>
              </w:rPr>
              <w:t>Statements</w:t>
            </w:r>
          </w:p>
        </w:tc>
        <w:tc>
          <w:tcPr>
            <w:tcW w:type="dxa" w:w="3402"/>
            <w:vAlign w:val="top"/>
            <w:shd w:val="clear" w:color="auto" w:fill="FDF0F7"/>
          </w:tcPr>
          <w:p>
            <w:pPr>
              <w:spacing w:after="20" w:line="252" w:lineRule="auto"/>
              <w:jc w:val="center"/>
            </w:pPr>
            <w:r>
              <w:rPr>
                <w:b w:val="0"/>
                <w:i w:val="0"/>
                <w:sz w:val="17"/>
              </w:rPr>
              <w:t>15.29%</w:t>
            </w:r>
          </w:p>
        </w:tc>
        <w:tc>
          <w:tcPr>
            <w:tcW w:type="dxa" w:w="3402"/>
            <w:vAlign w:val="top"/>
            <w:shd w:val="clear" w:color="auto" w:fill="FDF0F7"/>
          </w:tcPr>
          <w:p>
            <w:pPr>
              <w:spacing w:after="20" w:line="252" w:lineRule="auto"/>
              <w:jc w:val="center"/>
            </w:pPr>
            <w:r>
              <w:rPr>
                <w:b w:val="0"/>
                <w:i w:val="0"/>
                <w:sz w:val="17"/>
              </w:rPr>
              <w:t>68.27%</w:t>
            </w:r>
          </w:p>
        </w:tc>
      </w:tr>
      <w:tr>
        <w:trPr>
          <w:cantSplit/>
        </w:trPr>
        <w:tc>
          <w:tcPr>
            <w:tcW w:type="dxa" w:w="2835"/>
            <w:vAlign w:val="top"/>
          </w:tcPr>
          <w:p>
            <w:pPr>
              <w:spacing w:after="20" w:line="252" w:lineRule="auto"/>
            </w:pPr>
            <w:r>
              <w:rPr>
                <w:b w:val="0"/>
                <w:i w:val="0"/>
                <w:sz w:val="17"/>
              </w:rPr>
              <w:t>Functions</w:t>
            </w:r>
          </w:p>
        </w:tc>
        <w:tc>
          <w:tcPr>
            <w:tcW w:type="dxa" w:w="3402"/>
            <w:vAlign w:val="top"/>
          </w:tcPr>
          <w:p>
            <w:pPr>
              <w:spacing w:after="20" w:line="252" w:lineRule="auto"/>
              <w:jc w:val="center"/>
            </w:pPr>
            <w:r>
              <w:rPr>
                <w:b w:val="0"/>
                <w:i w:val="0"/>
                <w:sz w:val="17"/>
              </w:rPr>
              <w:t>11.25%</w:t>
            </w:r>
          </w:p>
        </w:tc>
        <w:tc>
          <w:tcPr>
            <w:tcW w:type="dxa" w:w="3402"/>
            <w:vAlign w:val="top"/>
          </w:tcPr>
          <w:p>
            <w:pPr>
              <w:spacing w:after="20" w:line="252" w:lineRule="auto"/>
              <w:jc w:val="center"/>
            </w:pPr>
            <w:r>
              <w:rPr>
                <w:b w:val="0"/>
                <w:i w:val="0"/>
                <w:sz w:val="17"/>
              </w:rPr>
              <w:t>70.52%</w:t>
            </w:r>
          </w:p>
        </w:tc>
      </w:tr>
      <w:tr>
        <w:trPr>
          <w:cantSplit/>
        </w:trPr>
        <w:tc>
          <w:tcPr>
            <w:tcW w:type="dxa" w:w="2835"/>
            <w:vAlign w:val="top"/>
            <w:shd w:val="clear" w:color="auto" w:fill="FDF0F7"/>
          </w:tcPr>
          <w:p>
            <w:pPr>
              <w:spacing w:after="20" w:line="252" w:lineRule="auto"/>
            </w:pPr>
            <w:r>
              <w:rPr>
                <w:b w:val="0"/>
                <w:i w:val="0"/>
                <w:sz w:val="17"/>
              </w:rPr>
              <w:t>Branches</w:t>
            </w:r>
          </w:p>
        </w:tc>
        <w:tc>
          <w:tcPr>
            <w:tcW w:type="dxa" w:w="3402"/>
            <w:vAlign w:val="top"/>
            <w:shd w:val="clear" w:color="auto" w:fill="FDF0F7"/>
          </w:tcPr>
          <w:p>
            <w:pPr>
              <w:spacing w:after="20" w:line="252" w:lineRule="auto"/>
              <w:jc w:val="center"/>
            </w:pPr>
            <w:r>
              <w:rPr>
                <w:b w:val="0"/>
                <w:i w:val="0"/>
                <w:sz w:val="17"/>
              </w:rPr>
              <w:t>18.68%</w:t>
            </w:r>
          </w:p>
        </w:tc>
        <w:tc>
          <w:tcPr>
            <w:tcW w:type="dxa" w:w="3402"/>
            <w:vAlign w:val="top"/>
            <w:shd w:val="clear" w:color="auto" w:fill="FDF0F7"/>
          </w:tcPr>
          <w:p>
            <w:pPr>
              <w:spacing w:after="20" w:line="252" w:lineRule="auto"/>
              <w:jc w:val="center"/>
            </w:pPr>
            <w:r>
              <w:rPr>
                <w:b w:val="0"/>
                <w:i w:val="0"/>
                <w:sz w:val="17"/>
              </w:rPr>
              <w:t>53.8%</w:t>
            </w:r>
          </w:p>
        </w:tc>
      </w:tr>
    </w:tbl>
    <w:p>
      <w:pPr>
        <w:pStyle w:val="Caption"/>
        <w:jc w:val="center"/>
      </w:pPr>
      <w:r>
        <w:rPr>
          <w:b w:val="0"/>
          <w:i w:val="0"/>
        </w:rPr>
        <w:t>Table 8: Overall coverage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3402"/>
        <w:gridCol w:w="1474"/>
        <w:gridCol w:w="2381"/>
        <w:gridCol w:w="2381"/>
      </w:tblGrid>
      <w:tr>
        <w:trPr>
          <w:cantSplit/>
          <w:tblHeader/>
        </w:trPr>
        <w:tc>
          <w:tcPr>
            <w:tcW w:type="dxa" w:w="3402"/>
            <w:shd w:val="clear" w:color="auto" w:fill="E1058C"/>
            <w:vAlign w:val="center"/>
          </w:tcPr>
          <w:p>
            <w:pPr>
              <w:spacing w:after="0"/>
            </w:pPr>
            <w:r>
              <w:rPr>
                <w:b/>
                <w:i w:val="0"/>
                <w:color w:val="FFFFFF"/>
                <w:sz w:val="15"/>
              </w:rPr>
              <w:t>Module or area</w:t>
            </w:r>
          </w:p>
        </w:tc>
        <w:tc>
          <w:tcPr>
            <w:tcW w:type="dxa" w:w="1474"/>
            <w:shd w:val="clear" w:color="auto" w:fill="E1058C"/>
            <w:vAlign w:val="center"/>
          </w:tcPr>
          <w:p>
            <w:pPr>
              <w:spacing w:after="0"/>
            </w:pPr>
            <w:r>
              <w:rPr>
                <w:b/>
                <w:i w:val="0"/>
                <w:color w:val="FFFFFF"/>
                <w:sz w:val="15"/>
              </w:rPr>
              <w:t>Lines</w:t>
            </w:r>
          </w:p>
        </w:tc>
        <w:tc>
          <w:tcPr>
            <w:tcW w:type="dxa" w:w="2381"/>
            <w:shd w:val="clear" w:color="auto" w:fill="E1058C"/>
            <w:vAlign w:val="center"/>
          </w:tcPr>
          <w:p>
            <w:pPr>
              <w:spacing w:after="0"/>
            </w:pPr>
            <w:r>
              <w:rPr>
                <w:b/>
                <w:i w:val="0"/>
                <w:color w:val="FFFFFF"/>
                <w:sz w:val="15"/>
              </w:rPr>
              <w:t>Unit</w:t>
            </w:r>
          </w:p>
        </w:tc>
        <w:tc>
          <w:tcPr>
            <w:tcW w:type="dxa" w:w="2381"/>
            <w:shd w:val="clear" w:color="auto" w:fill="E1058C"/>
            <w:vAlign w:val="center"/>
          </w:tcPr>
          <w:p>
            <w:pPr>
              <w:spacing w:after="0"/>
            </w:pPr>
            <w:r>
              <w:rPr>
                <w:b/>
                <w:i w:val="0"/>
                <w:color w:val="FFFFFF"/>
                <w:sz w:val="15"/>
              </w:rPr>
              <w:t>End-to-end</w:t>
            </w:r>
          </w:p>
        </w:tc>
      </w:tr>
      <w:tr>
        <w:trPr>
          <w:cantSplit/>
        </w:trPr>
        <w:tc>
          <w:tcPr>
            <w:tcW w:type="dxa" w:w="3402"/>
            <w:vAlign w:val="top"/>
          </w:tcPr>
          <w:p>
            <w:pPr>
              <w:spacing w:after="20" w:line="252" w:lineRule="auto"/>
            </w:pPr>
            <w:r>
              <w:rPr>
                <w:b w:val="0"/>
                <w:i w:val="0"/>
                <w:sz w:val="15"/>
              </w:rPr>
              <w:t>access</w:t>
            </w:r>
          </w:p>
        </w:tc>
        <w:tc>
          <w:tcPr>
            <w:tcW w:type="dxa" w:w="1474"/>
            <w:vAlign w:val="top"/>
          </w:tcPr>
          <w:p>
            <w:pPr>
              <w:spacing w:after="20" w:line="252" w:lineRule="auto"/>
              <w:jc w:val="center"/>
            </w:pPr>
            <w:r>
              <w:rPr>
                <w:b w:val="0"/>
                <w:i w:val="0"/>
                <w:sz w:val="15"/>
              </w:rPr>
              <w:t>139</w:t>
            </w:r>
          </w:p>
        </w:tc>
        <w:tc>
          <w:tcPr>
            <w:tcW w:type="dxa" w:w="2381"/>
            <w:vAlign w:val="top"/>
          </w:tcPr>
          <w:p>
            <w:pPr>
              <w:spacing w:after="20" w:line="252" w:lineRule="auto"/>
              <w:jc w:val="center"/>
            </w:pPr>
            <w:r>
              <w:rPr>
                <w:b w:val="0"/>
                <w:i w:val="0"/>
                <w:sz w:val="15"/>
              </w:rPr>
              <w:t>0.0%</w:t>
            </w:r>
          </w:p>
        </w:tc>
        <w:tc>
          <w:tcPr>
            <w:tcW w:type="dxa" w:w="2381"/>
            <w:vAlign w:val="top"/>
          </w:tcPr>
          <w:p>
            <w:pPr>
              <w:spacing w:after="20" w:line="252" w:lineRule="auto"/>
              <w:jc w:val="center"/>
            </w:pPr>
            <w:r>
              <w:rPr>
                <w:b w:val="0"/>
                <w:i w:val="0"/>
                <w:sz w:val="15"/>
              </w:rPr>
              <w:t>58.3%</w:t>
            </w:r>
          </w:p>
        </w:tc>
      </w:tr>
      <w:tr>
        <w:trPr>
          <w:cantSplit/>
        </w:trPr>
        <w:tc>
          <w:tcPr>
            <w:tcW w:type="dxa" w:w="3402"/>
            <w:vAlign w:val="top"/>
            <w:shd w:val="clear" w:color="auto" w:fill="FDF0F7"/>
          </w:tcPr>
          <w:p>
            <w:pPr>
              <w:spacing w:after="20" w:line="252" w:lineRule="auto"/>
            </w:pPr>
            <w:r>
              <w:rPr>
                <w:b w:val="0"/>
                <w:i w:val="0"/>
                <w:sz w:val="15"/>
              </w:rPr>
              <w:t>agency</w:t>
            </w:r>
          </w:p>
        </w:tc>
        <w:tc>
          <w:tcPr>
            <w:tcW w:type="dxa" w:w="1474"/>
            <w:vAlign w:val="top"/>
            <w:shd w:val="clear" w:color="auto" w:fill="FDF0F7"/>
          </w:tcPr>
          <w:p>
            <w:pPr>
              <w:spacing w:after="20" w:line="252" w:lineRule="auto"/>
              <w:jc w:val="center"/>
            </w:pPr>
            <w:r>
              <w:rPr>
                <w:b w:val="0"/>
                <w:i w:val="0"/>
                <w:sz w:val="15"/>
              </w:rPr>
              <w:t>230</w:t>
            </w:r>
          </w:p>
        </w:tc>
        <w:tc>
          <w:tcPr>
            <w:tcW w:type="dxa" w:w="2381"/>
            <w:vAlign w:val="top"/>
            <w:shd w:val="clear" w:color="auto" w:fill="FDF0F7"/>
          </w:tcPr>
          <w:p>
            <w:pPr>
              <w:spacing w:after="20" w:line="252" w:lineRule="auto"/>
              <w:jc w:val="center"/>
            </w:pPr>
            <w:r>
              <w:rPr>
                <w:b w:val="0"/>
                <w:i w:val="0"/>
                <w:sz w:val="15"/>
              </w:rPr>
              <w:t>0.0%</w:t>
            </w:r>
          </w:p>
        </w:tc>
        <w:tc>
          <w:tcPr>
            <w:tcW w:type="dxa" w:w="2381"/>
            <w:vAlign w:val="top"/>
            <w:shd w:val="clear" w:color="auto" w:fill="FDF0F7"/>
          </w:tcPr>
          <w:p>
            <w:pPr>
              <w:spacing w:after="20" w:line="252" w:lineRule="auto"/>
              <w:jc w:val="center"/>
            </w:pPr>
            <w:r>
              <w:rPr>
                <w:b w:val="0"/>
                <w:i w:val="0"/>
                <w:sz w:val="15"/>
              </w:rPr>
              <w:t>38.3%</w:t>
            </w:r>
          </w:p>
        </w:tc>
      </w:tr>
      <w:tr>
        <w:trPr>
          <w:cantSplit/>
        </w:trPr>
        <w:tc>
          <w:tcPr>
            <w:tcW w:type="dxa" w:w="3402"/>
            <w:vAlign w:val="top"/>
          </w:tcPr>
          <w:p>
            <w:pPr>
              <w:spacing w:after="20" w:line="252" w:lineRule="auto"/>
            </w:pPr>
            <w:r>
              <w:rPr>
                <w:b w:val="0"/>
                <w:i w:val="0"/>
                <w:sz w:val="15"/>
              </w:rPr>
              <w:t>aml</w:t>
            </w:r>
          </w:p>
        </w:tc>
        <w:tc>
          <w:tcPr>
            <w:tcW w:type="dxa" w:w="1474"/>
            <w:vAlign w:val="top"/>
          </w:tcPr>
          <w:p>
            <w:pPr>
              <w:spacing w:after="20" w:line="252" w:lineRule="auto"/>
              <w:jc w:val="center"/>
            </w:pPr>
            <w:r>
              <w:rPr>
                <w:b w:val="0"/>
                <w:i w:val="0"/>
                <w:sz w:val="15"/>
              </w:rPr>
              <w:t>197</w:t>
            </w:r>
          </w:p>
        </w:tc>
        <w:tc>
          <w:tcPr>
            <w:tcW w:type="dxa" w:w="2381"/>
            <w:vAlign w:val="top"/>
          </w:tcPr>
          <w:p>
            <w:pPr>
              <w:spacing w:after="20" w:line="252" w:lineRule="auto"/>
              <w:jc w:val="center"/>
            </w:pPr>
            <w:r>
              <w:rPr>
                <w:b w:val="0"/>
                <w:i w:val="0"/>
                <w:sz w:val="15"/>
              </w:rPr>
              <w:t>36.5%</w:t>
            </w:r>
          </w:p>
        </w:tc>
        <w:tc>
          <w:tcPr>
            <w:tcW w:type="dxa" w:w="2381"/>
            <w:vAlign w:val="top"/>
          </w:tcPr>
          <w:p>
            <w:pPr>
              <w:spacing w:after="20" w:line="252" w:lineRule="auto"/>
              <w:jc w:val="center"/>
            </w:pPr>
            <w:r>
              <w:rPr>
                <w:b w:val="0"/>
                <w:i w:val="0"/>
                <w:sz w:val="15"/>
              </w:rPr>
              <w:t>77.2%</w:t>
            </w:r>
          </w:p>
        </w:tc>
      </w:tr>
      <w:tr>
        <w:trPr>
          <w:cantSplit/>
        </w:trPr>
        <w:tc>
          <w:tcPr>
            <w:tcW w:type="dxa" w:w="3402"/>
            <w:vAlign w:val="top"/>
            <w:shd w:val="clear" w:color="auto" w:fill="FDF0F7"/>
          </w:tcPr>
          <w:p>
            <w:pPr>
              <w:spacing w:after="20" w:line="252" w:lineRule="auto"/>
            </w:pPr>
            <w:r>
              <w:rPr>
                <w:b w:val="0"/>
                <w:i w:val="0"/>
                <w:sz w:val="15"/>
              </w:rPr>
              <w:t>app.module.ts</w:t>
            </w:r>
          </w:p>
        </w:tc>
        <w:tc>
          <w:tcPr>
            <w:tcW w:type="dxa" w:w="1474"/>
            <w:vAlign w:val="top"/>
            <w:shd w:val="clear" w:color="auto" w:fill="FDF0F7"/>
          </w:tcPr>
          <w:p>
            <w:pPr>
              <w:spacing w:after="20" w:line="252" w:lineRule="auto"/>
              <w:jc w:val="center"/>
            </w:pPr>
            <w:r>
              <w:rPr>
                <w:b w:val="0"/>
                <w:i w:val="0"/>
                <w:sz w:val="15"/>
              </w:rPr>
              <w:t>3</w:t>
            </w:r>
          </w:p>
        </w:tc>
        <w:tc>
          <w:tcPr>
            <w:tcW w:type="dxa" w:w="2381"/>
            <w:vAlign w:val="top"/>
            <w:shd w:val="clear" w:color="auto" w:fill="FDF0F7"/>
          </w:tcPr>
          <w:p>
            <w:pPr>
              <w:spacing w:after="20" w:line="252" w:lineRule="auto"/>
              <w:jc w:val="center"/>
            </w:pPr>
            <w:r>
              <w:rPr>
                <w:b w:val="0"/>
                <w:i w:val="0"/>
                <w:sz w:val="15"/>
              </w:rPr>
              <w:t>0.0%</w:t>
            </w:r>
          </w:p>
        </w:tc>
        <w:tc>
          <w:tcPr>
            <w:tcW w:type="dxa" w:w="2381"/>
            <w:vAlign w:val="top"/>
            <w:shd w:val="clear" w:color="auto" w:fill="FDF0F7"/>
          </w:tcPr>
          <w:p>
            <w:pPr>
              <w:spacing w:after="20" w:line="252" w:lineRule="auto"/>
              <w:jc w:val="center"/>
            </w:pPr>
            <w:r>
              <w:rPr>
                <w:b w:val="0"/>
                <w:i w:val="0"/>
                <w:sz w:val="15"/>
              </w:rPr>
              <w:t>66.7%</w:t>
            </w:r>
          </w:p>
        </w:tc>
      </w:tr>
      <w:tr>
        <w:trPr>
          <w:cantSplit/>
        </w:trPr>
        <w:tc>
          <w:tcPr>
            <w:tcW w:type="dxa" w:w="3402"/>
            <w:vAlign w:val="top"/>
          </w:tcPr>
          <w:p>
            <w:pPr>
              <w:spacing w:after="20" w:line="252" w:lineRule="auto"/>
            </w:pPr>
            <w:r>
              <w:rPr>
                <w:b w:val="0"/>
                <w:i w:val="0"/>
                <w:sz w:val="15"/>
              </w:rPr>
              <w:t>app.setup.ts</w:t>
            </w:r>
          </w:p>
        </w:tc>
        <w:tc>
          <w:tcPr>
            <w:tcW w:type="dxa" w:w="1474"/>
            <w:vAlign w:val="top"/>
          </w:tcPr>
          <w:p>
            <w:pPr>
              <w:spacing w:after="20" w:line="252" w:lineRule="auto"/>
              <w:jc w:val="center"/>
            </w:pPr>
            <w:r>
              <w:rPr>
                <w:b w:val="0"/>
                <w:i w:val="0"/>
                <w:sz w:val="15"/>
              </w:rPr>
              <w:t>18</w:t>
            </w:r>
          </w:p>
        </w:tc>
        <w:tc>
          <w:tcPr>
            <w:tcW w:type="dxa" w:w="2381"/>
            <w:vAlign w:val="top"/>
          </w:tcPr>
          <w:p>
            <w:pPr>
              <w:spacing w:after="20" w:line="252" w:lineRule="auto"/>
              <w:jc w:val="center"/>
            </w:pPr>
            <w:r>
              <w:rPr>
                <w:b w:val="0"/>
                <w:i w:val="0"/>
                <w:sz w:val="15"/>
              </w:rPr>
              <w:t>0.0%</w:t>
            </w:r>
          </w:p>
        </w:tc>
        <w:tc>
          <w:tcPr>
            <w:tcW w:type="dxa" w:w="2381"/>
            <w:vAlign w:val="top"/>
          </w:tcPr>
          <w:p>
            <w:pPr>
              <w:spacing w:after="20" w:line="252" w:lineRule="auto"/>
              <w:jc w:val="center"/>
            </w:pPr>
            <w:r>
              <w:rPr>
                <w:b w:val="0"/>
                <w:i w:val="0"/>
                <w:sz w:val="15"/>
              </w:rPr>
              <w:t>94.4%</w:t>
            </w:r>
          </w:p>
        </w:tc>
      </w:tr>
      <w:tr>
        <w:trPr>
          <w:cantSplit/>
        </w:trPr>
        <w:tc>
          <w:tcPr>
            <w:tcW w:type="dxa" w:w="3402"/>
            <w:vAlign w:val="top"/>
            <w:shd w:val="clear" w:color="auto" w:fill="FDF0F7"/>
          </w:tcPr>
          <w:p>
            <w:pPr>
              <w:spacing w:after="20" w:line="252" w:lineRule="auto"/>
            </w:pPr>
            <w:r>
              <w:rPr>
                <w:b w:val="0"/>
                <w:i w:val="0"/>
                <w:sz w:val="15"/>
              </w:rPr>
              <w:t>audit</w:t>
            </w:r>
          </w:p>
        </w:tc>
        <w:tc>
          <w:tcPr>
            <w:tcW w:type="dxa" w:w="1474"/>
            <w:vAlign w:val="top"/>
            <w:shd w:val="clear" w:color="auto" w:fill="FDF0F7"/>
          </w:tcPr>
          <w:p>
            <w:pPr>
              <w:spacing w:after="20" w:line="252" w:lineRule="auto"/>
              <w:jc w:val="center"/>
            </w:pPr>
            <w:r>
              <w:rPr>
                <w:b w:val="0"/>
                <w:i w:val="0"/>
                <w:sz w:val="15"/>
              </w:rPr>
              <w:t>21</w:t>
            </w:r>
          </w:p>
        </w:tc>
        <w:tc>
          <w:tcPr>
            <w:tcW w:type="dxa" w:w="2381"/>
            <w:vAlign w:val="top"/>
            <w:shd w:val="clear" w:color="auto" w:fill="FDF0F7"/>
          </w:tcPr>
          <w:p>
            <w:pPr>
              <w:spacing w:after="20" w:line="252" w:lineRule="auto"/>
              <w:jc w:val="center"/>
            </w:pPr>
            <w:r>
              <w:rPr>
                <w:b w:val="0"/>
                <w:i w:val="0"/>
                <w:sz w:val="15"/>
              </w:rPr>
              <w:t>4.8%</w:t>
            </w:r>
          </w:p>
        </w:tc>
        <w:tc>
          <w:tcPr>
            <w:tcW w:type="dxa" w:w="2381"/>
            <w:vAlign w:val="top"/>
            <w:shd w:val="clear" w:color="auto" w:fill="FDF0F7"/>
          </w:tcPr>
          <w:p>
            <w:pPr>
              <w:spacing w:after="20" w:line="252" w:lineRule="auto"/>
              <w:jc w:val="center"/>
            </w:pPr>
            <w:r>
              <w:rPr>
                <w:b w:val="0"/>
                <w:i w:val="0"/>
                <w:sz w:val="15"/>
              </w:rPr>
              <w:t>90.5%</w:t>
            </w:r>
          </w:p>
        </w:tc>
      </w:tr>
      <w:tr>
        <w:trPr>
          <w:cantSplit/>
        </w:trPr>
        <w:tc>
          <w:tcPr>
            <w:tcW w:type="dxa" w:w="3402"/>
            <w:vAlign w:val="top"/>
          </w:tcPr>
          <w:p>
            <w:pPr>
              <w:spacing w:after="20" w:line="252" w:lineRule="auto"/>
            </w:pPr>
            <w:r>
              <w:rPr>
                <w:b w:val="0"/>
                <w:i w:val="0"/>
                <w:sz w:val="15"/>
              </w:rPr>
              <w:t>auth</w:t>
            </w:r>
          </w:p>
        </w:tc>
        <w:tc>
          <w:tcPr>
            <w:tcW w:type="dxa" w:w="1474"/>
            <w:vAlign w:val="top"/>
          </w:tcPr>
          <w:p>
            <w:pPr>
              <w:spacing w:after="20" w:line="252" w:lineRule="auto"/>
              <w:jc w:val="center"/>
            </w:pPr>
            <w:r>
              <w:rPr>
                <w:b w:val="0"/>
                <w:i w:val="0"/>
                <w:sz w:val="15"/>
              </w:rPr>
              <w:t>212</w:t>
            </w:r>
          </w:p>
        </w:tc>
        <w:tc>
          <w:tcPr>
            <w:tcW w:type="dxa" w:w="2381"/>
            <w:vAlign w:val="top"/>
          </w:tcPr>
          <w:p>
            <w:pPr>
              <w:spacing w:after="20" w:line="252" w:lineRule="auto"/>
              <w:jc w:val="center"/>
            </w:pPr>
            <w:r>
              <w:rPr>
                <w:b w:val="0"/>
                <w:i w:val="0"/>
                <w:sz w:val="15"/>
              </w:rPr>
              <w:t>14.6%</w:t>
            </w:r>
          </w:p>
        </w:tc>
        <w:tc>
          <w:tcPr>
            <w:tcW w:type="dxa" w:w="2381"/>
            <w:vAlign w:val="top"/>
          </w:tcPr>
          <w:p>
            <w:pPr>
              <w:spacing w:after="20" w:line="252" w:lineRule="auto"/>
              <w:jc w:val="center"/>
            </w:pPr>
            <w:r>
              <w:rPr>
                <w:b w:val="0"/>
                <w:i w:val="0"/>
                <w:sz w:val="15"/>
              </w:rPr>
              <w:t>83.0%</w:t>
            </w:r>
          </w:p>
        </w:tc>
      </w:tr>
      <w:tr>
        <w:trPr>
          <w:cantSplit/>
        </w:trPr>
        <w:tc>
          <w:tcPr>
            <w:tcW w:type="dxa" w:w="3402"/>
            <w:vAlign w:val="top"/>
            <w:shd w:val="clear" w:color="auto" w:fill="FDF0F7"/>
          </w:tcPr>
          <w:p>
            <w:pPr>
              <w:spacing w:after="20" w:line="252" w:lineRule="auto"/>
            </w:pPr>
            <w:r>
              <w:rPr>
                <w:b w:val="0"/>
                <w:i w:val="0"/>
                <w:sz w:val="15"/>
              </w:rPr>
              <w:t>billing</w:t>
            </w:r>
          </w:p>
        </w:tc>
        <w:tc>
          <w:tcPr>
            <w:tcW w:type="dxa" w:w="1474"/>
            <w:vAlign w:val="top"/>
            <w:shd w:val="clear" w:color="auto" w:fill="FDF0F7"/>
          </w:tcPr>
          <w:p>
            <w:pPr>
              <w:spacing w:after="20" w:line="252" w:lineRule="auto"/>
              <w:jc w:val="center"/>
            </w:pPr>
            <w:r>
              <w:rPr>
                <w:b w:val="0"/>
                <w:i w:val="0"/>
                <w:sz w:val="15"/>
              </w:rPr>
              <w:t>144</w:t>
            </w:r>
          </w:p>
        </w:tc>
        <w:tc>
          <w:tcPr>
            <w:tcW w:type="dxa" w:w="2381"/>
            <w:vAlign w:val="top"/>
            <w:shd w:val="clear" w:color="auto" w:fill="FDF0F7"/>
          </w:tcPr>
          <w:p>
            <w:pPr>
              <w:spacing w:after="20" w:line="252" w:lineRule="auto"/>
              <w:jc w:val="center"/>
            </w:pPr>
            <w:r>
              <w:rPr>
                <w:b w:val="0"/>
                <w:i w:val="0"/>
                <w:sz w:val="15"/>
              </w:rPr>
              <w:t>0.0%</w:t>
            </w:r>
          </w:p>
        </w:tc>
        <w:tc>
          <w:tcPr>
            <w:tcW w:type="dxa" w:w="2381"/>
            <w:vAlign w:val="top"/>
            <w:shd w:val="clear" w:color="auto" w:fill="FDF0F7"/>
          </w:tcPr>
          <w:p>
            <w:pPr>
              <w:spacing w:after="20" w:line="252" w:lineRule="auto"/>
              <w:jc w:val="center"/>
            </w:pPr>
            <w:r>
              <w:rPr>
                <w:b w:val="0"/>
                <w:i w:val="0"/>
                <w:sz w:val="15"/>
              </w:rPr>
              <w:t>53.5%</w:t>
            </w:r>
          </w:p>
        </w:tc>
      </w:tr>
      <w:tr>
        <w:trPr>
          <w:cantSplit/>
        </w:trPr>
        <w:tc>
          <w:tcPr>
            <w:tcW w:type="dxa" w:w="3402"/>
            <w:vAlign w:val="top"/>
          </w:tcPr>
          <w:p>
            <w:pPr>
              <w:spacing w:after="20" w:line="252" w:lineRule="auto"/>
            </w:pPr>
            <w:r>
              <w:rPr>
                <w:b w:val="0"/>
                <w:i w:val="0"/>
                <w:sz w:val="15"/>
              </w:rPr>
              <w:t>claims</w:t>
            </w:r>
          </w:p>
        </w:tc>
        <w:tc>
          <w:tcPr>
            <w:tcW w:type="dxa" w:w="1474"/>
            <w:vAlign w:val="top"/>
          </w:tcPr>
          <w:p>
            <w:pPr>
              <w:spacing w:after="20" w:line="252" w:lineRule="auto"/>
              <w:jc w:val="center"/>
            </w:pPr>
            <w:r>
              <w:rPr>
                <w:b w:val="0"/>
                <w:i w:val="0"/>
                <w:sz w:val="15"/>
              </w:rPr>
              <w:t>71</w:t>
            </w:r>
          </w:p>
        </w:tc>
        <w:tc>
          <w:tcPr>
            <w:tcW w:type="dxa" w:w="2381"/>
            <w:vAlign w:val="top"/>
          </w:tcPr>
          <w:p>
            <w:pPr>
              <w:spacing w:after="20" w:line="252" w:lineRule="auto"/>
              <w:jc w:val="center"/>
            </w:pPr>
            <w:r>
              <w:rPr>
                <w:b w:val="0"/>
                <w:i w:val="0"/>
                <w:sz w:val="15"/>
              </w:rPr>
              <w:t>0.0%</w:t>
            </w:r>
          </w:p>
        </w:tc>
        <w:tc>
          <w:tcPr>
            <w:tcW w:type="dxa" w:w="2381"/>
            <w:vAlign w:val="top"/>
          </w:tcPr>
          <w:p>
            <w:pPr>
              <w:spacing w:after="20" w:line="252" w:lineRule="auto"/>
              <w:jc w:val="center"/>
            </w:pPr>
            <w:r>
              <w:rPr>
                <w:b w:val="0"/>
                <w:i w:val="0"/>
                <w:sz w:val="15"/>
              </w:rPr>
              <w:t>73.2%</w:t>
            </w:r>
          </w:p>
        </w:tc>
      </w:tr>
      <w:tr>
        <w:trPr>
          <w:cantSplit/>
        </w:trPr>
        <w:tc>
          <w:tcPr>
            <w:tcW w:type="dxa" w:w="3402"/>
            <w:vAlign w:val="top"/>
            <w:shd w:val="clear" w:color="auto" w:fill="FDF0F7"/>
          </w:tcPr>
          <w:p>
            <w:pPr>
              <w:spacing w:after="20" w:line="252" w:lineRule="auto"/>
            </w:pPr>
            <w:r>
              <w:rPr>
                <w:b w:val="0"/>
                <w:i w:val="0"/>
                <w:sz w:val="15"/>
              </w:rPr>
              <w:t>common</w:t>
            </w:r>
          </w:p>
        </w:tc>
        <w:tc>
          <w:tcPr>
            <w:tcW w:type="dxa" w:w="1474"/>
            <w:vAlign w:val="top"/>
            <w:shd w:val="clear" w:color="auto" w:fill="FDF0F7"/>
          </w:tcPr>
          <w:p>
            <w:pPr>
              <w:spacing w:after="20" w:line="252" w:lineRule="auto"/>
              <w:jc w:val="center"/>
            </w:pPr>
            <w:r>
              <w:rPr>
                <w:b w:val="0"/>
                <w:i w:val="0"/>
                <w:sz w:val="15"/>
              </w:rPr>
              <w:t>172</w:t>
            </w:r>
          </w:p>
        </w:tc>
        <w:tc>
          <w:tcPr>
            <w:tcW w:type="dxa" w:w="2381"/>
            <w:vAlign w:val="top"/>
            <w:shd w:val="clear" w:color="auto" w:fill="FDF0F7"/>
          </w:tcPr>
          <w:p>
            <w:pPr>
              <w:spacing w:after="20" w:line="252" w:lineRule="auto"/>
              <w:jc w:val="center"/>
            </w:pPr>
            <w:r>
              <w:rPr>
                <w:b w:val="0"/>
                <w:i w:val="0"/>
                <w:sz w:val="15"/>
              </w:rPr>
              <w:t>32.6%</w:t>
            </w:r>
          </w:p>
        </w:tc>
        <w:tc>
          <w:tcPr>
            <w:tcW w:type="dxa" w:w="2381"/>
            <w:vAlign w:val="top"/>
            <w:shd w:val="clear" w:color="auto" w:fill="FDF0F7"/>
          </w:tcPr>
          <w:p>
            <w:pPr>
              <w:spacing w:after="20" w:line="252" w:lineRule="auto"/>
              <w:jc w:val="center"/>
            </w:pPr>
            <w:r>
              <w:rPr>
                <w:b w:val="0"/>
                <w:i w:val="0"/>
                <w:sz w:val="15"/>
              </w:rPr>
              <w:t>83.1%</w:t>
            </w:r>
          </w:p>
        </w:tc>
      </w:tr>
      <w:tr>
        <w:trPr>
          <w:cantSplit/>
        </w:trPr>
        <w:tc>
          <w:tcPr>
            <w:tcW w:type="dxa" w:w="3402"/>
            <w:vAlign w:val="top"/>
          </w:tcPr>
          <w:p>
            <w:pPr>
              <w:spacing w:after="20" w:line="252" w:lineRule="auto"/>
            </w:pPr>
            <w:r>
              <w:rPr>
                <w:b w:val="0"/>
                <w:i w:val="0"/>
                <w:sz w:val="15"/>
              </w:rPr>
              <w:t>config</w:t>
            </w:r>
          </w:p>
        </w:tc>
        <w:tc>
          <w:tcPr>
            <w:tcW w:type="dxa" w:w="1474"/>
            <w:vAlign w:val="top"/>
          </w:tcPr>
          <w:p>
            <w:pPr>
              <w:spacing w:after="20" w:line="252" w:lineRule="auto"/>
              <w:jc w:val="center"/>
            </w:pPr>
            <w:r>
              <w:rPr>
                <w:b w:val="0"/>
                <w:i w:val="0"/>
                <w:sz w:val="15"/>
              </w:rPr>
              <w:t>81</w:t>
            </w:r>
          </w:p>
        </w:tc>
        <w:tc>
          <w:tcPr>
            <w:tcW w:type="dxa" w:w="2381"/>
            <w:vAlign w:val="top"/>
          </w:tcPr>
          <w:p>
            <w:pPr>
              <w:spacing w:after="20" w:line="252" w:lineRule="auto"/>
              <w:jc w:val="center"/>
            </w:pPr>
            <w:r>
              <w:rPr>
                <w:b w:val="0"/>
                <w:i w:val="0"/>
                <w:sz w:val="15"/>
              </w:rPr>
              <w:t>86.4%</w:t>
            </w:r>
          </w:p>
        </w:tc>
        <w:tc>
          <w:tcPr>
            <w:tcW w:type="dxa" w:w="2381"/>
            <w:vAlign w:val="top"/>
          </w:tcPr>
          <w:p>
            <w:pPr>
              <w:spacing w:after="20" w:line="252" w:lineRule="auto"/>
              <w:jc w:val="center"/>
            </w:pPr>
            <w:r>
              <w:rPr>
                <w:b w:val="0"/>
                <w:i w:val="0"/>
                <w:sz w:val="15"/>
              </w:rPr>
              <w:t>66.7%</w:t>
            </w:r>
          </w:p>
        </w:tc>
      </w:tr>
      <w:tr>
        <w:trPr>
          <w:cantSplit/>
        </w:trPr>
        <w:tc>
          <w:tcPr>
            <w:tcW w:type="dxa" w:w="3402"/>
            <w:vAlign w:val="top"/>
            <w:shd w:val="clear" w:color="auto" w:fill="FDF0F7"/>
          </w:tcPr>
          <w:p>
            <w:pPr>
              <w:spacing w:after="20" w:line="252" w:lineRule="auto"/>
            </w:pPr>
            <w:r>
              <w:rPr>
                <w:b w:val="0"/>
                <w:i w:val="0"/>
                <w:sz w:val="15"/>
              </w:rPr>
              <w:t>dashboard</w:t>
            </w:r>
          </w:p>
        </w:tc>
        <w:tc>
          <w:tcPr>
            <w:tcW w:type="dxa" w:w="1474"/>
            <w:vAlign w:val="top"/>
            <w:shd w:val="clear" w:color="auto" w:fill="FDF0F7"/>
          </w:tcPr>
          <w:p>
            <w:pPr>
              <w:spacing w:after="20" w:line="252" w:lineRule="auto"/>
              <w:jc w:val="center"/>
            </w:pPr>
            <w:r>
              <w:rPr>
                <w:b w:val="0"/>
                <w:i w:val="0"/>
                <w:sz w:val="15"/>
              </w:rPr>
              <w:t>45</w:t>
            </w:r>
          </w:p>
        </w:tc>
        <w:tc>
          <w:tcPr>
            <w:tcW w:type="dxa" w:w="2381"/>
            <w:vAlign w:val="top"/>
            <w:shd w:val="clear" w:color="auto" w:fill="FDF0F7"/>
          </w:tcPr>
          <w:p>
            <w:pPr>
              <w:spacing w:after="20" w:line="252" w:lineRule="auto"/>
              <w:jc w:val="center"/>
            </w:pPr>
            <w:r>
              <w:rPr>
                <w:b w:val="0"/>
                <w:i w:val="0"/>
                <w:sz w:val="15"/>
              </w:rPr>
              <w:t>0.0%</w:t>
            </w:r>
          </w:p>
        </w:tc>
        <w:tc>
          <w:tcPr>
            <w:tcW w:type="dxa" w:w="2381"/>
            <w:vAlign w:val="top"/>
            <w:shd w:val="clear" w:color="auto" w:fill="FDF0F7"/>
          </w:tcPr>
          <w:p>
            <w:pPr>
              <w:spacing w:after="20" w:line="252" w:lineRule="auto"/>
              <w:jc w:val="center"/>
            </w:pPr>
            <w:r>
              <w:rPr>
                <w:b w:val="0"/>
                <w:i w:val="0"/>
                <w:sz w:val="15"/>
              </w:rPr>
              <w:t>91.1%</w:t>
            </w:r>
          </w:p>
        </w:tc>
      </w:tr>
      <w:tr>
        <w:trPr>
          <w:cantSplit/>
        </w:trPr>
        <w:tc>
          <w:tcPr>
            <w:tcW w:type="dxa" w:w="3402"/>
            <w:vAlign w:val="top"/>
          </w:tcPr>
          <w:p>
            <w:pPr>
              <w:spacing w:after="20" w:line="252" w:lineRule="auto"/>
            </w:pPr>
            <w:r>
              <w:rPr>
                <w:b w:val="0"/>
                <w:i w:val="0"/>
                <w:sz w:val="15"/>
              </w:rPr>
              <w:t>documents</w:t>
            </w:r>
          </w:p>
        </w:tc>
        <w:tc>
          <w:tcPr>
            <w:tcW w:type="dxa" w:w="1474"/>
            <w:vAlign w:val="top"/>
          </w:tcPr>
          <w:p>
            <w:pPr>
              <w:spacing w:after="20" w:line="252" w:lineRule="auto"/>
              <w:jc w:val="center"/>
            </w:pPr>
            <w:r>
              <w:rPr>
                <w:b w:val="0"/>
                <w:i w:val="0"/>
                <w:sz w:val="15"/>
              </w:rPr>
              <w:t>223</w:t>
            </w:r>
          </w:p>
        </w:tc>
        <w:tc>
          <w:tcPr>
            <w:tcW w:type="dxa" w:w="2381"/>
            <w:vAlign w:val="top"/>
          </w:tcPr>
          <w:p>
            <w:pPr>
              <w:spacing w:after="20" w:line="252" w:lineRule="auto"/>
              <w:jc w:val="center"/>
            </w:pPr>
            <w:r>
              <w:rPr>
                <w:b w:val="0"/>
                <w:i w:val="0"/>
                <w:sz w:val="15"/>
              </w:rPr>
              <w:t>9.9%</w:t>
            </w:r>
          </w:p>
        </w:tc>
        <w:tc>
          <w:tcPr>
            <w:tcW w:type="dxa" w:w="2381"/>
            <w:vAlign w:val="top"/>
          </w:tcPr>
          <w:p>
            <w:pPr>
              <w:spacing w:after="20" w:line="252" w:lineRule="auto"/>
              <w:jc w:val="center"/>
            </w:pPr>
            <w:r>
              <w:rPr>
                <w:b w:val="0"/>
                <w:i w:val="0"/>
                <w:sz w:val="15"/>
              </w:rPr>
              <w:t>74.4%</w:t>
            </w:r>
          </w:p>
        </w:tc>
      </w:tr>
      <w:tr>
        <w:trPr>
          <w:cantSplit/>
        </w:trPr>
        <w:tc>
          <w:tcPr>
            <w:tcW w:type="dxa" w:w="3402"/>
            <w:vAlign w:val="top"/>
            <w:shd w:val="clear" w:color="auto" w:fill="FDF0F7"/>
          </w:tcPr>
          <w:p>
            <w:pPr>
              <w:spacing w:after="20" w:line="252" w:lineRule="auto"/>
            </w:pPr>
            <w:r>
              <w:rPr>
                <w:b w:val="0"/>
                <w:i w:val="0"/>
                <w:sz w:val="15"/>
              </w:rPr>
              <w:t>eod</w:t>
            </w:r>
          </w:p>
        </w:tc>
        <w:tc>
          <w:tcPr>
            <w:tcW w:type="dxa" w:w="1474"/>
            <w:vAlign w:val="top"/>
            <w:shd w:val="clear" w:color="auto" w:fill="FDF0F7"/>
          </w:tcPr>
          <w:p>
            <w:pPr>
              <w:spacing w:after="20" w:line="252" w:lineRule="auto"/>
              <w:jc w:val="center"/>
            </w:pPr>
            <w:r>
              <w:rPr>
                <w:b w:val="0"/>
                <w:i w:val="0"/>
                <w:sz w:val="15"/>
              </w:rPr>
              <w:t>80</w:t>
            </w:r>
          </w:p>
        </w:tc>
        <w:tc>
          <w:tcPr>
            <w:tcW w:type="dxa" w:w="2381"/>
            <w:vAlign w:val="top"/>
            <w:shd w:val="clear" w:color="auto" w:fill="FDF0F7"/>
          </w:tcPr>
          <w:p>
            <w:pPr>
              <w:spacing w:after="20" w:line="252" w:lineRule="auto"/>
              <w:jc w:val="center"/>
            </w:pPr>
            <w:r>
              <w:rPr>
                <w:b w:val="0"/>
                <w:i w:val="0"/>
                <w:sz w:val="15"/>
              </w:rPr>
              <w:t>0.0%</w:t>
            </w:r>
          </w:p>
        </w:tc>
        <w:tc>
          <w:tcPr>
            <w:tcW w:type="dxa" w:w="2381"/>
            <w:vAlign w:val="top"/>
            <w:shd w:val="clear" w:color="auto" w:fill="FDF0F7"/>
          </w:tcPr>
          <w:p>
            <w:pPr>
              <w:spacing w:after="20" w:line="252" w:lineRule="auto"/>
              <w:jc w:val="center"/>
            </w:pPr>
            <w:r>
              <w:rPr>
                <w:b w:val="0"/>
                <w:i w:val="0"/>
                <w:sz w:val="15"/>
              </w:rPr>
              <w:t>83.8%</w:t>
            </w:r>
          </w:p>
        </w:tc>
      </w:tr>
      <w:tr>
        <w:trPr>
          <w:cantSplit/>
        </w:trPr>
        <w:tc>
          <w:tcPr>
            <w:tcW w:type="dxa" w:w="3402"/>
            <w:vAlign w:val="top"/>
          </w:tcPr>
          <w:p>
            <w:pPr>
              <w:spacing w:after="20" w:line="252" w:lineRule="auto"/>
            </w:pPr>
            <w:r>
              <w:rPr>
                <w:b w:val="0"/>
                <w:i w:val="0"/>
                <w:sz w:val="15"/>
              </w:rPr>
              <w:t>esign</w:t>
            </w:r>
          </w:p>
        </w:tc>
        <w:tc>
          <w:tcPr>
            <w:tcW w:type="dxa" w:w="1474"/>
            <w:vAlign w:val="top"/>
          </w:tcPr>
          <w:p>
            <w:pPr>
              <w:spacing w:after="20" w:line="252" w:lineRule="auto"/>
              <w:jc w:val="center"/>
            </w:pPr>
            <w:r>
              <w:rPr>
                <w:b w:val="0"/>
                <w:i w:val="0"/>
                <w:sz w:val="15"/>
              </w:rPr>
              <w:t>78</w:t>
            </w:r>
          </w:p>
        </w:tc>
        <w:tc>
          <w:tcPr>
            <w:tcW w:type="dxa" w:w="2381"/>
            <w:vAlign w:val="top"/>
          </w:tcPr>
          <w:p>
            <w:pPr>
              <w:spacing w:after="20" w:line="252" w:lineRule="auto"/>
              <w:jc w:val="center"/>
            </w:pPr>
            <w:r>
              <w:rPr>
                <w:b w:val="0"/>
                <w:i w:val="0"/>
                <w:sz w:val="15"/>
              </w:rPr>
              <w:t>0.0%</w:t>
            </w:r>
          </w:p>
        </w:tc>
        <w:tc>
          <w:tcPr>
            <w:tcW w:type="dxa" w:w="2381"/>
            <w:vAlign w:val="top"/>
          </w:tcPr>
          <w:p>
            <w:pPr>
              <w:spacing w:after="20" w:line="252" w:lineRule="auto"/>
              <w:jc w:val="center"/>
            </w:pPr>
            <w:r>
              <w:rPr>
                <w:b w:val="0"/>
                <w:i w:val="0"/>
                <w:sz w:val="15"/>
              </w:rPr>
              <w:t>42.3%</w:t>
            </w:r>
          </w:p>
        </w:tc>
      </w:tr>
      <w:tr>
        <w:trPr>
          <w:cantSplit/>
        </w:trPr>
        <w:tc>
          <w:tcPr>
            <w:tcW w:type="dxa" w:w="3402"/>
            <w:vAlign w:val="top"/>
            <w:shd w:val="clear" w:color="auto" w:fill="FDF0F7"/>
          </w:tcPr>
          <w:p>
            <w:pPr>
              <w:spacing w:after="20" w:line="252" w:lineRule="auto"/>
            </w:pPr>
            <w:r>
              <w:rPr>
                <w:b w:val="0"/>
                <w:i w:val="0"/>
                <w:sz w:val="15"/>
              </w:rPr>
              <w:t>health</w:t>
            </w:r>
          </w:p>
        </w:tc>
        <w:tc>
          <w:tcPr>
            <w:tcW w:type="dxa" w:w="1474"/>
            <w:vAlign w:val="top"/>
            <w:shd w:val="clear" w:color="auto" w:fill="FDF0F7"/>
          </w:tcPr>
          <w:p>
            <w:pPr>
              <w:spacing w:after="20" w:line="252" w:lineRule="auto"/>
              <w:jc w:val="center"/>
            </w:pPr>
            <w:r>
              <w:rPr>
                <w:b w:val="0"/>
                <w:i w:val="0"/>
                <w:sz w:val="15"/>
              </w:rPr>
              <w:t>19</w:t>
            </w:r>
          </w:p>
        </w:tc>
        <w:tc>
          <w:tcPr>
            <w:tcW w:type="dxa" w:w="2381"/>
            <w:vAlign w:val="top"/>
            <w:shd w:val="clear" w:color="auto" w:fill="FDF0F7"/>
          </w:tcPr>
          <w:p>
            <w:pPr>
              <w:spacing w:after="20" w:line="252" w:lineRule="auto"/>
              <w:jc w:val="center"/>
            </w:pPr>
            <w:r>
              <w:rPr>
                <w:b w:val="0"/>
                <w:i w:val="0"/>
                <w:sz w:val="15"/>
              </w:rPr>
              <w:t>0.0%</w:t>
            </w:r>
          </w:p>
        </w:tc>
        <w:tc>
          <w:tcPr>
            <w:tcW w:type="dxa" w:w="2381"/>
            <w:vAlign w:val="top"/>
            <w:shd w:val="clear" w:color="auto" w:fill="FDF0F7"/>
          </w:tcPr>
          <w:p>
            <w:pPr>
              <w:spacing w:after="20" w:line="252" w:lineRule="auto"/>
              <w:jc w:val="center"/>
            </w:pPr>
            <w:r>
              <w:rPr>
                <w:b w:val="0"/>
                <w:i w:val="0"/>
                <w:sz w:val="15"/>
              </w:rPr>
              <w:t>36.8%</w:t>
            </w:r>
          </w:p>
        </w:tc>
      </w:tr>
      <w:tr>
        <w:trPr>
          <w:cantSplit/>
        </w:trPr>
        <w:tc>
          <w:tcPr>
            <w:tcW w:type="dxa" w:w="3402"/>
            <w:vAlign w:val="top"/>
          </w:tcPr>
          <w:p>
            <w:pPr>
              <w:spacing w:after="20" w:line="252" w:lineRule="auto"/>
            </w:pPr>
            <w:r>
              <w:rPr>
                <w:b w:val="0"/>
                <w:i w:val="0"/>
                <w:sz w:val="15"/>
              </w:rPr>
              <w:t>integration</w:t>
            </w:r>
          </w:p>
        </w:tc>
        <w:tc>
          <w:tcPr>
            <w:tcW w:type="dxa" w:w="1474"/>
            <w:vAlign w:val="top"/>
          </w:tcPr>
          <w:p>
            <w:pPr>
              <w:spacing w:after="20" w:line="252" w:lineRule="auto"/>
              <w:jc w:val="center"/>
            </w:pPr>
            <w:r>
              <w:rPr>
                <w:b w:val="0"/>
                <w:i w:val="0"/>
                <w:sz w:val="15"/>
              </w:rPr>
              <w:t>131</w:t>
            </w:r>
          </w:p>
        </w:tc>
        <w:tc>
          <w:tcPr>
            <w:tcW w:type="dxa" w:w="2381"/>
            <w:vAlign w:val="top"/>
          </w:tcPr>
          <w:p>
            <w:pPr>
              <w:spacing w:after="20" w:line="252" w:lineRule="auto"/>
              <w:jc w:val="center"/>
            </w:pPr>
            <w:r>
              <w:rPr>
                <w:b w:val="0"/>
                <w:i w:val="0"/>
                <w:sz w:val="15"/>
              </w:rPr>
              <w:t>0.0%</w:t>
            </w:r>
          </w:p>
        </w:tc>
        <w:tc>
          <w:tcPr>
            <w:tcW w:type="dxa" w:w="2381"/>
            <w:vAlign w:val="top"/>
          </w:tcPr>
          <w:p>
            <w:pPr>
              <w:spacing w:after="20" w:line="252" w:lineRule="auto"/>
              <w:jc w:val="center"/>
            </w:pPr>
            <w:r>
              <w:rPr>
                <w:b w:val="0"/>
                <w:i w:val="0"/>
                <w:sz w:val="15"/>
              </w:rPr>
              <w:t>75.6%</w:t>
            </w:r>
          </w:p>
        </w:tc>
      </w:tr>
      <w:tr>
        <w:trPr>
          <w:cantSplit/>
        </w:trPr>
        <w:tc>
          <w:tcPr>
            <w:tcW w:type="dxa" w:w="3402"/>
            <w:vAlign w:val="top"/>
            <w:shd w:val="clear" w:color="auto" w:fill="FDF0F7"/>
          </w:tcPr>
          <w:p>
            <w:pPr>
              <w:spacing w:after="20" w:line="252" w:lineRule="auto"/>
            </w:pPr>
            <w:r>
              <w:rPr>
                <w:b w:val="0"/>
                <w:i w:val="0"/>
                <w:sz w:val="15"/>
              </w:rPr>
              <w:t>integration-api</w:t>
            </w:r>
          </w:p>
        </w:tc>
        <w:tc>
          <w:tcPr>
            <w:tcW w:type="dxa" w:w="1474"/>
            <w:vAlign w:val="top"/>
            <w:shd w:val="clear" w:color="auto" w:fill="FDF0F7"/>
          </w:tcPr>
          <w:p>
            <w:pPr>
              <w:spacing w:after="20" w:line="252" w:lineRule="auto"/>
              <w:jc w:val="center"/>
            </w:pPr>
            <w:r>
              <w:rPr>
                <w:b w:val="0"/>
                <w:i w:val="0"/>
                <w:sz w:val="15"/>
              </w:rPr>
              <w:t>55</w:t>
            </w:r>
          </w:p>
        </w:tc>
        <w:tc>
          <w:tcPr>
            <w:tcW w:type="dxa" w:w="2381"/>
            <w:vAlign w:val="top"/>
            <w:shd w:val="clear" w:color="auto" w:fill="FDF0F7"/>
          </w:tcPr>
          <w:p>
            <w:pPr>
              <w:spacing w:after="20" w:line="252" w:lineRule="auto"/>
              <w:jc w:val="center"/>
            </w:pPr>
            <w:r>
              <w:rPr>
                <w:b w:val="0"/>
                <w:i w:val="0"/>
                <w:sz w:val="15"/>
              </w:rPr>
              <w:t>0.0%</w:t>
            </w:r>
          </w:p>
        </w:tc>
        <w:tc>
          <w:tcPr>
            <w:tcW w:type="dxa" w:w="2381"/>
            <w:vAlign w:val="top"/>
            <w:shd w:val="clear" w:color="auto" w:fill="FDF0F7"/>
          </w:tcPr>
          <w:p>
            <w:pPr>
              <w:spacing w:after="20" w:line="252" w:lineRule="auto"/>
              <w:jc w:val="center"/>
            </w:pPr>
            <w:r>
              <w:rPr>
                <w:b w:val="0"/>
                <w:i w:val="0"/>
                <w:sz w:val="15"/>
              </w:rPr>
              <w:t>49.1%</w:t>
            </w:r>
          </w:p>
        </w:tc>
      </w:tr>
      <w:tr>
        <w:trPr>
          <w:cantSplit/>
        </w:trPr>
        <w:tc>
          <w:tcPr>
            <w:tcW w:type="dxa" w:w="3402"/>
            <w:vAlign w:val="top"/>
          </w:tcPr>
          <w:p>
            <w:pPr>
              <w:spacing w:after="20" w:line="252" w:lineRule="auto"/>
            </w:pPr>
            <w:r>
              <w:rPr>
                <w:b w:val="0"/>
                <w:i w:val="0"/>
                <w:sz w:val="15"/>
              </w:rPr>
              <w:t>issues</w:t>
            </w:r>
          </w:p>
        </w:tc>
        <w:tc>
          <w:tcPr>
            <w:tcW w:type="dxa" w:w="1474"/>
            <w:vAlign w:val="top"/>
          </w:tcPr>
          <w:p>
            <w:pPr>
              <w:spacing w:after="20" w:line="252" w:lineRule="auto"/>
              <w:jc w:val="center"/>
            </w:pPr>
            <w:r>
              <w:rPr>
                <w:b w:val="0"/>
                <w:i w:val="0"/>
                <w:sz w:val="15"/>
              </w:rPr>
              <w:t>111</w:t>
            </w:r>
          </w:p>
        </w:tc>
        <w:tc>
          <w:tcPr>
            <w:tcW w:type="dxa" w:w="2381"/>
            <w:vAlign w:val="top"/>
          </w:tcPr>
          <w:p>
            <w:pPr>
              <w:spacing w:after="20" w:line="252" w:lineRule="auto"/>
              <w:jc w:val="center"/>
            </w:pPr>
            <w:r>
              <w:rPr>
                <w:b w:val="0"/>
                <w:i w:val="0"/>
                <w:sz w:val="15"/>
              </w:rPr>
              <w:t>0.0%</w:t>
            </w:r>
          </w:p>
        </w:tc>
        <w:tc>
          <w:tcPr>
            <w:tcW w:type="dxa" w:w="2381"/>
            <w:vAlign w:val="top"/>
          </w:tcPr>
          <w:p>
            <w:pPr>
              <w:spacing w:after="20" w:line="252" w:lineRule="auto"/>
              <w:jc w:val="center"/>
            </w:pPr>
            <w:r>
              <w:rPr>
                <w:b w:val="0"/>
                <w:i w:val="0"/>
                <w:sz w:val="15"/>
              </w:rPr>
              <w:t>69.4%</w:t>
            </w:r>
          </w:p>
        </w:tc>
      </w:tr>
      <w:tr>
        <w:trPr>
          <w:cantSplit/>
        </w:trPr>
        <w:tc>
          <w:tcPr>
            <w:tcW w:type="dxa" w:w="3402"/>
            <w:vAlign w:val="top"/>
            <w:shd w:val="clear" w:color="auto" w:fill="FDF0F7"/>
          </w:tcPr>
          <w:p>
            <w:pPr>
              <w:spacing w:after="20" w:line="252" w:lineRule="auto"/>
            </w:pPr>
            <w:r>
              <w:rPr>
                <w:b w:val="0"/>
                <w:i w:val="0"/>
                <w:sz w:val="15"/>
              </w:rPr>
              <w:t>notifications</w:t>
            </w:r>
          </w:p>
        </w:tc>
        <w:tc>
          <w:tcPr>
            <w:tcW w:type="dxa" w:w="1474"/>
            <w:vAlign w:val="top"/>
            <w:shd w:val="clear" w:color="auto" w:fill="FDF0F7"/>
          </w:tcPr>
          <w:p>
            <w:pPr>
              <w:spacing w:after="20" w:line="252" w:lineRule="auto"/>
              <w:jc w:val="center"/>
            </w:pPr>
            <w:r>
              <w:rPr>
                <w:b w:val="0"/>
                <w:i w:val="0"/>
                <w:sz w:val="15"/>
              </w:rPr>
              <w:t>84</w:t>
            </w:r>
          </w:p>
        </w:tc>
        <w:tc>
          <w:tcPr>
            <w:tcW w:type="dxa" w:w="2381"/>
            <w:vAlign w:val="top"/>
            <w:shd w:val="clear" w:color="auto" w:fill="FDF0F7"/>
          </w:tcPr>
          <w:p>
            <w:pPr>
              <w:spacing w:after="20" w:line="252" w:lineRule="auto"/>
              <w:jc w:val="center"/>
            </w:pPr>
            <w:r>
              <w:rPr>
                <w:b w:val="0"/>
                <w:i w:val="0"/>
                <w:sz w:val="15"/>
              </w:rPr>
              <w:t>0.0%</w:t>
            </w:r>
          </w:p>
        </w:tc>
        <w:tc>
          <w:tcPr>
            <w:tcW w:type="dxa" w:w="2381"/>
            <w:vAlign w:val="top"/>
            <w:shd w:val="clear" w:color="auto" w:fill="FDF0F7"/>
          </w:tcPr>
          <w:p>
            <w:pPr>
              <w:spacing w:after="20" w:line="252" w:lineRule="auto"/>
              <w:jc w:val="center"/>
            </w:pPr>
            <w:r>
              <w:rPr>
                <w:b w:val="0"/>
                <w:i w:val="0"/>
                <w:sz w:val="15"/>
              </w:rPr>
              <w:t>57.1%</w:t>
            </w:r>
          </w:p>
        </w:tc>
      </w:tr>
      <w:tr>
        <w:trPr>
          <w:cantSplit/>
        </w:trPr>
        <w:tc>
          <w:tcPr>
            <w:tcW w:type="dxa" w:w="3402"/>
            <w:vAlign w:val="top"/>
          </w:tcPr>
          <w:p>
            <w:pPr>
              <w:spacing w:after="20" w:line="252" w:lineRule="auto"/>
            </w:pPr>
            <w:r>
              <w:rPr>
                <w:b w:val="0"/>
                <w:i w:val="0"/>
                <w:sz w:val="15"/>
              </w:rPr>
              <w:t>participants</w:t>
            </w:r>
          </w:p>
        </w:tc>
        <w:tc>
          <w:tcPr>
            <w:tcW w:type="dxa" w:w="1474"/>
            <w:vAlign w:val="top"/>
          </w:tcPr>
          <w:p>
            <w:pPr>
              <w:spacing w:after="20" w:line="252" w:lineRule="auto"/>
              <w:jc w:val="center"/>
            </w:pPr>
            <w:r>
              <w:rPr>
                <w:b w:val="0"/>
                <w:i w:val="0"/>
                <w:sz w:val="15"/>
              </w:rPr>
              <w:t>83</w:t>
            </w:r>
          </w:p>
        </w:tc>
        <w:tc>
          <w:tcPr>
            <w:tcW w:type="dxa" w:w="2381"/>
            <w:vAlign w:val="top"/>
          </w:tcPr>
          <w:p>
            <w:pPr>
              <w:spacing w:after="20" w:line="252" w:lineRule="auto"/>
              <w:jc w:val="center"/>
            </w:pPr>
            <w:r>
              <w:rPr>
                <w:b w:val="0"/>
                <w:i w:val="0"/>
                <w:sz w:val="15"/>
              </w:rPr>
              <w:t>0.0%</w:t>
            </w:r>
          </w:p>
        </w:tc>
        <w:tc>
          <w:tcPr>
            <w:tcW w:type="dxa" w:w="2381"/>
            <w:vAlign w:val="top"/>
          </w:tcPr>
          <w:p>
            <w:pPr>
              <w:spacing w:after="20" w:line="252" w:lineRule="auto"/>
              <w:jc w:val="center"/>
            </w:pPr>
            <w:r>
              <w:rPr>
                <w:b w:val="0"/>
                <w:i w:val="0"/>
                <w:sz w:val="15"/>
              </w:rPr>
              <w:t>49.4%</w:t>
            </w:r>
          </w:p>
        </w:tc>
      </w:tr>
      <w:tr>
        <w:trPr>
          <w:cantSplit/>
        </w:trPr>
        <w:tc>
          <w:tcPr>
            <w:tcW w:type="dxa" w:w="3402"/>
            <w:vAlign w:val="top"/>
            <w:shd w:val="clear" w:color="auto" w:fill="FDF0F7"/>
          </w:tcPr>
          <w:p>
            <w:pPr>
              <w:spacing w:after="20" w:line="252" w:lineRule="auto"/>
            </w:pPr>
            <w:r>
              <w:rPr>
                <w:b w:val="0"/>
                <w:i w:val="0"/>
                <w:sz w:val="15"/>
              </w:rPr>
              <w:t>policies</w:t>
            </w:r>
          </w:p>
        </w:tc>
        <w:tc>
          <w:tcPr>
            <w:tcW w:type="dxa" w:w="1474"/>
            <w:vAlign w:val="top"/>
            <w:shd w:val="clear" w:color="auto" w:fill="FDF0F7"/>
          </w:tcPr>
          <w:p>
            <w:pPr>
              <w:spacing w:after="20" w:line="252" w:lineRule="auto"/>
              <w:jc w:val="center"/>
            </w:pPr>
            <w:r>
              <w:rPr>
                <w:b w:val="0"/>
                <w:i w:val="0"/>
                <w:sz w:val="15"/>
              </w:rPr>
              <w:t>378</w:t>
            </w:r>
          </w:p>
        </w:tc>
        <w:tc>
          <w:tcPr>
            <w:tcW w:type="dxa" w:w="2381"/>
            <w:vAlign w:val="top"/>
            <w:shd w:val="clear" w:color="auto" w:fill="FDF0F7"/>
          </w:tcPr>
          <w:p>
            <w:pPr>
              <w:spacing w:after="20" w:line="252" w:lineRule="auto"/>
              <w:jc w:val="center"/>
            </w:pPr>
            <w:r>
              <w:rPr>
                <w:b w:val="0"/>
                <w:i w:val="0"/>
                <w:sz w:val="15"/>
              </w:rPr>
              <w:t>0.0%</w:t>
            </w:r>
          </w:p>
        </w:tc>
        <w:tc>
          <w:tcPr>
            <w:tcW w:type="dxa" w:w="2381"/>
            <w:vAlign w:val="top"/>
            <w:shd w:val="clear" w:color="auto" w:fill="FDF0F7"/>
          </w:tcPr>
          <w:p>
            <w:pPr>
              <w:spacing w:after="20" w:line="252" w:lineRule="auto"/>
              <w:jc w:val="center"/>
            </w:pPr>
            <w:r>
              <w:rPr>
                <w:b w:val="0"/>
                <w:i w:val="0"/>
                <w:sz w:val="15"/>
              </w:rPr>
              <w:t>63.2%</w:t>
            </w:r>
          </w:p>
        </w:tc>
      </w:tr>
      <w:tr>
        <w:trPr>
          <w:cantSplit/>
        </w:trPr>
        <w:tc>
          <w:tcPr>
            <w:tcW w:type="dxa" w:w="3402"/>
            <w:vAlign w:val="top"/>
          </w:tcPr>
          <w:p>
            <w:pPr>
              <w:spacing w:after="20" w:line="252" w:lineRule="auto"/>
            </w:pPr>
            <w:r>
              <w:rPr>
                <w:b w:val="0"/>
                <w:i w:val="0"/>
                <w:sz w:val="15"/>
              </w:rPr>
              <w:t>products</w:t>
            </w:r>
          </w:p>
        </w:tc>
        <w:tc>
          <w:tcPr>
            <w:tcW w:type="dxa" w:w="1474"/>
            <w:vAlign w:val="top"/>
          </w:tcPr>
          <w:p>
            <w:pPr>
              <w:spacing w:after="20" w:line="252" w:lineRule="auto"/>
              <w:jc w:val="center"/>
            </w:pPr>
            <w:r>
              <w:rPr>
                <w:b w:val="0"/>
                <w:i w:val="0"/>
                <w:sz w:val="15"/>
              </w:rPr>
              <w:t>68</w:t>
            </w:r>
          </w:p>
        </w:tc>
        <w:tc>
          <w:tcPr>
            <w:tcW w:type="dxa" w:w="2381"/>
            <w:vAlign w:val="top"/>
          </w:tcPr>
          <w:p>
            <w:pPr>
              <w:spacing w:after="20" w:line="252" w:lineRule="auto"/>
              <w:jc w:val="center"/>
            </w:pPr>
            <w:r>
              <w:rPr>
                <w:b w:val="0"/>
                <w:i w:val="0"/>
                <w:sz w:val="15"/>
              </w:rPr>
              <w:t>48.5%</w:t>
            </w:r>
          </w:p>
        </w:tc>
        <w:tc>
          <w:tcPr>
            <w:tcW w:type="dxa" w:w="2381"/>
            <w:vAlign w:val="top"/>
          </w:tcPr>
          <w:p>
            <w:pPr>
              <w:spacing w:after="20" w:line="252" w:lineRule="auto"/>
              <w:jc w:val="center"/>
            </w:pPr>
            <w:r>
              <w:rPr>
                <w:b w:val="0"/>
                <w:i w:val="0"/>
                <w:sz w:val="15"/>
              </w:rPr>
              <w:t>67.6%</w:t>
            </w:r>
          </w:p>
        </w:tc>
      </w:tr>
      <w:tr>
        <w:trPr>
          <w:cantSplit/>
        </w:trPr>
        <w:tc>
          <w:tcPr>
            <w:tcW w:type="dxa" w:w="3402"/>
            <w:vAlign w:val="top"/>
            <w:shd w:val="clear" w:color="auto" w:fill="FDF0F7"/>
          </w:tcPr>
          <w:p>
            <w:pPr>
              <w:spacing w:after="20" w:line="252" w:lineRule="auto"/>
            </w:pPr>
            <w:r>
              <w:rPr>
                <w:b w:val="0"/>
                <w:i w:val="0"/>
                <w:sz w:val="15"/>
              </w:rPr>
              <w:t>products/rating (rating engines)</w:t>
            </w:r>
          </w:p>
        </w:tc>
        <w:tc>
          <w:tcPr>
            <w:tcW w:type="dxa" w:w="1474"/>
            <w:vAlign w:val="top"/>
            <w:shd w:val="clear" w:color="auto" w:fill="FDF0F7"/>
          </w:tcPr>
          <w:p>
            <w:pPr>
              <w:spacing w:after="20" w:line="252" w:lineRule="auto"/>
              <w:jc w:val="center"/>
            </w:pPr>
            <w:r>
              <w:rPr>
                <w:b w:val="0"/>
                <w:i w:val="0"/>
                <w:sz w:val="15"/>
              </w:rPr>
              <w:t>193</w:t>
            </w:r>
          </w:p>
        </w:tc>
        <w:tc>
          <w:tcPr>
            <w:tcW w:type="dxa" w:w="2381"/>
            <w:vAlign w:val="top"/>
            <w:shd w:val="clear" w:color="auto" w:fill="FDF0F7"/>
          </w:tcPr>
          <w:p>
            <w:pPr>
              <w:spacing w:after="20" w:line="252" w:lineRule="auto"/>
              <w:jc w:val="center"/>
            </w:pPr>
            <w:r>
              <w:rPr>
                <w:b w:val="0"/>
                <w:i w:val="0"/>
                <w:sz w:val="15"/>
              </w:rPr>
              <w:t>83.9%</w:t>
            </w:r>
          </w:p>
        </w:tc>
        <w:tc>
          <w:tcPr>
            <w:tcW w:type="dxa" w:w="2381"/>
            <w:vAlign w:val="top"/>
            <w:shd w:val="clear" w:color="auto" w:fill="FDF0F7"/>
          </w:tcPr>
          <w:p>
            <w:pPr>
              <w:spacing w:after="20" w:line="252" w:lineRule="auto"/>
              <w:jc w:val="center"/>
            </w:pPr>
            <w:r>
              <w:rPr>
                <w:b w:val="0"/>
                <w:i w:val="0"/>
                <w:sz w:val="15"/>
              </w:rPr>
              <w:t>71.5%</w:t>
            </w:r>
          </w:p>
        </w:tc>
      </w:tr>
      <w:tr>
        <w:trPr>
          <w:cantSplit/>
        </w:trPr>
        <w:tc>
          <w:tcPr>
            <w:tcW w:type="dxa" w:w="3402"/>
            <w:vAlign w:val="top"/>
          </w:tcPr>
          <w:p>
            <w:pPr>
              <w:spacing w:after="20" w:line="252" w:lineRule="auto"/>
            </w:pPr>
            <w:r>
              <w:rPr>
                <w:b w:val="0"/>
                <w:i w:val="0"/>
                <w:sz w:val="15"/>
              </w:rPr>
              <w:t>reports</w:t>
            </w:r>
          </w:p>
        </w:tc>
        <w:tc>
          <w:tcPr>
            <w:tcW w:type="dxa" w:w="1474"/>
            <w:vAlign w:val="top"/>
          </w:tcPr>
          <w:p>
            <w:pPr>
              <w:spacing w:after="20" w:line="252" w:lineRule="auto"/>
              <w:jc w:val="center"/>
            </w:pPr>
            <w:r>
              <w:rPr>
                <w:b w:val="0"/>
                <w:i w:val="0"/>
                <w:sz w:val="15"/>
              </w:rPr>
              <w:t>232</w:t>
            </w:r>
          </w:p>
        </w:tc>
        <w:tc>
          <w:tcPr>
            <w:tcW w:type="dxa" w:w="2381"/>
            <w:vAlign w:val="top"/>
          </w:tcPr>
          <w:p>
            <w:pPr>
              <w:spacing w:after="20" w:line="252" w:lineRule="auto"/>
              <w:jc w:val="center"/>
            </w:pPr>
            <w:r>
              <w:rPr>
                <w:b w:val="0"/>
                <w:i w:val="0"/>
                <w:sz w:val="15"/>
              </w:rPr>
              <w:t>15.1%</w:t>
            </w:r>
          </w:p>
        </w:tc>
        <w:tc>
          <w:tcPr>
            <w:tcW w:type="dxa" w:w="2381"/>
            <w:vAlign w:val="top"/>
          </w:tcPr>
          <w:p>
            <w:pPr>
              <w:spacing w:after="20" w:line="252" w:lineRule="auto"/>
              <w:jc w:val="center"/>
            </w:pPr>
            <w:r>
              <w:rPr>
                <w:b w:val="0"/>
                <w:i w:val="0"/>
                <w:sz w:val="15"/>
              </w:rPr>
              <w:t>84.5%</w:t>
            </w:r>
          </w:p>
        </w:tc>
      </w:tr>
      <w:tr>
        <w:trPr>
          <w:cantSplit/>
        </w:trPr>
        <w:tc>
          <w:tcPr>
            <w:tcW w:type="dxa" w:w="3402"/>
            <w:vAlign w:val="top"/>
            <w:shd w:val="clear" w:color="auto" w:fill="FDF0F7"/>
          </w:tcPr>
          <w:p>
            <w:pPr>
              <w:spacing w:after="20" w:line="252" w:lineRule="auto"/>
            </w:pPr>
            <w:r>
              <w:rPr>
                <w:b w:val="0"/>
                <w:i w:val="0"/>
                <w:sz w:val="15"/>
              </w:rPr>
              <w:t>settings</w:t>
            </w:r>
          </w:p>
        </w:tc>
        <w:tc>
          <w:tcPr>
            <w:tcW w:type="dxa" w:w="1474"/>
            <w:vAlign w:val="top"/>
            <w:shd w:val="clear" w:color="auto" w:fill="FDF0F7"/>
          </w:tcPr>
          <w:p>
            <w:pPr>
              <w:spacing w:after="20" w:line="252" w:lineRule="auto"/>
              <w:jc w:val="center"/>
            </w:pPr>
            <w:r>
              <w:rPr>
                <w:b w:val="0"/>
                <w:i w:val="0"/>
                <w:sz w:val="15"/>
              </w:rPr>
              <w:t>85</w:t>
            </w:r>
          </w:p>
        </w:tc>
        <w:tc>
          <w:tcPr>
            <w:tcW w:type="dxa" w:w="2381"/>
            <w:vAlign w:val="top"/>
            <w:shd w:val="clear" w:color="auto" w:fill="FDF0F7"/>
          </w:tcPr>
          <w:p>
            <w:pPr>
              <w:spacing w:after="20" w:line="252" w:lineRule="auto"/>
              <w:jc w:val="center"/>
            </w:pPr>
            <w:r>
              <w:rPr>
                <w:b w:val="0"/>
                <w:i w:val="0"/>
                <w:sz w:val="15"/>
              </w:rPr>
              <w:t>4.7%</w:t>
            </w:r>
          </w:p>
        </w:tc>
        <w:tc>
          <w:tcPr>
            <w:tcW w:type="dxa" w:w="2381"/>
            <w:vAlign w:val="top"/>
            <w:shd w:val="clear" w:color="auto" w:fill="FDF0F7"/>
          </w:tcPr>
          <w:p>
            <w:pPr>
              <w:spacing w:after="20" w:line="252" w:lineRule="auto"/>
              <w:jc w:val="center"/>
            </w:pPr>
            <w:r>
              <w:rPr>
                <w:b w:val="0"/>
                <w:i w:val="0"/>
                <w:sz w:val="15"/>
              </w:rPr>
              <w:t>65.9%</w:t>
            </w:r>
          </w:p>
        </w:tc>
      </w:tr>
      <w:tr>
        <w:trPr>
          <w:cantSplit/>
        </w:trPr>
        <w:tc>
          <w:tcPr>
            <w:tcW w:type="dxa" w:w="3402"/>
            <w:vAlign w:val="top"/>
          </w:tcPr>
          <w:p>
            <w:pPr>
              <w:spacing w:after="20" w:line="252" w:lineRule="auto"/>
            </w:pPr>
            <w:r>
              <w:rPr>
                <w:b w:val="0"/>
                <w:i w:val="0"/>
                <w:sz w:val="15"/>
              </w:rPr>
              <w:t>workflow</w:t>
            </w:r>
          </w:p>
        </w:tc>
        <w:tc>
          <w:tcPr>
            <w:tcW w:type="dxa" w:w="1474"/>
            <w:vAlign w:val="top"/>
          </w:tcPr>
          <w:p>
            <w:pPr>
              <w:spacing w:after="20" w:line="252" w:lineRule="auto"/>
              <w:jc w:val="center"/>
            </w:pPr>
            <w:r>
              <w:rPr>
                <w:b w:val="0"/>
                <w:i w:val="0"/>
                <w:sz w:val="15"/>
              </w:rPr>
              <w:t>163</w:t>
            </w:r>
          </w:p>
        </w:tc>
        <w:tc>
          <w:tcPr>
            <w:tcW w:type="dxa" w:w="2381"/>
            <w:vAlign w:val="top"/>
          </w:tcPr>
          <w:p>
            <w:pPr>
              <w:spacing w:after="20" w:line="252" w:lineRule="auto"/>
              <w:jc w:val="center"/>
            </w:pPr>
            <w:r>
              <w:rPr>
                <w:b w:val="0"/>
                <w:i w:val="0"/>
                <w:sz w:val="15"/>
              </w:rPr>
              <w:t>4.9%</w:t>
            </w:r>
          </w:p>
        </w:tc>
        <w:tc>
          <w:tcPr>
            <w:tcW w:type="dxa" w:w="2381"/>
            <w:vAlign w:val="top"/>
          </w:tcPr>
          <w:p>
            <w:pPr>
              <w:spacing w:after="20" w:line="252" w:lineRule="auto"/>
              <w:jc w:val="center"/>
            </w:pPr>
            <w:r>
              <w:rPr>
                <w:b w:val="0"/>
                <w:i w:val="0"/>
                <w:sz w:val="15"/>
              </w:rPr>
              <w:t>70.6%</w:t>
            </w:r>
          </w:p>
        </w:tc>
      </w:tr>
    </w:tbl>
    <w:p>
      <w:pPr>
        <w:pStyle w:val="Caption"/>
        <w:jc w:val="center"/>
      </w:pPr>
      <w:r>
        <w:rPr>
          <w:b w:val="0"/>
          <w:i w:val="0"/>
        </w:rPr>
        <w:t>Table 9: Line coverage by module</w:t>
      </w:r>
    </w:p>
    <w:p>
      <w:pPr>
        <w:pStyle w:val="Heading2"/>
      </w:pPr>
      <w:r>
        <w:t>Coverage targets for implementation</w:t>
      </w:r>
    </w:p>
    <w:p>
      <w:pPr>
        <w:keepNext w:val="0"/>
      </w:pPr>
      <w:r>
        <w:rPr>
          <w:b w:val="0"/>
          <w:i w:val="0"/>
        </w:rPr>
        <w:t>Coverage is reported honestly rather than inflated with low-value tests. The rating engines already carry focused unit tests; most services are covered only through end-to-end journeys. During implementation we add service-level unit tests and SIT automation, with these targets: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402"/>
        <w:gridCol w:w="2835"/>
        <w:gridCol w:w="3402"/>
      </w:tblGrid>
      <w:tr>
        <w:trPr>
          <w:cantSplit/>
          <w:tblHeader/>
        </w:trPr>
        <w:tc>
          <w:tcPr>
            <w:tcW w:type="dxa" w:w="3402"/>
            <w:shd w:val="clear" w:color="auto" w:fill="E1058C"/>
            <w:vAlign w:val="center"/>
          </w:tcPr>
          <w:p>
            <w:pPr>
              <w:spacing w:after="0"/>
            </w:pPr>
            <w:r>
              <w:rPr>
                <w:b/>
                <w:i w:val="0"/>
                <w:color w:val="FFFFFF"/>
                <w:sz w:val="16"/>
              </w:rPr>
              <w:t>Area</w:t>
            </w:r>
          </w:p>
        </w:tc>
        <w:tc>
          <w:tcPr>
            <w:tcW w:type="dxa" w:w="2835"/>
            <w:shd w:val="clear" w:color="auto" w:fill="E1058C"/>
            <w:vAlign w:val="center"/>
          </w:tcPr>
          <w:p>
            <w:pPr>
              <w:spacing w:after="0"/>
            </w:pPr>
            <w:r>
              <w:rPr>
                <w:b/>
                <w:i w:val="0"/>
                <w:color w:val="FFFFFF"/>
                <w:sz w:val="16"/>
              </w:rPr>
              <w:t>Target</w:t>
            </w:r>
          </w:p>
        </w:tc>
        <w:tc>
          <w:tcPr>
            <w:tcW w:type="dxa" w:w="3402"/>
            <w:shd w:val="clear" w:color="auto" w:fill="E1058C"/>
            <w:vAlign w:val="center"/>
          </w:tcPr>
          <w:p>
            <w:pPr>
              <w:spacing w:after="0"/>
            </w:pPr>
            <w:r>
              <w:rPr>
                <w:b/>
                <w:i w:val="0"/>
                <w:color w:val="FFFFFF"/>
                <w:sz w:val="16"/>
              </w:rPr>
              <w:t>Measured by</w:t>
            </w:r>
          </w:p>
        </w:tc>
      </w:tr>
      <w:tr>
        <w:trPr>
          <w:cantSplit/>
        </w:trPr>
        <w:tc>
          <w:tcPr>
            <w:tcW w:type="dxa" w:w="3402"/>
            <w:vAlign w:val="top"/>
          </w:tcPr>
          <w:p>
            <w:pPr>
              <w:spacing w:after="20" w:line="252" w:lineRule="auto"/>
            </w:pPr>
            <w:r>
              <w:rPr>
                <w:b/>
                <w:i w:val="0"/>
                <w:sz w:val="16"/>
              </w:rPr>
              <w:t>Rating engines (products/rating)</w:t>
            </w:r>
          </w:p>
        </w:tc>
        <w:tc>
          <w:tcPr>
            <w:tcW w:type="dxa" w:w="2835"/>
            <w:vAlign w:val="top"/>
          </w:tcPr>
          <w:p>
            <w:pPr>
              <w:spacing w:after="20" w:line="252" w:lineRule="auto"/>
            </w:pPr>
            <w:r>
              <w:rPr>
                <w:b w:val="0"/>
                <w:i w:val="0"/>
                <w:sz w:val="16"/>
              </w:rPr>
              <w:t>At least 80% lines and branches</w:t>
            </w:r>
          </w:p>
        </w:tc>
        <w:tc>
          <w:tcPr>
            <w:tcW w:type="dxa" w:w="3402"/>
            <w:vAlign w:val="top"/>
          </w:tcPr>
          <w:p>
            <w:pPr>
              <w:spacing w:after="20" w:line="252" w:lineRule="auto"/>
            </w:pPr>
            <w:r>
              <w:rPr>
                <w:b w:val="0"/>
                <w:i w:val="0"/>
                <w:sz w:val="16"/>
              </w:rPr>
              <w:t>Unit tests, per release</w:t>
            </w:r>
          </w:p>
        </w:tc>
      </w:tr>
      <w:tr>
        <w:trPr>
          <w:cantSplit/>
        </w:trPr>
        <w:tc>
          <w:tcPr>
            <w:tcW w:type="dxa" w:w="3402"/>
            <w:vAlign w:val="top"/>
            <w:shd w:val="clear" w:color="auto" w:fill="FDF0F7"/>
          </w:tcPr>
          <w:p>
            <w:pPr>
              <w:spacing w:after="20" w:line="252" w:lineRule="auto"/>
            </w:pPr>
            <w:r>
              <w:rPr>
                <w:b/>
                <w:i w:val="0"/>
                <w:sz w:val="16"/>
              </w:rPr>
              <w:t>Billing (payments, grace period)</w:t>
            </w:r>
          </w:p>
        </w:tc>
        <w:tc>
          <w:tcPr>
            <w:tcW w:type="dxa" w:w="2835"/>
            <w:vAlign w:val="top"/>
            <w:shd w:val="clear" w:color="auto" w:fill="FDF0F7"/>
          </w:tcPr>
          <w:p>
            <w:pPr>
              <w:spacing w:after="20" w:line="252" w:lineRule="auto"/>
            </w:pPr>
            <w:r>
              <w:rPr>
                <w:b w:val="0"/>
                <w:i w:val="0"/>
                <w:sz w:val="16"/>
              </w:rPr>
              <w:t>At least 80% lines</w:t>
            </w:r>
          </w:p>
        </w:tc>
        <w:tc>
          <w:tcPr>
            <w:tcW w:type="dxa" w:w="3402"/>
            <w:vAlign w:val="top"/>
            <w:shd w:val="clear" w:color="auto" w:fill="FDF0F7"/>
          </w:tcPr>
          <w:p>
            <w:pPr>
              <w:spacing w:after="20" w:line="252" w:lineRule="auto"/>
            </w:pPr>
            <w:r>
              <w:rPr>
                <w:b w:val="0"/>
                <w:i w:val="0"/>
                <w:sz w:val="16"/>
              </w:rPr>
              <w:t>Unit plus end-to-end</w:t>
            </w:r>
          </w:p>
        </w:tc>
      </w:tr>
      <w:tr>
        <w:trPr>
          <w:cantSplit/>
        </w:trPr>
        <w:tc>
          <w:tcPr>
            <w:tcW w:type="dxa" w:w="3402"/>
            <w:vAlign w:val="top"/>
          </w:tcPr>
          <w:p>
            <w:pPr>
              <w:spacing w:after="20" w:line="252" w:lineRule="auto"/>
            </w:pPr>
            <w:r>
              <w:rPr>
                <w:b/>
                <w:i w:val="0"/>
                <w:sz w:val="16"/>
              </w:rPr>
              <w:t>Workflow (maker-checker)</w:t>
            </w:r>
          </w:p>
        </w:tc>
        <w:tc>
          <w:tcPr>
            <w:tcW w:type="dxa" w:w="2835"/>
            <w:vAlign w:val="top"/>
          </w:tcPr>
          <w:p>
            <w:pPr>
              <w:spacing w:after="20" w:line="252" w:lineRule="auto"/>
            </w:pPr>
            <w:r>
              <w:rPr>
                <w:b w:val="0"/>
                <w:i w:val="0"/>
                <w:sz w:val="16"/>
              </w:rPr>
              <w:t>At least 80% lines</w:t>
            </w:r>
          </w:p>
        </w:tc>
        <w:tc>
          <w:tcPr>
            <w:tcW w:type="dxa" w:w="3402"/>
            <w:vAlign w:val="top"/>
          </w:tcPr>
          <w:p>
            <w:pPr>
              <w:spacing w:after="20" w:line="252" w:lineRule="auto"/>
            </w:pPr>
            <w:r>
              <w:rPr>
                <w:b w:val="0"/>
                <w:i w:val="0"/>
                <w:sz w:val="16"/>
              </w:rPr>
              <w:t>Unit plus end-to-end</w:t>
            </w:r>
          </w:p>
        </w:tc>
      </w:tr>
      <w:tr>
        <w:trPr>
          <w:cantSplit/>
        </w:trPr>
        <w:tc>
          <w:tcPr>
            <w:tcW w:type="dxa" w:w="3402"/>
            <w:vAlign w:val="top"/>
            <w:shd w:val="clear" w:color="auto" w:fill="FDF0F7"/>
          </w:tcPr>
          <w:p>
            <w:pPr>
              <w:spacing w:after="20" w:line="252" w:lineRule="auto"/>
            </w:pPr>
            <w:r>
              <w:rPr>
                <w:b/>
                <w:i w:val="0"/>
                <w:sz w:val="16"/>
              </w:rPr>
              <w:t>All API code</w:t>
            </w:r>
          </w:p>
        </w:tc>
        <w:tc>
          <w:tcPr>
            <w:tcW w:type="dxa" w:w="2835"/>
            <w:vAlign w:val="top"/>
            <w:shd w:val="clear" w:color="auto" w:fill="FDF0F7"/>
          </w:tcPr>
          <w:p>
            <w:pPr>
              <w:spacing w:after="20" w:line="252" w:lineRule="auto"/>
            </w:pPr>
            <w:r>
              <w:rPr>
                <w:b w:val="0"/>
                <w:i w:val="0"/>
                <w:sz w:val="16"/>
              </w:rPr>
              <w:t>At least 70% lines combined</w:t>
            </w:r>
          </w:p>
        </w:tc>
        <w:tc>
          <w:tcPr>
            <w:tcW w:type="dxa" w:w="3402"/>
            <w:vAlign w:val="top"/>
            <w:shd w:val="clear" w:color="auto" w:fill="FDF0F7"/>
          </w:tcPr>
          <w:p>
            <w:pPr>
              <w:spacing w:after="20" w:line="252" w:lineRule="auto"/>
            </w:pPr>
            <w:r>
              <w:rPr>
                <w:b w:val="0"/>
                <w:i w:val="0"/>
                <w:sz w:val="16"/>
              </w:rPr>
              <w:t>Merged unit and end-to-end coverage in CI</w:t>
            </w:r>
          </w:p>
        </w:tc>
      </w:tr>
    </w:tbl>
    <w:p>
      <w:pPr>
        <w:spacing w:after="0" w:before="0"/>
      </w:pPr>
      <w:r>
        <w:rPr>
          <w:sz w:val="8"/>
        </w:rPr>
      </w:r>
    </w:p>
    <w:p>
      <w:pPr>
        <w:pStyle w:val="Heading1"/>
        <w:pageBreakBefore/>
        <w:pBdr>
          <w:bottom w:val="single" w:sz="12" w:space="4" w:color="F58220"/>
        </w:pBdr>
      </w:pPr>
      <w:r>
        <w:t>6. Dependencies and licences</w:t>
      </w:r>
    </w:p>
    <w:p>
      <w:pPr>
        <w:pStyle w:val="Heading2"/>
      </w:pPr>
      <w:r>
        <w:t>Vulnerability audit</w:t>
      </w:r>
    </w:p>
    <w:p>
      <w:pPr>
        <w:keepNext w:val="0"/>
      </w:pPr>
      <w:r>
        <w:rPr>
          <w:b w:val="0"/>
          <w:i w:val="0"/>
        </w:rPr>
        <w:t>npm audit reports 0 known vulnerabilities across 933 installed packages (514 production, 405 development, 136 optional). CI fails on any moderate or higher finding, and a container scan (Trivy) fails the image build on any fixable Critical or High finding. Each CI run also produces a CycloneDX software bill of materials of the production dependencies (npm sbom), kept as a build artifact.</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1304"/>
        <w:gridCol w:w="1304"/>
        <w:gridCol w:w="1304"/>
        <w:gridCol w:w="1304"/>
        <w:gridCol w:w="1304"/>
        <w:gridCol w:w="1304"/>
      </w:tblGrid>
      <w:tr>
        <w:trPr>
          <w:cantSplit/>
          <w:tblHeader/>
        </w:trPr>
        <w:tc>
          <w:tcPr>
            <w:tcW w:type="dxa" w:w="1814"/>
            <w:shd w:val="clear" w:color="auto" w:fill="E1058C"/>
            <w:vAlign w:val="center"/>
          </w:tcPr>
          <w:p>
            <w:pPr>
              <w:spacing w:after="0"/>
            </w:pPr>
            <w:r>
              <w:rPr>
                <w:b/>
                <w:i w:val="0"/>
                <w:color w:val="FFFFFF"/>
                <w:sz w:val="17"/>
              </w:rPr>
              <w:t>Severity</w:t>
            </w:r>
          </w:p>
        </w:tc>
        <w:tc>
          <w:tcPr>
            <w:tcW w:type="dxa" w:w="1304"/>
            <w:shd w:val="clear" w:color="auto" w:fill="E1058C"/>
            <w:vAlign w:val="center"/>
          </w:tcPr>
          <w:p>
            <w:pPr>
              <w:spacing w:after="0"/>
            </w:pPr>
            <w:r>
              <w:rPr>
                <w:b/>
                <w:i w:val="0"/>
                <w:color w:val="FFFFFF"/>
                <w:sz w:val="17"/>
              </w:rPr>
              <w:t>Critical</w:t>
            </w:r>
          </w:p>
        </w:tc>
        <w:tc>
          <w:tcPr>
            <w:tcW w:type="dxa" w:w="1304"/>
            <w:shd w:val="clear" w:color="auto" w:fill="E1058C"/>
            <w:vAlign w:val="center"/>
          </w:tcPr>
          <w:p>
            <w:pPr>
              <w:spacing w:after="0"/>
            </w:pPr>
            <w:r>
              <w:rPr>
                <w:b/>
                <w:i w:val="0"/>
                <w:color w:val="FFFFFF"/>
                <w:sz w:val="17"/>
              </w:rPr>
              <w:t>High</w:t>
            </w:r>
          </w:p>
        </w:tc>
        <w:tc>
          <w:tcPr>
            <w:tcW w:type="dxa" w:w="1304"/>
            <w:shd w:val="clear" w:color="auto" w:fill="E1058C"/>
            <w:vAlign w:val="center"/>
          </w:tcPr>
          <w:p>
            <w:pPr>
              <w:spacing w:after="0"/>
            </w:pPr>
            <w:r>
              <w:rPr>
                <w:b/>
                <w:i w:val="0"/>
                <w:color w:val="FFFFFF"/>
                <w:sz w:val="17"/>
              </w:rPr>
              <w:t>Moderate</w:t>
            </w:r>
          </w:p>
        </w:tc>
        <w:tc>
          <w:tcPr>
            <w:tcW w:type="dxa" w:w="1304"/>
            <w:shd w:val="clear" w:color="auto" w:fill="E1058C"/>
            <w:vAlign w:val="center"/>
          </w:tcPr>
          <w:p>
            <w:pPr>
              <w:spacing w:after="0"/>
            </w:pPr>
            <w:r>
              <w:rPr>
                <w:b/>
                <w:i w:val="0"/>
                <w:color w:val="FFFFFF"/>
                <w:sz w:val="17"/>
              </w:rPr>
              <w:t>Low</w:t>
            </w:r>
          </w:p>
        </w:tc>
        <w:tc>
          <w:tcPr>
            <w:tcW w:type="dxa" w:w="1304"/>
            <w:shd w:val="clear" w:color="auto" w:fill="E1058C"/>
            <w:vAlign w:val="center"/>
          </w:tcPr>
          <w:p>
            <w:pPr>
              <w:spacing w:after="0"/>
            </w:pPr>
            <w:r>
              <w:rPr>
                <w:b/>
                <w:i w:val="0"/>
                <w:color w:val="FFFFFF"/>
                <w:sz w:val="17"/>
              </w:rPr>
              <w:t>Info</w:t>
            </w:r>
          </w:p>
        </w:tc>
        <w:tc>
          <w:tcPr>
            <w:tcW w:type="dxa" w:w="1304"/>
            <w:shd w:val="clear" w:color="auto" w:fill="E1058C"/>
            <w:vAlign w:val="center"/>
          </w:tcPr>
          <w:p>
            <w:pPr>
              <w:spacing w:after="0"/>
            </w:pPr>
            <w:r>
              <w:rPr>
                <w:b/>
                <w:i w:val="0"/>
                <w:color w:val="FFFFFF"/>
                <w:sz w:val="17"/>
              </w:rPr>
              <w:t>Total</w:t>
            </w:r>
          </w:p>
        </w:tc>
      </w:tr>
      <w:tr>
        <w:trPr>
          <w:cantSplit/>
        </w:trPr>
        <w:tc>
          <w:tcPr>
            <w:tcW w:type="dxa" w:w="1814"/>
            <w:vAlign w:val="top"/>
          </w:tcPr>
          <w:p>
            <w:pPr>
              <w:spacing w:after="20" w:line="252" w:lineRule="auto"/>
            </w:pPr>
            <w:r>
              <w:rPr>
                <w:b w:val="0"/>
                <w:i w:val="0"/>
                <w:sz w:val="17"/>
              </w:rPr>
              <w:t>Findings</w:t>
            </w:r>
          </w:p>
        </w:tc>
        <w:tc>
          <w:tcPr>
            <w:tcW w:type="dxa" w:w="1304"/>
            <w:vAlign w:val="top"/>
          </w:tcPr>
          <w:p>
            <w:pPr>
              <w:spacing w:after="20" w:line="252" w:lineRule="auto"/>
              <w:jc w:val="center"/>
            </w:pPr>
            <w:r>
              <w:rPr>
                <w:b w:val="0"/>
                <w:i w:val="0"/>
                <w:sz w:val="17"/>
              </w:rPr>
              <w:t>0</w:t>
            </w:r>
          </w:p>
        </w:tc>
        <w:tc>
          <w:tcPr>
            <w:tcW w:type="dxa" w:w="1304"/>
            <w:vAlign w:val="top"/>
          </w:tcPr>
          <w:p>
            <w:pPr>
              <w:spacing w:after="20" w:line="252" w:lineRule="auto"/>
              <w:jc w:val="center"/>
            </w:pPr>
            <w:r>
              <w:rPr>
                <w:b w:val="0"/>
                <w:i w:val="0"/>
                <w:sz w:val="17"/>
              </w:rPr>
              <w:t>0</w:t>
            </w:r>
          </w:p>
        </w:tc>
        <w:tc>
          <w:tcPr>
            <w:tcW w:type="dxa" w:w="1304"/>
            <w:vAlign w:val="top"/>
          </w:tcPr>
          <w:p>
            <w:pPr>
              <w:spacing w:after="20" w:line="252" w:lineRule="auto"/>
              <w:jc w:val="center"/>
            </w:pPr>
            <w:r>
              <w:rPr>
                <w:b w:val="0"/>
                <w:i w:val="0"/>
                <w:sz w:val="17"/>
              </w:rPr>
              <w:t>0</w:t>
            </w:r>
          </w:p>
        </w:tc>
        <w:tc>
          <w:tcPr>
            <w:tcW w:type="dxa" w:w="1304"/>
            <w:vAlign w:val="top"/>
          </w:tcPr>
          <w:p>
            <w:pPr>
              <w:spacing w:after="20" w:line="252" w:lineRule="auto"/>
              <w:jc w:val="center"/>
            </w:pPr>
            <w:r>
              <w:rPr>
                <w:b w:val="0"/>
                <w:i w:val="0"/>
                <w:sz w:val="17"/>
              </w:rPr>
              <w:t>0</w:t>
            </w:r>
          </w:p>
        </w:tc>
        <w:tc>
          <w:tcPr>
            <w:tcW w:type="dxa" w:w="1304"/>
            <w:vAlign w:val="top"/>
          </w:tcPr>
          <w:p>
            <w:pPr>
              <w:spacing w:after="20" w:line="252" w:lineRule="auto"/>
              <w:jc w:val="center"/>
            </w:pPr>
            <w:r>
              <w:rPr>
                <w:b w:val="0"/>
                <w:i w:val="0"/>
                <w:sz w:val="17"/>
              </w:rPr>
              <w:t>0</w:t>
            </w:r>
          </w:p>
        </w:tc>
        <w:tc>
          <w:tcPr>
            <w:tcW w:type="dxa" w:w="1304"/>
            <w:vAlign w:val="top"/>
          </w:tcPr>
          <w:p>
            <w:pPr>
              <w:spacing w:after="20" w:line="252" w:lineRule="auto"/>
              <w:jc w:val="center"/>
            </w:pPr>
            <w:r>
              <w:rPr>
                <w:b w:val="0"/>
                <w:i w:val="0"/>
                <w:sz w:val="17"/>
              </w:rPr>
              <w:t>0</w:t>
            </w:r>
          </w:p>
        </w:tc>
      </w:tr>
    </w:tbl>
    <w:p>
      <w:pPr>
        <w:spacing w:after="0" w:before="0"/>
      </w:pPr>
      <w:r>
        <w:rPr>
          <w:sz w:val="8"/>
        </w:rPr>
      </w:r>
    </w:p>
    <w:p>
      <w:pPr>
        <w:pStyle w:val="Heading2"/>
      </w:pPr>
      <w:r>
        <w:t>Licence inventory</w:t>
      </w:r>
    </w:p>
    <w:p>
      <w:pPr>
        <w:keepNext w:val="0"/>
      </w:pPr>
      <w:r>
        <w:rPr>
          <w:b w:val="0"/>
          <w:i w:val="0"/>
        </w:rPr>
        <w:t>The runtime dependency tree contains 494 packages. All carry permissive open-source licences apart from the items explained below; none imposes copyleft obligations on the deployed solution.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5670"/>
        <w:gridCol w:w="3969"/>
      </w:tblGrid>
      <w:tr>
        <w:trPr>
          <w:cantSplit/>
          <w:tblHeader/>
        </w:trPr>
        <w:tc>
          <w:tcPr>
            <w:tcW w:type="dxa" w:w="5669"/>
            <w:shd w:val="clear" w:color="auto" w:fill="E1058C"/>
            <w:vAlign w:val="center"/>
          </w:tcPr>
          <w:p>
            <w:pPr>
              <w:spacing w:after="0"/>
            </w:pPr>
            <w:r>
              <w:rPr>
                <w:b/>
                <w:i w:val="0"/>
                <w:color w:val="FFFFFF"/>
                <w:sz w:val="16"/>
              </w:rPr>
              <w:t>Licence</w:t>
            </w:r>
          </w:p>
        </w:tc>
        <w:tc>
          <w:tcPr>
            <w:tcW w:type="dxa" w:w="3969"/>
            <w:shd w:val="clear" w:color="auto" w:fill="E1058C"/>
            <w:vAlign w:val="center"/>
          </w:tcPr>
          <w:p>
            <w:pPr>
              <w:spacing w:after="0"/>
            </w:pPr>
            <w:r>
              <w:rPr>
                <w:b/>
                <w:i w:val="0"/>
                <w:color w:val="FFFFFF"/>
                <w:sz w:val="16"/>
              </w:rPr>
              <w:t>Packages</w:t>
            </w:r>
          </w:p>
        </w:tc>
      </w:tr>
      <w:tr>
        <w:trPr>
          <w:cantSplit/>
        </w:trPr>
        <w:tc>
          <w:tcPr>
            <w:tcW w:type="dxa" w:w="5669"/>
            <w:vAlign w:val="top"/>
          </w:tcPr>
          <w:p>
            <w:pPr>
              <w:spacing w:after="20" w:line="252" w:lineRule="auto"/>
            </w:pPr>
            <w:r>
              <w:rPr>
                <w:b w:val="0"/>
                <w:i w:val="0"/>
                <w:sz w:val="16"/>
              </w:rPr>
              <w:t>MIT</w:t>
            </w:r>
          </w:p>
        </w:tc>
        <w:tc>
          <w:tcPr>
            <w:tcW w:type="dxa" w:w="3969"/>
            <w:vAlign w:val="top"/>
          </w:tcPr>
          <w:p>
            <w:pPr>
              <w:spacing w:after="20" w:line="252" w:lineRule="auto"/>
              <w:jc w:val="center"/>
            </w:pPr>
            <w:r>
              <w:rPr>
                <w:b w:val="0"/>
                <w:i w:val="0"/>
                <w:sz w:val="16"/>
              </w:rPr>
              <w:t>400</w:t>
            </w:r>
          </w:p>
        </w:tc>
      </w:tr>
      <w:tr>
        <w:trPr>
          <w:cantSplit/>
        </w:trPr>
        <w:tc>
          <w:tcPr>
            <w:tcW w:type="dxa" w:w="5669"/>
            <w:vAlign w:val="top"/>
            <w:shd w:val="clear" w:color="auto" w:fill="FDF0F7"/>
          </w:tcPr>
          <w:p>
            <w:pPr>
              <w:spacing w:after="20" w:line="252" w:lineRule="auto"/>
            </w:pPr>
            <w:r>
              <w:rPr>
                <w:b w:val="0"/>
                <w:i w:val="0"/>
                <w:sz w:val="16"/>
              </w:rPr>
              <w:t>ISC</w:t>
            </w:r>
          </w:p>
        </w:tc>
        <w:tc>
          <w:tcPr>
            <w:tcW w:type="dxa" w:w="3969"/>
            <w:vAlign w:val="top"/>
            <w:shd w:val="clear" w:color="auto" w:fill="FDF0F7"/>
          </w:tcPr>
          <w:p>
            <w:pPr>
              <w:spacing w:after="20" w:line="252" w:lineRule="auto"/>
              <w:jc w:val="center"/>
            </w:pPr>
            <w:r>
              <w:rPr>
                <w:b w:val="0"/>
                <w:i w:val="0"/>
                <w:sz w:val="16"/>
              </w:rPr>
              <w:t>40</w:t>
            </w:r>
          </w:p>
        </w:tc>
      </w:tr>
      <w:tr>
        <w:trPr>
          <w:cantSplit/>
        </w:trPr>
        <w:tc>
          <w:tcPr>
            <w:tcW w:type="dxa" w:w="5669"/>
            <w:vAlign w:val="top"/>
          </w:tcPr>
          <w:p>
            <w:pPr>
              <w:spacing w:after="20" w:line="252" w:lineRule="auto"/>
            </w:pPr>
            <w:r>
              <w:rPr>
                <w:b w:val="0"/>
                <w:i w:val="0"/>
                <w:sz w:val="16"/>
              </w:rPr>
              <w:t>Apache-2.0</w:t>
            </w:r>
          </w:p>
        </w:tc>
        <w:tc>
          <w:tcPr>
            <w:tcW w:type="dxa" w:w="3969"/>
            <w:vAlign w:val="top"/>
          </w:tcPr>
          <w:p>
            <w:pPr>
              <w:spacing w:after="20" w:line="252" w:lineRule="auto"/>
              <w:jc w:val="center"/>
            </w:pPr>
            <w:r>
              <w:rPr>
                <w:b w:val="0"/>
                <w:i w:val="0"/>
                <w:sz w:val="16"/>
              </w:rPr>
              <w:t>30</w:t>
            </w:r>
          </w:p>
        </w:tc>
      </w:tr>
      <w:tr>
        <w:trPr>
          <w:cantSplit/>
        </w:trPr>
        <w:tc>
          <w:tcPr>
            <w:tcW w:type="dxa" w:w="5669"/>
            <w:vAlign w:val="top"/>
            <w:shd w:val="clear" w:color="auto" w:fill="FDF0F7"/>
          </w:tcPr>
          <w:p>
            <w:pPr>
              <w:spacing w:after="20" w:line="252" w:lineRule="auto"/>
            </w:pPr>
            <w:r>
              <w:rPr>
                <w:b w:val="0"/>
                <w:i w:val="0"/>
                <w:sz w:val="16"/>
              </w:rPr>
              <w:t>BSD-3-Clause</w:t>
            </w:r>
          </w:p>
        </w:tc>
        <w:tc>
          <w:tcPr>
            <w:tcW w:type="dxa" w:w="3969"/>
            <w:vAlign w:val="top"/>
            <w:shd w:val="clear" w:color="auto" w:fill="FDF0F7"/>
          </w:tcPr>
          <w:p>
            <w:pPr>
              <w:spacing w:after="20" w:line="252" w:lineRule="auto"/>
              <w:jc w:val="center"/>
            </w:pPr>
            <w:r>
              <w:rPr>
                <w:b w:val="0"/>
                <w:i w:val="0"/>
                <w:sz w:val="16"/>
              </w:rPr>
              <w:t>7</w:t>
            </w:r>
          </w:p>
        </w:tc>
      </w:tr>
      <w:tr>
        <w:trPr>
          <w:cantSplit/>
        </w:trPr>
        <w:tc>
          <w:tcPr>
            <w:tcW w:type="dxa" w:w="5669"/>
            <w:vAlign w:val="top"/>
          </w:tcPr>
          <w:p>
            <w:pPr>
              <w:spacing w:after="20" w:line="252" w:lineRule="auto"/>
            </w:pPr>
            <w:r>
              <w:rPr>
                <w:b w:val="0"/>
                <w:i w:val="0"/>
                <w:sz w:val="16"/>
              </w:rPr>
              <w:t>Unlicense</w:t>
            </w:r>
          </w:p>
        </w:tc>
        <w:tc>
          <w:tcPr>
            <w:tcW w:type="dxa" w:w="3969"/>
            <w:vAlign w:val="top"/>
          </w:tcPr>
          <w:p>
            <w:pPr>
              <w:spacing w:after="20" w:line="252" w:lineRule="auto"/>
              <w:jc w:val="center"/>
            </w:pPr>
            <w:r>
              <w:rPr>
                <w:b w:val="0"/>
                <w:i w:val="0"/>
                <w:sz w:val="16"/>
              </w:rPr>
              <w:t>3</w:t>
            </w:r>
          </w:p>
        </w:tc>
      </w:tr>
      <w:tr>
        <w:trPr>
          <w:cantSplit/>
        </w:trPr>
        <w:tc>
          <w:tcPr>
            <w:tcW w:type="dxa" w:w="5669"/>
            <w:vAlign w:val="top"/>
            <w:shd w:val="clear" w:color="auto" w:fill="FDF0F7"/>
          </w:tcPr>
          <w:p>
            <w:pPr>
              <w:spacing w:after="20" w:line="252" w:lineRule="auto"/>
            </w:pPr>
            <w:r>
              <w:rPr>
                <w:b w:val="0"/>
                <w:i w:val="0"/>
                <w:sz w:val="16"/>
              </w:rPr>
              <w:t>UNKNOWN</w:t>
            </w:r>
          </w:p>
        </w:tc>
        <w:tc>
          <w:tcPr>
            <w:tcW w:type="dxa" w:w="3969"/>
            <w:vAlign w:val="top"/>
            <w:shd w:val="clear" w:color="auto" w:fill="FDF0F7"/>
          </w:tcPr>
          <w:p>
            <w:pPr>
              <w:spacing w:after="20" w:line="252" w:lineRule="auto"/>
              <w:jc w:val="center"/>
            </w:pPr>
            <w:r>
              <w:rPr>
                <w:b w:val="0"/>
                <w:i w:val="0"/>
                <w:sz w:val="16"/>
              </w:rPr>
              <w:t>2</w:t>
            </w:r>
          </w:p>
        </w:tc>
      </w:tr>
      <w:tr>
        <w:trPr>
          <w:cantSplit/>
        </w:trPr>
        <w:tc>
          <w:tcPr>
            <w:tcW w:type="dxa" w:w="5669"/>
            <w:vAlign w:val="top"/>
          </w:tcPr>
          <w:p>
            <w:pPr>
              <w:spacing w:after="20" w:line="252" w:lineRule="auto"/>
            </w:pPr>
            <w:r>
              <w:rPr>
                <w:b w:val="0"/>
                <w:i w:val="0"/>
                <w:sz w:val="16"/>
              </w:rPr>
              <w:t>MIT/X11</w:t>
            </w:r>
          </w:p>
        </w:tc>
        <w:tc>
          <w:tcPr>
            <w:tcW w:type="dxa" w:w="3969"/>
            <w:vAlign w:val="top"/>
          </w:tcPr>
          <w:p>
            <w:pPr>
              <w:spacing w:after="20" w:line="252" w:lineRule="auto"/>
              <w:jc w:val="center"/>
            </w:pPr>
            <w:r>
              <w:rPr>
                <w:b w:val="0"/>
                <w:i w:val="0"/>
                <w:sz w:val="16"/>
              </w:rPr>
              <w:t>2</w:t>
            </w:r>
          </w:p>
        </w:tc>
      </w:tr>
      <w:tr>
        <w:trPr>
          <w:cantSplit/>
        </w:trPr>
        <w:tc>
          <w:tcPr>
            <w:tcW w:type="dxa" w:w="5669"/>
            <w:vAlign w:val="top"/>
            <w:shd w:val="clear" w:color="auto" w:fill="FDF0F7"/>
          </w:tcPr>
          <w:p>
            <w:pPr>
              <w:spacing w:after="20" w:line="252" w:lineRule="auto"/>
            </w:pPr>
            <w:r>
              <w:rPr>
                <w:b w:val="0"/>
                <w:i w:val="0"/>
                <w:sz w:val="16"/>
              </w:rPr>
              <w:t>BSD-2-Clause</w:t>
            </w:r>
          </w:p>
        </w:tc>
        <w:tc>
          <w:tcPr>
            <w:tcW w:type="dxa" w:w="3969"/>
            <w:vAlign w:val="top"/>
            <w:shd w:val="clear" w:color="auto" w:fill="FDF0F7"/>
          </w:tcPr>
          <w:p>
            <w:pPr>
              <w:spacing w:after="20" w:line="252" w:lineRule="auto"/>
              <w:jc w:val="center"/>
            </w:pPr>
            <w:r>
              <w:rPr>
                <w:b w:val="0"/>
                <w:i w:val="0"/>
                <w:sz w:val="16"/>
              </w:rPr>
              <w:t>2</w:t>
            </w:r>
          </w:p>
        </w:tc>
      </w:tr>
      <w:tr>
        <w:trPr>
          <w:cantSplit/>
        </w:trPr>
        <w:tc>
          <w:tcPr>
            <w:tcW w:type="dxa" w:w="5669"/>
            <w:vAlign w:val="top"/>
          </w:tcPr>
          <w:p>
            <w:pPr>
              <w:spacing w:after="20" w:line="252" w:lineRule="auto"/>
            </w:pPr>
            <w:r>
              <w:rPr>
                <w:b w:val="0"/>
                <w:i w:val="0"/>
                <w:sz w:val="16"/>
              </w:rPr>
              <w:t>MIT and ISC</w:t>
            </w:r>
          </w:p>
        </w:tc>
        <w:tc>
          <w:tcPr>
            <w:tcW w:type="dxa" w:w="3969"/>
            <w:vAlign w:val="top"/>
          </w:tcPr>
          <w:p>
            <w:pPr>
              <w:spacing w:after="20" w:line="252" w:lineRule="auto"/>
              <w:jc w:val="center"/>
            </w:pPr>
            <w:r>
              <w:rPr>
                <w:b w:val="0"/>
                <w:i w:val="0"/>
                <w:sz w:val="16"/>
              </w:rPr>
              <w:t>1</w:t>
            </w:r>
          </w:p>
        </w:tc>
      </w:tr>
      <w:tr>
        <w:trPr>
          <w:cantSplit/>
        </w:trPr>
        <w:tc>
          <w:tcPr>
            <w:tcW w:type="dxa" w:w="5669"/>
            <w:vAlign w:val="top"/>
            <w:shd w:val="clear" w:color="auto" w:fill="FDF0F7"/>
          </w:tcPr>
          <w:p>
            <w:pPr>
              <w:spacing w:after="20" w:line="252" w:lineRule="auto"/>
            </w:pPr>
            <w:r>
              <w:rPr>
                <w:b w:val="0"/>
                <w:i w:val="0"/>
                <w:sz w:val="16"/>
              </w:rPr>
              <w:t>Python-2.0</w:t>
            </w:r>
          </w:p>
        </w:tc>
        <w:tc>
          <w:tcPr>
            <w:tcW w:type="dxa" w:w="3969"/>
            <w:vAlign w:val="top"/>
            <w:shd w:val="clear" w:color="auto" w:fill="FDF0F7"/>
          </w:tcPr>
          <w:p>
            <w:pPr>
              <w:spacing w:after="20" w:line="252" w:lineRule="auto"/>
              <w:jc w:val="center"/>
            </w:pPr>
            <w:r>
              <w:rPr>
                <w:b w:val="0"/>
                <w:i w:val="0"/>
                <w:sz w:val="16"/>
              </w:rPr>
              <w:t>1</w:t>
            </w:r>
          </w:p>
        </w:tc>
      </w:tr>
      <w:tr>
        <w:trPr>
          <w:cantSplit/>
        </w:trPr>
        <w:tc>
          <w:tcPr>
            <w:tcW w:type="dxa" w:w="5669"/>
            <w:vAlign w:val="top"/>
          </w:tcPr>
          <w:p>
            <w:pPr>
              <w:spacing w:after="20" w:line="252" w:lineRule="auto"/>
            </w:pPr>
            <w:r>
              <w:rPr>
                <w:b w:val="0"/>
                <w:i w:val="0"/>
                <w:sz w:val="16"/>
              </w:rPr>
              <w:t>EPL-2.0</w:t>
            </w:r>
          </w:p>
        </w:tc>
        <w:tc>
          <w:tcPr>
            <w:tcW w:type="dxa" w:w="3969"/>
            <w:vAlign w:val="top"/>
          </w:tcPr>
          <w:p>
            <w:pPr>
              <w:spacing w:after="20" w:line="252" w:lineRule="auto"/>
              <w:jc w:val="center"/>
            </w:pPr>
            <w:r>
              <w:rPr>
                <w:b w:val="0"/>
                <w:i w:val="0"/>
                <w:sz w:val="16"/>
              </w:rPr>
              <w:t>1</w:t>
            </w:r>
          </w:p>
        </w:tc>
      </w:tr>
      <w:tr>
        <w:trPr>
          <w:cantSplit/>
        </w:trPr>
        <w:tc>
          <w:tcPr>
            <w:tcW w:type="dxa" w:w="5669"/>
            <w:vAlign w:val="top"/>
            <w:shd w:val="clear" w:color="auto" w:fill="FDF0F7"/>
          </w:tcPr>
          <w:p>
            <w:pPr>
              <w:spacing w:after="20" w:line="252" w:lineRule="auto"/>
            </w:pPr>
            <w:r>
              <w:rPr>
                <w:b w:val="0"/>
                <w:i w:val="0"/>
                <w:sz w:val="16"/>
              </w:rPr>
              <w:t>(MIT OR GPL-3.0-or-later)</w:t>
            </w:r>
          </w:p>
        </w:tc>
        <w:tc>
          <w:tcPr>
            <w:tcW w:type="dxa" w:w="3969"/>
            <w:vAlign w:val="top"/>
            <w:shd w:val="clear" w:color="auto" w:fill="FDF0F7"/>
          </w:tcPr>
          <w:p>
            <w:pPr>
              <w:spacing w:after="20" w:line="252" w:lineRule="auto"/>
              <w:jc w:val="center"/>
            </w:pPr>
            <w:r>
              <w:rPr>
                <w:b w:val="0"/>
                <w:i w:val="0"/>
                <w:sz w:val="16"/>
              </w:rPr>
              <w:t>1</w:t>
            </w:r>
          </w:p>
        </w:tc>
      </w:tr>
      <w:tr>
        <w:trPr>
          <w:cantSplit/>
        </w:trPr>
        <w:tc>
          <w:tcPr>
            <w:tcW w:type="dxa" w:w="5669"/>
            <w:vAlign w:val="top"/>
          </w:tcPr>
          <w:p>
            <w:pPr>
              <w:spacing w:after="20" w:line="252" w:lineRule="auto"/>
            </w:pPr>
            <w:r>
              <w:rPr>
                <w:b w:val="0"/>
                <w:i w:val="0"/>
                <w:sz w:val="16"/>
              </w:rPr>
              <w:t>MIT-0</w:t>
            </w:r>
          </w:p>
        </w:tc>
        <w:tc>
          <w:tcPr>
            <w:tcW w:type="dxa" w:w="3969"/>
            <w:vAlign w:val="top"/>
          </w:tcPr>
          <w:p>
            <w:pPr>
              <w:spacing w:after="20" w:line="252" w:lineRule="auto"/>
              <w:jc w:val="center"/>
            </w:pPr>
            <w:r>
              <w:rPr>
                <w:b w:val="0"/>
                <w:i w:val="0"/>
                <w:sz w:val="16"/>
              </w:rPr>
              <w:t>1</w:t>
            </w:r>
          </w:p>
        </w:tc>
      </w:tr>
      <w:tr>
        <w:trPr>
          <w:cantSplit/>
        </w:trPr>
        <w:tc>
          <w:tcPr>
            <w:tcW w:type="dxa" w:w="5669"/>
            <w:vAlign w:val="top"/>
            <w:shd w:val="clear" w:color="auto" w:fill="FDF0F7"/>
          </w:tcPr>
          <w:p>
            <w:pPr>
              <w:spacing w:after="20" w:line="252" w:lineRule="auto"/>
            </w:pPr>
            <w:r>
              <w:rPr>
                <w:b w:val="0"/>
                <w:i w:val="0"/>
                <w:sz w:val="16"/>
              </w:rPr>
              <w:t>(MIT AND Zlib)</w:t>
            </w:r>
          </w:p>
        </w:tc>
        <w:tc>
          <w:tcPr>
            <w:tcW w:type="dxa" w:w="3969"/>
            <w:vAlign w:val="top"/>
            <w:shd w:val="clear" w:color="auto" w:fill="FDF0F7"/>
          </w:tcPr>
          <w:p>
            <w:pPr>
              <w:spacing w:after="20" w:line="252" w:lineRule="auto"/>
              <w:jc w:val="center"/>
            </w:pPr>
            <w:r>
              <w:rPr>
                <w:b w:val="0"/>
                <w:i w:val="0"/>
                <w:sz w:val="16"/>
              </w:rPr>
              <w:t>1</w:t>
            </w:r>
          </w:p>
        </w:tc>
      </w:tr>
      <w:tr>
        <w:trPr>
          <w:cantSplit/>
        </w:trPr>
        <w:tc>
          <w:tcPr>
            <w:tcW w:type="dxa" w:w="5669"/>
            <w:vAlign w:val="top"/>
          </w:tcPr>
          <w:p>
            <w:pPr>
              <w:spacing w:after="20" w:line="252" w:lineRule="auto"/>
            </w:pPr>
            <w:r>
              <w:rPr>
                <w:b w:val="0"/>
                <w:i w:val="0"/>
                <w:sz w:val="16"/>
              </w:rPr>
              <w:t>0BSD</w:t>
            </w:r>
          </w:p>
        </w:tc>
        <w:tc>
          <w:tcPr>
            <w:tcW w:type="dxa" w:w="3969"/>
            <w:vAlign w:val="top"/>
          </w:tcPr>
          <w:p>
            <w:pPr>
              <w:spacing w:after="20" w:line="252" w:lineRule="auto"/>
              <w:jc w:val="center"/>
            </w:pPr>
            <w:r>
              <w:rPr>
                <w:b w:val="0"/>
                <w:i w:val="0"/>
                <w:sz w:val="16"/>
              </w:rPr>
              <w:t>1</w:t>
            </w:r>
          </w:p>
        </w:tc>
      </w:tr>
      <w:tr>
        <w:trPr>
          <w:cantSplit/>
        </w:trPr>
        <w:tc>
          <w:tcPr>
            <w:tcW w:type="dxa" w:w="5669"/>
            <w:vAlign w:val="top"/>
            <w:shd w:val="clear" w:color="auto" w:fill="FDF0F7"/>
          </w:tcPr>
          <w:p>
            <w:pPr>
              <w:spacing w:after="20" w:line="252" w:lineRule="auto"/>
            </w:pPr>
            <w:r>
              <w:rPr>
                <w:b w:val="0"/>
                <w:i w:val="0"/>
                <w:sz w:val="16"/>
              </w:rPr>
              <w:t>MIT AND ISC</w:t>
            </w:r>
          </w:p>
        </w:tc>
        <w:tc>
          <w:tcPr>
            <w:tcW w:type="dxa" w:w="3969"/>
            <w:vAlign w:val="top"/>
            <w:shd w:val="clear" w:color="auto" w:fill="FDF0F7"/>
          </w:tcPr>
          <w:p>
            <w:pPr>
              <w:spacing w:after="20" w:line="252" w:lineRule="auto"/>
              <w:jc w:val="center"/>
            </w:pPr>
            <w:r>
              <w:rPr>
                <w:b w:val="0"/>
                <w:i w:val="0"/>
                <w:sz w:val="16"/>
              </w:rPr>
              <w:t>1</w:t>
            </w:r>
          </w:p>
        </w:tc>
      </w:tr>
    </w:tbl>
    <w:p>
      <w:pPr>
        <w:pStyle w:val="Caption"/>
        <w:jc w:val="center"/>
      </w:pPr>
      <w:r>
        <w:rPr>
          <w:b w:val="0"/>
          <w:i w:val="0"/>
        </w:rPr>
        <w:t>Table 10: Packages by licence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474"/>
        <w:gridCol w:w="1020"/>
        <w:gridCol w:w="2041"/>
        <w:gridCol w:w="5103"/>
      </w:tblGrid>
      <w:tr>
        <w:trPr>
          <w:cantSplit/>
          <w:tblHeader/>
        </w:trPr>
        <w:tc>
          <w:tcPr>
            <w:tcW w:type="dxa" w:w="1474"/>
            <w:shd w:val="clear" w:color="auto" w:fill="E1058C"/>
            <w:vAlign w:val="center"/>
          </w:tcPr>
          <w:p>
            <w:pPr>
              <w:spacing w:after="0"/>
            </w:pPr>
            <w:r>
              <w:rPr>
                <w:b/>
                <w:i w:val="0"/>
                <w:color w:val="FFFFFF"/>
                <w:sz w:val="16"/>
              </w:rPr>
              <w:t>Package</w:t>
            </w:r>
          </w:p>
        </w:tc>
        <w:tc>
          <w:tcPr>
            <w:tcW w:type="dxa" w:w="1020"/>
            <w:shd w:val="clear" w:color="auto" w:fill="E1058C"/>
            <w:vAlign w:val="center"/>
          </w:tcPr>
          <w:p>
            <w:pPr>
              <w:spacing w:after="0"/>
            </w:pPr>
            <w:r>
              <w:rPr>
                <w:b/>
                <w:i w:val="0"/>
                <w:color w:val="FFFFFF"/>
                <w:sz w:val="16"/>
              </w:rPr>
              <w:t>Version</w:t>
            </w:r>
          </w:p>
        </w:tc>
        <w:tc>
          <w:tcPr>
            <w:tcW w:type="dxa" w:w="2041"/>
            <w:shd w:val="clear" w:color="auto" w:fill="E1058C"/>
            <w:vAlign w:val="center"/>
          </w:tcPr>
          <w:p>
            <w:pPr>
              <w:spacing w:after="0"/>
            </w:pPr>
            <w:r>
              <w:rPr>
                <w:b/>
                <w:i w:val="0"/>
                <w:color w:val="FFFFFF"/>
                <w:sz w:val="16"/>
              </w:rPr>
              <w:t>Declared licence</w:t>
            </w:r>
          </w:p>
        </w:tc>
        <w:tc>
          <w:tcPr>
            <w:tcW w:type="dxa" w:w="5102"/>
            <w:shd w:val="clear" w:color="auto" w:fill="E1058C"/>
            <w:vAlign w:val="center"/>
          </w:tcPr>
          <w:p>
            <w:pPr>
              <w:spacing w:after="0"/>
            </w:pPr>
            <w:r>
              <w:rPr>
                <w:b/>
                <w:i w:val="0"/>
                <w:color w:val="FFFFFF"/>
                <w:sz w:val="16"/>
              </w:rPr>
              <w:t>Position</w:t>
            </w:r>
          </w:p>
        </w:tc>
      </w:tr>
      <w:tr>
        <w:trPr>
          <w:cantSplit/>
        </w:trPr>
        <w:tc>
          <w:tcPr>
            <w:tcW w:type="dxa" w:w="1474"/>
            <w:vAlign w:val="top"/>
          </w:tcPr>
          <w:p>
            <w:pPr>
              <w:spacing w:after="20" w:line="252" w:lineRule="auto"/>
            </w:pPr>
            <w:r>
              <w:rPr>
                <w:b w:val="0"/>
                <w:i w:val="0"/>
                <w:sz w:val="16"/>
              </w:rPr>
              <w:t>buffers</w:t>
            </w:r>
          </w:p>
        </w:tc>
        <w:tc>
          <w:tcPr>
            <w:tcW w:type="dxa" w:w="1020"/>
            <w:vAlign w:val="top"/>
          </w:tcPr>
          <w:p>
            <w:pPr>
              <w:spacing w:after="20" w:line="252" w:lineRule="auto"/>
            </w:pPr>
            <w:r>
              <w:rPr>
                <w:b w:val="0"/>
                <w:i w:val="0"/>
                <w:sz w:val="16"/>
              </w:rPr>
              <w:t>0.1.1</w:t>
            </w:r>
          </w:p>
        </w:tc>
        <w:tc>
          <w:tcPr>
            <w:tcW w:type="dxa" w:w="2041"/>
            <w:vAlign w:val="top"/>
          </w:tcPr>
          <w:p>
            <w:pPr>
              <w:spacing w:after="20" w:line="252" w:lineRule="auto"/>
            </w:pPr>
            <w:r>
              <w:rPr>
                <w:b w:val="0"/>
                <w:i w:val="0"/>
                <w:sz w:val="16"/>
              </w:rPr>
              <w:t>UNKNOWN</w:t>
            </w:r>
          </w:p>
        </w:tc>
        <w:tc>
          <w:tcPr>
            <w:tcW w:type="dxa" w:w="5102"/>
            <w:vAlign w:val="top"/>
          </w:tcPr>
          <w:p>
            <w:pPr>
              <w:spacing w:after="20" w:line="252" w:lineRule="auto"/>
            </w:pPr>
            <w:r>
              <w:rPr>
                <w:b w:val="0"/>
                <w:i w:val="0"/>
                <w:sz w:val="16"/>
              </w:rPr>
              <w:t>MIT licence declared in the project repository but not in package.json.</w:t>
            </w:r>
          </w:p>
        </w:tc>
      </w:tr>
      <w:tr>
        <w:trPr>
          <w:cantSplit/>
        </w:trPr>
        <w:tc>
          <w:tcPr>
            <w:tcW w:type="dxa" w:w="1474"/>
            <w:vAlign w:val="top"/>
            <w:shd w:val="clear" w:color="auto" w:fill="FDF0F7"/>
          </w:tcPr>
          <w:p>
            <w:pPr>
              <w:spacing w:after="20" w:line="252" w:lineRule="auto"/>
            </w:pPr>
            <w:r>
              <w:rPr>
                <w:b w:val="0"/>
                <w:i w:val="0"/>
                <w:sz w:val="16"/>
              </w:rPr>
              <w:t>elkjs</w:t>
            </w:r>
          </w:p>
        </w:tc>
        <w:tc>
          <w:tcPr>
            <w:tcW w:type="dxa" w:w="1020"/>
            <w:vAlign w:val="top"/>
            <w:shd w:val="clear" w:color="auto" w:fill="FDF0F7"/>
          </w:tcPr>
          <w:p>
            <w:pPr>
              <w:spacing w:after="20" w:line="252" w:lineRule="auto"/>
            </w:pPr>
            <w:r>
              <w:rPr>
                <w:b w:val="0"/>
                <w:i w:val="0"/>
                <w:sz w:val="16"/>
              </w:rPr>
              <w:t>0.11.1</w:t>
            </w:r>
          </w:p>
        </w:tc>
        <w:tc>
          <w:tcPr>
            <w:tcW w:type="dxa" w:w="2041"/>
            <w:vAlign w:val="top"/>
            <w:shd w:val="clear" w:color="auto" w:fill="FDF0F7"/>
          </w:tcPr>
          <w:p>
            <w:pPr>
              <w:spacing w:after="20" w:line="252" w:lineRule="auto"/>
            </w:pPr>
            <w:r>
              <w:rPr>
                <w:b w:val="0"/>
                <w:i w:val="0"/>
                <w:sz w:val="16"/>
              </w:rPr>
              <w:t>EPL-2.0</w:t>
            </w:r>
          </w:p>
        </w:tc>
        <w:tc>
          <w:tcPr>
            <w:tcW w:type="dxa" w:w="5102"/>
            <w:vAlign w:val="top"/>
            <w:shd w:val="clear" w:color="auto" w:fill="FDF0F7"/>
          </w:tcPr>
          <w:p>
            <w:pPr>
              <w:spacing w:after="20" w:line="252" w:lineRule="auto"/>
            </w:pPr>
            <w:r>
              <w:rPr>
                <w:b w:val="0"/>
                <w:i w:val="0"/>
                <w:sz w:val="16"/>
              </w:rPr>
              <w:t>Reached only through the Prisma CLI's optional Studio peer, a development tool. It is not installed in the runtime image, which is built with npm ci --omit=dev.</w:t>
            </w:r>
          </w:p>
        </w:tc>
      </w:tr>
      <w:tr>
        <w:trPr>
          <w:cantSplit/>
        </w:trPr>
        <w:tc>
          <w:tcPr>
            <w:tcW w:type="dxa" w:w="1474"/>
            <w:vAlign w:val="top"/>
          </w:tcPr>
          <w:p>
            <w:pPr>
              <w:spacing w:after="20" w:line="252" w:lineRule="auto"/>
            </w:pPr>
            <w:r>
              <w:rPr>
                <w:b w:val="0"/>
                <w:i w:val="0"/>
                <w:sz w:val="16"/>
              </w:rPr>
              <w:t>jszip</w:t>
            </w:r>
          </w:p>
        </w:tc>
        <w:tc>
          <w:tcPr>
            <w:tcW w:type="dxa" w:w="1020"/>
            <w:vAlign w:val="top"/>
          </w:tcPr>
          <w:p>
            <w:pPr>
              <w:spacing w:after="20" w:line="252" w:lineRule="auto"/>
            </w:pPr>
            <w:r>
              <w:rPr>
                <w:b w:val="0"/>
                <w:i w:val="0"/>
                <w:sz w:val="16"/>
              </w:rPr>
              <w:t>3.10.2</w:t>
            </w:r>
          </w:p>
        </w:tc>
        <w:tc>
          <w:tcPr>
            <w:tcW w:type="dxa" w:w="2041"/>
            <w:vAlign w:val="top"/>
          </w:tcPr>
          <w:p>
            <w:pPr>
              <w:spacing w:after="20" w:line="252" w:lineRule="auto"/>
            </w:pPr>
            <w:r>
              <w:rPr>
                <w:b w:val="0"/>
                <w:i w:val="0"/>
                <w:sz w:val="16"/>
              </w:rPr>
              <w:t>(MIT OR GPL-3.0-or-later)</w:t>
            </w:r>
          </w:p>
        </w:tc>
        <w:tc>
          <w:tcPr>
            <w:tcW w:type="dxa" w:w="5102"/>
            <w:vAlign w:val="top"/>
          </w:tcPr>
          <w:p>
            <w:pPr>
              <w:spacing w:after="20" w:line="252" w:lineRule="auto"/>
            </w:pPr>
            <w:r>
              <w:rPr>
                <w:b w:val="0"/>
                <w:i w:val="0"/>
                <w:sz w:val="16"/>
              </w:rPr>
              <w:t>Dual-licensed MIT OR GPL-3.0; used under the MIT licence.</w:t>
            </w:r>
          </w:p>
        </w:tc>
      </w:tr>
      <w:tr>
        <w:trPr>
          <w:cantSplit/>
        </w:trPr>
        <w:tc>
          <w:tcPr>
            <w:tcW w:type="dxa" w:w="1474"/>
            <w:vAlign w:val="top"/>
            <w:shd w:val="clear" w:color="auto" w:fill="FDF0F7"/>
          </w:tcPr>
          <w:p>
            <w:pPr>
              <w:spacing w:after="20" w:line="252" w:lineRule="auto"/>
            </w:pPr>
            <w:r>
              <w:rPr>
                <w:b w:val="0"/>
                <w:i w:val="0"/>
                <w:sz w:val="16"/>
              </w:rPr>
              <w:t>png-js</w:t>
            </w:r>
          </w:p>
        </w:tc>
        <w:tc>
          <w:tcPr>
            <w:tcW w:type="dxa" w:w="1020"/>
            <w:vAlign w:val="top"/>
            <w:shd w:val="clear" w:color="auto" w:fill="FDF0F7"/>
          </w:tcPr>
          <w:p>
            <w:pPr>
              <w:spacing w:after="20" w:line="252" w:lineRule="auto"/>
            </w:pPr>
            <w:r>
              <w:rPr>
                <w:b w:val="0"/>
                <w:i w:val="0"/>
                <w:sz w:val="16"/>
              </w:rPr>
              <w:t>2.0.0</w:t>
            </w:r>
          </w:p>
        </w:tc>
        <w:tc>
          <w:tcPr>
            <w:tcW w:type="dxa" w:w="2041"/>
            <w:vAlign w:val="top"/>
            <w:shd w:val="clear" w:color="auto" w:fill="FDF0F7"/>
          </w:tcPr>
          <w:p>
            <w:pPr>
              <w:spacing w:after="20" w:line="252" w:lineRule="auto"/>
            </w:pPr>
            <w:r>
              <w:rPr>
                <w:b w:val="0"/>
                <w:i w:val="0"/>
                <w:sz w:val="16"/>
              </w:rPr>
              <w:t>UNKNOWN</w:t>
            </w:r>
          </w:p>
        </w:tc>
        <w:tc>
          <w:tcPr>
            <w:tcW w:type="dxa" w:w="5102"/>
            <w:vAlign w:val="top"/>
            <w:shd w:val="clear" w:color="auto" w:fill="FDF0F7"/>
          </w:tcPr>
          <w:p>
            <w:pPr>
              <w:spacing w:after="20" w:line="252" w:lineRule="auto"/>
            </w:pPr>
            <w:r>
              <w:rPr>
                <w:b w:val="0"/>
                <w:i w:val="0"/>
                <w:sz w:val="16"/>
              </w:rPr>
              <w:t>MIT licence declared in the project repository but not in package.json.</w:t>
            </w:r>
          </w:p>
        </w:tc>
      </w:tr>
    </w:tbl>
    <w:p>
      <w:pPr>
        <w:pStyle w:val="Caption"/>
        <w:jc w:val="center"/>
      </w:pPr>
      <w:r>
        <w:rPr>
          <w:b w:val="0"/>
          <w:i w:val="0"/>
        </w:rPr>
        <w:t>Table 11: Licence exceptions and how they are handled</w:t>
      </w:r>
    </w:p>
    <w:p>
      <w:pPr>
        <w:pStyle w:val="Heading1"/>
        <w:pageBreakBefore w:val="0"/>
        <w:pBdr>
          <w:bottom w:val="single" w:sz="12" w:space="4" w:color="F58220"/>
        </w:pBdr>
      </w:pPr>
      <w:r>
        <w:t>7. Code metrics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536"/>
        <w:gridCol w:w="5103"/>
      </w:tblGrid>
      <w:tr>
        <w:trPr>
          <w:cantSplit/>
          <w:tblHeader/>
        </w:trPr>
        <w:tc>
          <w:tcPr>
            <w:tcW w:type="dxa" w:w="4535"/>
            <w:shd w:val="clear" w:color="auto" w:fill="E1058C"/>
            <w:vAlign w:val="center"/>
          </w:tcPr>
          <w:p>
            <w:pPr>
              <w:spacing w:after="0"/>
            </w:pPr>
            <w:r>
              <w:rPr>
                <w:b/>
                <w:i w:val="0"/>
                <w:color w:val="FFFFFF"/>
                <w:sz w:val="17"/>
              </w:rPr>
              <w:t>Measure</w:t>
            </w:r>
          </w:p>
        </w:tc>
        <w:tc>
          <w:tcPr>
            <w:tcW w:type="dxa" w:w="5102"/>
            <w:shd w:val="clear" w:color="auto" w:fill="E1058C"/>
            <w:vAlign w:val="center"/>
          </w:tcPr>
          <w:p>
            <w:pPr>
              <w:spacing w:after="0"/>
            </w:pPr>
            <w:r>
              <w:rPr>
                <w:b/>
                <w:i w:val="0"/>
                <w:color w:val="FFFFFF"/>
                <w:sz w:val="17"/>
              </w:rPr>
              <w:t>Value</w:t>
            </w:r>
          </w:p>
        </w:tc>
      </w:tr>
      <w:tr>
        <w:trPr>
          <w:cantSplit/>
        </w:trPr>
        <w:tc>
          <w:tcPr>
            <w:tcW w:type="dxa" w:w="4535"/>
            <w:vAlign w:val="top"/>
          </w:tcPr>
          <w:p>
            <w:pPr>
              <w:spacing w:after="20" w:line="252" w:lineRule="auto"/>
            </w:pPr>
            <w:r>
              <w:rPr>
                <w:b/>
                <w:i w:val="0"/>
                <w:sz w:val="17"/>
              </w:rPr>
              <w:t>API source files (including unit test files)</w:t>
            </w:r>
          </w:p>
        </w:tc>
        <w:tc>
          <w:tcPr>
            <w:tcW w:type="dxa" w:w="5102"/>
            <w:vAlign w:val="top"/>
          </w:tcPr>
          <w:p>
            <w:pPr>
              <w:spacing w:after="20" w:line="252" w:lineRule="auto"/>
            </w:pPr>
            <w:r>
              <w:rPr>
                <w:b w:val="0"/>
                <w:i w:val="0"/>
                <w:sz w:val="17"/>
              </w:rPr>
              <w:t>145</w:t>
            </w:r>
          </w:p>
        </w:tc>
      </w:tr>
      <w:tr>
        <w:trPr>
          <w:cantSplit/>
        </w:trPr>
        <w:tc>
          <w:tcPr>
            <w:tcW w:type="dxa" w:w="4535"/>
            <w:vAlign w:val="top"/>
            <w:shd w:val="clear" w:color="auto" w:fill="FDF0F7"/>
          </w:tcPr>
          <w:p>
            <w:pPr>
              <w:spacing w:after="20" w:line="252" w:lineRule="auto"/>
            </w:pPr>
            <w:r>
              <w:rPr>
                <w:b/>
                <w:i w:val="0"/>
                <w:sz w:val="17"/>
              </w:rPr>
              <w:t>API source lines (code / comment / blank)</w:t>
            </w:r>
          </w:p>
        </w:tc>
        <w:tc>
          <w:tcPr>
            <w:tcW w:type="dxa" w:w="5102"/>
            <w:vAlign w:val="top"/>
            <w:shd w:val="clear" w:color="auto" w:fill="FDF0F7"/>
          </w:tcPr>
          <w:p>
            <w:pPr>
              <w:spacing w:after="20" w:line="252" w:lineRule="auto"/>
            </w:pPr>
            <w:r>
              <w:rPr>
                <w:b w:val="0"/>
                <w:i w:val="0"/>
                <w:sz w:val="17"/>
              </w:rPr>
              <w:t>15,220 / 549 / 1,169</w:t>
            </w:r>
          </w:p>
        </w:tc>
      </w:tr>
      <w:tr>
        <w:trPr>
          <w:cantSplit/>
        </w:trPr>
        <w:tc>
          <w:tcPr>
            <w:tcW w:type="dxa" w:w="4535"/>
            <w:vAlign w:val="top"/>
          </w:tcPr>
          <w:p>
            <w:pPr>
              <w:spacing w:after="20" w:line="252" w:lineRule="auto"/>
            </w:pPr>
            <w:r>
              <w:rPr>
                <w:b/>
                <w:i w:val="0"/>
                <w:sz w:val="17"/>
              </w:rPr>
              <w:t>End-to-end test files and lines of code</w:t>
            </w:r>
          </w:p>
        </w:tc>
        <w:tc>
          <w:tcPr>
            <w:tcW w:type="dxa" w:w="5102"/>
            <w:vAlign w:val="top"/>
          </w:tcPr>
          <w:p>
            <w:pPr>
              <w:spacing w:after="20" w:line="252" w:lineRule="auto"/>
            </w:pPr>
            <w:r>
              <w:rPr>
                <w:b w:val="0"/>
                <w:i w:val="0"/>
                <w:sz w:val="17"/>
              </w:rPr>
              <w:t>7 files, 988 lines</w:t>
            </w:r>
          </w:p>
        </w:tc>
      </w:tr>
      <w:tr>
        <w:trPr>
          <w:cantSplit/>
        </w:trPr>
        <w:tc>
          <w:tcPr>
            <w:tcW w:type="dxa" w:w="4535"/>
            <w:vAlign w:val="top"/>
            <w:shd w:val="clear" w:color="auto" w:fill="FDF0F7"/>
          </w:tcPr>
          <w:p>
            <w:pPr>
              <w:spacing w:after="20" w:line="252" w:lineRule="auto"/>
            </w:pPr>
            <w:r>
              <w:rPr>
                <w:b/>
                <w:i w:val="0"/>
                <w:sz w:val="17"/>
              </w:rPr>
              <w:t>API unit test files</w:t>
            </w:r>
          </w:p>
        </w:tc>
        <w:tc>
          <w:tcPr>
            <w:tcW w:type="dxa" w:w="5102"/>
            <w:vAlign w:val="top"/>
            <w:shd w:val="clear" w:color="auto" w:fill="FDF0F7"/>
          </w:tcPr>
          <w:p>
            <w:pPr>
              <w:spacing w:after="20" w:line="252" w:lineRule="auto"/>
            </w:pPr>
            <w:r>
              <w:rPr>
                <w:b w:val="0"/>
                <w:i w:val="0"/>
                <w:sz w:val="17"/>
              </w:rPr>
              <w:t>13</w:t>
            </w:r>
          </w:p>
        </w:tc>
      </w:tr>
      <w:tr>
        <w:trPr>
          <w:cantSplit/>
        </w:trPr>
        <w:tc>
          <w:tcPr>
            <w:tcW w:type="dxa" w:w="4535"/>
            <w:vAlign w:val="top"/>
          </w:tcPr>
          <w:p>
            <w:pPr>
              <w:spacing w:after="20" w:line="252" w:lineRule="auto"/>
            </w:pPr>
            <w:r>
              <w:rPr>
                <w:b/>
                <w:i w:val="0"/>
                <w:sz w:val="17"/>
              </w:rPr>
              <w:t>Web unit and component test files</w:t>
            </w:r>
          </w:p>
        </w:tc>
        <w:tc>
          <w:tcPr>
            <w:tcW w:type="dxa" w:w="5102"/>
            <w:vAlign w:val="top"/>
          </w:tcPr>
          <w:p>
            <w:pPr>
              <w:spacing w:after="20" w:line="252" w:lineRule="auto"/>
            </w:pPr>
            <w:r>
              <w:rPr>
                <w:b w:val="0"/>
                <w:i w:val="0"/>
                <w:sz w:val="17"/>
              </w:rPr>
              <w:t>16</w:t>
            </w:r>
          </w:p>
        </w:tc>
      </w:tr>
      <w:tr>
        <w:trPr>
          <w:cantSplit/>
        </w:trPr>
        <w:tc>
          <w:tcPr>
            <w:tcW w:type="dxa" w:w="4535"/>
            <w:vAlign w:val="top"/>
            <w:shd w:val="clear" w:color="auto" w:fill="FDF0F7"/>
          </w:tcPr>
          <w:p>
            <w:pPr>
              <w:spacing w:after="20" w:line="252" w:lineRule="auto"/>
            </w:pPr>
            <w:r>
              <w:rPr>
                <w:b/>
                <w:i w:val="0"/>
                <w:sz w:val="17"/>
              </w:rPr>
              <w:t>Seed and reference data (files / lines of code)</w:t>
            </w:r>
          </w:p>
        </w:tc>
        <w:tc>
          <w:tcPr>
            <w:tcW w:type="dxa" w:w="5102"/>
            <w:vAlign w:val="top"/>
            <w:shd w:val="clear" w:color="auto" w:fill="FDF0F7"/>
          </w:tcPr>
          <w:p>
            <w:pPr>
              <w:spacing w:after="20" w:line="252" w:lineRule="auto"/>
            </w:pPr>
            <w:r>
              <w:rPr>
                <w:b w:val="0"/>
                <w:i w:val="0"/>
                <w:sz w:val="17"/>
              </w:rPr>
              <w:t>6 / 1,818</w:t>
            </w:r>
          </w:p>
        </w:tc>
      </w:tr>
      <w:tr>
        <w:trPr>
          <w:cantSplit/>
        </w:trPr>
        <w:tc>
          <w:tcPr>
            <w:tcW w:type="dxa" w:w="4535"/>
            <w:vAlign w:val="top"/>
          </w:tcPr>
          <w:p>
            <w:pPr>
              <w:spacing w:after="20" w:line="252" w:lineRule="auto"/>
            </w:pPr>
            <w:r>
              <w:rPr>
                <w:b/>
                <w:i w:val="0"/>
                <w:sz w:val="17"/>
              </w:rPr>
              <w:t>Functional modules</w:t>
            </w:r>
          </w:p>
        </w:tc>
        <w:tc>
          <w:tcPr>
            <w:tcW w:type="dxa" w:w="5102"/>
            <w:vAlign w:val="top"/>
          </w:tcPr>
          <w:p>
            <w:pPr>
              <w:spacing w:after="20" w:line="252" w:lineRule="auto"/>
            </w:pPr>
            <w:r>
              <w:rPr>
                <w:b w:val="0"/>
                <w:i w:val="0"/>
                <w:sz w:val="17"/>
              </w:rPr>
              <w:t>22</w:t>
            </w:r>
          </w:p>
        </w:tc>
      </w:tr>
      <w:tr>
        <w:trPr>
          <w:cantSplit/>
        </w:trPr>
        <w:tc>
          <w:tcPr>
            <w:tcW w:type="dxa" w:w="4535"/>
            <w:vAlign w:val="top"/>
            <w:shd w:val="clear" w:color="auto" w:fill="FDF0F7"/>
          </w:tcPr>
          <w:p>
            <w:pPr>
              <w:spacing w:after="20" w:line="252" w:lineRule="auto"/>
            </w:pPr>
            <w:r>
              <w:rPr>
                <w:b/>
                <w:i w:val="0"/>
                <w:sz w:val="17"/>
              </w:rPr>
              <w:t>API paths / operations</w:t>
            </w:r>
          </w:p>
        </w:tc>
        <w:tc>
          <w:tcPr>
            <w:tcW w:type="dxa" w:w="5102"/>
            <w:vAlign w:val="top"/>
            <w:shd w:val="clear" w:color="auto" w:fill="FDF0F7"/>
          </w:tcPr>
          <w:p>
            <w:pPr>
              <w:spacing w:after="20" w:line="252" w:lineRule="auto"/>
            </w:pPr>
            <w:r>
              <w:rPr>
                <w:b w:val="0"/>
                <w:i w:val="0"/>
                <w:sz w:val="17"/>
              </w:rPr>
              <w:t>128 / 149</w:t>
            </w:r>
          </w:p>
        </w:tc>
      </w:tr>
      <w:tr>
        <w:trPr>
          <w:cantSplit/>
        </w:trPr>
        <w:tc>
          <w:tcPr>
            <w:tcW w:type="dxa" w:w="4535"/>
            <w:vAlign w:val="top"/>
          </w:tcPr>
          <w:p>
            <w:pPr>
              <w:spacing w:after="20" w:line="252" w:lineRule="auto"/>
            </w:pPr>
            <w:r>
              <w:rPr>
                <w:b/>
                <w:i w:val="0"/>
                <w:sz w:val="17"/>
              </w:rPr>
              <w:t>Database tables / enumerations</w:t>
            </w:r>
          </w:p>
        </w:tc>
        <w:tc>
          <w:tcPr>
            <w:tcW w:type="dxa" w:w="5102"/>
            <w:vAlign w:val="top"/>
          </w:tcPr>
          <w:p>
            <w:pPr>
              <w:spacing w:after="20" w:line="252" w:lineRule="auto"/>
            </w:pPr>
            <w:r>
              <w:rPr>
                <w:b w:val="0"/>
                <w:i w:val="0"/>
                <w:sz w:val="17"/>
              </w:rPr>
              <w:t>37 / 36</w:t>
            </w:r>
          </w:p>
        </w:tc>
      </w:tr>
      <w:tr>
        <w:trPr>
          <w:cantSplit/>
        </w:trPr>
        <w:tc>
          <w:tcPr>
            <w:tcW w:type="dxa" w:w="4535"/>
            <w:vAlign w:val="top"/>
            <w:shd w:val="clear" w:color="auto" w:fill="FDF0F7"/>
          </w:tcPr>
          <w:p>
            <w:pPr>
              <w:spacing w:after="20" w:line="252" w:lineRule="auto"/>
            </w:pPr>
            <w:r>
              <w:rPr>
                <w:b/>
                <w:i w:val="0"/>
                <w:sz w:val="17"/>
              </w:rPr>
              <w:t>Schema lines / migration SQL lines</w:t>
            </w:r>
          </w:p>
        </w:tc>
        <w:tc>
          <w:tcPr>
            <w:tcW w:type="dxa" w:w="5102"/>
            <w:vAlign w:val="top"/>
            <w:shd w:val="clear" w:color="auto" w:fill="FDF0F7"/>
          </w:tcPr>
          <w:p>
            <w:pPr>
              <w:spacing w:after="20" w:line="252" w:lineRule="auto"/>
            </w:pPr>
            <w:r>
              <w:rPr>
                <w:b w:val="0"/>
                <w:i w:val="0"/>
                <w:sz w:val="17"/>
              </w:rPr>
              <w:t>915 / 883</w:t>
            </w:r>
          </w:p>
        </w:tc>
      </w:tr>
    </w:tbl>
    <w:p>
      <w:pPr>
        <w:pStyle w:val="Caption"/>
        <w:jc w:val="center"/>
      </w:pPr>
      <w:r>
        <w:rPr>
          <w:b w:val="0"/>
          <w:i w:val="0"/>
        </w:rPr>
        <w:t>Table 12: Size metrics (API)</w:t>
      </w:r>
    </w:p>
    <w:p>
      <w:pPr>
        <w:keepNext w:val="0"/>
      </w:pPr>
      <w:r>
        <w:rPr>
          <w:b w:val="0"/>
          <w:i w:val="0"/>
        </w:rPr>
        <w:t>Generated code (the Prisma client in src/generated) is excluded from linting and from these counts.</w:t>
      </w:r>
    </w:p>
    <w:p>
      <w:pPr>
        <w:pStyle w:val="Heading1"/>
        <w:pageBreakBefore w:val="0"/>
        <w:pBdr>
          <w:bottom w:val="single" w:sz="12" w:space="4" w:color="F58220"/>
        </w:pBdr>
      </w:pPr>
      <w:r>
        <w:t>8. Maintainability</w:t>
      </w:r>
    </w:p>
    <w:p>
      <w:pPr>
        <w:keepNext w:val="0"/>
      </w:pPr>
      <w:r>
        <w:rPr>
          <w:b w:val="0"/>
          <w:i w:val="0"/>
        </w:rPr>
        <w:t>Each functional area is a separate NestJS module with its own controller, services and DTOs. Modules talk through injected services, not shared tables, so an area can be changed, tested or later moved to its own service without touching the others.</w:t>
      </w:r>
    </w:p>
    <w:p>
      <w:pPr>
        <w:keepNext w:val="0"/>
      </w:pPr>
      <w:r>
        <w:rPr>
          <w:b w:val="0"/>
          <w:i w:val="0"/>
        </w:rPr>
        <w:t>Business behaviour that IIFT will want to change is configuration, not code. Products, plans and rate tables, questionnaires, workflow definitions and approval thresholds, security and business parameters (password policy, lockout, session limits, grace period, SLA hours) and master data are maintained in the back-office, audited and take effect without a release. Product and rate changes are checked by a second person until a maker-checker approval type for products is added during implementation.</w:t>
      </w:r>
    </w:p>
    <w:p>
      <w:pPr>
        <w:keepNext w:val="0"/>
      </w:pPr>
      <w:r>
        <w:rPr>
          <w:b w:val="0"/>
          <w:i w:val="0"/>
        </w:rPr>
        <w:t>The API, the web tier and the database schema are versioned together. Database changes are applied by versioned SQL migrations, and the same container images move from SIT to UAT to production.</w:t>
      </w:r>
    </w:p>
    <w:p>
      <w:pPr>
        <w:pStyle w:val="Heading1"/>
        <w:pageBreakBefore/>
        <w:pBdr>
          <w:bottom w:val="single" w:sz="12" w:space="4" w:color="F58220"/>
        </w:pBdr>
      </w:pPr>
      <w:r>
        <w:t>9. Known limitations and improvement plan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3061"/>
        <w:gridCol w:w="3402"/>
        <w:gridCol w:w="1360"/>
      </w:tblGrid>
      <w:tr>
        <w:trPr>
          <w:cantSplit/>
          <w:tblHeader/>
        </w:trPr>
        <w:tc>
          <w:tcPr>
            <w:tcW w:type="dxa" w:w="1814"/>
            <w:shd w:val="clear" w:color="auto" w:fill="E1058C"/>
            <w:vAlign w:val="center"/>
          </w:tcPr>
          <w:p>
            <w:pPr>
              <w:spacing w:after="0"/>
            </w:pPr>
            <w:r>
              <w:rPr>
                <w:b/>
                <w:i w:val="0"/>
                <w:color w:val="FFFFFF"/>
                <w:sz w:val="16"/>
              </w:rPr>
              <w:t>Area</w:t>
            </w:r>
          </w:p>
        </w:tc>
        <w:tc>
          <w:tcPr>
            <w:tcW w:type="dxa" w:w="3061"/>
            <w:shd w:val="clear" w:color="auto" w:fill="E1058C"/>
            <w:vAlign w:val="center"/>
          </w:tcPr>
          <w:p>
            <w:pPr>
              <w:spacing w:after="0"/>
            </w:pPr>
            <w:r>
              <w:rPr>
                <w:b/>
                <w:i w:val="0"/>
                <w:color w:val="FFFFFF"/>
                <w:sz w:val="16"/>
              </w:rPr>
              <w:t>Current position</w:t>
            </w:r>
          </w:p>
        </w:tc>
        <w:tc>
          <w:tcPr>
            <w:tcW w:type="dxa" w:w="3402"/>
            <w:shd w:val="clear" w:color="auto" w:fill="E1058C"/>
            <w:vAlign w:val="center"/>
          </w:tcPr>
          <w:p>
            <w:pPr>
              <w:spacing w:after="0"/>
            </w:pPr>
            <w:r>
              <w:rPr>
                <w:b/>
                <w:i w:val="0"/>
                <w:color w:val="FFFFFF"/>
                <w:sz w:val="16"/>
              </w:rPr>
              <w:t>Action during implementation</w:t>
            </w:r>
          </w:p>
        </w:tc>
        <w:tc>
          <w:tcPr>
            <w:tcW w:type="dxa" w:w="1361"/>
            <w:shd w:val="clear" w:color="auto" w:fill="E1058C"/>
            <w:vAlign w:val="center"/>
          </w:tcPr>
          <w:p>
            <w:pPr>
              <w:spacing w:after="0"/>
            </w:pPr>
            <w:r>
              <w:rPr>
                <w:b/>
                <w:i w:val="0"/>
                <w:color w:val="FFFFFF"/>
                <w:sz w:val="16"/>
              </w:rPr>
              <w:t>When</w:t>
            </w:r>
          </w:p>
        </w:tc>
      </w:tr>
      <w:tr>
        <w:trPr>
          <w:cantSplit/>
        </w:trPr>
        <w:tc>
          <w:tcPr>
            <w:tcW w:type="dxa" w:w="1814"/>
            <w:vAlign w:val="top"/>
          </w:tcPr>
          <w:p>
            <w:pPr>
              <w:spacing w:after="20" w:line="252" w:lineRule="auto"/>
            </w:pPr>
            <w:r>
              <w:rPr>
                <w:b/>
                <w:i w:val="0"/>
                <w:sz w:val="16"/>
              </w:rPr>
              <w:t>Service-level unit coverage</w:t>
            </w:r>
          </w:p>
        </w:tc>
        <w:tc>
          <w:tcPr>
            <w:tcW w:type="dxa" w:w="3061"/>
            <w:vAlign w:val="top"/>
          </w:tcPr>
          <w:p>
            <w:pPr>
              <w:spacing w:after="20" w:line="252" w:lineRule="auto"/>
            </w:pPr>
            <w:r>
              <w:rPr>
                <w:b w:val="0"/>
                <w:i w:val="0"/>
                <w:sz w:val="16"/>
              </w:rPr>
              <w:t>Unit tests concentrate on rules and calculations; most services are exercised through the end-to-end suite only.</w:t>
            </w:r>
          </w:p>
        </w:tc>
        <w:tc>
          <w:tcPr>
            <w:tcW w:type="dxa" w:w="3402"/>
            <w:vAlign w:val="top"/>
          </w:tcPr>
          <w:p>
            <w:pPr>
              <w:spacing w:after="20" w:line="252" w:lineRule="auto"/>
            </w:pPr>
            <w:r>
              <w:rPr>
                <w:b w:val="0"/>
                <w:i w:val="0"/>
                <w:sz w:val="16"/>
              </w:rPr>
              <w:t>Add unit and SIT automation; reach at least 80% line coverage on rating, billing and workflow modules</w:t>
            </w:r>
          </w:p>
        </w:tc>
        <w:tc>
          <w:tcPr>
            <w:tcW w:type="dxa" w:w="1361"/>
            <w:vAlign w:val="top"/>
          </w:tcPr>
          <w:p>
            <w:pPr>
              <w:spacing w:after="20" w:line="252" w:lineRule="auto"/>
            </w:pPr>
            <w:r>
              <w:rPr>
                <w:b w:val="0"/>
                <w:i w:val="0"/>
                <w:sz w:val="16"/>
              </w:rPr>
              <w:t>Weeks 6–19</w:t>
            </w:r>
          </w:p>
        </w:tc>
      </w:tr>
      <w:tr>
        <w:trPr>
          <w:cantSplit/>
        </w:trPr>
        <w:tc>
          <w:tcPr>
            <w:tcW w:type="dxa" w:w="1814"/>
            <w:vAlign w:val="top"/>
            <w:shd w:val="clear" w:color="auto" w:fill="FDF0F7"/>
          </w:tcPr>
          <w:p>
            <w:pPr>
              <w:spacing w:after="20" w:line="252" w:lineRule="auto"/>
            </w:pPr>
            <w:r>
              <w:rPr>
                <w:b/>
                <w:i w:val="0"/>
                <w:sz w:val="16"/>
              </w:rPr>
              <w:t>Front-end tests</w:t>
            </w:r>
          </w:p>
        </w:tc>
        <w:tc>
          <w:tcPr>
            <w:tcW w:type="dxa" w:w="3061"/>
            <w:vAlign w:val="top"/>
            <w:shd w:val="clear" w:color="auto" w:fill="FDF0F7"/>
          </w:tcPr>
          <w:p>
            <w:pPr>
              <w:spacing w:after="20" w:line="252" w:lineRule="auto"/>
            </w:pPr>
            <w:r>
              <w:rPr>
                <w:b w:val="0"/>
                <w:i w:val="0"/>
                <w:sz w:val="16"/>
              </w:rPr>
              <w:t>Unit and component tests cover the API client, formatting, permissions, navigation and shared components; complete pages are not yet tested in a browser.</w:t>
            </w:r>
          </w:p>
        </w:tc>
        <w:tc>
          <w:tcPr>
            <w:tcW w:type="dxa" w:w="3402"/>
            <w:vAlign w:val="top"/>
            <w:shd w:val="clear" w:color="auto" w:fill="FDF0F7"/>
          </w:tcPr>
          <w:p>
            <w:pPr>
              <w:spacing w:after="20" w:line="252" w:lineRule="auto"/>
            </w:pPr>
            <w:r>
              <w:rPr>
                <w:b w:val="0"/>
                <w:i w:val="0"/>
                <w:sz w:val="16"/>
              </w:rPr>
              <w:t>Add Playwright smoke tests of the main portal and back-office journeys to CI</w:t>
            </w:r>
          </w:p>
        </w:tc>
        <w:tc>
          <w:tcPr>
            <w:tcW w:type="dxa" w:w="1361"/>
            <w:vAlign w:val="top"/>
            <w:shd w:val="clear" w:color="auto" w:fill="FDF0F7"/>
          </w:tcPr>
          <w:p>
            <w:pPr>
              <w:spacing w:after="20" w:line="252" w:lineRule="auto"/>
            </w:pPr>
            <w:r>
              <w:rPr>
                <w:b w:val="0"/>
                <w:i w:val="0"/>
                <w:sz w:val="16"/>
              </w:rPr>
              <w:t>Weeks 6–16</w:t>
            </w:r>
          </w:p>
        </w:tc>
      </w:tr>
      <w:tr>
        <w:trPr>
          <w:cantSplit/>
        </w:trPr>
        <w:tc>
          <w:tcPr>
            <w:tcW w:type="dxa" w:w="1814"/>
            <w:vAlign w:val="top"/>
          </w:tcPr>
          <w:p>
            <w:pPr>
              <w:spacing w:after="20" w:line="252" w:lineRule="auto"/>
            </w:pPr>
            <w:r>
              <w:rPr>
                <w:b/>
                <w:i w:val="0"/>
                <w:sz w:val="16"/>
              </w:rPr>
              <w:t>Front-end bundle size</w:t>
            </w:r>
          </w:p>
        </w:tc>
        <w:tc>
          <w:tcPr>
            <w:tcW w:type="dxa" w:w="3061"/>
            <w:vAlign w:val="top"/>
          </w:tcPr>
          <w:p>
            <w:pPr>
              <w:spacing w:after="20" w:line="252" w:lineRule="auto"/>
            </w:pPr>
            <w:r>
              <w:rPr>
                <w:b w:val="0"/>
                <w:i w:val="0"/>
                <w:sz w:val="16"/>
              </w:rPr>
              <w:t>The Ant Design vendor chunk is about 1.38 MB raw (438 kB gzip). It is cached long-term and pages are already split by route, so it is loaded once per release.</w:t>
            </w:r>
          </w:p>
        </w:tc>
        <w:tc>
          <w:tcPr>
            <w:tcW w:type="dxa" w:w="3402"/>
            <w:vAlign w:val="top"/>
          </w:tcPr>
          <w:p>
            <w:pPr>
              <w:spacing w:after="20" w:line="252" w:lineRule="auto"/>
            </w:pPr>
            <w:r>
              <w:rPr>
                <w:b w:val="0"/>
                <w:i w:val="0"/>
                <w:sz w:val="16"/>
              </w:rPr>
              <w:t>Watch the size at each release; import components more selectively if first-load time on branch networks approaches the NFR-01 target</w:t>
            </w:r>
          </w:p>
        </w:tc>
        <w:tc>
          <w:tcPr>
            <w:tcW w:type="dxa" w:w="1361"/>
            <w:vAlign w:val="top"/>
          </w:tcPr>
          <w:p>
            <w:pPr>
              <w:spacing w:after="20" w:line="252" w:lineRule="auto"/>
            </w:pPr>
            <w:r>
              <w:rPr>
                <w:b w:val="0"/>
                <w:i w:val="0"/>
                <w:sz w:val="16"/>
              </w:rPr>
              <w:t>Each release</w:t>
            </w:r>
          </w:p>
        </w:tc>
      </w:tr>
      <w:tr>
        <w:trPr>
          <w:cantSplit/>
        </w:trPr>
        <w:tc>
          <w:tcPr>
            <w:tcW w:type="dxa" w:w="1814"/>
            <w:vAlign w:val="top"/>
            <w:shd w:val="clear" w:color="auto" w:fill="FDF0F7"/>
          </w:tcPr>
          <w:p>
            <w:pPr>
              <w:spacing w:after="20" w:line="252" w:lineRule="auto"/>
            </w:pPr>
            <w:r>
              <w:rPr>
                <w:b/>
                <w:i w:val="0"/>
                <w:sz w:val="16"/>
              </w:rPr>
              <w:t>Integration adapters</w:t>
            </w:r>
          </w:p>
        </w:tc>
        <w:tc>
          <w:tcPr>
            <w:tcW w:type="dxa" w:w="3061"/>
            <w:vAlign w:val="top"/>
            <w:shd w:val="clear" w:color="auto" w:fill="FDF0F7"/>
          </w:tcPr>
          <w:p>
            <w:pPr>
              <w:spacing w:after="20" w:line="252" w:lineRule="auto"/>
            </w:pPr>
            <w:r>
              <w:rPr>
                <w:b w:val="0"/>
                <w:i w:val="0"/>
                <w:sz w:val="16"/>
              </w:rPr>
              <w:t>Core, FIN, AML provider and SMS adapters run in simulated mode until IIFT endpoints are available.</w:t>
            </w:r>
          </w:p>
        </w:tc>
        <w:tc>
          <w:tcPr>
            <w:tcW w:type="dxa" w:w="3402"/>
            <w:vAlign w:val="top"/>
            <w:shd w:val="clear" w:color="auto" w:fill="FDF0F7"/>
          </w:tcPr>
          <w:p>
            <w:pPr>
              <w:spacing w:after="20" w:line="252" w:lineRule="auto"/>
            </w:pPr>
            <w:r>
              <w:rPr>
                <w:b w:val="0"/>
                <w:i w:val="0"/>
                <w:sz w:val="16"/>
              </w:rPr>
              <w:t>Contract tests per interface specification; joint tests with system owners</w:t>
            </w:r>
          </w:p>
        </w:tc>
        <w:tc>
          <w:tcPr>
            <w:tcW w:type="dxa" w:w="1361"/>
            <w:vAlign w:val="top"/>
            <w:shd w:val="clear" w:color="auto" w:fill="FDF0F7"/>
          </w:tcPr>
          <w:p>
            <w:pPr>
              <w:spacing w:after="20" w:line="252" w:lineRule="auto"/>
            </w:pPr>
            <w:r>
              <w:rPr>
                <w:b w:val="0"/>
                <w:i w:val="0"/>
                <w:sz w:val="16"/>
              </w:rPr>
              <w:t>Weeks 8–17</w:t>
            </w:r>
          </w:p>
        </w:tc>
      </w:tr>
      <w:tr>
        <w:trPr>
          <w:cantSplit/>
        </w:trPr>
        <w:tc>
          <w:tcPr>
            <w:tcW w:type="dxa" w:w="1814"/>
            <w:vAlign w:val="top"/>
          </w:tcPr>
          <w:p>
            <w:pPr>
              <w:spacing w:after="20" w:line="252" w:lineRule="auto"/>
            </w:pPr>
            <w:r>
              <w:rPr>
                <w:b/>
                <w:i w:val="0"/>
                <w:sz w:val="16"/>
              </w:rPr>
              <w:t>Performance evidence</w:t>
            </w:r>
          </w:p>
        </w:tc>
        <w:tc>
          <w:tcPr>
            <w:tcW w:type="dxa" w:w="3061"/>
            <w:vAlign w:val="top"/>
          </w:tcPr>
          <w:p>
            <w:pPr>
              <w:spacing w:after="20" w:line="252" w:lineRule="auto"/>
            </w:pPr>
            <w:r>
              <w:rPr>
                <w:b w:val="0"/>
                <w:i w:val="0"/>
                <w:sz w:val="16"/>
              </w:rPr>
              <w:t>No load test results yet.</w:t>
            </w:r>
          </w:p>
        </w:tc>
        <w:tc>
          <w:tcPr>
            <w:tcW w:type="dxa" w:w="3402"/>
            <w:vAlign w:val="top"/>
          </w:tcPr>
          <w:p>
            <w:pPr>
              <w:spacing w:after="20" w:line="252" w:lineRule="auto"/>
            </w:pPr>
            <w:r>
              <w:rPr>
                <w:b w:val="0"/>
                <w:i w:val="0"/>
                <w:sz w:val="16"/>
              </w:rPr>
              <w:t>k6 load, stress and soak tests on production-like SIT (DEL-18)</w:t>
            </w:r>
          </w:p>
        </w:tc>
        <w:tc>
          <w:tcPr>
            <w:tcW w:type="dxa" w:w="1361"/>
            <w:vAlign w:val="top"/>
          </w:tcPr>
          <w:p>
            <w:pPr>
              <w:spacing w:after="20" w:line="252" w:lineRule="auto"/>
            </w:pPr>
            <w:r>
              <w:rPr>
                <w:b w:val="0"/>
                <w:i w:val="0"/>
                <w:sz w:val="16"/>
              </w:rPr>
              <w:t>Weeks 17–18</w:t>
            </w:r>
          </w:p>
        </w:tc>
      </w:tr>
      <w:tr>
        <w:trPr>
          <w:cantSplit/>
        </w:trPr>
        <w:tc>
          <w:tcPr>
            <w:tcW w:type="dxa" w:w="1814"/>
            <w:vAlign w:val="top"/>
            <w:shd w:val="clear" w:color="auto" w:fill="FDF0F7"/>
          </w:tcPr>
          <w:p>
            <w:pPr>
              <w:spacing w:after="20" w:line="252" w:lineRule="auto"/>
            </w:pPr>
            <w:r>
              <w:rPr>
                <w:b/>
                <w:i w:val="0"/>
                <w:sz w:val="16"/>
              </w:rPr>
              <w:t>Mutation and accessibility checks</w:t>
            </w:r>
          </w:p>
        </w:tc>
        <w:tc>
          <w:tcPr>
            <w:tcW w:type="dxa" w:w="3061"/>
            <w:vAlign w:val="top"/>
            <w:shd w:val="clear" w:color="auto" w:fill="FDF0F7"/>
          </w:tcPr>
          <w:p>
            <w:pPr>
              <w:spacing w:after="20" w:line="252" w:lineRule="auto"/>
            </w:pPr>
            <w:r>
              <w:rPr>
                <w:b w:val="0"/>
                <w:i w:val="0"/>
                <w:sz w:val="16"/>
              </w:rPr>
              <w:t>Not yet part of CI.</w:t>
            </w:r>
          </w:p>
        </w:tc>
        <w:tc>
          <w:tcPr>
            <w:tcW w:type="dxa" w:w="3402"/>
            <w:vAlign w:val="top"/>
            <w:shd w:val="clear" w:color="auto" w:fill="FDF0F7"/>
          </w:tcPr>
          <w:p>
            <w:pPr>
              <w:spacing w:after="20" w:line="252" w:lineRule="auto"/>
            </w:pPr>
            <w:r>
              <w:rPr>
                <w:b w:val="0"/>
                <w:i w:val="0"/>
                <w:sz w:val="16"/>
              </w:rPr>
              <w:t>Add an accessibility check on key screens and a periodic mutation-test run on rating engines</w:t>
            </w:r>
          </w:p>
        </w:tc>
        <w:tc>
          <w:tcPr>
            <w:tcW w:type="dxa" w:w="1361"/>
            <w:vAlign w:val="top"/>
            <w:shd w:val="clear" w:color="auto" w:fill="FDF0F7"/>
          </w:tcPr>
          <w:p>
            <w:pPr>
              <w:spacing w:after="20" w:line="252" w:lineRule="auto"/>
            </w:pPr>
            <w:r>
              <w:rPr>
                <w:b w:val="0"/>
                <w:i w:val="0"/>
                <w:sz w:val="16"/>
              </w:rPr>
              <w:t>Weeks 10–19</w:t>
            </w:r>
          </w:p>
        </w:tc>
      </w:tr>
    </w:tbl>
    <w:p>
      <w:pPr>
        <w:pStyle w:val="Caption"/>
        <w:jc w:val="center"/>
      </w:pPr>
      <w:r>
        <w:rPr>
          <w:b w:val="0"/>
          <w:i w:val="0"/>
        </w:rPr>
        <w:t>Table 13: Improvement plan</w:t>
      </w:r>
    </w:p>
    <w:p>
      <w:pPr>
        <w:pStyle w:val="Heading1"/>
        <w:pageBreakBefore/>
        <w:pBdr>
          <w:bottom w:val="single" w:sz="12" w:space="4" w:color="F58220"/>
        </w:pBdr>
      </w:pPr>
      <w:r>
        <w:t>Annex A – Test titles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15" w:type="dxa"/>
          <w:left w:w="90" w:type="dxa"/>
          <w:bottom w:w="15" w:type="dxa"/>
          <w:right w:w="90" w:type="dxa"/>
        </w:tblCellMar>
        <w:tblLayout w:type="fixed"/>
      </w:tblPr>
      <w:tblGrid>
        <w:gridCol w:w="2494"/>
        <w:gridCol w:w="6123"/>
        <w:gridCol w:w="1020"/>
      </w:tblGrid>
      <w:tr>
        <w:trPr>
          <w:cantSplit/>
          <w:tblHeader/>
        </w:trPr>
        <w:tc>
          <w:tcPr>
            <w:tcW w:type="dxa" w:w="2494"/>
            <w:shd w:val="clear" w:color="auto" w:fill="E1058C"/>
            <w:vAlign w:val="center"/>
          </w:tcPr>
          <w:p>
            <w:pPr>
              <w:spacing w:after="0"/>
            </w:pPr>
            <w:r>
              <w:rPr>
                <w:b/>
                <w:i w:val="0"/>
                <w:color w:val="FFFFFF"/>
                <w:sz w:val="15"/>
              </w:rPr>
              <w:t>Test file</w:t>
            </w:r>
          </w:p>
        </w:tc>
        <w:tc>
          <w:tcPr>
            <w:tcW w:type="dxa" w:w="6123"/>
            <w:shd w:val="clear" w:color="auto" w:fill="E1058C"/>
            <w:vAlign w:val="center"/>
          </w:tcPr>
          <w:p>
            <w:pPr>
              <w:spacing w:after="0"/>
            </w:pPr>
            <w:r>
              <w:rPr>
                <w:b/>
                <w:i w:val="0"/>
                <w:color w:val="FFFFFF"/>
                <w:sz w:val="15"/>
              </w:rPr>
              <w:t>Test</w:t>
            </w:r>
          </w:p>
        </w:tc>
        <w:tc>
          <w:tcPr>
            <w:tcW w:type="dxa" w:w="1020"/>
            <w:shd w:val="clear" w:color="auto" w:fill="E1058C"/>
            <w:vAlign w:val="center"/>
          </w:tcPr>
          <w:p>
            <w:pPr>
              <w:spacing w:after="0"/>
            </w:pPr>
            <w:r>
              <w:rPr>
                <w:b/>
                <w:i w:val="0"/>
                <w:color w:val="FFFFFF"/>
                <w:sz w:val="15"/>
              </w:rPr>
              <w:t>Result</w:t>
            </w:r>
          </w:p>
        </w:tc>
      </w:tr>
      <w:tr>
        <w:trPr>
          <w:cantSplit/>
        </w:trPr>
        <w:tc>
          <w:tcPr>
            <w:tcW w:type="dxa" w:w="2494"/>
            <w:vAlign w:val="top"/>
          </w:tcPr>
          <w:p>
            <w:pPr>
              <w:spacing w:after="20" w:line="252" w:lineRule="auto"/>
            </w:pPr>
            <w:r>
              <w:rPr>
                <w:b w:val="0"/>
                <w:i w:val="0"/>
                <w:sz w:val="15"/>
              </w:rPr>
              <w:t>app-config.spec.ts</w:t>
            </w:r>
          </w:p>
        </w:tc>
        <w:tc>
          <w:tcPr>
            <w:tcW w:type="dxa" w:w="6123"/>
            <w:vAlign w:val="top"/>
          </w:tcPr>
          <w:p>
            <w:pPr>
              <w:spacing w:after="20" w:line="252" w:lineRule="auto"/>
            </w:pPr>
            <w:r>
              <w:rPr>
                <w:b w:val="0"/>
                <w:i w:val="0"/>
                <w:sz w:val="15"/>
              </w:rPr>
              <w:t>loads a minimal development configuration with safe defaults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app-config.spec.ts</w:t>
            </w:r>
          </w:p>
        </w:tc>
        <w:tc>
          <w:tcPr>
            <w:tcW w:type="dxa" w:w="6123"/>
            <w:vAlign w:val="top"/>
            <w:shd w:val="clear" w:color="auto" w:fill="FDF0F7"/>
          </w:tcPr>
          <w:p>
            <w:pPr>
              <w:spacing w:after="20" w:line="252" w:lineRule="auto"/>
            </w:pPr>
            <w:r>
              <w:rPr>
                <w:b w:val="0"/>
                <w:i w:val="0"/>
                <w:sz w:val="15"/>
              </w:rPr>
              <w:t>fails fast on missing or weak secrets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app-config.spec.ts</w:t>
            </w:r>
          </w:p>
        </w:tc>
        <w:tc>
          <w:tcPr>
            <w:tcW w:type="dxa" w:w="6123"/>
            <w:vAlign w:val="top"/>
          </w:tcPr>
          <w:p>
            <w:pPr>
              <w:spacing w:after="20" w:line="252" w:lineRule="auto"/>
            </w:pPr>
            <w:r>
              <w:rPr>
                <w:b w:val="0"/>
                <w:i w:val="0"/>
                <w:sz w:val="15"/>
              </w:rPr>
              <w:t>refuses insecure production settings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app-config.spec.ts</w:t>
            </w:r>
          </w:p>
        </w:tc>
        <w:tc>
          <w:tcPr>
            <w:tcW w:type="dxa" w:w="6123"/>
            <w:vAlign w:val="top"/>
            <w:shd w:val="clear" w:color="auto" w:fill="FDF0F7"/>
          </w:tcPr>
          <w:p>
            <w:pPr>
              <w:spacing w:after="20" w:line="252" w:lineRule="auto"/>
            </w:pPr>
            <w:r>
              <w:rPr>
                <w:b w:val="0"/>
                <w:i w:val="0"/>
                <w:sz w:val="15"/>
              </w:rPr>
              <w:t>accepts a complete production configuration</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field-crypto.service.spec.ts</w:t>
            </w:r>
          </w:p>
        </w:tc>
        <w:tc>
          <w:tcPr>
            <w:tcW w:type="dxa" w:w="6123"/>
            <w:vAlign w:val="top"/>
          </w:tcPr>
          <w:p>
            <w:pPr>
              <w:spacing w:after="20" w:line="252" w:lineRule="auto"/>
            </w:pPr>
            <w:r>
              <w:rPr>
                <w:b w:val="0"/>
                <w:i w:val="0"/>
                <w:sz w:val="15"/>
              </w:rPr>
              <w:t>round-trips a value and never produces the same ciphertext twice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field-crypto.service.spec.ts</w:t>
            </w:r>
          </w:p>
        </w:tc>
        <w:tc>
          <w:tcPr>
            <w:tcW w:type="dxa" w:w="6123"/>
            <w:vAlign w:val="top"/>
            <w:shd w:val="clear" w:color="auto" w:fill="FDF0F7"/>
          </w:tcPr>
          <w:p>
            <w:pPr>
              <w:spacing w:after="20" w:line="252" w:lineRule="auto"/>
            </w:pPr>
            <w:r>
              <w:rPr>
                <w:b w:val="0"/>
                <w:i w:val="0"/>
                <w:sz w:val="15"/>
              </w:rPr>
              <w:t>detects tampering through the authentication tag</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field-crypto.service.spec.ts</w:t>
            </w:r>
          </w:p>
        </w:tc>
        <w:tc>
          <w:tcPr>
            <w:tcW w:type="dxa" w:w="6123"/>
            <w:vAlign w:val="top"/>
          </w:tcPr>
          <w:p>
            <w:pPr>
              <w:spacing w:after="20" w:line="252" w:lineRule="auto"/>
            </w:pPr>
            <w:r>
              <w:rPr>
                <w:b w:val="0"/>
                <w:i w:val="0"/>
                <w:sz w:val="15"/>
              </w:rPr>
              <w:t>produces the same blind index for differently formatted identifiers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field-crypto.service.spec.ts</w:t>
            </w:r>
          </w:p>
        </w:tc>
        <w:tc>
          <w:tcPr>
            <w:tcW w:type="dxa" w:w="6123"/>
            <w:vAlign w:val="top"/>
            <w:shd w:val="clear" w:color="auto" w:fill="FDF0F7"/>
          </w:tcPr>
          <w:p>
            <w:pPr>
              <w:spacing w:after="20" w:line="252" w:lineRule="auto"/>
            </w:pPr>
            <w:r>
              <w:rPr>
                <w:b w:val="0"/>
                <w:i w:val="0"/>
                <w:sz w:val="15"/>
              </w:rPr>
              <w:t>normalises and masks identifiers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dates.spec.ts</w:t>
            </w:r>
          </w:p>
        </w:tc>
        <w:tc>
          <w:tcPr>
            <w:tcW w:type="dxa" w:w="6123"/>
            <w:vAlign w:val="top"/>
          </w:tcPr>
          <w:p>
            <w:pPr>
              <w:spacing w:after="20" w:line="252" w:lineRule="auto"/>
            </w:pPr>
            <w:r>
              <w:rPr>
                <w:b w:val="0"/>
                <w:i w:val="0"/>
                <w:sz w:val="15"/>
              </w:rPr>
              <w:t>computes age at next birthday</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dates.spec.ts</w:t>
            </w:r>
          </w:p>
        </w:tc>
        <w:tc>
          <w:tcPr>
            <w:tcW w:type="dxa" w:w="6123"/>
            <w:vAlign w:val="top"/>
            <w:shd w:val="clear" w:color="auto" w:fill="FDF0F7"/>
          </w:tcPr>
          <w:p>
            <w:pPr>
              <w:spacing w:after="20" w:line="252" w:lineRule="auto"/>
            </w:pPr>
            <w:r>
              <w:rPr>
                <w:b w:val="0"/>
                <w:i w:val="0"/>
                <w:sz w:val="15"/>
              </w:rPr>
              <w:t>uses the Brunei calendar day (UTC+8) as the business date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dates.spec.ts</w:t>
            </w:r>
          </w:p>
        </w:tc>
        <w:tc>
          <w:tcPr>
            <w:tcW w:type="dxa" w:w="6123"/>
            <w:vAlign w:val="top"/>
          </w:tcPr>
          <w:p>
            <w:pPr>
              <w:spacing w:after="20" w:line="252" w:lineRule="auto"/>
            </w:pPr>
            <w:r>
              <w:rPr>
                <w:b w:val="0"/>
                <w:i w:val="0"/>
                <w:sz w:val="15"/>
              </w:rPr>
              <w:t>returns the UTC instants bounding a Brunei business day</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dates.spec.ts</w:t>
            </w:r>
          </w:p>
        </w:tc>
        <w:tc>
          <w:tcPr>
            <w:tcW w:type="dxa" w:w="6123"/>
            <w:vAlign w:val="top"/>
            <w:shd w:val="clear" w:color="auto" w:fill="FDF0F7"/>
          </w:tcPr>
          <w:p>
            <w:pPr>
              <w:spacing w:after="20" w:line="252" w:lineRule="auto"/>
            </w:pPr>
            <w:r>
              <w:rPr>
                <w:b w:val="0"/>
                <w:i w:val="0"/>
                <w:sz w:val="15"/>
              </w:rPr>
              <w:t>adds months and counts days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name-matching.spec.ts</w:t>
            </w:r>
          </w:p>
        </w:tc>
        <w:tc>
          <w:tcPr>
            <w:tcW w:type="dxa" w:w="6123"/>
            <w:vAlign w:val="top"/>
          </w:tcPr>
          <w:p>
            <w:pPr>
              <w:spacing w:after="20" w:line="252" w:lineRule="auto"/>
            </w:pPr>
            <w:r>
              <w:rPr>
                <w:b w:val="0"/>
                <w:i w:val="0"/>
                <w:sz w:val="15"/>
              </w:rPr>
              <w:t>normalises case, punctuation, honorifics and common spellings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name-matching.spec.ts</w:t>
            </w:r>
          </w:p>
        </w:tc>
        <w:tc>
          <w:tcPr>
            <w:tcW w:type="dxa" w:w="6123"/>
            <w:vAlign w:val="top"/>
            <w:shd w:val="clear" w:color="auto" w:fill="FDF0F7"/>
          </w:tcPr>
          <w:p>
            <w:pPr>
              <w:spacing w:after="20" w:line="252" w:lineRule="auto"/>
            </w:pPr>
            <w:r>
              <w:rPr>
                <w:b w:val="0"/>
                <w:i w:val="0"/>
                <w:sz w:val="15"/>
              </w:rPr>
              <w:t>scores identical names 100 regardless of honorific</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name-matching.spec.ts</w:t>
            </w:r>
          </w:p>
        </w:tc>
        <w:tc>
          <w:tcPr>
            <w:tcW w:type="dxa" w:w="6123"/>
            <w:vAlign w:val="top"/>
          </w:tcPr>
          <w:p>
            <w:pPr>
              <w:spacing w:after="20" w:line="252" w:lineRule="auto"/>
            </w:pPr>
            <w:r>
              <w:rPr>
                <w:b w:val="0"/>
                <w:i w:val="0"/>
                <w:sz w:val="15"/>
              </w:rPr>
              <w:t>scores close transliterations above the default review threshold</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name-matching.spec.ts</w:t>
            </w:r>
          </w:p>
        </w:tc>
        <w:tc>
          <w:tcPr>
            <w:tcW w:type="dxa" w:w="6123"/>
            <w:vAlign w:val="top"/>
            <w:shd w:val="clear" w:color="auto" w:fill="FDF0F7"/>
          </w:tcPr>
          <w:p>
            <w:pPr>
              <w:spacing w:after="20" w:line="252" w:lineRule="auto"/>
            </w:pPr>
            <w:r>
              <w:rPr>
                <w:b w:val="0"/>
                <w:i w:val="0"/>
                <w:sz w:val="15"/>
              </w:rPr>
              <w:t>scores unrelated names low</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name-matching.spec.ts</w:t>
            </w:r>
          </w:p>
        </w:tc>
        <w:tc>
          <w:tcPr>
            <w:tcW w:type="dxa" w:w="6123"/>
            <w:vAlign w:val="top"/>
          </w:tcPr>
          <w:p>
            <w:pPr>
              <w:spacing w:after="20" w:line="252" w:lineRule="auto"/>
            </w:pPr>
            <w:r>
              <w:rPr>
                <w:b w:val="0"/>
                <w:i w:val="0"/>
                <w:sz w:val="15"/>
              </w:rPr>
              <w:t>implements Jaro-Winkler</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watchlist.spec.ts</w:t>
            </w:r>
          </w:p>
        </w:tc>
        <w:tc>
          <w:tcPr>
            <w:tcW w:type="dxa" w:w="6123"/>
            <w:vAlign w:val="top"/>
            <w:shd w:val="clear" w:color="auto" w:fill="FDF0F7"/>
          </w:tcPr>
          <w:p>
            <w:pPr>
              <w:spacing w:after="20" w:line="252" w:lineRule="auto"/>
            </w:pPr>
            <w:r>
              <w:rPr>
                <w:b w:val="0"/>
                <w:i w:val="0"/>
                <w:sz w:val="15"/>
              </w:rPr>
              <w:t>handles quoted fields, escaped quotes and CRLF line endings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password.service.spec.ts</w:t>
            </w:r>
          </w:p>
        </w:tc>
        <w:tc>
          <w:tcPr>
            <w:tcW w:type="dxa" w:w="6123"/>
            <w:vAlign w:val="top"/>
          </w:tcPr>
          <w:p>
            <w:pPr>
              <w:spacing w:after="20" w:line="252" w:lineRule="auto"/>
            </w:pPr>
            <w:r>
              <w:rPr>
                <w:b w:val="0"/>
                <w:i w:val="0"/>
                <w:sz w:val="15"/>
              </w:rPr>
              <w:t>accepts a password meeting every rule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password.service.spec.ts</w:t>
            </w:r>
          </w:p>
        </w:tc>
        <w:tc>
          <w:tcPr>
            <w:tcW w:type="dxa" w:w="6123"/>
            <w:vAlign w:val="top"/>
            <w:shd w:val="clear" w:color="auto" w:fill="FDF0F7"/>
          </w:tcPr>
          <w:p>
            <w:pPr>
              <w:spacing w:after="20" w:line="252" w:lineRule="auto"/>
            </w:pPr>
            <w:r>
              <w:rPr>
                <w:b w:val="0"/>
                <w:i w:val="0"/>
                <w:sz w:val="15"/>
              </w:rPr>
              <w:t>reports every unmet rule together</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password.service.spec.ts</w:t>
            </w:r>
          </w:p>
        </w:tc>
        <w:tc>
          <w:tcPr>
            <w:tcW w:type="dxa" w:w="6123"/>
            <w:vAlign w:val="top"/>
          </w:tcPr>
          <w:p>
            <w:pPr>
              <w:spacing w:after="20" w:line="252" w:lineRule="auto"/>
            </w:pPr>
            <w:r>
              <w:rPr>
                <w:b w:val="0"/>
                <w:i w:val="0"/>
                <w:sz w:val="15"/>
              </w:rPr>
              <w:t>rejects passwords containing the username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password.service.spec.ts</w:t>
            </w:r>
          </w:p>
        </w:tc>
        <w:tc>
          <w:tcPr>
            <w:tcW w:type="dxa" w:w="6123"/>
            <w:vAlign w:val="top"/>
            <w:shd w:val="clear" w:color="auto" w:fill="FDF0F7"/>
          </w:tcPr>
          <w:p>
            <w:pPr>
              <w:spacing w:after="20" w:line="252" w:lineRule="auto"/>
            </w:pPr>
            <w:r>
              <w:rPr>
                <w:b w:val="0"/>
                <w:i w:val="0"/>
                <w:sz w:val="15"/>
              </w:rPr>
              <w:t>hashes with Argon2id and verifies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password.service.spec.ts</w:t>
            </w:r>
          </w:p>
        </w:tc>
        <w:tc>
          <w:tcPr>
            <w:tcW w:type="dxa" w:w="6123"/>
            <w:vAlign w:val="top"/>
          </w:tcPr>
          <w:p>
            <w:pPr>
              <w:spacing w:after="20" w:line="252" w:lineRule="auto"/>
            </w:pPr>
            <w:r>
              <w:rPr>
                <w:b w:val="0"/>
                <w:i w:val="0"/>
                <w:sz w:val="15"/>
              </w:rPr>
              <w:t>expires passwords after the configured number of days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password.service.spec.ts</w:t>
            </w:r>
          </w:p>
        </w:tc>
        <w:tc>
          <w:tcPr>
            <w:tcW w:type="dxa" w:w="6123"/>
            <w:vAlign w:val="top"/>
            <w:shd w:val="clear" w:color="auto" w:fill="FDF0F7"/>
          </w:tcPr>
          <w:p>
            <w:pPr>
              <w:spacing w:after="20" w:line="252" w:lineRule="auto"/>
            </w:pPr>
            <w:r>
              <w:rPr>
                <w:b w:val="0"/>
                <w:i w:val="0"/>
                <w:sz w:val="15"/>
              </w:rPr>
              <w:t>generates temporary passwords that satisfy the policy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file-inspector.spec.ts</w:t>
            </w:r>
          </w:p>
        </w:tc>
        <w:tc>
          <w:tcPr>
            <w:tcW w:type="dxa" w:w="6123"/>
            <w:vAlign w:val="top"/>
          </w:tcPr>
          <w:p>
            <w:pPr>
              <w:spacing w:after="20" w:line="252" w:lineRule="auto"/>
            </w:pPr>
            <w:r>
              <w:rPr>
                <w:b w:val="0"/>
                <w:i w:val="0"/>
                <w:sz w:val="15"/>
              </w:rPr>
              <w:t>identifies files by content and forces a matching extension</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file-inspector.spec.ts</w:t>
            </w:r>
          </w:p>
        </w:tc>
        <w:tc>
          <w:tcPr>
            <w:tcW w:type="dxa" w:w="6123"/>
            <w:vAlign w:val="top"/>
            <w:shd w:val="clear" w:color="auto" w:fill="FDF0F7"/>
          </w:tcPr>
          <w:p>
            <w:pPr>
              <w:spacing w:after="20" w:line="252" w:lineRule="auto"/>
            </w:pPr>
            <w:r>
              <w:rPr>
                <w:b w:val="0"/>
                <w:i w:val="0"/>
                <w:sz w:val="15"/>
              </w:rPr>
              <w:t>rejects content that is not PDF, PNG or JPEG whatever its name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file-inspector.spec.ts</w:t>
            </w:r>
          </w:p>
        </w:tc>
        <w:tc>
          <w:tcPr>
            <w:tcW w:type="dxa" w:w="6123"/>
            <w:vAlign w:val="top"/>
          </w:tcPr>
          <w:p>
            <w:pPr>
              <w:spacing w:after="20" w:line="252" w:lineRule="auto"/>
            </w:pPr>
            <w:r>
              <w:rPr>
                <w:b w:val="0"/>
                <w:i w:val="0"/>
                <w:sz w:val="15"/>
              </w:rPr>
              <w:t>enforces the size limit and requires a file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file-inspector.spec.ts</w:t>
            </w:r>
          </w:p>
        </w:tc>
        <w:tc>
          <w:tcPr>
            <w:tcW w:type="dxa" w:w="6123"/>
            <w:vAlign w:val="top"/>
            <w:shd w:val="clear" w:color="auto" w:fill="FDF0F7"/>
          </w:tcPr>
          <w:p>
            <w:pPr>
              <w:spacing w:after="20" w:line="252" w:lineRule="auto"/>
            </w:pPr>
            <w:r>
              <w:rPr>
                <w:b w:val="0"/>
                <w:i w:val="0"/>
                <w:sz w:val="15"/>
              </w:rPr>
              <w:t>builds safe file names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plan-label.spec.ts</w:t>
            </w:r>
          </w:p>
        </w:tc>
        <w:tc>
          <w:tcPr>
            <w:tcW w:type="dxa" w:w="6123"/>
            <w:vAlign w:val="top"/>
          </w:tcPr>
          <w:p>
            <w:pPr>
              <w:spacing w:after="20" w:line="252" w:lineRule="auto"/>
            </w:pPr>
            <w:r>
              <w:rPr>
                <w:b w:val="0"/>
                <w:i w:val="0"/>
                <w:sz w:val="15"/>
              </w:rPr>
              <w:t>uses the configured names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plan-label.spec.ts</w:t>
            </w:r>
          </w:p>
        </w:tc>
        <w:tc>
          <w:tcPr>
            <w:tcW w:type="dxa" w:w="6123"/>
            <w:vAlign w:val="top"/>
            <w:shd w:val="clear" w:color="auto" w:fill="FDF0F7"/>
          </w:tcPr>
          <w:p>
            <w:pPr>
              <w:spacing w:after="20" w:line="252" w:lineRule="auto"/>
            </w:pPr>
            <w:r>
              <w:rPr>
                <w:b w:val="0"/>
                <w:i w:val="0"/>
                <w:sz w:val="15"/>
              </w:rPr>
              <w:t>falls back to the code for a retired plan</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plan-label.spec.ts</w:t>
            </w:r>
          </w:p>
        </w:tc>
        <w:tc>
          <w:tcPr>
            <w:tcW w:type="dxa" w:w="6123"/>
            <w:vAlign w:val="top"/>
          </w:tcPr>
          <w:p>
            <w:pPr>
              <w:spacing w:after="20" w:line="252" w:lineRule="auto"/>
            </w:pPr>
            <w:r>
              <w:rPr>
                <w:b w:val="0"/>
                <w:i w:val="0"/>
                <w:sz w:val="15"/>
              </w:rPr>
              <w:t>returns null when the product has no plans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product-definitions.spec.ts</w:t>
            </w:r>
          </w:p>
        </w:tc>
        <w:tc>
          <w:tcPr>
            <w:tcW w:type="dxa" w:w="6123"/>
            <w:vAlign w:val="top"/>
            <w:shd w:val="clear" w:color="auto" w:fill="FDF0F7"/>
          </w:tcPr>
          <w:p>
            <w:pPr>
              <w:spacing w:after="20" w:line="252" w:lineRule="auto"/>
            </w:pPr>
            <w:r>
              <w:rPr>
                <w:b w:val="0"/>
                <w:i w:val="0"/>
                <w:sz w:val="15"/>
              </w:rPr>
              <w:t>returns referral reasons for "yes" answers that require underwriting</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product-definitions.spec.ts</w:t>
            </w:r>
          </w:p>
        </w:tc>
        <w:tc>
          <w:tcPr>
            <w:tcW w:type="dxa" w:w="6123"/>
            <w:vAlign w:val="top"/>
          </w:tcPr>
          <w:p>
            <w:pPr>
              <w:spacing w:after="20" w:line="252" w:lineRule="auto"/>
            </w:pPr>
            <w:r>
              <w:rPr>
                <w:b w:val="0"/>
                <w:i w:val="0"/>
                <w:sz w:val="15"/>
              </w:rPr>
              <w:t>requires every question to be answered and details for "yes"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product-definitions.spec.ts</w:t>
            </w:r>
          </w:p>
        </w:tc>
        <w:tc>
          <w:tcPr>
            <w:tcW w:type="dxa" w:w="6123"/>
            <w:vAlign w:val="top"/>
            <w:shd w:val="clear" w:color="auto" w:fill="FDF0F7"/>
          </w:tcPr>
          <w:p>
            <w:pPr>
              <w:spacing w:after="20" w:line="252" w:lineRule="auto"/>
            </w:pPr>
            <w:r>
              <w:rPr>
                <w:b w:val="0"/>
                <w:i w:val="0"/>
                <w:sz w:val="15"/>
              </w:rPr>
              <w:t>rejects answers to questions the product does not ask</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product-definitions.spec.ts</w:t>
            </w:r>
          </w:p>
        </w:tc>
        <w:tc>
          <w:tcPr>
            <w:tcW w:type="dxa" w:w="6123"/>
            <w:vAlign w:val="top"/>
          </w:tcPr>
          <w:p>
            <w:pPr>
              <w:spacing w:after="20" w:line="252" w:lineRule="auto"/>
            </w:pPr>
            <w:r>
              <w:rPr>
                <w:b w:val="0"/>
                <w:i w:val="0"/>
                <w:sz w:val="15"/>
              </w:rPr>
              <w:t>treats documents as mandatory unless stated otherwise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reports.spec.ts</w:t>
            </w:r>
          </w:p>
        </w:tc>
        <w:tc>
          <w:tcPr>
            <w:tcW w:type="dxa" w:w="6123"/>
            <w:vAlign w:val="top"/>
            <w:shd w:val="clear" w:color="auto" w:fill="FDF0F7"/>
          </w:tcPr>
          <w:p>
            <w:pPr>
              <w:spacing w:after="20" w:line="252" w:lineRule="auto"/>
            </w:pPr>
            <w:r>
              <w:rPr>
                <w:b w:val="0"/>
                <w:i w:val="0"/>
                <w:sz w:val="15"/>
              </w:rPr>
              <w:t>quotes CSV cells and neutralises spreadsheet formulas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reports.spec.ts</w:t>
            </w:r>
          </w:p>
        </w:tc>
        <w:tc>
          <w:tcPr>
            <w:tcW w:type="dxa" w:w="6123"/>
            <w:vAlign w:val="top"/>
          </w:tcPr>
          <w:p>
            <w:pPr>
              <w:spacing w:after="20" w:line="252" w:lineRule="auto"/>
            </w:pPr>
            <w:r>
              <w:rPr>
                <w:b w:val="0"/>
                <w:i w:val="0"/>
                <w:sz w:val="15"/>
              </w:rPr>
              <w:t>runs daily reports at 07:00 Brunei time (23:00 UTC)</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reports.spec.ts</w:t>
            </w:r>
          </w:p>
        </w:tc>
        <w:tc>
          <w:tcPr>
            <w:tcW w:type="dxa" w:w="6123"/>
            <w:vAlign w:val="top"/>
            <w:shd w:val="clear" w:color="auto" w:fill="FDF0F7"/>
          </w:tcPr>
          <w:p>
            <w:pPr>
              <w:spacing w:after="20" w:line="252" w:lineRule="auto"/>
            </w:pPr>
            <w:r>
              <w:rPr>
                <w:b w:val="0"/>
                <w:i w:val="0"/>
                <w:sz w:val="15"/>
              </w:rPr>
              <w:t>runs weekly reports on Monday and monthly reports on the 1st (local time)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reports.spec.ts</w:t>
            </w:r>
          </w:p>
        </w:tc>
        <w:tc>
          <w:tcPr>
            <w:tcW w:type="dxa" w:w="6123"/>
            <w:vAlign w:val="top"/>
          </w:tcPr>
          <w:p>
            <w:pPr>
              <w:spacing w:after="20" w:line="252" w:lineRule="auto"/>
            </w:pPr>
            <w:r>
              <w:rPr>
                <w:b w:val="0"/>
                <w:i w:val="0"/>
                <w:sz w:val="15"/>
              </w:rPr>
              <w:t>resolves relative periods to date ranges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workflow-payload.spec.ts</w:t>
            </w:r>
          </w:p>
        </w:tc>
        <w:tc>
          <w:tcPr>
            <w:tcW w:type="dxa" w:w="6123"/>
            <w:vAlign w:val="top"/>
            <w:shd w:val="clear" w:color="auto" w:fill="FDF0F7"/>
          </w:tcPr>
          <w:p>
            <w:pPr>
              <w:spacing w:after="20" w:line="252" w:lineRule="auto"/>
            </w:pPr>
            <w:r>
              <w:rPr>
                <w:b w:val="0"/>
                <w:i w:val="0"/>
                <w:sz w:val="15"/>
              </w:rPr>
              <w:t>removes encrypted values at any depth and keeps everything else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workflow-payload.spec.ts</w:t>
            </w:r>
          </w:p>
        </w:tc>
        <w:tc>
          <w:tcPr>
            <w:tcW w:type="dxa" w:w="6123"/>
            <w:vAlign w:val="top"/>
          </w:tcPr>
          <w:p>
            <w:pPr>
              <w:spacing w:after="20" w:line="252" w:lineRule="auto"/>
            </w:pPr>
            <w:r>
              <w:rPr>
                <w:b w:val="0"/>
                <w:i w:val="0"/>
                <w:sz w:val="15"/>
              </w:rPr>
              <w:t>leaves scalar and empty payloads untouched</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financing.engine.spec.ts</w:t>
            </w:r>
          </w:p>
        </w:tc>
        <w:tc>
          <w:tcPr>
            <w:tcW w:type="dxa" w:w="6123"/>
            <w:vAlign w:val="top"/>
            <w:shd w:val="clear" w:color="auto" w:fill="FDF0F7"/>
          </w:tcPr>
          <w:p>
            <w:pPr>
              <w:spacing w:after="20" w:line="252" w:lineRule="auto"/>
            </w:pPr>
            <w:r>
              <w:rPr>
                <w:b w:val="0"/>
                <w:i w:val="0"/>
                <w:sz w:val="15"/>
              </w:rPr>
              <w:t>calculates a decreasing-term contribution on the flat-rate financing total</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financing.engine.spec.ts</w:t>
            </w:r>
          </w:p>
        </w:tc>
        <w:tc>
          <w:tcPr>
            <w:tcW w:type="dxa" w:w="6123"/>
            <w:vAlign w:val="top"/>
          </w:tcPr>
          <w:p>
            <w:pPr>
              <w:spacing w:after="20" w:line="252" w:lineRule="auto"/>
            </w:pPr>
            <w:r>
              <w:rPr>
                <w:b w:val="0"/>
                <w:i w:val="0"/>
                <w:sz w:val="15"/>
              </w:rPr>
              <w:t>refers financing above the B$150,000 high-risk limit to IIFT Sales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financing.engine.spec.ts</w:t>
            </w:r>
          </w:p>
        </w:tc>
        <w:tc>
          <w:tcPr>
            <w:tcW w:type="dxa" w:w="6123"/>
            <w:vAlign w:val="top"/>
            <w:shd w:val="clear" w:color="auto" w:fill="FDF0F7"/>
          </w:tcPr>
          <w:p>
            <w:pPr>
              <w:spacing w:after="20" w:line="252" w:lineRule="auto"/>
            </w:pPr>
            <w:r>
              <w:rPr>
                <w:b w:val="0"/>
                <w:i w:val="0"/>
                <w:sz w:val="15"/>
              </w:rPr>
              <w:t>does not refer financing exactly at the high-risk limit</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financing.engine.spec.ts</w:t>
            </w:r>
          </w:p>
        </w:tc>
        <w:tc>
          <w:tcPr>
            <w:tcW w:type="dxa" w:w="6123"/>
            <w:vAlign w:val="top"/>
          </w:tcPr>
          <w:p>
            <w:pPr>
              <w:spacing w:after="20" w:line="252" w:lineRule="auto"/>
            </w:pPr>
            <w:r>
              <w:rPr>
                <w:b w:val="0"/>
                <w:i w:val="0"/>
                <w:sz w:val="15"/>
              </w:rPr>
              <w:t>rejects cover that would run past the maximum age at expiry</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financing.engine.spec.ts</w:t>
            </w:r>
          </w:p>
        </w:tc>
        <w:tc>
          <w:tcPr>
            <w:tcW w:type="dxa" w:w="6123"/>
            <w:vAlign w:val="top"/>
            <w:shd w:val="clear" w:color="auto" w:fill="FDF0F7"/>
          </w:tcPr>
          <w:p>
            <w:pPr>
              <w:spacing w:after="20" w:line="252" w:lineRule="auto"/>
            </w:pPr>
            <w:r>
              <w:rPr>
                <w:b w:val="0"/>
                <w:i w:val="0"/>
                <w:sz w:val="15"/>
              </w:rPr>
              <w:t>applies no profit loading when the product uses NONE as profit basis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financing.engine.spec.ts</w:t>
            </w:r>
          </w:p>
        </w:tc>
        <w:tc>
          <w:tcPr>
            <w:tcW w:type="dxa" w:w="6123"/>
            <w:vAlign w:val="top"/>
          </w:tcPr>
          <w:p>
            <w:pPr>
              <w:spacing w:after="20" w:line="252" w:lineRule="auto"/>
            </w:pPr>
            <w:r>
              <w:rPr>
                <w:b w:val="0"/>
                <w:i w:val="0"/>
                <w:sz w:val="15"/>
              </w:rPr>
              <w:t>lists every missing risk field at once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financing.engine.spec.ts</w:t>
            </w:r>
          </w:p>
        </w:tc>
        <w:tc>
          <w:tcPr>
            <w:tcW w:type="dxa" w:w="6123"/>
            <w:vAlign w:val="top"/>
            <w:shd w:val="clear" w:color="auto" w:fill="FDF0F7"/>
          </w:tcPr>
          <w:p>
            <w:pPr>
              <w:spacing w:after="20" w:line="252" w:lineRule="auto"/>
            </w:pPr>
            <w:r>
              <w:rPr>
                <w:b w:val="0"/>
                <w:i w:val="0"/>
                <w:sz w:val="15"/>
              </w:rPr>
              <w:t>validates its configuration</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fixed-plan.engine.spec.ts</w:t>
            </w:r>
          </w:p>
        </w:tc>
        <w:tc>
          <w:tcPr>
            <w:tcW w:type="dxa" w:w="6123"/>
            <w:vAlign w:val="top"/>
          </w:tcPr>
          <w:p>
            <w:pPr>
              <w:spacing w:after="20" w:line="252" w:lineRule="auto"/>
            </w:pPr>
            <w:r>
              <w:rPr>
                <w:b w:val="0"/>
                <w:i w:val="0"/>
                <w:sz w:val="15"/>
              </w:rPr>
              <w:t>prices Professional Plan B with the optional additional cover (FFR03)</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fixed-plan.engine.spec.ts</w:t>
            </w:r>
          </w:p>
        </w:tc>
        <w:tc>
          <w:tcPr>
            <w:tcW w:type="dxa" w:w="6123"/>
            <w:vAlign w:val="top"/>
            <w:shd w:val="clear" w:color="auto" w:fill="FDF0F7"/>
          </w:tcPr>
          <w:p>
            <w:pPr>
              <w:spacing w:after="20" w:line="252" w:lineRule="auto"/>
            </w:pPr>
            <w:r>
              <w:rPr>
                <w:b w:val="0"/>
                <w:i w:val="0"/>
                <w:sz w:val="15"/>
              </w:rPr>
              <w:t>accepts only Occupational Class I for the Professional plan</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fixed-plan.engine.spec.ts</w:t>
            </w:r>
          </w:p>
        </w:tc>
        <w:tc>
          <w:tcPr>
            <w:tcW w:type="dxa" w:w="6123"/>
            <w:vAlign w:val="top"/>
          </w:tcPr>
          <w:p>
            <w:pPr>
              <w:spacing w:after="20" w:line="252" w:lineRule="auto"/>
            </w:pPr>
            <w:r>
              <w:rPr>
                <w:b w:val="0"/>
                <w:i w:val="0"/>
                <w:sz w:val="15"/>
              </w:rPr>
              <w:t>applies the Wider (Child) loading for Khairat (FFR04)</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fixed-plan.engine.spec.ts</w:t>
            </w:r>
          </w:p>
        </w:tc>
        <w:tc>
          <w:tcPr>
            <w:tcW w:type="dxa" w:w="6123"/>
            <w:vAlign w:val="top"/>
            <w:shd w:val="clear" w:color="auto" w:fill="FDF0F7"/>
          </w:tcPr>
          <w:p>
            <w:pPr>
              <w:spacing w:after="20" w:line="252" w:lineRule="auto"/>
            </w:pPr>
            <w:r>
              <w:rPr>
                <w:b w:val="0"/>
                <w:i w:val="0"/>
                <w:sz w:val="15"/>
              </w:rPr>
              <w:t>requires a coverage type when the product defines them</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fixed-plan.engine.spec.ts</w:t>
            </w:r>
          </w:p>
        </w:tc>
        <w:tc>
          <w:tcPr>
            <w:tcW w:type="dxa" w:w="6123"/>
            <w:vAlign w:val="top"/>
          </w:tcPr>
          <w:p>
            <w:pPr>
              <w:spacing w:after="20" w:line="252" w:lineRule="auto"/>
            </w:pPr>
            <w:r>
              <w:rPr>
                <w:b w:val="0"/>
                <w:i w:val="0"/>
                <w:sz w:val="15"/>
              </w:rPr>
              <w:t>offers 1- and 2-year cover for Personal Home Assistant (FFR02)</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fixed-plan.engine.spec.ts</w:t>
            </w:r>
          </w:p>
        </w:tc>
        <w:tc>
          <w:tcPr>
            <w:tcW w:type="dxa" w:w="6123"/>
            <w:vAlign w:val="top"/>
            <w:shd w:val="clear" w:color="auto" w:fill="FDF0F7"/>
          </w:tcPr>
          <w:p>
            <w:pPr>
              <w:spacing w:after="20" w:line="252" w:lineRule="auto"/>
            </w:pPr>
            <w:r>
              <w:rPr>
                <w:b w:val="0"/>
                <w:i w:val="0"/>
                <w:sz w:val="15"/>
              </w:rPr>
              <w:t>accepts a registered Brunei citizen student</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fixed-plan.engine.spec.ts</w:t>
            </w:r>
          </w:p>
        </w:tc>
        <w:tc>
          <w:tcPr>
            <w:tcW w:type="dxa" w:w="6123"/>
            <w:vAlign w:val="top"/>
          </w:tcPr>
          <w:p>
            <w:pPr>
              <w:spacing w:after="20" w:line="252" w:lineRule="auto"/>
            </w:pPr>
            <w:r>
              <w:rPr>
                <w:b w:val="0"/>
                <w:i w:val="0"/>
                <w:sz w:val="15"/>
              </w:rPr>
              <w:t>rejects a participant who is not a Brunei citizen</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fixed-plan.engine.spec.ts</w:t>
            </w:r>
          </w:p>
        </w:tc>
        <w:tc>
          <w:tcPr>
            <w:tcW w:type="dxa" w:w="6123"/>
            <w:vAlign w:val="top"/>
            <w:shd w:val="clear" w:color="auto" w:fill="FDF0F7"/>
          </w:tcPr>
          <w:p>
            <w:pPr>
              <w:spacing w:after="20" w:line="252" w:lineRule="auto"/>
            </w:pPr>
            <w:r>
              <w:rPr>
                <w:b w:val="0"/>
                <w:i w:val="0"/>
                <w:sz w:val="15"/>
              </w:rPr>
              <w:t>requires confirmation of student registration</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fixed-plan.engine.spec.ts</w:t>
            </w:r>
          </w:p>
        </w:tc>
        <w:tc>
          <w:tcPr>
            <w:tcW w:type="dxa" w:w="6123"/>
            <w:vAlign w:val="top"/>
          </w:tcPr>
          <w:p>
            <w:pPr>
              <w:spacing w:after="20" w:line="252" w:lineRule="auto"/>
            </w:pPr>
            <w:r>
              <w:rPr>
                <w:b w:val="0"/>
                <w:i w:val="0"/>
                <w:sz w:val="15"/>
              </w:rPr>
              <w:t>rejects participants older than 65 next birthday</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fixed-plan.engine.spec.ts</w:t>
            </w:r>
          </w:p>
        </w:tc>
        <w:tc>
          <w:tcPr>
            <w:tcW w:type="dxa" w:w="6123"/>
            <w:vAlign w:val="top"/>
            <w:shd w:val="clear" w:color="auto" w:fill="FDF0F7"/>
          </w:tcPr>
          <w:p>
            <w:pPr>
              <w:spacing w:after="20" w:line="252" w:lineRule="auto"/>
            </w:pPr>
            <w:r>
              <w:rPr>
                <w:b w:val="0"/>
                <w:i w:val="0"/>
                <w:sz w:val="15"/>
              </w:rPr>
              <w:t>drops risk details that the product does not define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fixed-plan.engine.spec.ts</w:t>
            </w:r>
          </w:p>
        </w:tc>
        <w:tc>
          <w:tcPr>
            <w:tcW w:type="dxa" w:w="6123"/>
            <w:vAlign w:val="top"/>
          </w:tcPr>
          <w:p>
            <w:pPr>
              <w:spacing w:after="20" w:line="252" w:lineRule="auto"/>
            </w:pPr>
            <w:r>
              <w:rPr>
                <w:b w:val="0"/>
                <w:i w:val="0"/>
                <w:sz w:val="15"/>
              </w:rPr>
              <w:t>validates every catalogue product configuration</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access-control.e2e-spec.ts</w:t>
            </w:r>
          </w:p>
        </w:tc>
        <w:tc>
          <w:tcPr>
            <w:tcW w:type="dxa" w:w="6123"/>
            <w:vAlign w:val="top"/>
            <w:shd w:val="clear" w:color="auto" w:fill="FDF0F7"/>
          </w:tcPr>
          <w:p>
            <w:pPr>
              <w:spacing w:after="20" w:line="252" w:lineRule="auto"/>
            </w:pPr>
            <w:r>
              <w:rPr>
                <w:b w:val="0"/>
                <w:i w:val="0"/>
                <w:sz w:val="15"/>
              </w:rPr>
              <w:t>rejects unauthenticated requests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access-control.e2e-spec.ts</w:t>
            </w:r>
          </w:p>
        </w:tc>
        <w:tc>
          <w:tcPr>
            <w:tcW w:type="dxa" w:w="6123"/>
            <w:vAlign w:val="top"/>
          </w:tcPr>
          <w:p>
            <w:pPr>
              <w:spacing w:after="20" w:line="252" w:lineRule="auto"/>
            </w:pPr>
            <w:r>
              <w:rPr>
                <w:b w:val="0"/>
                <w:i w:val="0"/>
                <w:sz w:val="15"/>
              </w:rPr>
              <w:t>keeps portal users out of the back-office API and vice versa</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access-control.e2e-spec.ts</w:t>
            </w:r>
          </w:p>
        </w:tc>
        <w:tc>
          <w:tcPr>
            <w:tcW w:type="dxa" w:w="6123"/>
            <w:vAlign w:val="top"/>
            <w:shd w:val="clear" w:color="auto" w:fill="FDF0F7"/>
          </w:tcPr>
          <w:p>
            <w:pPr>
              <w:spacing w:after="20" w:line="252" w:lineRule="auto"/>
            </w:pPr>
            <w:r>
              <w:rPr>
                <w:b w:val="0"/>
                <w:i w:val="0"/>
                <w:sz w:val="15"/>
              </w:rPr>
              <w:t>enforces permissions within the back-office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access-control.e2e-spec.ts</w:t>
            </w:r>
          </w:p>
        </w:tc>
        <w:tc>
          <w:tcPr>
            <w:tcW w:type="dxa" w:w="6123"/>
            <w:vAlign w:val="top"/>
          </w:tcPr>
          <w:p>
            <w:pPr>
              <w:spacing w:after="20" w:line="252" w:lineRule="auto"/>
            </w:pPr>
            <w:r>
              <w:rPr>
                <w:b w:val="0"/>
                <w:i w:val="0"/>
                <w:sz w:val="15"/>
              </w:rPr>
              <w:t>restricts records to the agent hierarchy and agency</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access-control.e2e-spec.ts</w:t>
            </w:r>
          </w:p>
        </w:tc>
        <w:tc>
          <w:tcPr>
            <w:tcW w:type="dxa" w:w="6123"/>
            <w:vAlign w:val="top"/>
            <w:shd w:val="clear" w:color="auto" w:fill="FDF0F7"/>
          </w:tcPr>
          <w:p>
            <w:pPr>
              <w:spacing w:after="20" w:line="252" w:lineRule="auto"/>
            </w:pPr>
            <w:r>
              <w:rPr>
                <w:b w:val="0"/>
                <w:i w:val="0"/>
                <w:sz w:val="15"/>
              </w:rPr>
              <w:t>treats injection attempts in search parameters as plain text</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access-control.e2e-spec.ts</w:t>
            </w:r>
          </w:p>
        </w:tc>
        <w:tc>
          <w:tcPr>
            <w:tcW w:type="dxa" w:w="6123"/>
            <w:vAlign w:val="top"/>
          </w:tcPr>
          <w:p>
            <w:pPr>
              <w:spacing w:after="20" w:line="252" w:lineRule="auto"/>
            </w:pPr>
            <w:r>
              <w:rPr>
                <w:b w:val="0"/>
                <w:i w:val="0"/>
                <w:sz w:val="15"/>
              </w:rPr>
              <w:t>rejects unknown and malformed fields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access-control.e2e-spec.ts</w:t>
            </w:r>
          </w:p>
        </w:tc>
        <w:tc>
          <w:tcPr>
            <w:tcW w:type="dxa" w:w="6123"/>
            <w:vAlign w:val="top"/>
            <w:shd w:val="clear" w:color="auto" w:fill="FDF0F7"/>
          </w:tcPr>
          <w:p>
            <w:pPr>
              <w:spacing w:after="20" w:line="252" w:lineRule="auto"/>
            </w:pPr>
            <w:r>
              <w:rPr>
                <w:b w:val="0"/>
                <w:i w:val="0"/>
                <w:sz w:val="15"/>
              </w:rPr>
              <w:t>never exposes internal error details and returns a correlation id</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access-control.e2e-spec.ts</w:t>
            </w:r>
          </w:p>
        </w:tc>
        <w:tc>
          <w:tcPr>
            <w:tcW w:type="dxa" w:w="6123"/>
            <w:vAlign w:val="top"/>
          </w:tcPr>
          <w:p>
            <w:pPr>
              <w:spacing w:after="20" w:line="252" w:lineRule="auto"/>
            </w:pPr>
            <w:r>
              <w:rPr>
                <w:b w:val="0"/>
                <w:i w:val="0"/>
                <w:sz w:val="15"/>
              </w:rPr>
              <w:t>sends security headers and hides the framework</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access-control.e2e-spec.ts</w:t>
            </w:r>
          </w:p>
        </w:tc>
        <w:tc>
          <w:tcPr>
            <w:tcW w:type="dxa" w:w="6123"/>
            <w:vAlign w:val="top"/>
            <w:shd w:val="clear" w:color="auto" w:fill="FDF0F7"/>
          </w:tcPr>
          <w:p>
            <w:pPr>
              <w:spacing w:after="20" w:line="252" w:lineRule="auto"/>
            </w:pPr>
            <w:r>
              <w:rPr>
                <w:b w:val="0"/>
                <w:i w:val="0"/>
                <w:sz w:val="15"/>
              </w:rPr>
              <w:t>authenticates system-to-system calls with an API key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access-control.e2e-spec.ts</w:t>
            </w:r>
          </w:p>
        </w:tc>
        <w:tc>
          <w:tcPr>
            <w:tcW w:type="dxa" w:w="6123"/>
            <w:vAlign w:val="top"/>
          </w:tcPr>
          <w:p>
            <w:pPr>
              <w:spacing w:after="20" w:line="252" w:lineRule="auto"/>
            </w:pPr>
            <w:r>
              <w:rPr>
                <w:b w:val="0"/>
                <w:i w:val="0"/>
                <w:sz w:val="15"/>
              </w:rPr>
              <w:t>stores identification numbers encrypted and shows them masked</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access-control.e2e-spec.ts</w:t>
            </w:r>
          </w:p>
        </w:tc>
        <w:tc>
          <w:tcPr>
            <w:tcW w:type="dxa" w:w="6123"/>
            <w:vAlign w:val="top"/>
            <w:shd w:val="clear" w:color="auto" w:fill="FDF0F7"/>
          </w:tcPr>
          <w:p>
            <w:pPr>
              <w:spacing w:after="20" w:line="252" w:lineRule="auto"/>
            </w:pPr>
            <w:r>
              <w:rPr>
                <w:b w:val="0"/>
                <w:i w:val="0"/>
                <w:sz w:val="15"/>
              </w:rPr>
              <w:t>keeps the audit trail append-only at database level</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auth.e2e-spec.ts</w:t>
            </w:r>
          </w:p>
        </w:tc>
        <w:tc>
          <w:tcPr>
            <w:tcW w:type="dxa" w:w="6123"/>
            <w:vAlign w:val="top"/>
          </w:tcPr>
          <w:p>
            <w:pPr>
              <w:spacing w:after="20" w:line="252" w:lineRule="auto"/>
            </w:pPr>
            <w:r>
              <w:rPr>
                <w:b w:val="0"/>
                <w:i w:val="0"/>
                <w:sz w:val="15"/>
              </w:rPr>
              <w:t>rejects wrong credentials with a generic message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auth.e2e-spec.ts</w:t>
            </w:r>
          </w:p>
        </w:tc>
        <w:tc>
          <w:tcPr>
            <w:tcW w:type="dxa" w:w="6123"/>
            <w:vAlign w:val="top"/>
            <w:shd w:val="clear" w:color="auto" w:fill="FDF0F7"/>
          </w:tcPr>
          <w:p>
            <w:pPr>
              <w:spacing w:after="20" w:line="252" w:lineRule="auto"/>
            </w:pPr>
            <w:r>
              <w:rPr>
                <w:b w:val="0"/>
                <w:i w:val="0"/>
                <w:sz w:val="15"/>
              </w:rPr>
              <w:t>issues an HttpOnly, SameSite=Strict session cookie and never returns secrets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auth.e2e-spec.ts</w:t>
            </w:r>
          </w:p>
        </w:tc>
        <w:tc>
          <w:tcPr>
            <w:tcW w:type="dxa" w:w="6123"/>
            <w:vAlign w:val="top"/>
          </w:tcPr>
          <w:p>
            <w:pPr>
              <w:spacing w:after="20" w:line="252" w:lineRule="auto"/>
            </w:pPr>
            <w:r>
              <w:rPr>
                <w:b w:val="0"/>
                <w:i w:val="0"/>
                <w:sz w:val="15"/>
              </w:rPr>
              <w:t>locks the account after the configured number of failed attempts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auth.e2e-spec.ts</w:t>
            </w:r>
          </w:p>
        </w:tc>
        <w:tc>
          <w:tcPr>
            <w:tcW w:type="dxa" w:w="6123"/>
            <w:vAlign w:val="top"/>
            <w:shd w:val="clear" w:color="auto" w:fill="FDF0F7"/>
          </w:tcPr>
          <w:p>
            <w:pPr>
              <w:spacing w:after="20" w:line="252" w:lineRule="auto"/>
            </w:pPr>
            <w:r>
              <w:rPr>
                <w:b w:val="0"/>
                <w:i w:val="0"/>
                <w:sz w:val="15"/>
              </w:rPr>
              <w:t>requires the CSRF token on state-changing requests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auth.e2e-spec.ts</w:t>
            </w:r>
          </w:p>
        </w:tc>
        <w:tc>
          <w:tcPr>
            <w:tcW w:type="dxa" w:w="6123"/>
            <w:vAlign w:val="top"/>
          </w:tcPr>
          <w:p>
            <w:pPr>
              <w:spacing w:after="20" w:line="252" w:lineRule="auto"/>
            </w:pPr>
            <w:r>
              <w:rPr>
                <w:b w:val="0"/>
                <w:i w:val="0"/>
                <w:sz w:val="15"/>
              </w:rPr>
              <w:t>ends the session on logout</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auth.e2e-spec.ts</w:t>
            </w:r>
          </w:p>
        </w:tc>
        <w:tc>
          <w:tcPr>
            <w:tcW w:type="dxa" w:w="6123"/>
            <w:vAlign w:val="top"/>
            <w:shd w:val="clear" w:color="auto" w:fill="FDF0F7"/>
          </w:tcPr>
          <w:p>
            <w:pPr>
              <w:spacing w:after="20" w:line="252" w:lineRule="auto"/>
            </w:pPr>
            <w:r>
              <w:rPr>
                <w:b w:val="0"/>
                <w:i w:val="0"/>
                <w:sz w:val="15"/>
              </w:rPr>
              <w:t>keeps only one active session per user</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auth.e2e-spec.ts</w:t>
            </w:r>
          </w:p>
        </w:tc>
        <w:tc>
          <w:tcPr>
            <w:tcW w:type="dxa" w:w="6123"/>
            <w:vAlign w:val="top"/>
          </w:tcPr>
          <w:p>
            <w:pPr>
              <w:spacing w:after="20" w:line="252" w:lineRule="auto"/>
            </w:pPr>
            <w:r>
              <w:rPr>
                <w:b w:val="0"/>
                <w:i w:val="0"/>
                <w:sz w:val="15"/>
              </w:rPr>
              <w:t>forces a temporary password to be changed before anything else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operations.e2e-spec.ts</w:t>
            </w:r>
          </w:p>
        </w:tc>
        <w:tc>
          <w:tcPr>
            <w:tcW w:type="dxa" w:w="6123"/>
            <w:vAlign w:val="top"/>
            <w:shd w:val="clear" w:color="auto" w:fill="FDF0F7"/>
          </w:tcPr>
          <w:p>
            <w:pPr>
              <w:spacing w:after="20" w:line="252" w:lineRule="auto"/>
            </w:pPr>
            <w:r>
              <w:rPr>
                <w:b w:val="0"/>
                <w:i w:val="0"/>
                <w:sz w:val="15"/>
              </w:rPr>
              <w:t>onboards a sub-agent through registration, AML, documents and approval (AP-07, BO-10/13)</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operations.e2e-spec.ts</w:t>
            </w:r>
          </w:p>
        </w:tc>
        <w:tc>
          <w:tcPr>
            <w:tcW w:type="dxa" w:w="6123"/>
            <w:vAlign w:val="top"/>
          </w:tcPr>
          <w:p>
            <w:pPr>
              <w:spacing w:after="20" w:line="252" w:lineRule="auto"/>
            </w:pPr>
            <w:r>
              <w:rPr>
                <w:b w:val="0"/>
                <w:i w:val="0"/>
                <w:sz w:val="15"/>
              </w:rPr>
              <w:t>asks passport holders for a passport copy instead of an IC copy</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operations.e2e-spec.ts</w:t>
            </w:r>
          </w:p>
        </w:tc>
        <w:tc>
          <w:tcPr>
            <w:tcW w:type="dxa" w:w="6123"/>
            <w:vAlign w:val="top"/>
            <w:shd w:val="clear" w:color="auto" w:fill="FDF0F7"/>
          </w:tcPr>
          <w:p>
            <w:pPr>
              <w:spacing w:after="20" w:line="252" w:lineRule="auto"/>
            </w:pPr>
            <w:r>
              <w:rPr>
                <w:b w:val="0"/>
                <w:i w:val="0"/>
                <w:sz w:val="15"/>
              </w:rPr>
              <w:t>closes a pending registration when Compliance confirms an AML match</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operations.e2e-spec.ts</w:t>
            </w:r>
          </w:p>
        </w:tc>
        <w:tc>
          <w:tcPr>
            <w:tcW w:type="dxa" w:w="6123"/>
            <w:vAlign w:val="top"/>
          </w:tcPr>
          <w:p>
            <w:pPr>
              <w:spacing w:after="20" w:line="252" w:lineRule="auto"/>
            </w:pPr>
            <w:r>
              <w:rPr>
                <w:b w:val="0"/>
                <w:i w:val="0"/>
                <w:sz w:val="15"/>
              </w:rPr>
              <w:t>routes a watch-list match to Compliance and records the review (AP-16, BO-13..15)</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operations.e2e-spec.ts</w:t>
            </w:r>
          </w:p>
        </w:tc>
        <w:tc>
          <w:tcPr>
            <w:tcW w:type="dxa" w:w="6123"/>
            <w:vAlign w:val="top"/>
            <w:shd w:val="clear" w:color="auto" w:fill="FDF0F7"/>
          </w:tcPr>
          <w:p>
            <w:pPr>
              <w:spacing w:after="20" w:line="252" w:lineRule="auto"/>
            </w:pPr>
            <w:r>
              <w:rPr>
                <w:b w:val="0"/>
                <w:i w:val="0"/>
                <w:sz w:val="15"/>
              </w:rPr>
              <w:t>manages an issue through assignment, comments and resolution with SLA dates (AP-55..57, BO-29..31)</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operations.e2e-spec.ts</w:t>
            </w:r>
          </w:p>
        </w:tc>
        <w:tc>
          <w:tcPr>
            <w:tcW w:type="dxa" w:w="6123"/>
            <w:vAlign w:val="top"/>
          </w:tcPr>
          <w:p>
            <w:pPr>
              <w:spacing w:after="20" w:line="252" w:lineRule="auto"/>
            </w:pPr>
            <w:r>
              <w:rPr>
                <w:b w:val="0"/>
                <w:i w:val="0"/>
                <w:sz w:val="15"/>
              </w:rPr>
              <w:t>accepts claim notifications only within the period of cover (AP-43)</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operations.e2e-spec.ts</w:t>
            </w:r>
          </w:p>
        </w:tc>
        <w:tc>
          <w:tcPr>
            <w:tcW w:type="dxa" w:w="6123"/>
            <w:vAlign w:val="top"/>
            <w:shd w:val="clear" w:color="auto" w:fill="FDF0F7"/>
          </w:tcPr>
          <w:p>
            <w:pPr>
              <w:spacing w:after="20" w:line="252" w:lineRule="auto"/>
            </w:pPr>
            <w:r>
              <w:rPr>
                <w:b w:val="0"/>
                <w:i w:val="0"/>
                <w:sz w:val="15"/>
              </w:rPr>
              <w:t>runs every standard report and exports it in each format (BO-22..24)</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operations.e2e-spec.ts</w:t>
            </w:r>
          </w:p>
        </w:tc>
        <w:tc>
          <w:tcPr>
            <w:tcW w:type="dxa" w:w="6123"/>
            <w:vAlign w:val="top"/>
          </w:tcPr>
          <w:p>
            <w:pPr>
              <w:spacing w:after="20" w:line="252" w:lineRule="auto"/>
            </w:pPr>
            <w:r>
              <w:rPr>
                <w:b w:val="0"/>
                <w:i w:val="0"/>
                <w:sz w:val="15"/>
              </w:rPr>
              <w:t>runs end-of-day, posts to FIN, reconciles and delivers integration messages (FFR EOD, INT-13..15)</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operations.e2e-spec.ts</w:t>
            </w:r>
          </w:p>
        </w:tc>
        <w:tc>
          <w:tcPr>
            <w:tcW w:type="dxa" w:w="6123"/>
            <w:vAlign w:val="top"/>
            <w:shd w:val="clear" w:color="auto" w:fill="FDF0F7"/>
          </w:tcPr>
          <w:p>
            <w:pPr>
              <w:spacing w:after="20" w:line="252" w:lineRule="auto"/>
            </w:pPr>
            <w:r>
              <w:rPr>
                <w:b w:val="0"/>
                <w:i w:val="0"/>
                <w:sz w:val="15"/>
              </w:rPr>
              <w:t>administers users, roles, parameters, master data and workflows with an audit trail (BO-03/04/26..33, COM-04)</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operations.e2e-spec.ts</w:t>
            </w:r>
          </w:p>
        </w:tc>
        <w:tc>
          <w:tcPr>
            <w:tcW w:type="dxa" w:w="6123"/>
            <w:vAlign w:val="top"/>
          </w:tcPr>
          <w:p>
            <w:pPr>
              <w:spacing w:after="20" w:line="252" w:lineRule="auto"/>
            </w:pPr>
            <w:r>
              <w:rPr>
                <w:b w:val="0"/>
                <w:i w:val="0"/>
                <w:sz w:val="15"/>
              </w:rPr>
              <w:t>serves the dashboards (AP-52/53, BO-20/21)</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policy-lifecycle.e2e-spec.ts</w:t>
            </w:r>
          </w:p>
        </w:tc>
        <w:tc>
          <w:tcPr>
            <w:tcW w:type="dxa" w:w="6123"/>
            <w:vAlign w:val="top"/>
            <w:shd w:val="clear" w:color="auto" w:fill="FDF0F7"/>
          </w:tcPr>
          <w:p>
            <w:pPr>
              <w:spacing w:after="20" w:line="252" w:lineRule="auto"/>
            </w:pPr>
            <w:r>
              <w:rPr>
                <w:b w:val="0"/>
                <w:i w:val="0"/>
                <w:sz w:val="15"/>
              </w:rPr>
              <w:t>runs the full Professional Takaful Plan journey with maker-checker payment verification</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policy-lifecycle.e2e-spec.ts</w:t>
            </w:r>
          </w:p>
        </w:tc>
        <w:tc>
          <w:tcPr>
            <w:tcW w:type="dxa" w:w="6123"/>
            <w:vAlign w:val="top"/>
          </w:tcPr>
          <w:p>
            <w:pPr>
              <w:spacing w:after="20" w:line="252" w:lineRule="auto"/>
            </w:pPr>
            <w:r>
              <w:rPr>
                <w:b w:val="0"/>
                <w:i w:val="0"/>
                <w:sz w:val="15"/>
              </w:rPr>
              <w:t>blocks new business for an agency with overdue contributions (AP-42)</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policy-lifecycle.e2e-spec.ts</w:t>
            </w:r>
          </w:p>
        </w:tc>
        <w:tc>
          <w:tcPr>
            <w:tcW w:type="dxa" w:w="6123"/>
            <w:vAlign w:val="top"/>
            <w:shd w:val="clear" w:color="auto" w:fill="FDF0F7"/>
          </w:tcPr>
          <w:p>
            <w:pPr>
              <w:spacing w:after="20" w:line="252" w:lineRule="auto"/>
            </w:pPr>
            <w:r>
              <w:rPr>
                <w:b w:val="0"/>
                <w:i w:val="0"/>
                <w:sz w:val="15"/>
              </w:rPr>
              <w:t>refers high-risk financing for approval and prevents self-approval</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policy-lifecycle.e2e-spec.ts</w:t>
            </w:r>
          </w:p>
        </w:tc>
        <w:tc>
          <w:tcPr>
            <w:tcW w:type="dxa" w:w="6123"/>
            <w:vAlign w:val="top"/>
          </w:tcPr>
          <w:p>
            <w:pPr>
              <w:spacing w:after="20" w:line="252" w:lineRule="auto"/>
            </w:pPr>
            <w:r>
              <w:rPr>
                <w:b w:val="0"/>
                <w:i w:val="0"/>
                <w:sz w:val="15"/>
              </w:rPr>
              <w:t>renews a policy only inside its renewal window</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client.test.ts</w:t>
            </w:r>
          </w:p>
        </w:tc>
        <w:tc>
          <w:tcPr>
            <w:tcW w:type="dxa" w:w="6123"/>
            <w:vAlign w:val="top"/>
            <w:shd w:val="clear" w:color="auto" w:fill="FDF0F7"/>
          </w:tcPr>
          <w:p>
            <w:pPr>
              <w:spacing w:after="20" w:line="252" w:lineRule="auto"/>
            </w:pPr>
            <w:r>
              <w:rPr>
                <w:b w:val="0"/>
                <w:i w:val="0"/>
                <w:sz w:val="15"/>
              </w:rPr>
              <w:t>prefixes the API base path, drops empty query parameters and returns the JSON body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client.test.ts</w:t>
            </w:r>
          </w:p>
        </w:tc>
        <w:tc>
          <w:tcPr>
            <w:tcW w:type="dxa" w:w="6123"/>
            <w:vAlign w:val="top"/>
          </w:tcPr>
          <w:p>
            <w:pPr>
              <w:spacing w:after="20" w:line="252" w:lineRule="auto"/>
            </w:pPr>
            <w:r>
              <w:rPr>
                <w:b w:val="0"/>
                <w:i w:val="0"/>
                <w:sz w:val="15"/>
              </w:rPr>
              <w:t>sends the CSRF token and a JSON body on state-changing requests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client.test.ts</w:t>
            </w:r>
          </w:p>
        </w:tc>
        <w:tc>
          <w:tcPr>
            <w:tcW w:type="dxa" w:w="6123"/>
            <w:vAlign w:val="top"/>
            <w:shd w:val="clear" w:color="auto" w:fill="FDF0F7"/>
          </w:tcPr>
          <w:p>
            <w:pPr>
              <w:spacing w:after="20" w:line="252" w:lineRule="auto"/>
            </w:pPr>
            <w:r>
              <w:rPr>
                <w:b w:val="0"/>
                <w:i w:val="0"/>
                <w:sz w:val="15"/>
              </w:rPr>
              <w:t>does not send the CSRF token on GET requests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client.test.ts</w:t>
            </w:r>
          </w:p>
        </w:tc>
        <w:tc>
          <w:tcPr>
            <w:tcW w:type="dxa" w:w="6123"/>
            <w:vAlign w:val="top"/>
          </w:tcPr>
          <w:p>
            <w:pPr>
              <w:spacing w:after="20" w:line="252" w:lineRule="auto"/>
            </w:pPr>
            <w:r>
              <w:rPr>
                <w:b w:val="0"/>
                <w:i w:val="0"/>
                <w:sz w:val="15"/>
              </w:rPr>
              <w:t>sends uploads as form data without a JSON content type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client.test.ts</w:t>
            </w:r>
          </w:p>
        </w:tc>
        <w:tc>
          <w:tcPr>
            <w:tcW w:type="dxa" w:w="6123"/>
            <w:vAlign w:val="top"/>
            <w:shd w:val="clear" w:color="auto" w:fill="FDF0F7"/>
          </w:tcPr>
          <w:p>
            <w:pPr>
              <w:spacing w:after="20" w:line="252" w:lineRule="auto"/>
            </w:pPr>
            <w:r>
              <w:rPr>
                <w:b w:val="0"/>
                <w:i w:val="0"/>
                <w:sz w:val="15"/>
              </w:rPr>
              <w:t>resolves to undefined for 204 No Content</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client.test.ts</w:t>
            </w:r>
          </w:p>
        </w:tc>
        <w:tc>
          <w:tcPr>
            <w:tcW w:type="dxa" w:w="6123"/>
            <w:vAlign w:val="top"/>
          </w:tcPr>
          <w:p>
            <w:pPr>
              <w:spacing w:after="20" w:line="252" w:lineRule="auto"/>
            </w:pPr>
            <w:r>
              <w:rPr>
                <w:b w:val="0"/>
                <w:i w:val="0"/>
                <w:sz w:val="15"/>
              </w:rPr>
              <w:t>turns an error response into an ApiError with details and correlation id</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client.test.ts</w:t>
            </w:r>
          </w:p>
        </w:tc>
        <w:tc>
          <w:tcPr>
            <w:tcW w:type="dxa" w:w="6123"/>
            <w:vAlign w:val="top"/>
            <w:shd w:val="clear" w:color="auto" w:fill="FDF0F7"/>
          </w:tcPr>
          <w:p>
            <w:pPr>
              <w:spacing w:after="20" w:line="252" w:lineRule="auto"/>
            </w:pPr>
            <w:r>
              <w:rPr>
                <w:b w:val="0"/>
                <w:i w:val="0"/>
                <w:sz w:val="15"/>
              </w:rPr>
              <w:t>uses a generic error when the response body is not JSON</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client.test.ts</w:t>
            </w:r>
          </w:p>
        </w:tc>
        <w:tc>
          <w:tcPr>
            <w:tcW w:type="dxa" w:w="6123"/>
            <w:vAlign w:val="top"/>
          </w:tcPr>
          <w:p>
            <w:pPr>
              <w:spacing w:after="20" w:line="252" w:lineRule="auto"/>
            </w:pPr>
            <w:r>
              <w:rPr>
                <w:b w:val="0"/>
                <w:i w:val="0"/>
                <w:sz w:val="15"/>
              </w:rPr>
              <w:t>notifies session-ended listeners on 401</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client.test.ts</w:t>
            </w:r>
          </w:p>
        </w:tc>
        <w:tc>
          <w:tcPr>
            <w:tcW w:type="dxa" w:w="6123"/>
            <w:vAlign w:val="top"/>
            <w:shd w:val="clear" w:color="auto" w:fill="FDF0F7"/>
          </w:tcPr>
          <w:p>
            <w:pPr>
              <w:spacing w:after="20" w:line="252" w:lineRule="auto"/>
            </w:pPr>
            <w:r>
              <w:rPr>
                <w:b w:val="0"/>
                <w:i w:val="0"/>
                <w:sz w:val="15"/>
              </w:rPr>
              <w:t>does not end the session when the login itself is rejected</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client.test.ts</w:t>
            </w:r>
          </w:p>
        </w:tc>
        <w:tc>
          <w:tcPr>
            <w:tcW w:type="dxa" w:w="6123"/>
            <w:vAlign w:val="top"/>
          </w:tcPr>
          <w:p>
            <w:pPr>
              <w:spacing w:after="20" w:line="252" w:lineRule="auto"/>
            </w:pPr>
            <w:r>
              <w:rPr>
                <w:b w:val="0"/>
                <w:i w:val="0"/>
                <w:sz w:val="15"/>
              </w:rPr>
              <w:t>stops notifying a listener after it unsubscribes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client.test.ts</w:t>
            </w:r>
          </w:p>
        </w:tc>
        <w:tc>
          <w:tcPr>
            <w:tcW w:type="dxa" w:w="6123"/>
            <w:vAlign w:val="top"/>
            <w:shd w:val="clear" w:color="auto" w:fill="FDF0F7"/>
          </w:tcPr>
          <w:p>
            <w:pPr>
              <w:spacing w:after="20" w:line="252" w:lineRule="auto"/>
            </w:pPr>
            <w:r>
              <w:rPr>
                <w:b w:val="0"/>
                <w:i w:val="0"/>
                <w:sz w:val="15"/>
              </w:rPr>
              <w:t>does not end the session on other client errors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client.test.ts</w:t>
            </w:r>
          </w:p>
        </w:tc>
        <w:tc>
          <w:tcPr>
            <w:tcW w:type="dxa" w:w="6123"/>
            <w:vAlign w:val="top"/>
          </w:tcPr>
          <w:p>
            <w:pPr>
              <w:spacing w:after="20" w:line="252" w:lineRule="auto"/>
            </w:pPr>
            <w:r>
              <w:rPr>
                <w:b w:val="0"/>
                <w:i w:val="0"/>
                <w:sz w:val="15"/>
              </w:rPr>
              <w:t>raises an ApiError when the file cannot be downloaded</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ErrorAlert.test.tsx</w:t>
            </w:r>
          </w:p>
        </w:tc>
        <w:tc>
          <w:tcPr>
            <w:tcW w:type="dxa" w:w="6123"/>
            <w:vAlign w:val="top"/>
            <w:shd w:val="clear" w:color="auto" w:fill="FDF0F7"/>
          </w:tcPr>
          <w:p>
            <w:pPr>
              <w:spacing w:after="20" w:line="252" w:lineRule="auto"/>
            </w:pPr>
            <w:r>
              <w:rPr>
                <w:b w:val="0"/>
                <w:i w:val="0"/>
                <w:sz w:val="15"/>
              </w:rPr>
              <w:t>renders nothing when there is no error</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ErrorAlert.test.tsx</w:t>
            </w:r>
          </w:p>
        </w:tc>
        <w:tc>
          <w:tcPr>
            <w:tcW w:type="dxa" w:w="6123"/>
            <w:vAlign w:val="top"/>
          </w:tcPr>
          <w:p>
            <w:pPr>
              <w:spacing w:after="20" w:line="252" w:lineRule="auto"/>
            </w:pPr>
            <w:r>
              <w:rPr>
                <w:b w:val="0"/>
                <w:i w:val="0"/>
                <w:sz w:val="15"/>
              </w:rPr>
              <w:t>shows the API message and each validation detail</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ErrorAlert.test.tsx</w:t>
            </w:r>
          </w:p>
        </w:tc>
        <w:tc>
          <w:tcPr>
            <w:tcW w:type="dxa" w:w="6123"/>
            <w:vAlign w:val="top"/>
            <w:shd w:val="clear" w:color="auto" w:fill="FDF0F7"/>
          </w:tcPr>
          <w:p>
            <w:pPr>
              <w:spacing w:after="20" w:line="252" w:lineRule="auto"/>
            </w:pPr>
            <w:r>
              <w:rPr>
                <w:b w:val="0"/>
                <w:i w:val="0"/>
                <w:sz w:val="15"/>
              </w:rPr>
              <w:t>shows the support reference for server errors only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ErrorAlert.test.tsx</w:t>
            </w:r>
          </w:p>
        </w:tc>
        <w:tc>
          <w:tcPr>
            <w:tcW w:type="dxa" w:w="6123"/>
            <w:vAlign w:val="top"/>
          </w:tcPr>
          <w:p>
            <w:pPr>
              <w:spacing w:after="20" w:line="252" w:lineRule="auto"/>
            </w:pPr>
            <w:r>
              <w:rPr>
                <w:b w:val="0"/>
                <w:i w:val="0"/>
                <w:sz w:val="15"/>
              </w:rPr>
              <w:t>falls back to a generic message for unexpected errors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Money.test.tsx</w:t>
            </w:r>
          </w:p>
        </w:tc>
        <w:tc>
          <w:tcPr>
            <w:tcW w:type="dxa" w:w="6123"/>
            <w:vAlign w:val="top"/>
            <w:shd w:val="clear" w:color="auto" w:fill="FDF0F7"/>
          </w:tcPr>
          <w:p>
            <w:pPr>
              <w:spacing w:after="20" w:line="252" w:lineRule="auto"/>
            </w:pPr>
            <w:r>
              <w:rPr>
                <w:b w:val="0"/>
                <w:i w:val="0"/>
                <w:sz w:val="15"/>
              </w:rPr>
              <w:t>shows the formatted amount</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Money.test.tsx</w:t>
            </w:r>
          </w:p>
        </w:tc>
        <w:tc>
          <w:tcPr>
            <w:tcW w:type="dxa" w:w="6123"/>
            <w:vAlign w:val="top"/>
          </w:tcPr>
          <w:p>
            <w:pPr>
              <w:spacing w:after="20" w:line="252" w:lineRule="auto"/>
            </w:pPr>
            <w:r>
              <w:rPr>
                <w:b w:val="0"/>
                <w:i w:val="0"/>
                <w:sz w:val="15"/>
              </w:rPr>
              <w:t>can be emphasised</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RequirePermission.test.tsx</w:t>
            </w:r>
          </w:p>
        </w:tc>
        <w:tc>
          <w:tcPr>
            <w:tcW w:type="dxa" w:w="6123"/>
            <w:vAlign w:val="top"/>
            <w:shd w:val="clear" w:color="auto" w:fill="FDF0F7"/>
          </w:tcPr>
          <w:p>
            <w:pPr>
              <w:spacing w:after="20" w:line="252" w:lineRule="auto"/>
            </w:pPr>
            <w:r>
              <w:rPr>
                <w:b w:val="0"/>
                <w:i w:val="0"/>
                <w:sz w:val="15"/>
              </w:rPr>
              <w:t>renders the page when the user holds the permission</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RequirePermission.test.tsx</w:t>
            </w:r>
          </w:p>
        </w:tc>
        <w:tc>
          <w:tcPr>
            <w:tcW w:type="dxa" w:w="6123"/>
            <w:vAlign w:val="top"/>
          </w:tcPr>
          <w:p>
            <w:pPr>
              <w:spacing w:after="20" w:line="252" w:lineRule="auto"/>
            </w:pPr>
            <w:r>
              <w:rPr>
                <w:b w:val="0"/>
                <w:i w:val="0"/>
                <w:sz w:val="15"/>
              </w:rPr>
              <w:t>shows the not-authorised page when the permission is missing</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StatusTag.test.tsx</w:t>
            </w:r>
          </w:p>
        </w:tc>
        <w:tc>
          <w:tcPr>
            <w:tcW w:type="dxa" w:w="6123"/>
            <w:vAlign w:val="top"/>
            <w:shd w:val="clear" w:color="auto" w:fill="FDF0F7"/>
          </w:tcPr>
          <w:p>
            <w:pPr>
              <w:spacing w:after="20" w:line="252" w:lineRule="auto"/>
            </w:pPr>
            <w:r>
              <w:rPr>
                <w:b w:val="0"/>
                <w:i w:val="0"/>
                <w:sz w:val="15"/>
              </w:rPr>
              <w:t>shows the humanised status with its colour</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StatusTag.test.tsx</w:t>
            </w:r>
          </w:p>
        </w:tc>
        <w:tc>
          <w:tcPr>
            <w:tcW w:type="dxa" w:w="6123"/>
            <w:vAlign w:val="top"/>
          </w:tcPr>
          <w:p>
            <w:pPr>
              <w:spacing w:after="20" w:line="252" w:lineRule="auto"/>
            </w:pPr>
            <w:r>
              <w:rPr>
                <w:b w:val="0"/>
                <w:i w:val="0"/>
                <w:sz w:val="15"/>
              </w:rPr>
              <w:t>prefers an explicit label</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StatusTag.test.tsx</w:t>
            </w:r>
          </w:p>
        </w:tc>
        <w:tc>
          <w:tcPr>
            <w:tcW w:type="dxa" w:w="6123"/>
            <w:vAlign w:val="top"/>
            <w:shd w:val="clear" w:color="auto" w:fill="FDF0F7"/>
          </w:tcPr>
          <w:p>
            <w:pPr>
              <w:spacing w:after="20" w:line="252" w:lineRule="auto"/>
            </w:pPr>
            <w:r>
              <w:rPr>
                <w:b w:val="0"/>
                <w:i w:val="0"/>
                <w:sz w:val="15"/>
              </w:rPr>
              <w:t>renders nothing without a status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menus.test.ts</w:t>
            </w:r>
          </w:p>
        </w:tc>
        <w:tc>
          <w:tcPr>
            <w:tcW w:type="dxa" w:w="6123"/>
            <w:vAlign w:val="top"/>
          </w:tcPr>
          <w:p>
            <w:pPr>
              <w:spacing w:after="20" w:line="252" w:lineRule="auto"/>
            </w:pPr>
            <w:r>
              <w:rPr>
                <w:b w:val="0"/>
                <w:i w:val="0"/>
                <w:sz w:val="15"/>
              </w:rPr>
              <w:t>highlights the dashboard only on the module root</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menus.test.ts</w:t>
            </w:r>
          </w:p>
        </w:tc>
        <w:tc>
          <w:tcPr>
            <w:tcW w:type="dxa" w:w="6123"/>
            <w:vAlign w:val="top"/>
            <w:shd w:val="clear" w:color="auto" w:fill="FDF0F7"/>
          </w:tcPr>
          <w:p>
            <w:pPr>
              <w:spacing w:after="20" w:line="252" w:lineRule="auto"/>
            </w:pPr>
            <w:r>
              <w:rPr>
                <w:b w:val="0"/>
                <w:i w:val="0"/>
                <w:sz w:val="15"/>
              </w:rPr>
              <w:t>highlights nothing on pages without a menu entry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menus.test.ts</w:t>
            </w:r>
          </w:p>
        </w:tc>
        <w:tc>
          <w:tcPr>
            <w:tcW w:type="dxa" w:w="6123"/>
            <w:vAlign w:val="top"/>
          </w:tcPr>
          <w:p>
            <w:pPr>
              <w:spacing w:after="20" w:line="252" w:lineRule="auto"/>
            </w:pPr>
            <w:r>
              <w:rPr>
                <w:b w:val="0"/>
                <w:i w:val="0"/>
                <w:sz w:val="15"/>
              </w:rPr>
              <w:t>highlights the entry whose path is a parent of the current page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menus.test.ts</w:t>
            </w:r>
          </w:p>
        </w:tc>
        <w:tc>
          <w:tcPr>
            <w:tcW w:type="dxa" w:w="6123"/>
            <w:vAlign w:val="top"/>
            <w:shd w:val="clear" w:color="auto" w:fill="FDF0F7"/>
          </w:tcPr>
          <w:p>
            <w:pPr>
              <w:spacing w:after="20" w:line="252" w:lineRule="auto"/>
            </w:pPr>
            <w:r>
              <w:rPr>
                <w:b w:val="0"/>
                <w:i w:val="0"/>
                <w:sz w:val="15"/>
              </w:rPr>
              <w:t>prefers the longest matching entry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menus.test.ts</w:t>
            </w:r>
          </w:p>
        </w:tc>
        <w:tc>
          <w:tcPr>
            <w:tcW w:type="dxa" w:w="6123"/>
            <w:vAlign w:val="top"/>
          </w:tcPr>
          <w:p>
            <w:pPr>
              <w:spacing w:after="20" w:line="252" w:lineRule="auto"/>
            </w:pPr>
            <w:r>
              <w:rPr>
                <w:b w:val="0"/>
                <w:i w:val="0"/>
                <w:sz w:val="15"/>
              </w:rPr>
              <w:t>does not match entries that merely share a prefix</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menus.test.ts</w:t>
            </w:r>
          </w:p>
        </w:tc>
        <w:tc>
          <w:tcPr>
            <w:tcW w:type="dxa" w:w="6123"/>
            <w:vAlign w:val="top"/>
            <w:shd w:val="clear" w:color="auto" w:fill="FDF0F7"/>
          </w:tcPr>
          <w:p>
            <w:pPr>
              <w:spacing w:after="20" w:line="252" w:lineRule="auto"/>
            </w:pPr>
            <w:r>
              <w:rPr>
                <w:b w:val="0"/>
                <w:i w:val="0"/>
                <w:sz w:val="15"/>
              </w:rPr>
              <w:t>ignores a trailing slash</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format.test.ts</w:t>
            </w:r>
          </w:p>
        </w:tc>
        <w:tc>
          <w:tcPr>
            <w:tcW w:type="dxa" w:w="6123"/>
            <w:vAlign w:val="top"/>
          </w:tcPr>
          <w:p>
            <w:pPr>
              <w:spacing w:after="20" w:line="252" w:lineRule="auto"/>
            </w:pPr>
            <w:r>
              <w:rPr>
                <w:b w:val="0"/>
                <w:i w:val="0"/>
                <w:sz w:val="15"/>
              </w:rPr>
              <w:t>formats amounts in Brunei dollars with two decimals and thousands separators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format.test.ts</w:t>
            </w:r>
          </w:p>
        </w:tc>
        <w:tc>
          <w:tcPr>
            <w:tcW w:type="dxa" w:w="6123"/>
            <w:vAlign w:val="top"/>
            <w:shd w:val="clear" w:color="auto" w:fill="FDF0F7"/>
          </w:tcPr>
          <w:p>
            <w:pPr>
              <w:spacing w:after="20" w:line="252" w:lineRule="auto"/>
            </w:pPr>
            <w:r>
              <w:rPr>
                <w:b w:val="0"/>
                <w:i w:val="0"/>
                <w:sz w:val="15"/>
              </w:rPr>
              <w:t>rounds to the nearest cent and keeps zero as an amount</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format.test.ts</w:t>
            </w:r>
          </w:p>
        </w:tc>
        <w:tc>
          <w:tcPr>
            <w:tcW w:type="dxa" w:w="6123"/>
            <w:vAlign w:val="top"/>
          </w:tcPr>
          <w:p>
            <w:pPr>
              <w:spacing w:after="20" w:line="252" w:lineRule="auto"/>
            </w:pPr>
            <w:r>
              <w:rPr>
                <w:b w:val="0"/>
                <w:i w:val="0"/>
                <w:sz w:val="15"/>
              </w:rPr>
              <w:t>shows a dash when there is no amount</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format.test.ts</w:t>
            </w:r>
          </w:p>
        </w:tc>
        <w:tc>
          <w:tcPr>
            <w:tcW w:type="dxa" w:w="6123"/>
            <w:vAlign w:val="top"/>
            <w:shd w:val="clear" w:color="auto" w:fill="FDF0F7"/>
          </w:tcPr>
          <w:p>
            <w:pPr>
              <w:spacing w:after="20" w:line="252" w:lineRule="auto"/>
            </w:pPr>
            <w:r>
              <w:rPr>
                <w:b w:val="0"/>
                <w:i w:val="0"/>
                <w:sz w:val="15"/>
              </w:rPr>
              <w:t>groups thousands and shows a dash when there is no value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format.test.ts</w:t>
            </w:r>
          </w:p>
        </w:tc>
        <w:tc>
          <w:tcPr>
            <w:tcW w:type="dxa" w:w="6123"/>
            <w:vAlign w:val="top"/>
          </w:tcPr>
          <w:p>
            <w:pPr>
              <w:spacing w:after="20" w:line="252" w:lineRule="auto"/>
            </w:pPr>
            <w:r>
              <w:rPr>
                <w:b w:val="0"/>
                <w:i w:val="0"/>
                <w:sz w:val="15"/>
              </w:rPr>
              <w:t>formats a calendar date as day, short month and year</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format.test.ts</w:t>
            </w:r>
          </w:p>
        </w:tc>
        <w:tc>
          <w:tcPr>
            <w:tcW w:type="dxa" w:w="6123"/>
            <w:vAlign w:val="top"/>
            <w:shd w:val="clear" w:color="auto" w:fill="FDF0F7"/>
          </w:tcPr>
          <w:p>
            <w:pPr>
              <w:spacing w:after="20" w:line="252" w:lineRule="auto"/>
            </w:pPr>
            <w:r>
              <w:rPr>
                <w:b w:val="0"/>
                <w:i w:val="0"/>
                <w:sz w:val="15"/>
              </w:rPr>
              <w:t>formats a local timestamp with a 24-hour time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format.test.ts</w:t>
            </w:r>
          </w:p>
        </w:tc>
        <w:tc>
          <w:tcPr>
            <w:tcW w:type="dxa" w:w="6123"/>
            <w:vAlign w:val="top"/>
          </w:tcPr>
          <w:p>
            <w:pPr>
              <w:spacing w:after="20" w:line="252" w:lineRule="auto"/>
            </w:pPr>
            <w:r>
              <w:rPr>
                <w:b w:val="0"/>
                <w:i w:val="0"/>
                <w:sz w:val="15"/>
              </w:rPr>
              <w:t>shows a dash for missing dates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format.test.ts</w:t>
            </w:r>
          </w:p>
        </w:tc>
        <w:tc>
          <w:tcPr>
            <w:tcW w:type="dxa" w:w="6123"/>
            <w:vAlign w:val="top"/>
            <w:shd w:val="clear" w:color="auto" w:fill="FDF0F7"/>
          </w:tcPr>
          <w:p>
            <w:pPr>
              <w:spacing w:after="20" w:line="252" w:lineRule="auto"/>
            </w:pPr>
            <w:r>
              <w:rPr>
                <w:b w:val="0"/>
                <w:i w:val="0"/>
                <w:sz w:val="15"/>
              </w:rPr>
              <w:t>turns an enum code into sentence case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format.test.ts</w:t>
            </w:r>
          </w:p>
        </w:tc>
        <w:tc>
          <w:tcPr>
            <w:tcW w:type="dxa" w:w="6123"/>
            <w:vAlign w:val="top"/>
          </w:tcPr>
          <w:p>
            <w:pPr>
              <w:spacing w:after="20" w:line="252" w:lineRule="auto"/>
            </w:pPr>
            <w:r>
              <w:rPr>
                <w:b w:val="0"/>
                <w:i w:val="0"/>
                <w:sz w:val="15"/>
              </w:rPr>
              <w:t>shows a dash for an empty value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format.test.ts</w:t>
            </w:r>
          </w:p>
        </w:tc>
        <w:tc>
          <w:tcPr>
            <w:tcW w:type="dxa" w:w="6123"/>
            <w:vAlign w:val="top"/>
            <w:shd w:val="clear" w:color="auto" w:fill="FDF0F7"/>
          </w:tcPr>
          <w:p>
            <w:pPr>
              <w:spacing w:after="20" w:line="252" w:lineRule="auto"/>
            </w:pPr>
            <w:r>
              <w:rPr>
                <w:b w:val="0"/>
                <w:i w:val="0"/>
                <w:sz w:val="15"/>
              </w:rPr>
              <w:t>splits camel-case keys into a sentence-case label</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format.test.ts</w:t>
            </w:r>
          </w:p>
        </w:tc>
        <w:tc>
          <w:tcPr>
            <w:tcW w:type="dxa" w:w="6123"/>
            <w:vAlign w:val="top"/>
          </w:tcPr>
          <w:p>
            <w:pPr>
              <w:spacing w:after="20" w:line="252" w:lineRule="auto"/>
            </w:pPr>
            <w:r>
              <w:rPr>
                <w:b w:val="0"/>
                <w:i w:val="0"/>
                <w:sz w:val="15"/>
              </w:rPr>
              <w:t>uses bytes, kilobytes or megabytes depending on size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permissions.test.ts</w:t>
            </w:r>
          </w:p>
        </w:tc>
        <w:tc>
          <w:tcPr>
            <w:tcW w:type="dxa" w:w="6123"/>
            <w:vAlign w:val="top"/>
            <w:shd w:val="clear" w:color="auto" w:fill="FDF0F7"/>
          </w:tcPr>
          <w:p>
            <w:pPr>
              <w:spacing w:after="20" w:line="252" w:lineRule="auto"/>
            </w:pPr>
            <w:r>
              <w:rPr>
                <w:b w:val="0"/>
                <w:i w:val="0"/>
                <w:sz w:val="15"/>
              </w:rPr>
              <w:t>are unique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permissions.test.ts</w:t>
            </w:r>
          </w:p>
        </w:tc>
        <w:tc>
          <w:tcPr>
            <w:tcW w:type="dxa" w:w="6123"/>
            <w:vAlign w:val="top"/>
          </w:tcPr>
          <w:p>
            <w:pPr>
              <w:spacing w:after="20" w:line="252" w:lineRule="auto"/>
            </w:pPr>
            <w:r>
              <w:rPr>
                <w:b w:val="0"/>
                <w:i w:val="0"/>
                <w:sz w:val="15"/>
              </w:rPr>
              <w:t>use the portal or back-office prefix matching their key</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permissions.test.ts</w:t>
            </w:r>
          </w:p>
        </w:tc>
        <w:tc>
          <w:tcPr>
            <w:tcW w:type="dxa" w:w="6123"/>
            <w:vAlign w:val="top"/>
            <w:shd w:val="clear" w:color="auto" w:fill="FDF0F7"/>
          </w:tcPr>
          <w:p>
            <w:pPr>
              <w:spacing w:after="20" w:line="252" w:lineRule="auto"/>
            </w:pPr>
            <w:r>
              <w:rPr>
                <w:b w:val="0"/>
                <w:i w:val="0"/>
                <w:sz w:val="15"/>
              </w:rPr>
              <w:t>group every approval permission and nothing else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status.test.ts</w:t>
            </w:r>
          </w:p>
        </w:tc>
        <w:tc>
          <w:tcPr>
            <w:tcW w:type="dxa" w:w="6123"/>
            <w:vAlign w:val="top"/>
          </w:tcPr>
          <w:p>
            <w:pPr>
              <w:spacing w:after="20" w:line="252" w:lineRule="auto"/>
            </w:pPr>
            <w:r>
              <w:rPr>
                <w:b w:val="0"/>
                <w:i w:val="0"/>
                <w:sz w:val="15"/>
              </w:rPr>
              <w:t>maps statuses to the tag colour of their stage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status.test.ts</w:t>
            </w:r>
          </w:p>
        </w:tc>
        <w:tc>
          <w:tcPr>
            <w:tcW w:type="dxa" w:w="6123"/>
            <w:vAlign w:val="top"/>
            <w:shd w:val="clear" w:color="auto" w:fill="FDF0F7"/>
          </w:tcPr>
          <w:p>
            <w:pPr>
              <w:spacing w:after="20" w:line="252" w:lineRule="auto"/>
            </w:pPr>
            <w:r>
              <w:rPr>
                <w:b w:val="0"/>
                <w:i w:val="0"/>
                <w:sz w:val="15"/>
              </w:rPr>
              <w:t>falls back to the default colour for unknown or missing statuses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LoginPage.test.tsx</w:t>
            </w:r>
          </w:p>
        </w:tc>
        <w:tc>
          <w:tcPr>
            <w:tcW w:type="dxa" w:w="6123"/>
            <w:vAlign w:val="top"/>
          </w:tcPr>
          <w:p>
            <w:pPr>
              <w:spacing w:after="20" w:line="252" w:lineRule="auto"/>
            </w:pPr>
            <w:r>
              <w:rPr>
                <w:b w:val="0"/>
                <w:i w:val="0"/>
                <w:sz w:val="15"/>
              </w:rPr>
              <w:t>renders the username and password fields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LoginPage.test.tsx</w:t>
            </w:r>
          </w:p>
        </w:tc>
        <w:tc>
          <w:tcPr>
            <w:tcW w:type="dxa" w:w="6123"/>
            <w:vAlign w:val="top"/>
            <w:shd w:val="clear" w:color="auto" w:fill="FDF0F7"/>
          </w:tcPr>
          <w:p>
            <w:pPr>
              <w:spacing w:after="20" w:line="252" w:lineRule="auto"/>
            </w:pPr>
            <w:r>
              <w:rPr>
                <w:b w:val="0"/>
                <w:i w:val="0"/>
                <w:sz w:val="15"/>
              </w:rPr>
              <w:t>asks for both fields when submitted empty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LoginPage.test.tsx</w:t>
            </w:r>
          </w:p>
        </w:tc>
        <w:tc>
          <w:tcPr>
            <w:tcW w:type="dxa" w:w="6123"/>
            <w:vAlign w:val="top"/>
          </w:tcPr>
          <w:p>
            <w:pPr>
              <w:spacing w:after="20" w:line="252" w:lineRule="auto"/>
            </w:pPr>
            <w:r>
              <w:rPr>
                <w:b w:val="0"/>
                <w:i w:val="0"/>
                <w:sz w:val="15"/>
              </w:rPr>
              <w:t>signs in with the typed credentials and opens the home page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LoginPage.test.tsx</w:t>
            </w:r>
          </w:p>
        </w:tc>
        <w:tc>
          <w:tcPr>
            <w:tcW w:type="dxa" w:w="6123"/>
            <w:vAlign w:val="top"/>
            <w:shd w:val="clear" w:color="auto" w:fill="FDF0F7"/>
          </w:tcPr>
          <w:p>
            <w:pPr>
              <w:spacing w:after="20" w:line="252" w:lineRule="auto"/>
            </w:pPr>
            <w:r>
              <w:rPr>
                <w:b w:val="0"/>
                <w:i w:val="0"/>
                <w:sz w:val="15"/>
              </w:rPr>
              <w:t>sends users who must change their password to the change-password page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LoginPage.test.tsx</w:t>
            </w:r>
          </w:p>
        </w:tc>
        <w:tc>
          <w:tcPr>
            <w:tcW w:type="dxa" w:w="6123"/>
            <w:vAlign w:val="top"/>
          </w:tcPr>
          <w:p>
            <w:pPr>
              <w:spacing w:after="20" w:line="252" w:lineRule="auto"/>
            </w:pPr>
            <w:r>
              <w:rPr>
                <w:b w:val="0"/>
                <w:i w:val="0"/>
                <w:sz w:val="15"/>
              </w:rPr>
              <w:t>shows the error returned for rejected credentials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LoginPage.test.tsx</w:t>
            </w:r>
          </w:p>
        </w:tc>
        <w:tc>
          <w:tcPr>
            <w:tcW w:type="dxa" w:w="6123"/>
            <w:vAlign w:val="top"/>
            <w:shd w:val="clear" w:color="auto" w:fill="FDF0F7"/>
          </w:tcPr>
          <w:p>
            <w:pPr>
              <w:spacing w:after="20" w:line="252" w:lineRule="auto"/>
            </w:pPr>
            <w:r>
              <w:rPr>
                <w:b w:val="0"/>
                <w:i w:val="0"/>
                <w:sz w:val="15"/>
              </w:rPr>
              <w:t>explains that the previous session ended</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CellText.test.tsx</w:t>
            </w:r>
          </w:p>
        </w:tc>
        <w:tc>
          <w:tcPr>
            <w:tcW w:type="dxa" w:w="6123"/>
            <w:vAlign w:val="top"/>
          </w:tcPr>
          <w:p>
            <w:pPr>
              <w:spacing w:after="20" w:line="252" w:lineRule="auto"/>
            </w:pPr>
            <w:r>
              <w:rPr>
                <w:b w:val="0"/>
                <w:i w:val="0"/>
                <w:sz w:val="15"/>
              </w:rPr>
              <w:t>shows the text within the given width</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CellText.test.tsx</w:t>
            </w:r>
          </w:p>
        </w:tc>
        <w:tc>
          <w:tcPr>
            <w:tcW w:type="dxa" w:w="6123"/>
            <w:vAlign w:val="top"/>
            <w:shd w:val="clear" w:color="auto" w:fill="FDF0F7"/>
          </w:tcPr>
          <w:p>
            <w:pPr>
              <w:spacing w:after="20" w:line="252" w:lineRule="auto"/>
            </w:pPr>
            <w:r>
              <w:rPr>
                <w:b w:val="0"/>
                <w:i w:val="0"/>
                <w:sz w:val="15"/>
              </w:rPr>
              <w:t>shows a dash when there is no text</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links.test.ts</w:t>
            </w:r>
          </w:p>
        </w:tc>
        <w:tc>
          <w:tcPr>
            <w:tcW w:type="dxa" w:w="6123"/>
            <w:vAlign w:val="top"/>
          </w:tcPr>
          <w:p>
            <w:pPr>
              <w:spacing w:after="20" w:line="252" w:lineRule="auto"/>
            </w:pPr>
            <w:r>
              <w:rPr>
                <w:b w:val="0"/>
                <w:i w:val="0"/>
                <w:sz w:val="15"/>
              </w:rPr>
              <w:t>links to the record page regardless of the entity type spelling</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links.test.ts</w:t>
            </w:r>
          </w:p>
        </w:tc>
        <w:tc>
          <w:tcPr>
            <w:tcW w:type="dxa" w:w="6123"/>
            <w:vAlign w:val="top"/>
            <w:shd w:val="clear" w:color="auto" w:fill="FDF0F7"/>
          </w:tcPr>
          <w:p>
            <w:pPr>
              <w:spacing w:after="20" w:line="252" w:lineRule="auto"/>
            </w:pPr>
            <w:r>
              <w:rPr>
                <w:b w:val="0"/>
                <w:i w:val="0"/>
                <w:sz w:val="15"/>
              </w:rPr>
              <w:t>uses the portal routes for portal users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links.test.ts</w:t>
            </w:r>
          </w:p>
        </w:tc>
        <w:tc>
          <w:tcPr>
            <w:tcW w:type="dxa" w:w="6123"/>
            <w:vAlign w:val="top"/>
          </w:tcPr>
          <w:p>
            <w:pPr>
              <w:spacing w:after="20" w:line="252" w:lineRule="auto"/>
            </w:pPr>
            <w:r>
              <w:rPr>
                <w:b w:val="0"/>
                <w:i w:val="0"/>
                <w:sz w:val="15"/>
              </w:rPr>
              <w:t>returns null when the audience has no page for the record or the id is missing</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links.test.ts</w:t>
            </w:r>
          </w:p>
        </w:tc>
        <w:tc>
          <w:tcPr>
            <w:tcW w:type="dxa" w:w="6123"/>
            <w:vAlign w:val="top"/>
            <w:shd w:val="clear" w:color="auto" w:fill="FDF0F7"/>
          </w:tcPr>
          <w:p>
            <w:pPr>
              <w:spacing w:after="20" w:line="252" w:lineRule="auto"/>
            </w:pPr>
            <w:r>
              <w:rPr>
                <w:b w:val="0"/>
                <w:i w:val="0"/>
                <w:sz w:val="15"/>
              </w:rPr>
              <w:t>keeps links that already point into a module</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links.test.ts</w:t>
            </w:r>
          </w:p>
        </w:tc>
        <w:tc>
          <w:tcPr>
            <w:tcW w:type="dxa" w:w="6123"/>
            <w:vAlign w:val="top"/>
          </w:tcPr>
          <w:p>
            <w:pPr>
              <w:spacing w:after="20" w:line="252" w:lineRule="auto"/>
            </w:pPr>
            <w:r>
              <w:rPr>
                <w:b w:val="0"/>
                <w:i w:val="0"/>
                <w:sz w:val="15"/>
              </w:rPr>
              <w:t>prefixes audience-neutral links with the user module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values.test.ts</w:t>
            </w:r>
          </w:p>
        </w:tc>
        <w:tc>
          <w:tcPr>
            <w:tcW w:type="dxa" w:w="6123"/>
            <w:vAlign w:val="top"/>
            <w:shd w:val="clear" w:color="auto" w:fill="FDF0F7"/>
          </w:tcPr>
          <w:p>
            <w:pPr>
              <w:spacing w:after="20" w:line="252" w:lineRule="auto"/>
            </w:pPr>
            <w:r>
              <w:rPr>
                <w:b w:val="0"/>
                <w:i w:val="0"/>
                <w:sz w:val="15"/>
              </w:rPr>
              <w:t>hides optimistic-lock versions and encrypted or hashed values only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values.test.ts</w:t>
            </w:r>
          </w:p>
        </w:tc>
        <w:tc>
          <w:tcPr>
            <w:tcW w:type="dxa" w:w="6123"/>
            <w:vAlign w:val="top"/>
          </w:tcPr>
          <w:p>
            <w:pPr>
              <w:spacing w:after="20" w:line="252" w:lineRule="auto"/>
            </w:pPr>
            <w:r>
              <w:rPr>
                <w:b w:val="0"/>
                <w:i w:val="0"/>
                <w:sz w:val="15"/>
              </w:rPr>
              <w:t>uses curated labels where needed and sentence case otherwise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values.test.ts</w:t>
            </w:r>
          </w:p>
        </w:tc>
        <w:tc>
          <w:tcPr>
            <w:tcW w:type="dxa" w:w="6123"/>
            <w:vAlign w:val="top"/>
            <w:shd w:val="clear" w:color="auto" w:fill="FDF0F7"/>
          </w:tcPr>
          <w:p>
            <w:pPr>
              <w:spacing w:after="20" w:line="252" w:lineRule="auto"/>
            </w:pPr>
            <w:r>
              <w:rPr>
                <w:b w:val="0"/>
                <w:i w:val="0"/>
                <w:sz w:val="15"/>
              </w:rPr>
              <w:t>accepts plain objects only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values.test.ts</w:t>
            </w:r>
          </w:p>
        </w:tc>
        <w:tc>
          <w:tcPr>
            <w:tcW w:type="dxa" w:w="6123"/>
            <w:vAlign w:val="top"/>
          </w:tcPr>
          <w:p>
            <w:pPr>
              <w:spacing w:after="20" w:line="252" w:lineRule="auto"/>
            </w:pPr>
            <w:r>
              <w:rPr>
                <w:b w:val="0"/>
                <w:i w:val="0"/>
                <w:sz w:val="15"/>
              </w:rPr>
              <w:t>shows a dash for empty values and Yes/No for booleans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values.test.ts</w:t>
            </w:r>
          </w:p>
        </w:tc>
        <w:tc>
          <w:tcPr>
            <w:tcW w:type="dxa" w:w="6123"/>
            <w:vAlign w:val="top"/>
            <w:shd w:val="clear" w:color="auto" w:fill="FDF0F7"/>
          </w:tcPr>
          <w:p>
            <w:pPr>
              <w:spacing w:after="20" w:line="252" w:lineRule="auto"/>
            </w:pPr>
            <w:r>
              <w:rPr>
                <w:b w:val="0"/>
                <w:i w:val="0"/>
                <w:sz w:val="15"/>
              </w:rPr>
              <w:t>formats numeric values of amount-like keys as money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values.test.ts</w:t>
            </w:r>
          </w:p>
        </w:tc>
        <w:tc>
          <w:tcPr>
            <w:tcW w:type="dxa" w:w="6123"/>
            <w:vAlign w:val="top"/>
          </w:tcPr>
          <w:p>
            <w:pPr>
              <w:spacing w:after="20" w:line="252" w:lineRule="auto"/>
            </w:pPr>
            <w:r>
              <w:rPr>
                <w:b w:val="0"/>
                <w:i w:val="0"/>
                <w:sz w:val="15"/>
              </w:rPr>
              <w:t>formats ISO dates and timestamps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values.test.ts</w:t>
            </w:r>
          </w:p>
        </w:tc>
        <w:tc>
          <w:tcPr>
            <w:tcW w:type="dxa" w:w="6123"/>
            <w:vAlign w:val="top"/>
            <w:shd w:val="clear" w:color="auto" w:fill="FDF0F7"/>
          </w:tcPr>
          <w:p>
            <w:pPr>
              <w:spacing w:after="20" w:line="252" w:lineRule="auto"/>
            </w:pPr>
            <w:r>
              <w:rPr>
                <w:b w:val="0"/>
                <w:i w:val="0"/>
                <w:sz w:val="15"/>
              </w:rPr>
              <w:t>humanises enum codes that contain underscores or sit under an enum-like key</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values.test.ts</w:t>
            </w:r>
          </w:p>
        </w:tc>
        <w:tc>
          <w:tcPr>
            <w:tcW w:type="dxa" w:w="6123"/>
            <w:vAlign w:val="top"/>
          </w:tcPr>
          <w:p>
            <w:pPr>
              <w:spacing w:after="20" w:line="252" w:lineRule="auto"/>
            </w:pPr>
            <w:r>
              <w:rPr>
                <w:b w:val="0"/>
                <w:i w:val="0"/>
                <w:sz w:val="15"/>
              </w:rPr>
              <w:t>serialises nested values as JSON</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NomineesEditor.test.ts</w:t>
            </w:r>
          </w:p>
        </w:tc>
        <w:tc>
          <w:tcPr>
            <w:tcW w:type="dxa" w:w="6123"/>
            <w:vAlign w:val="top"/>
            <w:shd w:val="clear" w:color="auto" w:fill="FDF0F7"/>
          </w:tcPr>
          <w:p>
            <w:pPr>
              <w:spacing w:after="20" w:line="252" w:lineRule="auto"/>
            </w:pPr>
            <w:r>
              <w:rPr>
                <w:b w:val="0"/>
                <w:i w:val="0"/>
                <w:sz w:val="15"/>
              </w:rPr>
              <w:t>starts with a single full-share nominee row when there are no nominees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NomineesEditor.test.ts</w:t>
            </w:r>
          </w:p>
        </w:tc>
        <w:tc>
          <w:tcPr>
            <w:tcW w:type="dxa" w:w="6123"/>
            <w:vAlign w:val="top"/>
          </w:tcPr>
          <w:p>
            <w:pPr>
              <w:spacing w:after="20" w:line="252" w:lineRule="auto"/>
            </w:pPr>
            <w:r>
              <w:rPr>
                <w:b w:val="0"/>
                <w:i w:val="0"/>
                <w:sz w:val="15"/>
              </w:rPr>
              <w:t>carries the id and masked ID number of existing nominees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NomineesEditor.test.ts</w:t>
            </w:r>
          </w:p>
        </w:tc>
        <w:tc>
          <w:tcPr>
            <w:tcW w:type="dxa" w:w="6123"/>
            <w:vAlign w:val="top"/>
            <w:shd w:val="clear" w:color="auto" w:fill="FDF0F7"/>
          </w:tcPr>
          <w:p>
            <w:pPr>
              <w:spacing w:after="20" w:line="252" w:lineRule="auto"/>
            </w:pPr>
            <w:r>
              <w:rPr>
                <w:b w:val="0"/>
                <w:i w:val="0"/>
                <w:sz w:val="15"/>
              </w:rPr>
              <w:t>converts decimal-string shares to numbers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NomineesEditor.test.ts</w:t>
            </w:r>
          </w:p>
        </w:tc>
        <w:tc>
          <w:tcPr>
            <w:tcW w:type="dxa" w:w="6123"/>
            <w:vAlign w:val="top"/>
          </w:tcPr>
          <w:p>
            <w:pPr>
              <w:spacing w:after="20" w:line="252" w:lineRule="auto"/>
            </w:pPr>
            <w:r>
              <w:rPr>
                <w:b w:val="0"/>
                <w:i w:val="0"/>
                <w:sz w:val="15"/>
              </w:rPr>
              <w:t>returns no inputs when the form has no rows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NomineesEditor.test.ts</w:t>
            </w:r>
          </w:p>
        </w:tc>
        <w:tc>
          <w:tcPr>
            <w:tcW w:type="dxa" w:w="6123"/>
            <w:vAlign w:val="top"/>
            <w:shd w:val="clear" w:color="auto" w:fill="FDF0F7"/>
          </w:tcPr>
          <w:p>
            <w:pPr>
              <w:spacing w:after="20" w:line="252" w:lineRule="auto"/>
            </w:pPr>
            <w:r>
              <w:rPr>
                <w:b w:val="0"/>
                <w:i w:val="0"/>
                <w:sz w:val="15"/>
              </w:rPr>
              <w:t>keeps the id of an existing nominee and trims the text fields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NomineesEditor.test.ts</w:t>
            </w:r>
          </w:p>
        </w:tc>
        <w:tc>
          <w:tcPr>
            <w:tcW w:type="dxa" w:w="6123"/>
            <w:vAlign w:val="top"/>
          </w:tcPr>
          <w:p>
            <w:pPr>
              <w:spacing w:after="20" w:line="252" w:lineRule="auto"/>
            </w:pPr>
            <w:r>
              <w:rPr>
                <w:b w:val="0"/>
                <w:i w:val="0"/>
                <w:sz w:val="15"/>
              </w:rPr>
              <w:t>drops a blank ID number so the stored one is kept</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NomineesEditor.test.ts</w:t>
            </w:r>
          </w:p>
        </w:tc>
        <w:tc>
          <w:tcPr>
            <w:tcW w:type="dxa" w:w="6123"/>
            <w:vAlign w:val="top"/>
            <w:shd w:val="clear" w:color="auto" w:fill="FDF0F7"/>
          </w:tcPr>
          <w:p>
            <w:pPr>
              <w:spacing w:after="20" w:line="252" w:lineRule="auto"/>
            </w:pPr>
            <w:r>
              <w:rPr>
                <w:b w:val="0"/>
                <w:i w:val="0"/>
                <w:sz w:val="15"/>
              </w:rPr>
              <w:t>sends new rows without an id and fills defaults for missing fields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NomineesEditor.test.ts</w:t>
            </w:r>
          </w:p>
        </w:tc>
        <w:tc>
          <w:tcPr>
            <w:tcW w:type="dxa" w:w="6123"/>
            <w:vAlign w:val="top"/>
          </w:tcPr>
          <w:p>
            <w:pPr>
              <w:spacing w:after="20" w:line="252" w:lineRule="auto"/>
            </w:pPr>
            <w:r>
              <w:rPr>
                <w:b w:val="0"/>
                <w:i w:val="0"/>
                <w:sz w:val="15"/>
              </w:rPr>
              <w:t>round-trips existing nominees without changing them</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PaymentList.test.tsx</w:t>
            </w:r>
          </w:p>
        </w:tc>
        <w:tc>
          <w:tcPr>
            <w:tcW w:type="dxa" w:w="6123"/>
            <w:vAlign w:val="top"/>
            <w:shd w:val="clear" w:color="auto" w:fill="FDF0F7"/>
          </w:tcPr>
          <w:p>
            <w:pPr>
              <w:spacing w:after="20" w:line="252" w:lineRule="auto"/>
            </w:pPr>
            <w:r>
              <w:rPr>
                <w:b w:val="0"/>
                <w:i w:val="0"/>
                <w:sz w:val="15"/>
              </w:rPr>
              <w:t>reads a known payment status</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PaymentList.test.tsx</w:t>
            </w:r>
          </w:p>
        </w:tc>
        <w:tc>
          <w:tcPr>
            <w:tcW w:type="dxa" w:w="6123"/>
            <w:vAlign w:val="top"/>
          </w:tcPr>
          <w:p>
            <w:pPr>
              <w:spacing w:after="20" w:line="252" w:lineRule="auto"/>
            </w:pPr>
            <w:r>
              <w:rPr>
                <w:b w:val="0"/>
                <w:i w:val="0"/>
                <w:sz w:val="15"/>
              </w:rPr>
              <w:t>ignores missing or unknown statuses</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PaymentList.test.tsx</w:t>
            </w:r>
          </w:p>
        </w:tc>
        <w:tc>
          <w:tcPr>
            <w:tcW w:type="dxa" w:w="6123"/>
            <w:vAlign w:val="top"/>
            <w:shd w:val="clear" w:color="auto" w:fill="FDF0F7"/>
          </w:tcPr>
          <w:p>
            <w:pPr>
              <w:spacing w:after="20" w:line="252" w:lineRule="auto"/>
            </w:pPr>
            <w:r>
              <w:rPr>
                <w:b w:val="0"/>
                <w:i w:val="0"/>
                <w:sz w:val="15"/>
              </w:rPr>
              <w:t>starts filtered by the status in the URL</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options.test.ts</w:t>
            </w:r>
          </w:p>
        </w:tc>
        <w:tc>
          <w:tcPr>
            <w:tcW w:type="dxa" w:w="6123"/>
            <w:vAlign w:val="top"/>
          </w:tcPr>
          <w:p>
            <w:pPr>
              <w:spacing w:after="20" w:line="252" w:lineRule="auto"/>
            </w:pPr>
            <w:r>
              <w:rPr>
                <w:b w:val="0"/>
                <w:i w:val="0"/>
                <w:sz w:val="15"/>
              </w:rPr>
              <w:t>label each code in sentence case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options.test.ts</w:t>
            </w:r>
          </w:p>
        </w:tc>
        <w:tc>
          <w:tcPr>
            <w:tcW w:type="dxa" w:w="6123"/>
            <w:vAlign w:val="top"/>
            <w:shd w:val="clear" w:color="auto" w:fill="FDF0F7"/>
          </w:tcPr>
          <w:p>
            <w:pPr>
              <w:spacing w:after="20" w:line="252" w:lineRule="auto"/>
            </w:pPr>
            <w:r>
              <w:rPr>
                <w:b w:val="0"/>
                <w:i w:val="0"/>
                <w:sz w:val="15"/>
              </w:rPr>
              <w:t>uses the policy number once the policy is issued</w:t>
            </w:r>
          </w:p>
        </w:tc>
        <w:tc>
          <w:tcPr>
            <w:tcW w:type="dxa" w:w="1020"/>
            <w:vAlign w:val="top"/>
            <w:shd w:val="clear" w:color="auto" w:fill="FDF0F7"/>
          </w:tcPr>
          <w:p>
            <w:pPr>
              <w:spacing w:after="20" w:line="252" w:lineRule="auto"/>
            </w:pPr>
            <w:r>
              <w:rPr>
                <w:b w:val="0"/>
                <w:i w:val="0"/>
                <w:sz w:val="15"/>
              </w:rPr>
              <w:t>Passed</w:t>
            </w:r>
          </w:p>
        </w:tc>
      </w:tr>
      <w:tr>
        <w:trPr>
          <w:cantSplit/>
        </w:trPr>
        <w:tc>
          <w:tcPr>
            <w:tcW w:type="dxa" w:w="2494"/>
            <w:vAlign w:val="top"/>
          </w:tcPr>
          <w:p>
            <w:pPr>
              <w:spacing w:after="20" w:line="252" w:lineRule="auto"/>
            </w:pPr>
            <w:r>
              <w:rPr>
                <w:b w:val="0"/>
                <w:i w:val="0"/>
                <w:sz w:val="15"/>
              </w:rPr>
              <w:t>options.test.ts</w:t>
            </w:r>
          </w:p>
        </w:tc>
        <w:tc>
          <w:tcPr>
            <w:tcW w:type="dxa" w:w="6123"/>
            <w:vAlign w:val="top"/>
          </w:tcPr>
          <w:p>
            <w:pPr>
              <w:spacing w:after="20" w:line="252" w:lineRule="auto"/>
            </w:pPr>
            <w:r>
              <w:rPr>
                <w:b w:val="0"/>
                <w:i w:val="0"/>
                <w:sz w:val="15"/>
              </w:rPr>
              <w:t>falls back to the quotation number before issuance</w:t>
            </w:r>
          </w:p>
        </w:tc>
        <w:tc>
          <w:tcPr>
            <w:tcW w:type="dxa" w:w="1020"/>
            <w:vAlign w:val="top"/>
          </w:tcPr>
          <w:p>
            <w:pPr>
              <w:spacing w:after="20" w:line="252" w:lineRule="auto"/>
            </w:pPr>
            <w:r>
              <w:rPr>
                <w:b w:val="0"/>
                <w:i w:val="0"/>
                <w:sz w:val="15"/>
              </w:rPr>
              <w:t>Passed</w:t>
            </w:r>
          </w:p>
        </w:tc>
      </w:tr>
      <w:tr>
        <w:trPr>
          <w:cantSplit/>
        </w:trPr>
        <w:tc>
          <w:tcPr>
            <w:tcW w:type="dxa" w:w="2494"/>
            <w:vAlign w:val="top"/>
            <w:shd w:val="clear" w:color="auto" w:fill="FDF0F7"/>
          </w:tcPr>
          <w:p>
            <w:pPr>
              <w:spacing w:after="20" w:line="252" w:lineRule="auto"/>
            </w:pPr>
            <w:r>
              <w:rPr>
                <w:b w:val="0"/>
                <w:i w:val="0"/>
                <w:sz w:val="15"/>
              </w:rPr>
              <w:t>options.test.ts</w:t>
            </w:r>
          </w:p>
        </w:tc>
        <w:tc>
          <w:tcPr>
            <w:tcW w:type="dxa" w:w="6123"/>
            <w:vAlign w:val="top"/>
            <w:shd w:val="clear" w:color="auto" w:fill="FDF0F7"/>
          </w:tcPr>
          <w:p>
            <w:pPr>
              <w:spacing w:after="20" w:line="252" w:lineRule="auto"/>
            </w:pPr>
            <w:r>
              <w:rPr>
                <w:b w:val="0"/>
                <w:i w:val="0"/>
                <w:sz w:val="15"/>
              </w:rPr>
              <w:t>shows whole years in years and anything else in months</w:t>
            </w:r>
          </w:p>
        </w:tc>
        <w:tc>
          <w:tcPr>
            <w:tcW w:type="dxa" w:w="1020"/>
            <w:vAlign w:val="top"/>
            <w:shd w:val="clear" w:color="auto" w:fill="FDF0F7"/>
          </w:tcPr>
          <w:p>
            <w:pPr>
              <w:spacing w:after="20" w:line="252" w:lineRule="auto"/>
            </w:pPr>
            <w:r>
              <w:rPr>
                <w:b w:val="0"/>
                <w:i w:val="0"/>
                <w:sz w:val="15"/>
              </w:rPr>
              <w:t>Passed</w:t>
            </w:r>
          </w:p>
        </w:tc>
      </w:tr>
    </w:tbl>
    <w:p>
      <w:pPr>
        <w:pStyle w:val="Caption"/>
        <w:jc w:val="center"/>
      </w:pPr>
      <w:r>
        <w:rPr>
          <w:b w:val="0"/>
          <w:i w:val="0"/>
        </w:rPr>
        <w:t>Table 14: All automated tests</w:t>
      </w:r>
    </w:p>
    <w:p>
      <w:pPr>
        <w:pStyle w:val="Heading1"/>
        <w:pageBreakBefore/>
        <w:pBdr>
          <w:bottom w:val="single" w:sz="12" w:space="4" w:color="F58220"/>
        </w:pBdr>
      </w:pPr>
      <w:r>
        <w:t>Annex B – Evidence files</w:t>
      </w:r>
    </w:p>
    <w:p>
      <w:pPr>
        <w:keepNext w:val="0"/>
      </w:pPr>
      <w:r>
        <w:rPr>
          <w:b w:val="0"/>
          <w:i w:val="0"/>
        </w:rPr>
        <w:t>Results in this report are read from the evidence files below when the report is built. The fingerprint is the start of each file's SHA-256 hash, so a reader can confirm which evidence a given version of the report was built from.</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082"/>
        <w:gridCol w:w="1701"/>
        <w:gridCol w:w="3855"/>
      </w:tblGrid>
      <w:tr>
        <w:trPr>
          <w:cantSplit/>
          <w:tblHeader/>
        </w:trPr>
        <w:tc>
          <w:tcPr>
            <w:tcW w:type="dxa" w:w="4082"/>
            <w:shd w:val="clear" w:color="auto" w:fill="E1058C"/>
            <w:vAlign w:val="center"/>
          </w:tcPr>
          <w:p>
            <w:pPr>
              <w:spacing w:after="0"/>
            </w:pPr>
            <w:r>
              <w:rPr>
                <w:b/>
                <w:i w:val="0"/>
                <w:color w:val="FFFFFF"/>
                <w:sz w:val="16"/>
              </w:rPr>
              <w:t>Evidence file</w:t>
            </w:r>
          </w:p>
        </w:tc>
        <w:tc>
          <w:tcPr>
            <w:tcW w:type="dxa" w:w="1701"/>
            <w:shd w:val="clear" w:color="auto" w:fill="E1058C"/>
            <w:vAlign w:val="center"/>
          </w:tcPr>
          <w:p>
            <w:pPr>
              <w:spacing w:after="0"/>
            </w:pPr>
            <w:r>
              <w:rPr>
                <w:b/>
                <w:i w:val="0"/>
                <w:color w:val="FFFFFF"/>
                <w:sz w:val="16"/>
              </w:rPr>
              <w:t>Size</w:t>
            </w:r>
          </w:p>
        </w:tc>
        <w:tc>
          <w:tcPr>
            <w:tcW w:type="dxa" w:w="3855"/>
            <w:shd w:val="clear" w:color="auto" w:fill="E1058C"/>
            <w:vAlign w:val="center"/>
          </w:tcPr>
          <w:p>
            <w:pPr>
              <w:spacing w:after="0"/>
            </w:pPr>
            <w:r>
              <w:rPr>
                <w:b/>
                <w:i w:val="0"/>
                <w:color w:val="FFFFFF"/>
                <w:sz w:val="16"/>
              </w:rPr>
              <w:t>SHA-256 (first 16 characters)</w:t>
            </w:r>
          </w:p>
        </w:tc>
      </w:tr>
      <w:tr>
        <w:trPr>
          <w:cantSplit/>
        </w:trPr>
        <w:tc>
          <w:tcPr>
            <w:tcW w:type="dxa" w:w="4082"/>
            <w:vAlign w:val="top"/>
          </w:tcPr>
          <w:p>
            <w:pPr>
              <w:spacing w:after="20" w:line="252" w:lineRule="auto"/>
            </w:pPr>
            <w:r>
              <w:rPr>
                <w:b w:val="0"/>
                <w:i w:val="0"/>
                <w:sz w:val="16"/>
              </w:rPr>
              <w:t>api-e2e-coverage-summary.json</w:t>
            </w:r>
          </w:p>
        </w:tc>
        <w:tc>
          <w:tcPr>
            <w:tcW w:type="dxa" w:w="1701"/>
            <w:vAlign w:val="top"/>
          </w:tcPr>
          <w:p>
            <w:pPr>
              <w:spacing w:after="20" w:line="252" w:lineRule="auto"/>
            </w:pPr>
            <w:r>
              <w:rPr>
                <w:b w:val="0"/>
                <w:i w:val="0"/>
                <w:sz w:val="16"/>
              </w:rPr>
              <w:t>42,784 bytes</w:t>
            </w:r>
          </w:p>
        </w:tc>
        <w:tc>
          <w:tcPr>
            <w:tcW w:type="dxa" w:w="3855"/>
            <w:vAlign w:val="top"/>
          </w:tcPr>
          <w:p>
            <w:pPr>
              <w:spacing w:after="20" w:line="252" w:lineRule="auto"/>
            </w:pPr>
            <w:r>
              <w:rPr>
                <w:b w:val="0"/>
                <w:i w:val="0"/>
                <w:sz w:val="16"/>
              </w:rPr>
              <w:t>74b2c247a495d346…</w:t>
            </w:r>
          </w:p>
        </w:tc>
      </w:tr>
      <w:tr>
        <w:trPr>
          <w:cantSplit/>
        </w:trPr>
        <w:tc>
          <w:tcPr>
            <w:tcW w:type="dxa" w:w="4082"/>
            <w:vAlign w:val="top"/>
            <w:shd w:val="clear" w:color="auto" w:fill="FDF0F7"/>
          </w:tcPr>
          <w:p>
            <w:pPr>
              <w:spacing w:after="20" w:line="252" w:lineRule="auto"/>
            </w:pPr>
            <w:r>
              <w:rPr>
                <w:b w:val="0"/>
                <w:i w:val="0"/>
                <w:sz w:val="16"/>
              </w:rPr>
              <w:t>api-e2e-tests.json</w:t>
            </w:r>
          </w:p>
        </w:tc>
        <w:tc>
          <w:tcPr>
            <w:tcW w:type="dxa" w:w="1701"/>
            <w:vAlign w:val="top"/>
            <w:shd w:val="clear" w:color="auto" w:fill="FDF0F7"/>
          </w:tcPr>
          <w:p>
            <w:pPr>
              <w:spacing w:after="20" w:line="252" w:lineRule="auto"/>
            </w:pPr>
            <w:r>
              <w:rPr>
                <w:b w:val="0"/>
                <w:i w:val="0"/>
                <w:sz w:val="16"/>
              </w:rPr>
              <w:t>895,673 bytes</w:t>
            </w:r>
          </w:p>
        </w:tc>
        <w:tc>
          <w:tcPr>
            <w:tcW w:type="dxa" w:w="3855"/>
            <w:vAlign w:val="top"/>
            <w:shd w:val="clear" w:color="auto" w:fill="FDF0F7"/>
          </w:tcPr>
          <w:p>
            <w:pPr>
              <w:spacing w:after="20" w:line="252" w:lineRule="auto"/>
            </w:pPr>
            <w:r>
              <w:rPr>
                <w:b w:val="0"/>
                <w:i w:val="0"/>
                <w:sz w:val="16"/>
              </w:rPr>
              <w:t>bb1381c4fef07679…</w:t>
            </w:r>
          </w:p>
        </w:tc>
      </w:tr>
      <w:tr>
        <w:trPr>
          <w:cantSplit/>
        </w:trPr>
        <w:tc>
          <w:tcPr>
            <w:tcW w:type="dxa" w:w="4082"/>
            <w:vAlign w:val="top"/>
          </w:tcPr>
          <w:p>
            <w:pPr>
              <w:spacing w:after="20" w:line="252" w:lineRule="auto"/>
            </w:pPr>
            <w:r>
              <w:rPr>
                <w:b w:val="0"/>
                <w:i w:val="0"/>
                <w:sz w:val="16"/>
              </w:rPr>
              <w:t>api-static-analysis.json</w:t>
            </w:r>
          </w:p>
        </w:tc>
        <w:tc>
          <w:tcPr>
            <w:tcW w:type="dxa" w:w="1701"/>
            <w:vAlign w:val="top"/>
          </w:tcPr>
          <w:p>
            <w:pPr>
              <w:spacing w:after="20" w:line="252" w:lineRule="auto"/>
            </w:pPr>
            <w:r>
              <w:rPr>
                <w:b w:val="0"/>
                <w:i w:val="0"/>
                <w:sz w:val="16"/>
              </w:rPr>
              <w:t>796 bytes</w:t>
            </w:r>
          </w:p>
        </w:tc>
        <w:tc>
          <w:tcPr>
            <w:tcW w:type="dxa" w:w="3855"/>
            <w:vAlign w:val="top"/>
          </w:tcPr>
          <w:p>
            <w:pPr>
              <w:spacing w:after="20" w:line="252" w:lineRule="auto"/>
            </w:pPr>
            <w:r>
              <w:rPr>
                <w:b w:val="0"/>
                <w:i w:val="0"/>
                <w:sz w:val="16"/>
              </w:rPr>
              <w:t>38c06cf62d020977…</w:t>
            </w:r>
          </w:p>
        </w:tc>
      </w:tr>
      <w:tr>
        <w:trPr>
          <w:cantSplit/>
        </w:trPr>
        <w:tc>
          <w:tcPr>
            <w:tcW w:type="dxa" w:w="4082"/>
            <w:vAlign w:val="top"/>
            <w:shd w:val="clear" w:color="auto" w:fill="FDF0F7"/>
          </w:tcPr>
          <w:p>
            <w:pPr>
              <w:spacing w:after="20" w:line="252" w:lineRule="auto"/>
            </w:pPr>
            <w:r>
              <w:rPr>
                <w:b w:val="0"/>
                <w:i w:val="0"/>
                <w:sz w:val="16"/>
              </w:rPr>
              <w:t>api-unit-coverage-summary.json</w:t>
            </w:r>
          </w:p>
        </w:tc>
        <w:tc>
          <w:tcPr>
            <w:tcW w:type="dxa" w:w="1701"/>
            <w:vAlign w:val="top"/>
            <w:shd w:val="clear" w:color="auto" w:fill="FDF0F7"/>
          </w:tcPr>
          <w:p>
            <w:pPr>
              <w:spacing w:after="20" w:line="252" w:lineRule="auto"/>
            </w:pPr>
            <w:r>
              <w:rPr>
                <w:b w:val="0"/>
                <w:i w:val="0"/>
                <w:sz w:val="16"/>
              </w:rPr>
              <w:t>41,871 bytes</w:t>
            </w:r>
          </w:p>
        </w:tc>
        <w:tc>
          <w:tcPr>
            <w:tcW w:type="dxa" w:w="3855"/>
            <w:vAlign w:val="top"/>
            <w:shd w:val="clear" w:color="auto" w:fill="FDF0F7"/>
          </w:tcPr>
          <w:p>
            <w:pPr>
              <w:spacing w:after="20" w:line="252" w:lineRule="auto"/>
            </w:pPr>
            <w:r>
              <w:rPr>
                <w:b w:val="0"/>
                <w:i w:val="0"/>
                <w:sz w:val="16"/>
              </w:rPr>
              <w:t>501662d3899973ad…</w:t>
            </w:r>
          </w:p>
        </w:tc>
      </w:tr>
      <w:tr>
        <w:trPr>
          <w:cantSplit/>
        </w:trPr>
        <w:tc>
          <w:tcPr>
            <w:tcW w:type="dxa" w:w="4082"/>
            <w:vAlign w:val="top"/>
          </w:tcPr>
          <w:p>
            <w:pPr>
              <w:spacing w:after="20" w:line="252" w:lineRule="auto"/>
            </w:pPr>
            <w:r>
              <w:rPr>
                <w:b w:val="0"/>
                <w:i w:val="0"/>
                <w:sz w:val="16"/>
              </w:rPr>
              <w:t>api-unit-tests.json</w:t>
            </w:r>
          </w:p>
        </w:tc>
        <w:tc>
          <w:tcPr>
            <w:tcW w:type="dxa" w:w="1701"/>
            <w:vAlign w:val="top"/>
          </w:tcPr>
          <w:p>
            <w:pPr>
              <w:spacing w:after="20" w:line="252" w:lineRule="auto"/>
            </w:pPr>
            <w:r>
              <w:rPr>
                <w:b w:val="0"/>
                <w:i w:val="0"/>
                <w:sz w:val="16"/>
              </w:rPr>
              <w:t>901,653 bytes</w:t>
            </w:r>
          </w:p>
        </w:tc>
        <w:tc>
          <w:tcPr>
            <w:tcW w:type="dxa" w:w="3855"/>
            <w:vAlign w:val="top"/>
          </w:tcPr>
          <w:p>
            <w:pPr>
              <w:spacing w:after="20" w:line="252" w:lineRule="auto"/>
            </w:pPr>
            <w:r>
              <w:rPr>
                <w:b w:val="0"/>
                <w:i w:val="0"/>
                <w:sz w:val="16"/>
              </w:rPr>
              <w:t>04b9d616f28c707b…</w:t>
            </w:r>
          </w:p>
        </w:tc>
      </w:tr>
      <w:tr>
        <w:trPr>
          <w:cantSplit/>
        </w:trPr>
        <w:tc>
          <w:tcPr>
            <w:tcW w:type="dxa" w:w="4082"/>
            <w:vAlign w:val="top"/>
            <w:shd w:val="clear" w:color="auto" w:fill="FDF0F7"/>
          </w:tcPr>
          <w:p>
            <w:pPr>
              <w:spacing w:after="20" w:line="252" w:lineRule="auto"/>
            </w:pPr>
            <w:r>
              <w:rPr>
                <w:b w:val="0"/>
                <w:i w:val="0"/>
                <w:sz w:val="16"/>
              </w:rPr>
              <w:t>code-metrics-api.json</w:t>
            </w:r>
          </w:p>
        </w:tc>
        <w:tc>
          <w:tcPr>
            <w:tcW w:type="dxa" w:w="1701"/>
            <w:vAlign w:val="top"/>
            <w:shd w:val="clear" w:color="auto" w:fill="FDF0F7"/>
          </w:tcPr>
          <w:p>
            <w:pPr>
              <w:spacing w:after="20" w:line="252" w:lineRule="auto"/>
            </w:pPr>
            <w:r>
              <w:rPr>
                <w:b w:val="0"/>
                <w:i w:val="0"/>
                <w:sz w:val="16"/>
              </w:rPr>
              <w:t>760 bytes</w:t>
            </w:r>
          </w:p>
        </w:tc>
        <w:tc>
          <w:tcPr>
            <w:tcW w:type="dxa" w:w="3855"/>
            <w:vAlign w:val="top"/>
            <w:shd w:val="clear" w:color="auto" w:fill="FDF0F7"/>
          </w:tcPr>
          <w:p>
            <w:pPr>
              <w:spacing w:after="20" w:line="252" w:lineRule="auto"/>
            </w:pPr>
            <w:r>
              <w:rPr>
                <w:b w:val="0"/>
                <w:i w:val="0"/>
                <w:sz w:val="16"/>
              </w:rPr>
              <w:t>ec37c59d47c8708c…</w:t>
            </w:r>
          </w:p>
        </w:tc>
      </w:tr>
      <w:tr>
        <w:trPr>
          <w:cantSplit/>
        </w:trPr>
        <w:tc>
          <w:tcPr>
            <w:tcW w:type="dxa" w:w="4082"/>
            <w:vAlign w:val="top"/>
          </w:tcPr>
          <w:p>
            <w:pPr>
              <w:spacing w:after="20" w:line="252" w:lineRule="auto"/>
            </w:pPr>
            <w:r>
              <w:rPr>
                <w:b w:val="0"/>
                <w:i w:val="0"/>
                <w:sz w:val="16"/>
              </w:rPr>
              <w:t>npm-audit.json</w:t>
            </w:r>
          </w:p>
        </w:tc>
        <w:tc>
          <w:tcPr>
            <w:tcW w:type="dxa" w:w="1701"/>
            <w:vAlign w:val="top"/>
          </w:tcPr>
          <w:p>
            <w:pPr>
              <w:spacing w:after="20" w:line="252" w:lineRule="auto"/>
            </w:pPr>
            <w:r>
              <w:rPr>
                <w:b w:val="0"/>
                <w:i w:val="0"/>
                <w:sz w:val="16"/>
              </w:rPr>
              <w:t>366 bytes</w:t>
            </w:r>
          </w:p>
        </w:tc>
        <w:tc>
          <w:tcPr>
            <w:tcW w:type="dxa" w:w="3855"/>
            <w:vAlign w:val="top"/>
          </w:tcPr>
          <w:p>
            <w:pPr>
              <w:spacing w:after="20" w:line="252" w:lineRule="auto"/>
            </w:pPr>
            <w:r>
              <w:rPr>
                <w:b w:val="0"/>
                <w:i w:val="0"/>
                <w:sz w:val="16"/>
              </w:rPr>
              <w:t>1cf279e9ef691d09…</w:t>
            </w:r>
          </w:p>
        </w:tc>
      </w:tr>
      <w:tr>
        <w:trPr>
          <w:cantSplit/>
        </w:trPr>
        <w:tc>
          <w:tcPr>
            <w:tcW w:type="dxa" w:w="4082"/>
            <w:vAlign w:val="top"/>
            <w:shd w:val="clear" w:color="auto" w:fill="FDF0F7"/>
          </w:tcPr>
          <w:p>
            <w:pPr>
              <w:spacing w:after="20" w:line="252" w:lineRule="auto"/>
            </w:pPr>
            <w:r>
              <w:rPr>
                <w:b w:val="0"/>
                <w:i w:val="0"/>
                <w:sz w:val="16"/>
              </w:rPr>
              <w:t>runtime-dependency-licences.json</w:t>
            </w:r>
          </w:p>
        </w:tc>
        <w:tc>
          <w:tcPr>
            <w:tcW w:type="dxa" w:w="1701"/>
            <w:vAlign w:val="top"/>
            <w:shd w:val="clear" w:color="auto" w:fill="FDF0F7"/>
          </w:tcPr>
          <w:p>
            <w:pPr>
              <w:spacing w:after="20" w:line="252" w:lineRule="auto"/>
            </w:pPr>
            <w:r>
              <w:rPr>
                <w:b w:val="0"/>
                <w:i w:val="0"/>
                <w:sz w:val="16"/>
              </w:rPr>
              <w:t>40,391 bytes</w:t>
            </w:r>
          </w:p>
        </w:tc>
        <w:tc>
          <w:tcPr>
            <w:tcW w:type="dxa" w:w="3855"/>
            <w:vAlign w:val="top"/>
            <w:shd w:val="clear" w:color="auto" w:fill="FDF0F7"/>
          </w:tcPr>
          <w:p>
            <w:pPr>
              <w:spacing w:after="20" w:line="252" w:lineRule="auto"/>
            </w:pPr>
            <w:r>
              <w:rPr>
                <w:b w:val="0"/>
                <w:i w:val="0"/>
                <w:sz w:val="16"/>
              </w:rPr>
              <w:t>b003a0dc1a75e06f…</w:t>
            </w:r>
          </w:p>
        </w:tc>
      </w:tr>
      <w:tr>
        <w:trPr>
          <w:cantSplit/>
        </w:trPr>
        <w:tc>
          <w:tcPr>
            <w:tcW w:type="dxa" w:w="4082"/>
            <w:vAlign w:val="top"/>
          </w:tcPr>
          <w:p>
            <w:pPr>
              <w:spacing w:after="20" w:line="252" w:lineRule="auto"/>
            </w:pPr>
            <w:r>
              <w:rPr>
                <w:b w:val="0"/>
                <w:i w:val="0"/>
                <w:sz w:val="16"/>
              </w:rPr>
              <w:t>security-checks.json</w:t>
            </w:r>
          </w:p>
        </w:tc>
        <w:tc>
          <w:tcPr>
            <w:tcW w:type="dxa" w:w="1701"/>
            <w:vAlign w:val="top"/>
          </w:tcPr>
          <w:p>
            <w:pPr>
              <w:spacing w:after="20" w:line="252" w:lineRule="auto"/>
            </w:pPr>
            <w:r>
              <w:rPr>
                <w:b w:val="0"/>
                <w:i w:val="0"/>
                <w:sz w:val="16"/>
              </w:rPr>
              <w:t>9,685 bytes</w:t>
            </w:r>
          </w:p>
        </w:tc>
        <w:tc>
          <w:tcPr>
            <w:tcW w:type="dxa" w:w="3855"/>
            <w:vAlign w:val="top"/>
          </w:tcPr>
          <w:p>
            <w:pPr>
              <w:spacing w:after="20" w:line="252" w:lineRule="auto"/>
            </w:pPr>
            <w:r>
              <w:rPr>
                <w:b w:val="0"/>
                <w:i w:val="0"/>
                <w:sz w:val="16"/>
              </w:rPr>
              <w:t>5ab9bdeea3c926fd…</w:t>
            </w:r>
          </w:p>
        </w:tc>
      </w:tr>
      <w:tr>
        <w:trPr>
          <w:cantSplit/>
        </w:trPr>
        <w:tc>
          <w:tcPr>
            <w:tcW w:type="dxa" w:w="4082"/>
            <w:vAlign w:val="top"/>
            <w:shd w:val="clear" w:color="auto" w:fill="FDF0F7"/>
          </w:tcPr>
          <w:p>
            <w:pPr>
              <w:spacing w:after="20" w:line="252" w:lineRule="auto"/>
            </w:pPr>
            <w:r>
              <w:rPr>
                <w:b w:val="0"/>
                <w:i w:val="0"/>
                <w:sz w:val="16"/>
              </w:rPr>
              <w:t>web-build.txt</w:t>
            </w:r>
          </w:p>
        </w:tc>
        <w:tc>
          <w:tcPr>
            <w:tcW w:type="dxa" w:w="1701"/>
            <w:vAlign w:val="top"/>
            <w:shd w:val="clear" w:color="auto" w:fill="FDF0F7"/>
          </w:tcPr>
          <w:p>
            <w:pPr>
              <w:spacing w:after="20" w:line="252" w:lineRule="auto"/>
            </w:pPr>
            <w:r>
              <w:rPr>
                <w:b w:val="0"/>
                <w:i w:val="0"/>
                <w:sz w:val="16"/>
              </w:rPr>
              <w:t>9,886 bytes</w:t>
            </w:r>
          </w:p>
        </w:tc>
        <w:tc>
          <w:tcPr>
            <w:tcW w:type="dxa" w:w="3855"/>
            <w:vAlign w:val="top"/>
            <w:shd w:val="clear" w:color="auto" w:fill="FDF0F7"/>
          </w:tcPr>
          <w:p>
            <w:pPr>
              <w:spacing w:after="20" w:line="252" w:lineRule="auto"/>
            </w:pPr>
            <w:r>
              <w:rPr>
                <w:b w:val="0"/>
                <w:i w:val="0"/>
                <w:sz w:val="16"/>
              </w:rPr>
              <w:t>78590222981eafd9…</w:t>
            </w:r>
          </w:p>
        </w:tc>
      </w:tr>
      <w:tr>
        <w:trPr>
          <w:cantSplit/>
        </w:trPr>
        <w:tc>
          <w:tcPr>
            <w:tcW w:type="dxa" w:w="4082"/>
            <w:vAlign w:val="top"/>
          </w:tcPr>
          <w:p>
            <w:pPr>
              <w:spacing w:after="20" w:line="252" w:lineRule="auto"/>
            </w:pPr>
            <w:r>
              <w:rPr>
                <w:b w:val="0"/>
                <w:i w:val="0"/>
                <w:sz w:val="16"/>
              </w:rPr>
              <w:t>web-lint.json</w:t>
            </w:r>
          </w:p>
        </w:tc>
        <w:tc>
          <w:tcPr>
            <w:tcW w:type="dxa" w:w="1701"/>
            <w:vAlign w:val="top"/>
          </w:tcPr>
          <w:p>
            <w:pPr>
              <w:spacing w:after="20" w:line="252" w:lineRule="auto"/>
            </w:pPr>
            <w:r>
              <w:rPr>
                <w:b w:val="0"/>
                <w:i w:val="0"/>
                <w:sz w:val="16"/>
              </w:rPr>
              <w:t>197 bytes</w:t>
            </w:r>
          </w:p>
        </w:tc>
        <w:tc>
          <w:tcPr>
            <w:tcW w:type="dxa" w:w="3855"/>
            <w:vAlign w:val="top"/>
          </w:tcPr>
          <w:p>
            <w:pPr>
              <w:spacing w:after="20" w:line="252" w:lineRule="auto"/>
            </w:pPr>
            <w:r>
              <w:rPr>
                <w:b w:val="0"/>
                <w:i w:val="0"/>
                <w:sz w:val="16"/>
              </w:rPr>
              <w:t>21a8be1488eb17d7…</w:t>
            </w:r>
          </w:p>
        </w:tc>
      </w:tr>
      <w:tr>
        <w:trPr>
          <w:cantSplit/>
        </w:trPr>
        <w:tc>
          <w:tcPr>
            <w:tcW w:type="dxa" w:w="4082"/>
            <w:vAlign w:val="top"/>
            <w:shd w:val="clear" w:color="auto" w:fill="FDF0F7"/>
          </w:tcPr>
          <w:p>
            <w:pPr>
              <w:spacing w:after="20" w:line="252" w:lineRule="auto"/>
            </w:pPr>
            <w:r>
              <w:rPr>
                <w:b w:val="0"/>
                <w:i w:val="0"/>
                <w:sz w:val="16"/>
              </w:rPr>
              <w:t>web-typecheck.txt</w:t>
            </w:r>
          </w:p>
        </w:tc>
        <w:tc>
          <w:tcPr>
            <w:tcW w:type="dxa" w:w="1701"/>
            <w:vAlign w:val="top"/>
            <w:shd w:val="clear" w:color="auto" w:fill="FDF0F7"/>
          </w:tcPr>
          <w:p>
            <w:pPr>
              <w:spacing w:after="20" w:line="252" w:lineRule="auto"/>
            </w:pPr>
            <w:r>
              <w:rPr>
                <w:b w:val="0"/>
                <w:i w:val="0"/>
                <w:sz w:val="16"/>
              </w:rPr>
              <w:t>26 bytes</w:t>
            </w:r>
          </w:p>
        </w:tc>
        <w:tc>
          <w:tcPr>
            <w:tcW w:type="dxa" w:w="3855"/>
            <w:vAlign w:val="top"/>
            <w:shd w:val="clear" w:color="auto" w:fill="FDF0F7"/>
          </w:tcPr>
          <w:p>
            <w:pPr>
              <w:spacing w:after="20" w:line="252" w:lineRule="auto"/>
            </w:pPr>
            <w:r>
              <w:rPr>
                <w:b w:val="0"/>
                <w:i w:val="0"/>
                <w:sz w:val="16"/>
              </w:rPr>
              <w:t>e5073c15448438bb…</w:t>
            </w:r>
          </w:p>
        </w:tc>
      </w:tr>
      <w:tr>
        <w:trPr>
          <w:cantSplit/>
        </w:trPr>
        <w:tc>
          <w:tcPr>
            <w:tcW w:type="dxa" w:w="4082"/>
            <w:vAlign w:val="top"/>
          </w:tcPr>
          <w:p>
            <w:pPr>
              <w:spacing w:after="20" w:line="252" w:lineRule="auto"/>
            </w:pPr>
            <w:r>
              <w:rPr>
                <w:b w:val="0"/>
                <w:i w:val="0"/>
                <w:sz w:val="16"/>
              </w:rPr>
              <w:t>web-unit-tests.json</w:t>
            </w:r>
          </w:p>
        </w:tc>
        <w:tc>
          <w:tcPr>
            <w:tcW w:type="dxa" w:w="1701"/>
            <w:vAlign w:val="top"/>
          </w:tcPr>
          <w:p>
            <w:pPr>
              <w:spacing w:after="20" w:line="252" w:lineRule="auto"/>
            </w:pPr>
            <w:r>
              <w:rPr>
                <w:b w:val="0"/>
                <w:i w:val="0"/>
                <w:sz w:val="16"/>
              </w:rPr>
              <w:t>24,628 bytes</w:t>
            </w:r>
          </w:p>
        </w:tc>
        <w:tc>
          <w:tcPr>
            <w:tcW w:type="dxa" w:w="3855"/>
            <w:vAlign w:val="top"/>
          </w:tcPr>
          <w:p>
            <w:pPr>
              <w:spacing w:after="20" w:line="252" w:lineRule="auto"/>
            </w:pPr>
            <w:r>
              <w:rPr>
                <w:b w:val="0"/>
                <w:i w:val="0"/>
                <w:sz w:val="16"/>
              </w:rPr>
              <w:t>7dac851fc00c909f…</w:t>
            </w:r>
          </w:p>
        </w:tc>
      </w:tr>
    </w:tbl>
    <w:p>
      <w:pPr>
        <w:pStyle w:val="Caption"/>
        <w:jc w:val="center"/>
      </w:pPr>
      <w:r>
        <w:rPr>
          <w:b w:val="0"/>
          <w:i w:val="0"/>
        </w:rPr>
        <w:t>Table 15: Evidence files</w:t>
      </w: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E1058C"/>
      </w:pBdr>
    </w:pPr>
    <w:r>
      <w:rPr>
        <w:b w:val="0"/>
        <w:i w:val="0"/>
        <w:color w:val="6B6B6B"/>
        <w:sz w:val="16"/>
      </w:rPr>
      <w:t xml:space="preserve">Commercial-in-Confidence | Page </w:t>
    </w:r>
    <w:r>
      <w:rPr>
        <w:b w:val="0"/>
        <w:color w:val="6B6B6B"/>
        <w:sz w:val="16"/>
      </w:rPr>
      <w:fldChar w:fldCharType="begin" w:dirty="true"/>
    </w:r>
    <w:r>
      <w:rPr>
        <w:b w:val="0"/>
        <w:color w:val="6B6B6B"/>
        <w:sz w:val="16"/>
      </w:rPr>
      <w:instrText xml:space="preserve"> PAGE </w:instrText>
    </w:r>
    <w:r>
      <w:rPr>
        <w:b w:val="0"/>
        <w:color w:val="6B6B6B"/>
        <w:sz w:val="16"/>
      </w:rPr>
      <w:fldChar w:fldCharType="separate"/>
    </w:r>
    <w:r>
      <w:rPr>
        <w:b w:val="0"/>
        <w:color w:val="6B6B6B"/>
        <w:sz w:val="16"/>
      </w:rPr>
      <w:t>1</w:t>
    </w:r>
    <w:r>
      <w:rPr>
        <w:b w:val="0"/>
        <w:color w:val="6B6B6B"/>
        <w:sz w:val="16"/>
      </w:rPr>
      <w:fldChar w:fldCharType="end"/>
    </w:r>
    <w:r>
      <w:rPr>
        <w:b w:val="0"/>
        <w:i w:val="0"/>
        <w:color w:val="6B6B6B"/>
        <w:sz w:val="16"/>
      </w:rPr>
      <w:t xml:space="preserve"> of </w:t>
    </w:r>
    <w:r>
      <w:rPr>
        <w:b w:val="0"/>
        <w:color w:val="6B6B6B"/>
        <w:sz w:val="16"/>
      </w:rPr>
      <w:fldChar w:fldCharType="begin" w:dirty="true"/>
    </w:r>
    <w:r>
      <w:rPr>
        <w:b w:val="0"/>
        <w:color w:val="6B6B6B"/>
        <w:sz w:val="16"/>
      </w:rPr>
      <w:instrText xml:space="preserve"> NUMPAGES </w:instrText>
    </w:r>
    <w:r>
      <w:rPr>
        <w:b w:val="0"/>
        <w:color w:val="6B6B6B"/>
        <w:sz w:val="16"/>
      </w:rPr>
      <w:fldChar w:fldCharType="separate"/>
    </w:r>
    <w:r>
      <w:rPr>
        <w:b w:val="0"/>
        <w:color w:val="6B6B6B"/>
        <w:sz w:val="16"/>
      </w:rPr>
      <w:t>1</w:t>
    </w:r>
    <w:r>
      <w:rPr>
        <w:b w:val="0"/>
        <w:color w:val="6B6B6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F58220"/>
      </w:pBdr>
    </w:pPr>
    <w:r>
      <w:rPr>
        <w:b w:val="0"/>
        <w:i w:val="0"/>
        <w:color w:val="6B6B6B"/>
        <w:sz w:val="16"/>
      </w:rPr>
      <w:t>iorta TechNXT | SalesVerse 2.0 – Code Standards and Quality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Arial" w:hAnsi="Arial" w:cs="Arial" w:eastAsia="Arial"/>
      <w:b/>
      <w:bCs/>
      <w:i w:val="0"/>
      <w:color w:val="E1058C"/>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Arial" w:hAnsi="Arial" w:cs="Arial" w:eastAsia="Arial"/>
      <w:b/>
      <w:bCs/>
      <w:i w:val="0"/>
      <w:color w:val="E1058C"/>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Arial" w:hAnsi="Arial" w:cs="Arial" w:eastAsia="Arial"/>
      <w:b/>
      <w:bCs/>
      <w:i w:val="0"/>
      <w:color w:val="F58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cs="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B6B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SalesVerse 2.0 – Code Standards and Quality Report</dc:title>
  <dc:subject>Code standards and quality</dc:subject>
  <dc:creator>iorta TechNXT</dc:creator>
  <cp:keywords>SalesVerse 2.0; IIFT; Code standards and quality</cp:keywords>
  <dc:description/>
  <cp:lastModifiedBy>iorta TechNXT</cp:lastModifiedBy>
  <cp:revision>1</cp:revision>
  <dcterms:created xsi:type="dcterms:W3CDTF">2026-10-02T15:09:34Z</dcterms:created>
  <dcterms:modified xsi:type="dcterms:W3CDTF">2026-10-02T15:09:34Z</dcterms:modified>
  <cp:category>Commercial-in-Confidence</cp:category>
</cp:coreProperties>
</file>