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Test Strategy</w:t>
      </w:r>
    </w:p>
    <w:p>
      <w:pPr>
        <w:keepNext w:val="0"/>
        <w:spacing w:after="120"/>
      </w:pPr>
      <w:r>
        <w:rPr>
          <w:b w:val="0"/>
          <w:i w:val="0"/>
          <w:color w:val="333333"/>
          <w:sz w:val="26"/>
        </w:rPr>
        <w:t>Test levels, environments, entry and exit criteria, defect management, tooling, traceability, schedule and the status of testing on the current build</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3" name="Picture 3"/>
                  <wp:cNvGraphicFramePr>
                    <a:graphicFrameLocks noChangeAspect="1"/>
                  </wp:cNvGraphicFramePr>
                  <a:graphic>
                    <a:graphicData uri="http://schemas.openxmlformats.org/drawingml/2006/picture">
                      <pic:pic>
                        <pic:nvPicPr>
                          <pic:cNvPr id="0" name="iift-logo.png"/>
                          <pic:cNvPicPr/>
                        </pic:nvPicPr>
                        <pic:blipFill>
                          <a:blip r:embed="rId13"/>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IIFT-SV2-TST</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DEL-12 (Test Strategy); with the Test Cases workbook: DEL-13, DEL-14 precursor, DEL-15 basis</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document defines how SalesVerse 2.0 is tested for IIFT: the test levels from unit tests to user acceptance, the environments and data, the criteria for entering and leaving each phase, how defects are classified and resolved, who does what, the tools, the traceability from RFP requirement to test case, the schedule within the 24-week plan, and the metrics reported. Its last chapter states the status of testing on the build submitted with the proposal, counted from the same data as the Test Cases workbook.</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IIFT-SV2-TST</w:t>
            </w:r>
          </w:p>
        </w:tc>
        <w:tc>
          <w:tcPr>
            <w:tcW w:type="dxa" w:w="4082"/>
            <w:vAlign w:val="top"/>
            <w:shd w:val="clear" w:color="auto" w:fill="FDF0F7"/>
          </w:tcPr>
          <w:p>
            <w:pPr>
              <w:spacing w:after="20" w:line="252" w:lineRule="auto"/>
            </w:pPr>
            <w:r>
              <w:rPr>
                <w:b w:val="0"/>
                <w:i w:val="0"/>
                <w:sz w:val="17"/>
              </w:rPr>
              <w:t>SalesVerse 2.0 Test Strategy</w:t>
            </w:r>
          </w:p>
        </w:tc>
        <w:tc>
          <w:tcPr>
            <w:tcW w:type="dxa" w:w="2041"/>
            <w:vAlign w:val="top"/>
            <w:shd w:val="clear" w:color="auto" w:fill="FDF0F7"/>
          </w:tcPr>
          <w:p>
            <w:pPr>
              <w:spacing w:after="20" w:line="252" w:lineRule="auto"/>
            </w:pPr>
            <w:r>
              <w:rPr>
                <w:b w:val="0"/>
                <w:i w:val="0"/>
                <w:sz w:val="17"/>
              </w:rPr>
              <w:t>DEL-12</w:t>
            </w:r>
          </w:p>
        </w:tc>
        <w:tc>
          <w:tcPr>
            <w:tcW w:type="dxa" w:w="1701"/>
            <w:vAlign w:val="top"/>
            <w:shd w:val="clear" w:color="auto" w:fill="FDF0F7"/>
          </w:tcPr>
          <w:p>
            <w:pPr>
              <w:spacing w:after="20" w:line="252" w:lineRule="auto"/>
            </w:pPr>
            <w:r>
              <w:rPr>
                <w:b w:val="0"/>
                <w:i w:val="0"/>
                <w:sz w:val="17"/>
              </w:rPr>
              <w:t>This document</w:t>
            </w:r>
          </w:p>
        </w:tc>
      </w:tr>
      <w:tr>
        <w:trPr>
          <w:cantSplit/>
        </w:trPr>
        <w:tc>
          <w:tcPr>
            <w:tcW w:type="dxa" w:w="1814"/>
            <w:vAlign w:val="top"/>
          </w:tcPr>
          <w:p>
            <w:pPr>
              <w:spacing w:after="20" w:line="252" w:lineRule="auto"/>
            </w:pPr>
            <w:r>
              <w:rPr>
                <w:b w:val="0"/>
                <w:i w:val="0"/>
                <w:sz w:val="17"/>
              </w:rPr>
              <w:t>IIFT-SV2-TCS</w:t>
            </w:r>
          </w:p>
        </w:tc>
        <w:tc>
          <w:tcPr>
            <w:tcW w:type="dxa" w:w="4082"/>
            <w:vAlign w:val="top"/>
          </w:tcPr>
          <w:p>
            <w:pPr>
              <w:spacing w:after="20" w:line="252" w:lineRule="auto"/>
            </w:pPr>
            <w:r>
              <w:rPr>
                <w:b w:val="0"/>
                <w:i w:val="0"/>
                <w:sz w:val="17"/>
              </w:rPr>
              <w:t>SalesVerse 2.0 Test Cases</w:t>
            </w:r>
          </w:p>
        </w:tc>
        <w:tc>
          <w:tcPr>
            <w:tcW w:type="dxa" w:w="2041"/>
            <w:vAlign w:val="top"/>
          </w:tcPr>
          <w:p>
            <w:pPr>
              <w:spacing w:after="20" w:line="252" w:lineRule="auto"/>
            </w:pPr>
            <w:r>
              <w:rPr>
                <w:b w:val="0"/>
                <w:i w:val="0"/>
                <w:sz w:val="17"/>
              </w:rPr>
              <w:t>DEL-13, DEL-14 (precursor)</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SalesVerse-2.0-Test-Cases.xlsx (IIFT-SV2-TCS): scenarios, conditions, cases, defects, traceability and the execution log; its Summary sheet and chapter 12 of this document are built from one source.</w:t>
      </w:r>
    </w:p>
    <w:p>
      <w:pPr>
        <w:pStyle w:val="ListBullet"/>
      </w:pPr>
      <w:r>
        <w:rPr>
          <w:b w:val="0"/>
          <w:i w:val="0"/>
        </w:rPr>
        <w:t>SalesVerse-2.0-Security-Assessment-Report: the OWASP checks referenced by the security cases.</w:t>
      </w:r>
    </w:p>
    <w:p>
      <w:pPr>
        <w:pStyle w:val="ListBullet"/>
      </w:pPr>
      <w:r>
        <w:rPr>
          <w:b w:val="0"/>
          <w:i w:val="0"/>
        </w:rPr>
        <w:t>SalesVerse-2.0-Code-Standards-and-Quality-Report: unit and end-to-end test evidence and coverage.</w:t>
      </w:r>
    </w:p>
    <w:p>
      <w:pPr>
        <w:pStyle w:val="ListBullet"/>
      </w:pPr>
      <w:r>
        <w:rPr>
          <w:b w:val="0"/>
          <w:i w:val="0"/>
        </w:rPr>
        <w:t>SalesVerse-2.0-Solution-Architecture: environments, integration adapters and deployment options.</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Option A, B and C are the commercial options of the proposal: on-premise with a perpetual licence, subscription hosted and managed by iorta on cloud, and source code handover. Prices and commercial terms are in the proposal and its pricing workbook; this pack quotes a figure only where a technical statement depends on it, and reads it from the same source as the proposal.</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Purpose and scope</w:t>
      </w:r>
    </w:p>
    <w:p>
      <w:pPr>
        <w:keepNext w:val="0"/>
      </w:pPr>
      <w:r>
        <w:rPr>
          <w:b w:val="0"/>
          <w:i w:val="0"/>
        </w:rPr>
        <w:t>This strategy covers the testing of SalesVerse 2.0 configured as the IIFT Agent/Banca Portal &amp; Back-office: the Agent/Banca Portal, the Back-office, the public e-signature page, the system-to-system APIs and the integrations with IIFT's core, financial, AML, directory, e-mail and SMS services. It applies from the build sprints to hypercare and is the reference for the SIT and UAT deliverables (DEL-13 to DEL-16), the security assessment (DEL-17) and the performance report (DEL-18).</w:t>
      </w:r>
    </w:p>
    <w:p>
      <w:pPr>
        <w:keepNext w:val="0"/>
      </w:pPr>
      <w:r>
        <w:rPr>
          <w:b w:val="0"/>
          <w:i w:val="0"/>
        </w:rPr>
        <w:t>The companion workbook holds the test scenarios, conditions and cases with their current status. Both are generated from one catalogue in the source repository, so the counts in chapter 12 and in the workbook's Summary sheet cannot differ; the build stops if they do.</w:t>
      </w:r>
    </w:p>
    <w:p>
      <w:pPr>
        <w:keepNext w:val="0"/>
      </w:pPr>
      <w:r>
        <w:rPr>
          <w:b w:val="0"/>
          <w:i w:val="0"/>
        </w:rPr>
        <w:t>Out of scope: testing of IIFT's own systems beyond their interfaces, and of the hosting infrastructure other than through the availability, backup and DR drills in which iorta participates.</w:t>
      </w:r>
    </w:p>
    <w:p>
      <w:pPr>
        <w:pStyle w:val="Heading2"/>
      </w:pPr>
      <w:r>
        <w:t>1.1 Test objectives</w:t>
      </w:r>
    </w:p>
    <w:p>
      <w:pPr>
        <w:pStyle w:val="ListBullet"/>
      </w:pPr>
      <w:r>
        <w:rPr>
          <w:b w:val="0"/>
          <w:i w:val="0"/>
        </w:rPr>
        <w:t>Prove every functional requirement of RFP sections 4.1 to 4.4 and the five product flows of Appendix 3 with at least one executed, passed case, traced in the workbook.</w:t>
      </w:r>
    </w:p>
    <w:p>
      <w:pPr>
        <w:pStyle w:val="ListBullet"/>
      </w:pPr>
      <w:r>
        <w:rPr>
          <w:b w:val="0"/>
          <w:i w:val="0"/>
        </w:rPr>
        <w:t>Prove the non-functional requirements of section 5 at the agreed level: security before any release, performance and availability at IIFT scale before go-live.</w:t>
      </w:r>
    </w:p>
    <w:p>
      <w:pPr>
        <w:pStyle w:val="ListBullet"/>
      </w:pPr>
      <w:r>
        <w:rPr>
          <w:b w:val="0"/>
          <w:i w:val="0"/>
        </w:rPr>
        <w:t>Find defects early: unit and API tests run with every change, business journeys on every release candidate, and the OWASP checks each sprint.</w:t>
      </w:r>
    </w:p>
    <w:p>
      <w:pPr>
        <w:pStyle w:val="ListBullet"/>
      </w:pPr>
      <w:r>
        <w:rPr>
          <w:b w:val="0"/>
          <w:i w:val="0"/>
        </w:rPr>
        <w:t>Give IIFT evidence it can audit: JSON results from every automated run, request and response summaries from the scripted API run, screen captures from manual runs, and signed UAT records.</w:t>
      </w:r>
    </w:p>
    <w:p>
      <w:pPr>
        <w:pStyle w:val="Heading1"/>
        <w:pageBreakBefore/>
        <w:pBdr>
          <w:bottom w:val="single" w:sz="12" w:space="4" w:color="F58220"/>
        </w:pBdr>
      </w:pPr>
      <w:r>
        <w:t>2. Test levels and approach</w:t>
      </w:r>
    </w:p>
    <w:p>
      <w:pPr>
        <w:keepNext w:val="0"/>
      </w:pPr>
      <w:r>
        <w:rPr>
          <w:b w:val="0"/>
          <w:i w:val="0"/>
        </w:rPr>
        <w:t>Testing is layered. Each level has an owner, an environment, tooling and an exit criterion; the levels build on each other so that SIT and UAT concentrate on IIFT's systems, data and users rather than on application logic already proven.</w:t>
      </w:r>
    </w:p>
    <w:p>
      <w:pPr>
        <w:keepNext/>
        <w:spacing w:after="0"/>
        <w:jc w:val="center"/>
      </w:pPr>
      <w:r>
        <w:drawing>
          <wp:inline xmlns:a="http://schemas.openxmlformats.org/drawingml/2006/main" xmlns:pic="http://schemas.openxmlformats.org/drawingml/2006/picture">
            <wp:extent cx="5940000" cy="2375999"/>
            <wp:docPr id="4" name="Picture 4"/>
            <wp:cNvGraphicFramePr>
              <a:graphicFrameLocks noChangeAspect="1"/>
            </wp:cNvGraphicFramePr>
            <a:graphic>
              <a:graphicData uri="http://schemas.openxmlformats.org/drawingml/2006/picture">
                <pic:pic>
                  <pic:nvPicPr>
                    <pic:cNvPr id="0" name="test_levels.png"/>
                    <pic:cNvPicPr/>
                  </pic:nvPicPr>
                  <pic:blipFill>
                    <a:blip r:embed="rId14"/>
                    <a:stretch>
                      <a:fillRect/>
                    </a:stretch>
                  </pic:blipFill>
                  <pic:spPr>
                    <a:xfrm>
                      <a:off x="0" y="0"/>
                      <a:ext cx="5940000" cy="2375999"/>
                    </a:xfrm>
                    <a:prstGeom prst="rect"/>
                  </pic:spPr>
                </pic:pic>
              </a:graphicData>
            </a:graphic>
          </wp:inline>
        </w:drawing>
      </w:r>
    </w:p>
    <w:p>
      <w:pPr>
        <w:pStyle w:val="Caption"/>
        <w:jc w:val="center"/>
      </w:pPr>
      <w:r>
        <w:rPr>
          <w:b w:val="0"/>
          <w:i w:val="0"/>
        </w:rPr>
        <w:t>Figure 1: Test levels across the delivery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304"/>
        <w:gridCol w:w="2608"/>
        <w:gridCol w:w="1134"/>
        <w:gridCol w:w="1587"/>
        <w:gridCol w:w="1644"/>
        <w:gridCol w:w="1360"/>
      </w:tblGrid>
      <w:tr>
        <w:trPr>
          <w:cantSplit/>
          <w:tblHeader/>
        </w:trPr>
        <w:tc>
          <w:tcPr>
            <w:tcW w:type="dxa" w:w="1304"/>
            <w:shd w:val="clear" w:color="auto" w:fill="E1058C"/>
            <w:vAlign w:val="center"/>
          </w:tcPr>
          <w:p>
            <w:pPr>
              <w:spacing w:after="0"/>
            </w:pPr>
            <w:r>
              <w:rPr>
                <w:b/>
                <w:i w:val="0"/>
                <w:color w:val="FFFFFF"/>
                <w:sz w:val="14"/>
              </w:rPr>
              <w:t>Level</w:t>
            </w:r>
          </w:p>
        </w:tc>
        <w:tc>
          <w:tcPr>
            <w:tcW w:type="dxa" w:w="2608"/>
            <w:shd w:val="clear" w:color="auto" w:fill="E1058C"/>
            <w:vAlign w:val="center"/>
          </w:tcPr>
          <w:p>
            <w:pPr>
              <w:spacing w:after="0"/>
            </w:pPr>
            <w:r>
              <w:rPr>
                <w:b/>
                <w:i w:val="0"/>
                <w:color w:val="FFFFFF"/>
                <w:sz w:val="14"/>
              </w:rPr>
              <w:t>Scope</w:t>
            </w:r>
          </w:p>
        </w:tc>
        <w:tc>
          <w:tcPr>
            <w:tcW w:type="dxa" w:w="1134"/>
            <w:shd w:val="clear" w:color="auto" w:fill="E1058C"/>
            <w:vAlign w:val="center"/>
          </w:tcPr>
          <w:p>
            <w:pPr>
              <w:spacing w:after="0"/>
            </w:pPr>
            <w:r>
              <w:rPr>
                <w:b/>
                <w:i w:val="0"/>
                <w:color w:val="FFFFFF"/>
                <w:sz w:val="14"/>
              </w:rPr>
              <w:t>Owner</w:t>
            </w:r>
          </w:p>
        </w:tc>
        <w:tc>
          <w:tcPr>
            <w:tcW w:type="dxa" w:w="1587"/>
            <w:shd w:val="clear" w:color="auto" w:fill="E1058C"/>
            <w:vAlign w:val="center"/>
          </w:tcPr>
          <w:p>
            <w:pPr>
              <w:spacing w:after="0"/>
            </w:pPr>
            <w:r>
              <w:rPr>
                <w:b/>
                <w:i w:val="0"/>
                <w:color w:val="FFFFFF"/>
                <w:sz w:val="14"/>
              </w:rPr>
              <w:t>Environment</w:t>
            </w:r>
          </w:p>
        </w:tc>
        <w:tc>
          <w:tcPr>
            <w:tcW w:type="dxa" w:w="1644"/>
            <w:shd w:val="clear" w:color="auto" w:fill="E1058C"/>
            <w:vAlign w:val="center"/>
          </w:tcPr>
          <w:p>
            <w:pPr>
              <w:spacing w:after="0"/>
            </w:pPr>
            <w:r>
              <w:rPr>
                <w:b/>
                <w:i w:val="0"/>
                <w:color w:val="FFFFFF"/>
                <w:sz w:val="14"/>
              </w:rPr>
              <w:t>Tooling</w:t>
            </w:r>
          </w:p>
        </w:tc>
        <w:tc>
          <w:tcPr>
            <w:tcW w:type="dxa" w:w="1361"/>
            <w:shd w:val="clear" w:color="auto" w:fill="E1058C"/>
            <w:vAlign w:val="center"/>
          </w:tcPr>
          <w:p>
            <w:pPr>
              <w:spacing w:after="0"/>
            </w:pPr>
            <w:r>
              <w:rPr>
                <w:b/>
                <w:i w:val="0"/>
                <w:color w:val="FFFFFF"/>
                <w:sz w:val="14"/>
              </w:rPr>
              <w:t>Exit criterion</w:t>
            </w:r>
          </w:p>
        </w:tc>
      </w:tr>
      <w:tr>
        <w:trPr>
          <w:cantSplit/>
        </w:trPr>
        <w:tc>
          <w:tcPr>
            <w:tcW w:type="dxa" w:w="1304"/>
            <w:vAlign w:val="top"/>
          </w:tcPr>
          <w:p>
            <w:pPr>
              <w:spacing w:after="20" w:line="252" w:lineRule="auto"/>
            </w:pPr>
            <w:r>
              <w:rPr>
                <w:b/>
                <w:i w:val="0"/>
                <w:sz w:val="14"/>
              </w:rPr>
              <w:t>Unit</w:t>
            </w:r>
          </w:p>
        </w:tc>
        <w:tc>
          <w:tcPr>
            <w:tcW w:type="dxa" w:w="2608"/>
            <w:vAlign w:val="top"/>
          </w:tcPr>
          <w:p>
            <w:pPr>
              <w:spacing w:after="20" w:line="252" w:lineRule="auto"/>
            </w:pPr>
            <w:r>
              <w:rPr>
                <w:b w:val="0"/>
                <w:i w:val="0"/>
                <w:sz w:val="14"/>
              </w:rPr>
              <w:t>Business rules, rating engines (all seven products), validators, password policy, encryption, file inspection, report export, web components and utilities</w:t>
            </w:r>
          </w:p>
        </w:tc>
        <w:tc>
          <w:tcPr>
            <w:tcW w:type="dxa" w:w="1134"/>
            <w:vAlign w:val="top"/>
          </w:tcPr>
          <w:p>
            <w:pPr>
              <w:spacing w:after="20" w:line="252" w:lineRule="auto"/>
            </w:pPr>
            <w:r>
              <w:rPr>
                <w:b w:val="0"/>
                <w:i w:val="0"/>
                <w:sz w:val="14"/>
              </w:rPr>
              <w:t>Developers</w:t>
            </w:r>
          </w:p>
        </w:tc>
        <w:tc>
          <w:tcPr>
            <w:tcW w:type="dxa" w:w="1587"/>
            <w:vAlign w:val="top"/>
          </w:tcPr>
          <w:p>
            <w:pPr>
              <w:spacing w:after="20" w:line="252" w:lineRule="auto"/>
            </w:pPr>
            <w:r>
              <w:rPr>
                <w:b w:val="0"/>
                <w:i w:val="0"/>
                <w:sz w:val="14"/>
              </w:rPr>
              <w:t>Developer workstation; CI on every push</w:t>
            </w:r>
          </w:p>
        </w:tc>
        <w:tc>
          <w:tcPr>
            <w:tcW w:type="dxa" w:w="1644"/>
            <w:vAlign w:val="top"/>
          </w:tcPr>
          <w:p>
            <w:pPr>
              <w:spacing w:after="20" w:line="252" w:lineRule="auto"/>
            </w:pPr>
            <w:r>
              <w:rPr>
                <w:b w:val="0"/>
                <w:i w:val="0"/>
                <w:sz w:val="14"/>
              </w:rPr>
              <w:t>Vitest (API), Vitest + Testing Library + jsdom (web)</w:t>
            </w:r>
          </w:p>
        </w:tc>
        <w:tc>
          <w:tcPr>
            <w:tcW w:type="dxa" w:w="1361"/>
            <w:vAlign w:val="top"/>
          </w:tcPr>
          <w:p>
            <w:pPr>
              <w:spacing w:after="20" w:line="252" w:lineRule="auto"/>
            </w:pPr>
            <w:r>
              <w:rPr>
                <w:b w:val="0"/>
                <w:i w:val="0"/>
                <w:sz w:val="14"/>
              </w:rPr>
              <w:t>All tests pass; coverage of core modules ≥ 70%</w:t>
            </w:r>
          </w:p>
        </w:tc>
      </w:tr>
      <w:tr>
        <w:trPr>
          <w:cantSplit/>
        </w:trPr>
        <w:tc>
          <w:tcPr>
            <w:tcW w:type="dxa" w:w="1304"/>
            <w:vAlign w:val="top"/>
            <w:shd w:val="clear" w:color="auto" w:fill="FDF0F7"/>
          </w:tcPr>
          <w:p>
            <w:pPr>
              <w:spacing w:after="20" w:line="252" w:lineRule="auto"/>
            </w:pPr>
            <w:r>
              <w:rPr>
                <w:b/>
                <w:i w:val="0"/>
                <w:sz w:val="14"/>
              </w:rPr>
              <w:t>Integration / API</w:t>
            </w:r>
          </w:p>
        </w:tc>
        <w:tc>
          <w:tcPr>
            <w:tcW w:type="dxa" w:w="2608"/>
            <w:vAlign w:val="top"/>
            <w:shd w:val="clear" w:color="auto" w:fill="FDF0F7"/>
          </w:tcPr>
          <w:p>
            <w:pPr>
              <w:spacing w:after="20" w:line="252" w:lineRule="auto"/>
            </w:pPr>
            <w:r>
              <w:rPr>
                <w:b w:val="0"/>
                <w:i w:val="0"/>
                <w:sz w:val="14"/>
              </w:rPr>
              <w:t>Every endpoint with positive and negative cases: permissions per role, audience separation, data scoping, validation, business-rule errors</w:t>
            </w:r>
          </w:p>
        </w:tc>
        <w:tc>
          <w:tcPr>
            <w:tcW w:type="dxa" w:w="1134"/>
            <w:vAlign w:val="top"/>
            <w:shd w:val="clear" w:color="auto" w:fill="FDF0F7"/>
          </w:tcPr>
          <w:p>
            <w:pPr>
              <w:spacing w:after="20" w:line="252" w:lineRule="auto"/>
            </w:pPr>
            <w:r>
              <w:rPr>
                <w:b w:val="0"/>
                <w:i w:val="0"/>
                <w:sz w:val="14"/>
              </w:rPr>
              <w:t>Developers, QA</w:t>
            </w:r>
          </w:p>
        </w:tc>
        <w:tc>
          <w:tcPr>
            <w:tcW w:type="dxa" w:w="1587"/>
            <w:vAlign w:val="top"/>
            <w:shd w:val="clear" w:color="auto" w:fill="FDF0F7"/>
          </w:tcPr>
          <w:p>
            <w:pPr>
              <w:spacing w:after="20" w:line="252" w:lineRule="auto"/>
            </w:pPr>
            <w:r>
              <w:rPr>
                <w:b w:val="0"/>
                <w:i w:val="0"/>
                <w:sz w:val="14"/>
              </w:rPr>
              <w:t>CI with PostgreSQL (dedicated *_test database rebuilt from the migrations)</w:t>
            </w:r>
          </w:p>
        </w:tc>
        <w:tc>
          <w:tcPr>
            <w:tcW w:type="dxa" w:w="1644"/>
            <w:vAlign w:val="top"/>
            <w:shd w:val="clear" w:color="auto" w:fill="FDF0F7"/>
          </w:tcPr>
          <w:p>
            <w:pPr>
              <w:spacing w:after="20" w:line="252" w:lineRule="auto"/>
            </w:pPr>
            <w:r>
              <w:rPr>
                <w:b w:val="0"/>
                <w:i w:val="0"/>
                <w:sz w:val="14"/>
              </w:rPr>
              <w:t>Vitest + supertest</w:t>
            </w:r>
          </w:p>
        </w:tc>
        <w:tc>
          <w:tcPr>
            <w:tcW w:type="dxa" w:w="1361"/>
            <w:vAlign w:val="top"/>
            <w:shd w:val="clear" w:color="auto" w:fill="FDF0F7"/>
          </w:tcPr>
          <w:p>
            <w:pPr>
              <w:spacing w:after="20" w:line="252" w:lineRule="auto"/>
            </w:pPr>
            <w:r>
              <w:rPr>
                <w:b w:val="0"/>
                <w:i w:val="0"/>
                <w:sz w:val="14"/>
              </w:rPr>
              <w:t>All tests pass; no endpoint without a negative test</w:t>
            </w:r>
          </w:p>
        </w:tc>
      </w:tr>
      <w:tr>
        <w:trPr>
          <w:cantSplit/>
        </w:trPr>
        <w:tc>
          <w:tcPr>
            <w:tcW w:type="dxa" w:w="1304"/>
            <w:vAlign w:val="top"/>
          </w:tcPr>
          <w:p>
            <w:pPr>
              <w:spacing w:after="20" w:line="252" w:lineRule="auto"/>
            </w:pPr>
            <w:r>
              <w:rPr>
                <w:b/>
                <w:i w:val="0"/>
                <w:sz w:val="14"/>
              </w:rPr>
              <w:t>End-to-end API (business journeys)</w:t>
            </w:r>
          </w:p>
        </w:tc>
        <w:tc>
          <w:tcPr>
            <w:tcW w:type="dxa" w:w="2608"/>
            <w:vAlign w:val="top"/>
          </w:tcPr>
          <w:p>
            <w:pPr>
              <w:spacing w:after="20" w:line="252" w:lineRule="auto"/>
            </w:pPr>
            <w:r>
              <w:rPr>
                <w:b w:val="0"/>
                <w:i w:val="0"/>
                <w:sz w:val="14"/>
              </w:rPr>
              <w:t>Quotation to e-Policy and e-Receipt, referral and maker-checker, onboarding with AML, claims, issues, reports, EOD and reconciliation, administration</w:t>
            </w:r>
          </w:p>
        </w:tc>
        <w:tc>
          <w:tcPr>
            <w:tcW w:type="dxa" w:w="1134"/>
            <w:vAlign w:val="top"/>
          </w:tcPr>
          <w:p>
            <w:pPr>
              <w:spacing w:after="20" w:line="252" w:lineRule="auto"/>
            </w:pPr>
            <w:r>
              <w:rPr>
                <w:b w:val="0"/>
                <w:i w:val="0"/>
                <w:sz w:val="14"/>
              </w:rPr>
              <w:t>QA</w:t>
            </w:r>
          </w:p>
        </w:tc>
        <w:tc>
          <w:tcPr>
            <w:tcW w:type="dxa" w:w="1587"/>
            <w:vAlign w:val="top"/>
          </w:tcPr>
          <w:p>
            <w:pPr>
              <w:spacing w:after="20" w:line="252" w:lineRule="auto"/>
            </w:pPr>
            <w:r>
              <w:rPr>
                <w:b w:val="0"/>
                <w:i w:val="0"/>
                <w:sz w:val="14"/>
              </w:rPr>
              <w:t>CI and the iorta test instance with demonstration data</w:t>
            </w:r>
          </w:p>
        </w:tc>
        <w:tc>
          <w:tcPr>
            <w:tcW w:type="dxa" w:w="1644"/>
            <w:vAlign w:val="top"/>
          </w:tcPr>
          <w:p>
            <w:pPr>
              <w:spacing w:after="20" w:line="252" w:lineRule="auto"/>
            </w:pPr>
            <w:r>
              <w:rPr>
                <w:b w:val="0"/>
                <w:i w:val="0"/>
                <w:sz w:val="14"/>
              </w:rPr>
              <w:t>Vitest e2e suite; tools/testing/api-test-run.mjs against a running instance</w:t>
            </w:r>
          </w:p>
        </w:tc>
        <w:tc>
          <w:tcPr>
            <w:tcW w:type="dxa" w:w="1361"/>
            <w:vAlign w:val="top"/>
          </w:tcPr>
          <w:p>
            <w:pPr>
              <w:spacing w:after="20" w:line="252" w:lineRule="auto"/>
            </w:pPr>
            <w:r>
              <w:rPr>
                <w:b w:val="0"/>
                <w:i w:val="0"/>
                <w:sz w:val="14"/>
              </w:rPr>
              <w:t>All journeys pass on the release candidate</w:t>
            </w:r>
          </w:p>
        </w:tc>
      </w:tr>
      <w:tr>
        <w:trPr>
          <w:cantSplit/>
        </w:trPr>
        <w:tc>
          <w:tcPr>
            <w:tcW w:type="dxa" w:w="1304"/>
            <w:vAlign w:val="top"/>
            <w:shd w:val="clear" w:color="auto" w:fill="FDF0F7"/>
          </w:tcPr>
          <w:p>
            <w:pPr>
              <w:spacing w:after="20" w:line="252" w:lineRule="auto"/>
            </w:pPr>
            <w:r>
              <w:rPr>
                <w:b/>
                <w:i w:val="0"/>
                <w:sz w:val="14"/>
              </w:rPr>
              <w:t>UI / component</w:t>
            </w:r>
          </w:p>
        </w:tc>
        <w:tc>
          <w:tcPr>
            <w:tcW w:type="dxa" w:w="2608"/>
            <w:vAlign w:val="top"/>
            <w:shd w:val="clear" w:color="auto" w:fill="FDF0F7"/>
          </w:tcPr>
          <w:p>
            <w:pPr>
              <w:spacing w:after="20" w:line="252" w:lineRule="auto"/>
            </w:pPr>
            <w:r>
              <w:rPr>
                <w:b w:val="0"/>
                <w:i w:val="0"/>
                <w:sz w:val="14"/>
              </w:rPr>
              <w:t>Web components, navigation, permission gating, forms; exploratory runs of every screen</w:t>
            </w:r>
          </w:p>
        </w:tc>
        <w:tc>
          <w:tcPr>
            <w:tcW w:type="dxa" w:w="1134"/>
            <w:vAlign w:val="top"/>
            <w:shd w:val="clear" w:color="auto" w:fill="FDF0F7"/>
          </w:tcPr>
          <w:p>
            <w:pPr>
              <w:spacing w:after="20" w:line="252" w:lineRule="auto"/>
            </w:pPr>
            <w:r>
              <w:rPr>
                <w:b w:val="0"/>
                <w:i w:val="0"/>
                <w:sz w:val="14"/>
              </w:rPr>
              <w:t>QA</w:t>
            </w:r>
          </w:p>
        </w:tc>
        <w:tc>
          <w:tcPr>
            <w:tcW w:type="dxa" w:w="1587"/>
            <w:vAlign w:val="top"/>
            <w:shd w:val="clear" w:color="auto" w:fill="FDF0F7"/>
          </w:tcPr>
          <w:p>
            <w:pPr>
              <w:spacing w:after="20" w:line="252" w:lineRule="auto"/>
            </w:pPr>
            <w:r>
              <w:rPr>
                <w:b w:val="0"/>
                <w:i w:val="0"/>
                <w:sz w:val="14"/>
              </w:rPr>
              <w:t>iorta test instance (browser)</w:t>
            </w:r>
          </w:p>
        </w:tc>
        <w:tc>
          <w:tcPr>
            <w:tcW w:type="dxa" w:w="1644"/>
            <w:vAlign w:val="top"/>
            <w:shd w:val="clear" w:color="auto" w:fill="FDF0F7"/>
          </w:tcPr>
          <w:p>
            <w:pPr>
              <w:spacing w:after="20" w:line="252" w:lineRule="auto"/>
            </w:pPr>
            <w:r>
              <w:rPr>
                <w:b w:val="0"/>
                <w:i w:val="0"/>
                <w:sz w:val="14"/>
              </w:rPr>
              <w:t>Testing Library; Playwright smoke suite (regression); exploratory sessions with screen captures</w:t>
            </w:r>
          </w:p>
        </w:tc>
        <w:tc>
          <w:tcPr>
            <w:tcW w:type="dxa" w:w="1361"/>
            <w:vAlign w:val="top"/>
            <w:shd w:val="clear" w:color="auto" w:fill="FDF0F7"/>
          </w:tcPr>
          <w:p>
            <w:pPr>
              <w:spacing w:after="20" w:line="252" w:lineRule="auto"/>
            </w:pPr>
            <w:r>
              <w:rPr>
                <w:b w:val="0"/>
                <w:i w:val="0"/>
                <w:sz w:val="14"/>
              </w:rPr>
              <w:t>No open Critical/High UI defects; smoke suite green</w:t>
            </w:r>
          </w:p>
        </w:tc>
      </w:tr>
      <w:tr>
        <w:trPr>
          <w:cantSplit/>
        </w:trPr>
        <w:tc>
          <w:tcPr>
            <w:tcW w:type="dxa" w:w="1304"/>
            <w:vAlign w:val="top"/>
          </w:tcPr>
          <w:p>
            <w:pPr>
              <w:spacing w:after="20" w:line="252" w:lineRule="auto"/>
            </w:pPr>
            <w:r>
              <w:rPr>
                <w:b/>
                <w:i w:val="0"/>
                <w:sz w:val="14"/>
              </w:rPr>
              <w:t>System integration test (SIT)</w:t>
            </w:r>
          </w:p>
        </w:tc>
        <w:tc>
          <w:tcPr>
            <w:tcW w:type="dxa" w:w="2608"/>
            <w:vAlign w:val="top"/>
          </w:tcPr>
          <w:p>
            <w:pPr>
              <w:spacing w:after="20" w:line="252" w:lineRule="auto"/>
            </w:pPr>
            <w:r>
              <w:rPr>
                <w:b w:val="0"/>
                <w:i w:val="0"/>
                <w:sz w:val="14"/>
              </w:rPr>
              <w:t>End-to-end flows across portal, back-office and IIFT systems: Core, FIN, AML service, Active Directory, SMTP relay, SMS gateway; scheduled jobs; EOD with FIN and BRR reconciliation</w:t>
            </w:r>
          </w:p>
        </w:tc>
        <w:tc>
          <w:tcPr>
            <w:tcW w:type="dxa" w:w="1134"/>
            <w:vAlign w:val="top"/>
          </w:tcPr>
          <w:p>
            <w:pPr>
              <w:spacing w:after="20" w:line="252" w:lineRule="auto"/>
            </w:pPr>
            <w:r>
              <w:rPr>
                <w:b w:val="0"/>
                <w:i w:val="0"/>
                <w:sz w:val="14"/>
              </w:rPr>
              <w:t>iorta QA with IITH system owners</w:t>
            </w:r>
          </w:p>
        </w:tc>
        <w:tc>
          <w:tcPr>
            <w:tcW w:type="dxa" w:w="1587"/>
            <w:vAlign w:val="top"/>
          </w:tcPr>
          <w:p>
            <w:pPr>
              <w:spacing w:after="20" w:line="252" w:lineRule="auto"/>
            </w:pPr>
            <w:r>
              <w:rPr>
                <w:b w:val="0"/>
                <w:i w:val="0"/>
                <w:sz w:val="14"/>
              </w:rPr>
              <w:t>SIT environment at IIFT with test endpoints and credentials</w:t>
            </w:r>
          </w:p>
        </w:tc>
        <w:tc>
          <w:tcPr>
            <w:tcW w:type="dxa" w:w="1644"/>
            <w:vAlign w:val="top"/>
          </w:tcPr>
          <w:p>
            <w:pPr>
              <w:spacing w:after="20" w:line="252" w:lineRule="auto"/>
            </w:pPr>
            <w:r>
              <w:rPr>
                <w:b w:val="0"/>
                <w:i w:val="0"/>
                <w:sz w:val="14"/>
              </w:rPr>
              <w:t>This workbook (cases marked SIT) plus the automated suites; Playwright regression</w:t>
            </w:r>
          </w:p>
        </w:tc>
        <w:tc>
          <w:tcPr>
            <w:tcW w:type="dxa" w:w="1361"/>
            <w:vAlign w:val="top"/>
          </w:tcPr>
          <w:p>
            <w:pPr>
              <w:spacing w:after="20" w:line="252" w:lineRule="auto"/>
            </w:pPr>
            <w:r>
              <w:rPr>
                <w:b w:val="0"/>
                <w:i w:val="0"/>
                <w:sz w:val="14"/>
              </w:rPr>
              <w:t>≥ 95% of SIT cases passed; no open Critical/High defects; reconciliation MATCHED for three consecutive days</w:t>
            </w:r>
          </w:p>
        </w:tc>
      </w:tr>
      <w:tr>
        <w:trPr>
          <w:cantSplit/>
        </w:trPr>
        <w:tc>
          <w:tcPr>
            <w:tcW w:type="dxa" w:w="1304"/>
            <w:vAlign w:val="top"/>
            <w:shd w:val="clear" w:color="auto" w:fill="FDF0F7"/>
          </w:tcPr>
          <w:p>
            <w:pPr>
              <w:spacing w:after="20" w:line="252" w:lineRule="auto"/>
            </w:pPr>
            <w:r>
              <w:rPr>
                <w:b/>
                <w:i w:val="0"/>
                <w:sz w:val="14"/>
              </w:rPr>
              <w:t>Performance</w:t>
            </w:r>
          </w:p>
        </w:tc>
        <w:tc>
          <w:tcPr>
            <w:tcW w:type="dxa" w:w="2608"/>
            <w:vAlign w:val="top"/>
            <w:shd w:val="clear" w:color="auto" w:fill="FDF0F7"/>
          </w:tcPr>
          <w:p>
            <w:pPr>
              <w:spacing w:after="20" w:line="252" w:lineRule="auto"/>
            </w:pPr>
            <w:r>
              <w:rPr>
                <w:b w:val="0"/>
                <w:i w:val="0"/>
                <w:sz w:val="14"/>
              </w:rPr>
              <w:t>Load at 100 concurrent users, stress to the breaking point, 8-hour soak, five-year data volume</w:t>
            </w:r>
          </w:p>
        </w:tc>
        <w:tc>
          <w:tcPr>
            <w:tcW w:type="dxa" w:w="1134"/>
            <w:vAlign w:val="top"/>
            <w:shd w:val="clear" w:color="auto" w:fill="FDF0F7"/>
          </w:tcPr>
          <w:p>
            <w:pPr>
              <w:spacing w:after="20" w:line="252" w:lineRule="auto"/>
            </w:pPr>
            <w:r>
              <w:rPr>
                <w:b w:val="0"/>
                <w:i w:val="0"/>
                <w:sz w:val="14"/>
              </w:rPr>
              <w:t>iorta performance engineer</w:t>
            </w:r>
          </w:p>
        </w:tc>
        <w:tc>
          <w:tcPr>
            <w:tcW w:type="dxa" w:w="1587"/>
            <w:vAlign w:val="top"/>
            <w:shd w:val="clear" w:color="auto" w:fill="FDF0F7"/>
          </w:tcPr>
          <w:p>
            <w:pPr>
              <w:spacing w:after="20" w:line="252" w:lineRule="auto"/>
            </w:pPr>
            <w:r>
              <w:rPr>
                <w:b w:val="0"/>
                <w:i w:val="0"/>
                <w:sz w:val="14"/>
              </w:rPr>
              <w:t>Production-like SIT environment</w:t>
            </w:r>
          </w:p>
        </w:tc>
        <w:tc>
          <w:tcPr>
            <w:tcW w:type="dxa" w:w="1644"/>
            <w:vAlign w:val="top"/>
            <w:shd w:val="clear" w:color="auto" w:fill="FDF0F7"/>
          </w:tcPr>
          <w:p>
            <w:pPr>
              <w:spacing w:after="20" w:line="252" w:lineRule="auto"/>
            </w:pPr>
            <w:r>
              <w:rPr>
                <w:b w:val="0"/>
                <w:i w:val="0"/>
                <w:sz w:val="14"/>
              </w:rPr>
              <w:t>k6 scenarios; Grafana/Prometheus</w:t>
            </w:r>
          </w:p>
        </w:tc>
        <w:tc>
          <w:tcPr>
            <w:tcW w:type="dxa" w:w="1361"/>
            <w:vAlign w:val="top"/>
            <w:shd w:val="clear" w:color="auto" w:fill="FDF0F7"/>
          </w:tcPr>
          <w:p>
            <w:pPr>
              <w:spacing w:after="20" w:line="252" w:lineRule="auto"/>
            </w:pPr>
            <w:r>
              <w:rPr>
                <w:b w:val="0"/>
                <w:i w:val="0"/>
                <w:sz w:val="14"/>
              </w:rPr>
              <w:t>p95 &lt; 2 s for normal transactions; error rate &lt; 0.1%; no resource growth in the soak (DEL-18)</w:t>
            </w:r>
          </w:p>
        </w:tc>
      </w:tr>
      <w:tr>
        <w:trPr>
          <w:cantSplit/>
        </w:trPr>
        <w:tc>
          <w:tcPr>
            <w:tcW w:type="dxa" w:w="1304"/>
            <w:vAlign w:val="top"/>
          </w:tcPr>
          <w:p>
            <w:pPr>
              <w:spacing w:after="20" w:line="252" w:lineRule="auto"/>
            </w:pPr>
            <w:r>
              <w:rPr>
                <w:b/>
                <w:i w:val="0"/>
                <w:sz w:val="14"/>
              </w:rPr>
              <w:t>Security</w:t>
            </w:r>
          </w:p>
        </w:tc>
        <w:tc>
          <w:tcPr>
            <w:tcW w:type="dxa" w:w="2608"/>
            <w:vAlign w:val="top"/>
          </w:tcPr>
          <w:p>
            <w:pPr>
              <w:spacing w:after="20" w:line="252" w:lineRule="auto"/>
            </w:pPr>
            <w:r>
              <w:rPr>
                <w:b w:val="0"/>
                <w:i w:val="0"/>
                <w:sz w:val="14"/>
              </w:rPr>
              <w:t>SAST, secret scan, dependency audit and container scan in CI; OWASP Top 10 check script before each release; independent VAPT with re-test</w:t>
            </w:r>
          </w:p>
        </w:tc>
        <w:tc>
          <w:tcPr>
            <w:tcW w:type="dxa" w:w="1134"/>
            <w:vAlign w:val="top"/>
          </w:tcPr>
          <w:p>
            <w:pPr>
              <w:spacing w:after="20" w:line="252" w:lineRule="auto"/>
            </w:pPr>
            <w:r>
              <w:rPr>
                <w:b w:val="0"/>
                <w:i w:val="0"/>
                <w:sz w:val="14"/>
              </w:rPr>
              <w:t>iorta DevOps/QA; independent tester</w:t>
            </w:r>
          </w:p>
        </w:tc>
        <w:tc>
          <w:tcPr>
            <w:tcW w:type="dxa" w:w="1587"/>
            <w:vAlign w:val="top"/>
          </w:tcPr>
          <w:p>
            <w:pPr>
              <w:spacing w:after="20" w:line="252" w:lineRule="auto"/>
            </w:pPr>
            <w:r>
              <w:rPr>
                <w:b w:val="0"/>
                <w:i w:val="0"/>
                <w:sz w:val="14"/>
              </w:rPr>
              <w:t>CI; iorta test instance; IIFT UAT or production-like environment for the VAPT</w:t>
            </w:r>
          </w:p>
        </w:tc>
        <w:tc>
          <w:tcPr>
            <w:tcW w:type="dxa" w:w="1644"/>
            <w:vAlign w:val="top"/>
          </w:tcPr>
          <w:p>
            <w:pPr>
              <w:spacing w:after="20" w:line="252" w:lineRule="auto"/>
            </w:pPr>
            <w:r>
              <w:rPr>
                <w:b w:val="0"/>
                <w:i w:val="0"/>
                <w:sz w:val="14"/>
              </w:rPr>
              <w:t>CodeQL, gitleaks, npm audit, Trivy, security-checks.mjs; VAPT provider's tooling</w:t>
            </w:r>
          </w:p>
        </w:tc>
        <w:tc>
          <w:tcPr>
            <w:tcW w:type="dxa" w:w="1361"/>
            <w:vAlign w:val="top"/>
          </w:tcPr>
          <w:p>
            <w:pPr>
              <w:spacing w:after="20" w:line="252" w:lineRule="auto"/>
            </w:pPr>
            <w:r>
              <w:rPr>
                <w:b w:val="0"/>
                <w:i w:val="0"/>
                <w:sz w:val="14"/>
              </w:rPr>
              <w:t>No open Critical/High findings at go-live (DEL-17)</w:t>
            </w:r>
          </w:p>
        </w:tc>
      </w:tr>
      <w:tr>
        <w:trPr>
          <w:cantSplit/>
        </w:trPr>
        <w:tc>
          <w:tcPr>
            <w:tcW w:type="dxa" w:w="1304"/>
            <w:vAlign w:val="top"/>
            <w:shd w:val="clear" w:color="auto" w:fill="FDF0F7"/>
          </w:tcPr>
          <w:p>
            <w:pPr>
              <w:spacing w:after="20" w:line="252" w:lineRule="auto"/>
            </w:pPr>
            <w:r>
              <w:rPr>
                <w:b/>
                <w:i w:val="0"/>
                <w:sz w:val="14"/>
              </w:rPr>
              <w:t>User acceptance (UAT)</w:t>
            </w:r>
          </w:p>
        </w:tc>
        <w:tc>
          <w:tcPr>
            <w:tcW w:type="dxa" w:w="2608"/>
            <w:vAlign w:val="top"/>
            <w:shd w:val="clear" w:color="auto" w:fill="FDF0F7"/>
          </w:tcPr>
          <w:p>
            <w:pPr>
              <w:spacing w:after="20" w:line="252" w:lineRule="auto"/>
            </w:pPr>
            <w:r>
              <w:rPr>
                <w:b w:val="0"/>
                <w:i w:val="0"/>
                <w:sz w:val="14"/>
              </w:rPr>
              <w:t>Business scenarios per product (FFR01–FFR05) and per role, run by IIFT users; browser matrix on IIFT devices; accessibility basics</w:t>
            </w:r>
          </w:p>
        </w:tc>
        <w:tc>
          <w:tcPr>
            <w:tcW w:type="dxa" w:w="1134"/>
            <w:vAlign w:val="top"/>
            <w:shd w:val="clear" w:color="auto" w:fill="FDF0F7"/>
          </w:tcPr>
          <w:p>
            <w:pPr>
              <w:spacing w:after="20" w:line="252" w:lineRule="auto"/>
            </w:pPr>
            <w:r>
              <w:rPr>
                <w:b w:val="0"/>
                <w:i w:val="0"/>
                <w:sz w:val="14"/>
              </w:rPr>
              <w:t>IIFT business users with iorta support</w:t>
            </w:r>
          </w:p>
        </w:tc>
        <w:tc>
          <w:tcPr>
            <w:tcW w:type="dxa" w:w="1587"/>
            <w:vAlign w:val="top"/>
            <w:shd w:val="clear" w:color="auto" w:fill="FDF0F7"/>
          </w:tcPr>
          <w:p>
            <w:pPr>
              <w:spacing w:after="20" w:line="252" w:lineRule="auto"/>
            </w:pPr>
            <w:r>
              <w:rPr>
                <w:b w:val="0"/>
                <w:i w:val="0"/>
                <w:sz w:val="14"/>
              </w:rPr>
              <w:t>UAT environment with masked production data</w:t>
            </w:r>
          </w:p>
        </w:tc>
        <w:tc>
          <w:tcPr>
            <w:tcW w:type="dxa" w:w="1644"/>
            <w:vAlign w:val="top"/>
            <w:shd w:val="clear" w:color="auto" w:fill="FDF0F7"/>
          </w:tcPr>
          <w:p>
            <w:pPr>
              <w:spacing w:after="20" w:line="252" w:lineRule="auto"/>
            </w:pPr>
            <w:r>
              <w:rPr>
                <w:b w:val="0"/>
                <w:i w:val="0"/>
                <w:sz w:val="14"/>
              </w:rPr>
              <w:t>UAT scripts derived from the scenarios marked UAT; defect log</w:t>
            </w:r>
          </w:p>
        </w:tc>
        <w:tc>
          <w:tcPr>
            <w:tcW w:type="dxa" w:w="1361"/>
            <w:vAlign w:val="top"/>
            <w:shd w:val="clear" w:color="auto" w:fill="FDF0F7"/>
          </w:tcPr>
          <w:p>
            <w:pPr>
              <w:spacing w:after="20" w:line="252" w:lineRule="auto"/>
            </w:pPr>
            <w:r>
              <w:rPr>
                <w:b w:val="0"/>
                <w:i w:val="0"/>
                <w:sz w:val="14"/>
              </w:rPr>
              <w:t>Signed UAT certificate; no open Critical/High defects (DEL-15, DEL-16)</w:t>
            </w:r>
          </w:p>
        </w:tc>
      </w:tr>
      <w:tr>
        <w:trPr>
          <w:cantSplit/>
        </w:trPr>
        <w:tc>
          <w:tcPr>
            <w:tcW w:type="dxa" w:w="1304"/>
            <w:vAlign w:val="top"/>
          </w:tcPr>
          <w:p>
            <w:pPr>
              <w:spacing w:after="20" w:line="252" w:lineRule="auto"/>
            </w:pPr>
            <w:r>
              <w:rPr>
                <w:b/>
                <w:i w:val="0"/>
                <w:sz w:val="14"/>
              </w:rPr>
              <w:t>Regression</w:t>
            </w:r>
          </w:p>
        </w:tc>
        <w:tc>
          <w:tcPr>
            <w:tcW w:type="dxa" w:w="2608"/>
            <w:vAlign w:val="top"/>
          </w:tcPr>
          <w:p>
            <w:pPr>
              <w:spacing w:after="20" w:line="252" w:lineRule="auto"/>
            </w:pPr>
            <w:r>
              <w:rPr>
                <w:b w:val="0"/>
                <w:i w:val="0"/>
                <w:sz w:val="14"/>
              </w:rPr>
              <w:t>Automated suites and Playwright smoke re-run on every release candidate and every fix</w:t>
            </w:r>
          </w:p>
        </w:tc>
        <w:tc>
          <w:tcPr>
            <w:tcW w:type="dxa" w:w="1134"/>
            <w:vAlign w:val="top"/>
          </w:tcPr>
          <w:p>
            <w:pPr>
              <w:spacing w:after="20" w:line="252" w:lineRule="auto"/>
            </w:pPr>
            <w:r>
              <w:rPr>
                <w:b w:val="0"/>
                <w:i w:val="0"/>
                <w:sz w:val="14"/>
              </w:rPr>
              <w:t>QA</w:t>
            </w:r>
          </w:p>
        </w:tc>
        <w:tc>
          <w:tcPr>
            <w:tcW w:type="dxa" w:w="1587"/>
            <w:vAlign w:val="top"/>
          </w:tcPr>
          <w:p>
            <w:pPr>
              <w:spacing w:after="20" w:line="252" w:lineRule="auto"/>
            </w:pPr>
            <w:r>
              <w:rPr>
                <w:b w:val="0"/>
                <w:i w:val="0"/>
                <w:sz w:val="14"/>
              </w:rPr>
              <w:t>CI; SIT</w:t>
            </w:r>
          </w:p>
        </w:tc>
        <w:tc>
          <w:tcPr>
            <w:tcW w:type="dxa" w:w="1644"/>
            <w:vAlign w:val="top"/>
          </w:tcPr>
          <w:p>
            <w:pPr>
              <w:spacing w:after="20" w:line="252" w:lineRule="auto"/>
            </w:pPr>
            <w:r>
              <w:rPr>
                <w:b w:val="0"/>
                <w:i w:val="0"/>
                <w:sz w:val="14"/>
              </w:rPr>
              <w:t>Vitest, Playwright</w:t>
            </w:r>
          </w:p>
        </w:tc>
        <w:tc>
          <w:tcPr>
            <w:tcW w:type="dxa" w:w="1361"/>
            <w:vAlign w:val="top"/>
          </w:tcPr>
          <w:p>
            <w:pPr>
              <w:spacing w:after="20" w:line="252" w:lineRule="auto"/>
            </w:pPr>
            <w:r>
              <w:rPr>
                <w:b w:val="0"/>
                <w:i w:val="0"/>
                <w:sz w:val="14"/>
              </w:rPr>
              <w:t>100% of critical paths automated and green before any deployment</w:t>
            </w:r>
          </w:p>
        </w:tc>
      </w:tr>
      <w:tr>
        <w:trPr>
          <w:cantSplit/>
        </w:trPr>
        <w:tc>
          <w:tcPr>
            <w:tcW w:type="dxa" w:w="1304"/>
            <w:vAlign w:val="top"/>
            <w:shd w:val="clear" w:color="auto" w:fill="FDF0F7"/>
          </w:tcPr>
          <w:p>
            <w:pPr>
              <w:spacing w:after="20" w:line="252" w:lineRule="auto"/>
            </w:pPr>
            <w:r>
              <w:rPr>
                <w:b/>
                <w:i w:val="0"/>
                <w:sz w:val="14"/>
              </w:rPr>
              <w:t>Migration rehearsal</w:t>
            </w:r>
          </w:p>
        </w:tc>
        <w:tc>
          <w:tcPr>
            <w:tcW w:type="dxa" w:w="2608"/>
            <w:vAlign w:val="top"/>
            <w:shd w:val="clear" w:color="auto" w:fill="FDF0F7"/>
          </w:tcPr>
          <w:p>
            <w:pPr>
              <w:spacing w:after="20" w:line="252" w:lineRule="auto"/>
            </w:pPr>
            <w:r>
              <w:rPr>
                <w:b w:val="0"/>
                <w:i w:val="0"/>
                <w:sz w:val="14"/>
              </w:rPr>
              <w:t>Two dry-runs of extraction, transformation, load and reconciliation</w:t>
            </w:r>
          </w:p>
        </w:tc>
        <w:tc>
          <w:tcPr>
            <w:tcW w:type="dxa" w:w="1134"/>
            <w:vAlign w:val="top"/>
            <w:shd w:val="clear" w:color="auto" w:fill="FDF0F7"/>
          </w:tcPr>
          <w:p>
            <w:pPr>
              <w:spacing w:after="20" w:line="252" w:lineRule="auto"/>
            </w:pPr>
            <w:r>
              <w:rPr>
                <w:b w:val="0"/>
                <w:i w:val="0"/>
                <w:sz w:val="14"/>
              </w:rPr>
              <w:t>iorta, IIFT data owners</w:t>
            </w:r>
          </w:p>
        </w:tc>
        <w:tc>
          <w:tcPr>
            <w:tcW w:type="dxa" w:w="1587"/>
            <w:vAlign w:val="top"/>
            <w:shd w:val="clear" w:color="auto" w:fill="FDF0F7"/>
          </w:tcPr>
          <w:p>
            <w:pPr>
              <w:spacing w:after="20" w:line="252" w:lineRule="auto"/>
            </w:pPr>
            <w:r>
              <w:rPr>
                <w:b w:val="0"/>
                <w:i w:val="0"/>
                <w:sz w:val="14"/>
              </w:rPr>
              <w:t>UAT</w:t>
            </w:r>
          </w:p>
        </w:tc>
        <w:tc>
          <w:tcPr>
            <w:tcW w:type="dxa" w:w="1644"/>
            <w:vAlign w:val="top"/>
            <w:shd w:val="clear" w:color="auto" w:fill="FDF0F7"/>
          </w:tcPr>
          <w:p>
            <w:pPr>
              <w:spacing w:after="20" w:line="252" w:lineRule="auto"/>
            </w:pPr>
            <w:r>
              <w:rPr>
                <w:b w:val="0"/>
                <w:i w:val="0"/>
                <w:sz w:val="14"/>
              </w:rPr>
              <w:t>Migration scripts; reconciliation reports</w:t>
            </w:r>
          </w:p>
        </w:tc>
        <w:tc>
          <w:tcPr>
            <w:tcW w:type="dxa" w:w="1361"/>
            <w:vAlign w:val="top"/>
            <w:shd w:val="clear" w:color="auto" w:fill="FDF0F7"/>
          </w:tcPr>
          <w:p>
            <w:pPr>
              <w:spacing w:after="20" w:line="252" w:lineRule="auto"/>
            </w:pPr>
            <w:r>
              <w:rPr>
                <w:b w:val="0"/>
                <w:i w:val="0"/>
                <w:sz w:val="14"/>
              </w:rPr>
              <w:t>100% record count and control-total match</w:t>
            </w:r>
          </w:p>
        </w:tc>
      </w:tr>
      <w:tr>
        <w:trPr>
          <w:cantSplit/>
        </w:trPr>
        <w:tc>
          <w:tcPr>
            <w:tcW w:type="dxa" w:w="1304"/>
            <w:vAlign w:val="top"/>
          </w:tcPr>
          <w:p>
            <w:pPr>
              <w:spacing w:after="20" w:line="252" w:lineRule="auto"/>
            </w:pPr>
            <w:r>
              <w:rPr>
                <w:b/>
                <w:i w:val="0"/>
                <w:sz w:val="14"/>
              </w:rPr>
              <w:t>DR drill</w:t>
            </w:r>
          </w:p>
        </w:tc>
        <w:tc>
          <w:tcPr>
            <w:tcW w:type="dxa" w:w="2608"/>
            <w:vAlign w:val="top"/>
          </w:tcPr>
          <w:p>
            <w:pPr>
              <w:spacing w:after="20" w:line="252" w:lineRule="auto"/>
            </w:pPr>
            <w:r>
              <w:rPr>
                <w:b w:val="0"/>
                <w:i w:val="0"/>
                <w:sz w:val="14"/>
              </w:rPr>
              <w:t>Failover to the DR site/region and failback; restore from backup</w:t>
            </w:r>
          </w:p>
        </w:tc>
        <w:tc>
          <w:tcPr>
            <w:tcW w:type="dxa" w:w="1134"/>
            <w:vAlign w:val="top"/>
          </w:tcPr>
          <w:p>
            <w:pPr>
              <w:spacing w:after="20" w:line="252" w:lineRule="auto"/>
            </w:pPr>
            <w:r>
              <w:rPr>
                <w:b w:val="0"/>
                <w:i w:val="0"/>
                <w:sz w:val="14"/>
              </w:rPr>
              <w:t>IITH IT (Option A) or iorta managed services (Option B) with iorta support</w:t>
            </w:r>
          </w:p>
        </w:tc>
        <w:tc>
          <w:tcPr>
            <w:tcW w:type="dxa" w:w="1587"/>
            <w:vAlign w:val="top"/>
          </w:tcPr>
          <w:p>
            <w:pPr>
              <w:spacing w:after="20" w:line="252" w:lineRule="auto"/>
            </w:pPr>
            <w:r>
              <w:rPr>
                <w:b w:val="0"/>
                <w:i w:val="0"/>
                <w:sz w:val="14"/>
              </w:rPr>
              <w:t>DR site/region</w:t>
            </w:r>
          </w:p>
        </w:tc>
        <w:tc>
          <w:tcPr>
            <w:tcW w:type="dxa" w:w="1644"/>
            <w:vAlign w:val="top"/>
          </w:tcPr>
          <w:p>
            <w:pPr>
              <w:spacing w:after="20" w:line="252" w:lineRule="auto"/>
            </w:pPr>
            <w:r>
              <w:rPr>
                <w:b w:val="0"/>
                <w:i w:val="0"/>
                <w:sz w:val="14"/>
              </w:rPr>
              <w:t>Runbooks of the Production Support Handover</w:t>
            </w:r>
          </w:p>
        </w:tc>
        <w:tc>
          <w:tcPr>
            <w:tcW w:type="dxa" w:w="1361"/>
            <w:vAlign w:val="top"/>
          </w:tcPr>
          <w:p>
            <w:pPr>
              <w:spacing w:after="20" w:line="252" w:lineRule="auto"/>
            </w:pPr>
            <w:r>
              <w:rPr>
                <w:b w:val="0"/>
                <w:i w:val="0"/>
                <w:sz w:val="14"/>
              </w:rPr>
              <w:t>RTO ≤ 4 h, RPO ≤ 15 min achieved and documented (NFR-19)</w:t>
            </w:r>
          </w:p>
        </w:tc>
      </w:tr>
      <w:tr>
        <w:trPr>
          <w:cantSplit/>
        </w:trPr>
        <w:tc>
          <w:tcPr>
            <w:tcW w:type="dxa" w:w="1304"/>
            <w:vAlign w:val="top"/>
            <w:shd w:val="clear" w:color="auto" w:fill="FDF0F7"/>
          </w:tcPr>
          <w:p>
            <w:pPr>
              <w:spacing w:after="20" w:line="252" w:lineRule="auto"/>
            </w:pPr>
            <w:r>
              <w:rPr>
                <w:b/>
                <w:i w:val="0"/>
                <w:sz w:val="14"/>
              </w:rPr>
              <w:t>Operational readiness</w:t>
            </w:r>
          </w:p>
        </w:tc>
        <w:tc>
          <w:tcPr>
            <w:tcW w:type="dxa" w:w="2608"/>
            <w:vAlign w:val="top"/>
            <w:shd w:val="clear" w:color="auto" w:fill="FDF0F7"/>
          </w:tcPr>
          <w:p>
            <w:pPr>
              <w:spacing w:after="20" w:line="252" w:lineRule="auto"/>
            </w:pPr>
            <w:r>
              <w:rPr>
                <w:b w:val="0"/>
                <w:i w:val="0"/>
                <w:sz w:val="14"/>
              </w:rPr>
              <w:t>Deployment rehearsal, rollback, monitoring and alert rules, go-live checklist</w:t>
            </w:r>
          </w:p>
        </w:tc>
        <w:tc>
          <w:tcPr>
            <w:tcW w:type="dxa" w:w="1134"/>
            <w:vAlign w:val="top"/>
            <w:shd w:val="clear" w:color="auto" w:fill="FDF0F7"/>
          </w:tcPr>
          <w:p>
            <w:pPr>
              <w:spacing w:after="20" w:line="252" w:lineRule="auto"/>
            </w:pPr>
            <w:r>
              <w:rPr>
                <w:b w:val="0"/>
                <w:i w:val="0"/>
                <w:sz w:val="14"/>
              </w:rPr>
              <w:t>iorta, IITH IT</w:t>
            </w:r>
          </w:p>
        </w:tc>
        <w:tc>
          <w:tcPr>
            <w:tcW w:type="dxa" w:w="1587"/>
            <w:vAlign w:val="top"/>
            <w:shd w:val="clear" w:color="auto" w:fill="FDF0F7"/>
          </w:tcPr>
          <w:p>
            <w:pPr>
              <w:spacing w:after="20" w:line="252" w:lineRule="auto"/>
            </w:pPr>
            <w:r>
              <w:rPr>
                <w:b w:val="0"/>
                <w:i w:val="0"/>
                <w:sz w:val="14"/>
              </w:rPr>
              <w:t>Pre-production</w:t>
            </w:r>
          </w:p>
        </w:tc>
        <w:tc>
          <w:tcPr>
            <w:tcW w:type="dxa" w:w="1644"/>
            <w:vAlign w:val="top"/>
            <w:shd w:val="clear" w:color="auto" w:fill="FDF0F7"/>
          </w:tcPr>
          <w:p>
            <w:pPr>
              <w:spacing w:after="20" w:line="252" w:lineRule="auto"/>
            </w:pPr>
            <w:r>
              <w:rPr>
                <w:b w:val="0"/>
                <w:i w:val="0"/>
                <w:sz w:val="14"/>
              </w:rPr>
              <w:t>Deployment plan; checklists (DEL-20, DEL-21)</w:t>
            </w:r>
          </w:p>
        </w:tc>
        <w:tc>
          <w:tcPr>
            <w:tcW w:type="dxa" w:w="1361"/>
            <w:vAlign w:val="top"/>
            <w:shd w:val="clear" w:color="auto" w:fill="FDF0F7"/>
          </w:tcPr>
          <w:p>
            <w:pPr>
              <w:spacing w:after="20" w:line="252" w:lineRule="auto"/>
            </w:pPr>
            <w:r>
              <w:rPr>
                <w:b w:val="0"/>
                <w:i w:val="0"/>
                <w:sz w:val="14"/>
              </w:rPr>
              <w:t>Checklist complete; rollback rehearsed; hypercare entry criteria met</w:t>
            </w:r>
          </w:p>
        </w:tc>
      </w:tr>
    </w:tbl>
    <w:p>
      <w:pPr>
        <w:pStyle w:val="Caption"/>
        <w:jc w:val="center"/>
      </w:pPr>
      <w:r>
        <w:rPr>
          <w:b w:val="0"/>
          <w:i w:val="0"/>
        </w:rPr>
        <w:t>Table 1: Test levels</w:t>
      </w:r>
    </w:p>
    <w:p>
      <w:pPr>
        <w:pStyle w:val="Heading2"/>
      </w:pPr>
      <w:r>
        <w:t>2.1 Approach by type of requirement</w:t>
      </w:r>
    </w:p>
    <w:p>
      <w:pPr>
        <w:pStyle w:val="ListBullet"/>
      </w:pPr>
      <w:r>
        <w:rPr>
          <w:b/>
          <w:i w:val="0"/>
        </w:rPr>
        <w:t>Business rules and rating</w:t>
      </w:r>
      <w:r>
        <w:rPr>
          <w:b w:val="0"/>
          <w:i w:val="0"/>
        </w:rPr>
        <w:t xml:space="preserve"> (Appendix 3, AP-19, AP-32): unit tests of the rating engines for all seven products with the indicative rates, then API cases that re-rate on submission; IIFT's approved rate tables are loaded in design and the expected contributions in the cases are refreshed with them.</w:t>
      </w:r>
    </w:p>
    <w:p>
      <w:pPr>
        <w:pStyle w:val="ListBullet"/>
      </w:pPr>
      <w:r>
        <w:rPr>
          <w:b/>
          <w:i w:val="0"/>
        </w:rPr>
        <w:t>Workflows and maker-checker</w:t>
      </w:r>
      <w:r>
        <w:rPr>
          <w:b w:val="0"/>
          <w:i w:val="0"/>
        </w:rPr>
        <w:t xml:space="preserve"> (BO-16 to BO-19, COM-04): every approval type has cases for inbox visibility, segregation of duties, mandatory remarks, withdrawal and history.</w:t>
      </w:r>
    </w:p>
    <w:p>
      <w:pPr>
        <w:pStyle w:val="ListBullet"/>
      </w:pPr>
      <w:r>
        <w:rPr>
          <w:b/>
          <w:i w:val="0"/>
        </w:rPr>
        <w:t>Security</w:t>
      </w:r>
      <w:r>
        <w:rPr>
          <w:b w:val="0"/>
          <w:i w:val="0"/>
        </w:rPr>
        <w:t xml:space="preserve"> (COM-01, COM-02, COM-10, NFR-08 to NFR-14): automated OWASP checks with every release, CI gates on every push, and the independent VAPT before go-live.</w:t>
      </w:r>
    </w:p>
    <w:p>
      <w:pPr>
        <w:pStyle w:val="ListBullet"/>
      </w:pPr>
      <w:r>
        <w:rPr>
          <w:b/>
          <w:i w:val="0"/>
        </w:rPr>
        <w:t>Integrations</w:t>
      </w:r>
      <w:r>
        <w:rPr>
          <w:b w:val="0"/>
          <w:i w:val="0"/>
        </w:rPr>
        <w:t xml:space="preserve"> (INT-01 to INT-15): tested first against the simulated adapters (outbox, retry, dead letter, idempotent EOD postings, reconciliation), then in SIT against IIFT's test endpoints.</w:t>
      </w:r>
    </w:p>
    <w:p>
      <w:pPr>
        <w:pStyle w:val="ListBullet"/>
      </w:pPr>
      <w:r>
        <w:rPr>
          <w:b/>
          <w:i w:val="0"/>
        </w:rPr>
        <w:t>Scheduled jobs</w:t>
      </w:r>
      <w:r>
        <w:rPr>
          <w:b w:val="0"/>
          <w:i w:val="0"/>
        </w:rPr>
        <w:t xml:space="preserve"> (expiry, grace period, EOD, SLA monitor, scheduled reports): logic tested through the API and the suites; schedules observed in SIT with jobs enabled.</w:t>
      </w:r>
    </w:p>
    <w:p>
      <w:pPr>
        <w:pStyle w:val="ListBullet"/>
      </w:pPr>
      <w:r>
        <w:rPr>
          <w:b/>
          <w:i w:val="0"/>
        </w:rPr>
        <w:t>Usability, browsers and accessibility</w:t>
      </w:r>
      <w:r>
        <w:rPr>
          <w:b w:val="0"/>
          <w:i w:val="0"/>
        </w:rPr>
        <w:t xml:space="preserve"> (NFR-22 to NFR-24): exploratory runs at desktop and mobile widths now; browser matrix and accessibility checks with IIFT testers in UAT.</w:t>
      </w:r>
    </w:p>
    <w:p>
      <w:pPr>
        <w:pStyle w:val="Heading1"/>
        <w:pageBreakBefore/>
        <w:pBdr>
          <w:bottom w:val="single" w:sz="12" w:space="4" w:color="F58220"/>
        </w:pBdr>
      </w:pPr>
      <w:r>
        <w:t>3. Test environments and data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587"/>
        <w:gridCol w:w="1814"/>
        <w:gridCol w:w="3402"/>
        <w:gridCol w:w="2835"/>
      </w:tblGrid>
      <w:tr>
        <w:trPr>
          <w:cantSplit/>
          <w:tblHeader/>
        </w:trPr>
        <w:tc>
          <w:tcPr>
            <w:tcW w:type="dxa" w:w="1587"/>
            <w:shd w:val="clear" w:color="auto" w:fill="E1058C"/>
            <w:vAlign w:val="center"/>
          </w:tcPr>
          <w:p>
            <w:pPr>
              <w:spacing w:after="0"/>
            </w:pPr>
            <w:r>
              <w:rPr>
                <w:b/>
                <w:i w:val="0"/>
                <w:color w:val="FFFFFF"/>
                <w:sz w:val="15"/>
              </w:rPr>
              <w:t>Environment</w:t>
            </w:r>
          </w:p>
        </w:tc>
        <w:tc>
          <w:tcPr>
            <w:tcW w:type="dxa" w:w="1814"/>
            <w:shd w:val="clear" w:color="auto" w:fill="E1058C"/>
            <w:vAlign w:val="center"/>
          </w:tcPr>
          <w:p>
            <w:pPr>
              <w:spacing w:after="0"/>
            </w:pPr>
            <w:r>
              <w:rPr>
                <w:b/>
                <w:i w:val="0"/>
                <w:color w:val="FFFFFF"/>
                <w:sz w:val="15"/>
              </w:rPr>
              <w:t>Provided by</w:t>
            </w:r>
          </w:p>
        </w:tc>
        <w:tc>
          <w:tcPr>
            <w:tcW w:type="dxa" w:w="3402"/>
            <w:shd w:val="clear" w:color="auto" w:fill="E1058C"/>
            <w:vAlign w:val="center"/>
          </w:tcPr>
          <w:p>
            <w:pPr>
              <w:spacing w:after="0"/>
            </w:pPr>
            <w:r>
              <w:rPr>
                <w:b/>
                <w:i w:val="0"/>
                <w:color w:val="FFFFFF"/>
                <w:sz w:val="15"/>
              </w:rPr>
              <w:t>Use</w:t>
            </w:r>
          </w:p>
        </w:tc>
        <w:tc>
          <w:tcPr>
            <w:tcW w:type="dxa" w:w="2835"/>
            <w:shd w:val="clear" w:color="auto" w:fill="E1058C"/>
            <w:vAlign w:val="center"/>
          </w:tcPr>
          <w:p>
            <w:pPr>
              <w:spacing w:after="0"/>
            </w:pPr>
            <w:r>
              <w:rPr>
                <w:b/>
                <w:i w:val="0"/>
                <w:color w:val="FFFFFF"/>
                <w:sz w:val="15"/>
              </w:rPr>
              <w:t>Data</w:t>
            </w:r>
          </w:p>
        </w:tc>
      </w:tr>
      <w:tr>
        <w:trPr>
          <w:cantSplit/>
        </w:trPr>
        <w:tc>
          <w:tcPr>
            <w:tcW w:type="dxa" w:w="1587"/>
            <w:vAlign w:val="top"/>
          </w:tcPr>
          <w:p>
            <w:pPr>
              <w:spacing w:after="20" w:line="252" w:lineRule="auto"/>
            </w:pPr>
            <w:r>
              <w:rPr>
                <w:b/>
                <w:i w:val="0"/>
                <w:sz w:val="15"/>
              </w:rPr>
              <w:t>DEV / CI</w:t>
            </w:r>
          </w:p>
        </w:tc>
        <w:tc>
          <w:tcPr>
            <w:tcW w:type="dxa" w:w="1814"/>
            <w:vAlign w:val="top"/>
          </w:tcPr>
          <w:p>
            <w:pPr>
              <w:spacing w:after="20" w:line="252" w:lineRule="auto"/>
            </w:pPr>
            <w:r>
              <w:rPr>
                <w:b w:val="0"/>
                <w:i w:val="0"/>
                <w:sz w:val="15"/>
              </w:rPr>
              <w:t>iorta</w:t>
            </w:r>
          </w:p>
        </w:tc>
        <w:tc>
          <w:tcPr>
            <w:tcW w:type="dxa" w:w="3402"/>
            <w:vAlign w:val="top"/>
          </w:tcPr>
          <w:p>
            <w:pPr>
              <w:spacing w:after="20" w:line="252" w:lineRule="auto"/>
            </w:pPr>
            <w:r>
              <w:rPr>
                <w:b w:val="0"/>
                <w:i w:val="0"/>
                <w:sz w:val="15"/>
              </w:rPr>
              <w:t>Build and unit, API and end-to-end tests on every push; dedicated PostgreSQL database named *_test, dropped and rebuilt from the migrations and seeds before each end-to-end run</w:t>
            </w:r>
          </w:p>
        </w:tc>
        <w:tc>
          <w:tcPr>
            <w:tcW w:type="dxa" w:w="2835"/>
            <w:vAlign w:val="top"/>
          </w:tcPr>
          <w:p>
            <w:pPr>
              <w:spacing w:after="20" w:line="252" w:lineRule="auto"/>
            </w:pPr>
            <w:r>
              <w:rPr>
                <w:b w:val="0"/>
                <w:i w:val="0"/>
                <w:sz w:val="15"/>
              </w:rPr>
              <w:t>Reference data and the demonstration data set (seed-demo.ts)</w:t>
            </w:r>
          </w:p>
        </w:tc>
      </w:tr>
      <w:tr>
        <w:trPr>
          <w:cantSplit/>
        </w:trPr>
        <w:tc>
          <w:tcPr>
            <w:tcW w:type="dxa" w:w="1587"/>
            <w:vAlign w:val="top"/>
            <w:shd w:val="clear" w:color="auto" w:fill="FDF0F7"/>
          </w:tcPr>
          <w:p>
            <w:pPr>
              <w:spacing w:after="20" w:line="252" w:lineRule="auto"/>
            </w:pPr>
            <w:r>
              <w:rPr>
                <w:b/>
                <w:i w:val="0"/>
                <w:sz w:val="15"/>
              </w:rPr>
              <w:t>iorta test instance</w:t>
            </w:r>
          </w:p>
        </w:tc>
        <w:tc>
          <w:tcPr>
            <w:tcW w:type="dxa" w:w="1814"/>
            <w:vAlign w:val="top"/>
            <w:shd w:val="clear" w:color="auto" w:fill="FDF0F7"/>
          </w:tcPr>
          <w:p>
            <w:pPr>
              <w:spacing w:after="20" w:line="252" w:lineRule="auto"/>
            </w:pPr>
            <w:r>
              <w:rPr>
                <w:b w:val="0"/>
                <w:i w:val="0"/>
                <w:sz w:val="15"/>
              </w:rPr>
              <w:t>iorta</w:t>
            </w:r>
          </w:p>
        </w:tc>
        <w:tc>
          <w:tcPr>
            <w:tcW w:type="dxa" w:w="3402"/>
            <w:vAlign w:val="top"/>
            <w:shd w:val="clear" w:color="auto" w:fill="FDF0F7"/>
          </w:tcPr>
          <w:p>
            <w:pPr>
              <w:spacing w:after="20" w:line="252" w:lineRule="auto"/>
            </w:pPr>
            <w:r>
              <w:rPr>
                <w:b w:val="0"/>
                <w:i w:val="0"/>
                <w:sz w:val="15"/>
              </w:rPr>
              <w:t>Running instance with simulated integrations (INTEGRATION_MODE=simulated); used for the API run, the security checks and exploratory UI runs</w:t>
            </w:r>
          </w:p>
        </w:tc>
        <w:tc>
          <w:tcPr>
            <w:tcW w:type="dxa" w:w="2835"/>
            <w:vAlign w:val="top"/>
            <w:shd w:val="clear" w:color="auto" w:fill="FDF0F7"/>
          </w:tcPr>
          <w:p>
            <w:pPr>
              <w:spacing w:after="20" w:line="252" w:lineRule="auto"/>
            </w:pPr>
            <w:r>
              <w:rPr>
                <w:b w:val="0"/>
                <w:i w:val="0"/>
                <w:sz w:val="15"/>
              </w:rPr>
              <w:t>Demonstration data set: three agencies, named demonstration users for every role, policies in every status, blocked bank, AML cases, issues</w:t>
            </w:r>
          </w:p>
        </w:tc>
      </w:tr>
      <w:tr>
        <w:trPr>
          <w:cantSplit/>
        </w:trPr>
        <w:tc>
          <w:tcPr>
            <w:tcW w:type="dxa" w:w="1587"/>
            <w:vAlign w:val="top"/>
          </w:tcPr>
          <w:p>
            <w:pPr>
              <w:spacing w:after="20" w:line="252" w:lineRule="auto"/>
            </w:pPr>
            <w:r>
              <w:rPr>
                <w:b/>
                <w:i w:val="0"/>
                <w:sz w:val="15"/>
              </w:rPr>
              <w:t>SIT</w:t>
            </w:r>
          </w:p>
        </w:tc>
        <w:tc>
          <w:tcPr>
            <w:tcW w:type="dxa" w:w="1814"/>
            <w:vAlign w:val="top"/>
          </w:tcPr>
          <w:p>
            <w:pPr>
              <w:spacing w:after="20" w:line="252" w:lineRule="auto"/>
            </w:pPr>
            <w:r>
              <w:rPr>
                <w:b w:val="0"/>
                <w:i w:val="0"/>
                <w:sz w:val="15"/>
              </w:rPr>
              <w:t>IIFT/IITH (Option A) or iorta cloud (Option B), available by week 8</w:t>
            </w:r>
          </w:p>
        </w:tc>
        <w:tc>
          <w:tcPr>
            <w:tcW w:type="dxa" w:w="3402"/>
            <w:vAlign w:val="top"/>
          </w:tcPr>
          <w:p>
            <w:pPr>
              <w:spacing w:after="20" w:line="252" w:lineRule="auto"/>
            </w:pPr>
            <w:r>
              <w:rPr>
                <w:b w:val="0"/>
                <w:i w:val="0"/>
                <w:sz w:val="15"/>
              </w:rPr>
              <w:t>Live adapters to Core, FIN, AML, AD, SMTP and SMS test endpoints; jobs enabled; ClamAV; monitoring stack</w:t>
            </w:r>
          </w:p>
        </w:tc>
        <w:tc>
          <w:tcPr>
            <w:tcW w:type="dxa" w:w="2835"/>
            <w:vAlign w:val="top"/>
          </w:tcPr>
          <w:p>
            <w:pPr>
              <w:spacing w:after="20" w:line="252" w:lineRule="auto"/>
            </w:pPr>
            <w:r>
              <w:rPr>
                <w:b w:val="0"/>
                <w:i w:val="0"/>
                <w:sz w:val="15"/>
              </w:rPr>
              <w:t>Demonstration data plus IIFT test cases' data; migration dry-run output for the second cycle</w:t>
            </w:r>
          </w:p>
        </w:tc>
      </w:tr>
      <w:tr>
        <w:trPr>
          <w:cantSplit/>
        </w:trPr>
        <w:tc>
          <w:tcPr>
            <w:tcW w:type="dxa" w:w="1587"/>
            <w:vAlign w:val="top"/>
            <w:shd w:val="clear" w:color="auto" w:fill="FDF0F7"/>
          </w:tcPr>
          <w:p>
            <w:pPr>
              <w:spacing w:after="20" w:line="252" w:lineRule="auto"/>
            </w:pPr>
            <w:r>
              <w:rPr>
                <w:b/>
                <w:i w:val="0"/>
                <w:sz w:val="15"/>
              </w:rPr>
              <w:t>UAT</w:t>
            </w:r>
          </w:p>
        </w:tc>
        <w:tc>
          <w:tcPr>
            <w:tcW w:type="dxa" w:w="1814"/>
            <w:vAlign w:val="top"/>
            <w:shd w:val="clear" w:color="auto" w:fill="FDF0F7"/>
          </w:tcPr>
          <w:p>
            <w:pPr>
              <w:spacing w:after="20" w:line="252" w:lineRule="auto"/>
            </w:pPr>
            <w:r>
              <w:rPr>
                <w:b w:val="0"/>
                <w:i w:val="0"/>
                <w:sz w:val="15"/>
              </w:rPr>
              <w:t>IIFT, available by week 16</w:t>
            </w:r>
          </w:p>
        </w:tc>
        <w:tc>
          <w:tcPr>
            <w:tcW w:type="dxa" w:w="3402"/>
            <w:vAlign w:val="top"/>
            <w:shd w:val="clear" w:color="auto" w:fill="FDF0F7"/>
          </w:tcPr>
          <w:p>
            <w:pPr>
              <w:spacing w:after="20" w:line="252" w:lineRule="auto"/>
            </w:pPr>
            <w:r>
              <w:rPr>
                <w:b w:val="0"/>
                <w:i w:val="0"/>
                <w:sz w:val="15"/>
              </w:rPr>
              <w:t>Production configuration; the independent VAPT runs here</w:t>
            </w:r>
          </w:p>
        </w:tc>
        <w:tc>
          <w:tcPr>
            <w:tcW w:type="dxa" w:w="2835"/>
            <w:vAlign w:val="top"/>
            <w:shd w:val="clear" w:color="auto" w:fill="FDF0F7"/>
          </w:tcPr>
          <w:p>
            <w:pPr>
              <w:spacing w:after="20" w:line="252" w:lineRule="auto"/>
            </w:pPr>
            <w:r>
              <w:rPr>
                <w:b w:val="0"/>
                <w:i w:val="0"/>
                <w:sz w:val="15"/>
              </w:rPr>
              <w:t>Masked copy of production data where available, otherwise the migrated data of dry-run 2; test accounts per role</w:t>
            </w:r>
          </w:p>
        </w:tc>
      </w:tr>
      <w:tr>
        <w:trPr>
          <w:cantSplit/>
        </w:trPr>
        <w:tc>
          <w:tcPr>
            <w:tcW w:type="dxa" w:w="1587"/>
            <w:vAlign w:val="top"/>
          </w:tcPr>
          <w:p>
            <w:pPr>
              <w:spacing w:after="20" w:line="252" w:lineRule="auto"/>
            </w:pPr>
            <w:r>
              <w:rPr>
                <w:b/>
                <w:i w:val="0"/>
                <w:sz w:val="15"/>
              </w:rPr>
              <w:t>Pre-production / performance</w:t>
            </w:r>
          </w:p>
        </w:tc>
        <w:tc>
          <w:tcPr>
            <w:tcW w:type="dxa" w:w="1814"/>
            <w:vAlign w:val="top"/>
          </w:tcPr>
          <w:p>
            <w:pPr>
              <w:spacing w:after="20" w:line="252" w:lineRule="auto"/>
            </w:pPr>
            <w:r>
              <w:rPr>
                <w:b w:val="0"/>
                <w:i w:val="0"/>
                <w:sz w:val="15"/>
              </w:rPr>
              <w:t xml:space="preserve">IIFT (SIT sized like production) </w:t>
            </w:r>
          </w:p>
        </w:tc>
        <w:tc>
          <w:tcPr>
            <w:tcW w:type="dxa" w:w="3402"/>
            <w:vAlign w:val="top"/>
          </w:tcPr>
          <w:p>
            <w:pPr>
              <w:spacing w:after="20" w:line="252" w:lineRule="auto"/>
            </w:pPr>
            <w:r>
              <w:rPr>
                <w:b w:val="0"/>
                <w:i w:val="0"/>
                <w:sz w:val="15"/>
              </w:rPr>
              <w:t>Performance and soak tests; deployment rehearsal</w:t>
            </w:r>
          </w:p>
        </w:tc>
        <w:tc>
          <w:tcPr>
            <w:tcW w:type="dxa" w:w="2835"/>
            <w:vAlign w:val="top"/>
          </w:tcPr>
          <w:p>
            <w:pPr>
              <w:spacing w:after="20" w:line="252" w:lineRule="auto"/>
            </w:pPr>
            <w:r>
              <w:rPr>
                <w:b w:val="0"/>
                <w:i w:val="0"/>
                <w:sz w:val="15"/>
              </w:rPr>
              <w:t>Five-year projected volume generated from the demonstration profile (Appendix 2)</w:t>
            </w:r>
          </w:p>
        </w:tc>
      </w:tr>
    </w:tbl>
    <w:p>
      <w:pPr>
        <w:pStyle w:val="Caption"/>
        <w:jc w:val="center"/>
      </w:pPr>
      <w:r>
        <w:rPr>
          <w:b w:val="0"/>
          <w:i w:val="0"/>
        </w:rPr>
        <w:t>Table 2: Environments</w:t>
      </w:r>
    </w:p>
    <w:p>
      <w:pPr>
        <w:pStyle w:val="Heading2"/>
      </w:pPr>
      <w:r>
        <w:t>3.1 Test data</w:t>
      </w:r>
    </w:p>
    <w:p>
      <w:pPr>
        <w:pStyle w:val="ListBullet"/>
      </w:pPr>
      <w:r>
        <w:rPr>
          <w:b w:val="0"/>
          <w:i w:val="0"/>
        </w:rPr>
        <w:t>The demonstration data set is generated through the application's own services (registration, screening, quotation, submission, payment, verification, issuance, renewal, endorsement, claims, issues, EOD, reconciliation), so every record carries a genuine history, audit trail and outbox messages.</w:t>
      </w:r>
    </w:p>
    <w:p>
      <w:pPr>
        <w:pStyle w:val="ListBullet"/>
      </w:pPr>
      <w:r>
        <w:rPr>
          <w:b w:val="0"/>
          <w:i w:val="0"/>
        </w:rPr>
        <w:t>Named demonstration users exist for every role; each case states which user it uses.</w:t>
      </w:r>
    </w:p>
    <w:p>
      <w:pPr>
        <w:pStyle w:val="ListBullet"/>
      </w:pPr>
      <w:r>
        <w:rPr>
          <w:b w:val="0"/>
          <w:i w:val="0"/>
        </w:rPr>
        <w:t>Scripted runs create their own records with a run identifier so they can be repeated; they never alter the seeded blocked bank or the demonstration passwords.</w:t>
      </w:r>
    </w:p>
    <w:p>
      <w:pPr>
        <w:pStyle w:val="ListBullet"/>
      </w:pPr>
      <w:r>
        <w:rPr>
          <w:b w:val="0"/>
          <w:i w:val="0"/>
        </w:rPr>
        <w:t>UAT uses masked production data where IIFT can provide it (identification numbers, contact details and names replaced); otherwise the migrated data of the second dry-run.</w:t>
      </w:r>
    </w:p>
    <w:p>
      <w:pPr>
        <w:pStyle w:val="ListBullet"/>
      </w:pPr>
      <w:r>
        <w:rPr>
          <w:b w:val="0"/>
          <w:i w:val="0"/>
        </w:rPr>
        <w:t>No production data is used outside IIFT's UAT and pre-production environments; the security check script and the API run must never be pointed at production.</w:t>
      </w:r>
    </w:p>
    <w:p>
      <w:pPr>
        <w:pStyle w:val="Heading1"/>
        <w:pageBreakBefore/>
        <w:pBdr>
          <w:bottom w:val="single" w:sz="12" w:space="4" w:color="F58220"/>
        </w:pBdr>
      </w:pPr>
      <w:r>
        <w:t>4. Entry and exit criteria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701"/>
        <w:gridCol w:w="3402"/>
        <w:gridCol w:w="4536"/>
      </w:tblGrid>
      <w:tr>
        <w:trPr>
          <w:cantSplit/>
          <w:tblHeader/>
        </w:trPr>
        <w:tc>
          <w:tcPr>
            <w:tcW w:type="dxa" w:w="1701"/>
            <w:shd w:val="clear" w:color="auto" w:fill="E1058C"/>
            <w:vAlign w:val="center"/>
          </w:tcPr>
          <w:p>
            <w:pPr>
              <w:spacing w:after="0"/>
            </w:pPr>
            <w:r>
              <w:rPr>
                <w:b/>
                <w:i w:val="0"/>
                <w:color w:val="FFFFFF"/>
                <w:sz w:val="15"/>
              </w:rPr>
              <w:t>Phase</w:t>
            </w:r>
          </w:p>
        </w:tc>
        <w:tc>
          <w:tcPr>
            <w:tcW w:type="dxa" w:w="3402"/>
            <w:shd w:val="clear" w:color="auto" w:fill="E1058C"/>
            <w:vAlign w:val="center"/>
          </w:tcPr>
          <w:p>
            <w:pPr>
              <w:spacing w:after="0"/>
            </w:pPr>
            <w:r>
              <w:rPr>
                <w:b/>
                <w:i w:val="0"/>
                <w:color w:val="FFFFFF"/>
                <w:sz w:val="15"/>
              </w:rPr>
              <w:t>Entry criteria</w:t>
            </w:r>
          </w:p>
        </w:tc>
        <w:tc>
          <w:tcPr>
            <w:tcW w:type="dxa" w:w="4535"/>
            <w:shd w:val="clear" w:color="auto" w:fill="E1058C"/>
            <w:vAlign w:val="center"/>
          </w:tcPr>
          <w:p>
            <w:pPr>
              <w:spacing w:after="0"/>
            </w:pPr>
            <w:r>
              <w:rPr>
                <w:b/>
                <w:i w:val="0"/>
                <w:color w:val="FFFFFF"/>
                <w:sz w:val="15"/>
              </w:rPr>
              <w:t>Exit criteria</w:t>
            </w:r>
          </w:p>
        </w:tc>
      </w:tr>
      <w:tr>
        <w:trPr>
          <w:cantSplit/>
        </w:trPr>
        <w:tc>
          <w:tcPr>
            <w:tcW w:type="dxa" w:w="1701"/>
            <w:vAlign w:val="top"/>
          </w:tcPr>
          <w:p>
            <w:pPr>
              <w:spacing w:after="20" w:line="252" w:lineRule="auto"/>
            </w:pPr>
            <w:r>
              <w:rPr>
                <w:b/>
                <w:i w:val="0"/>
                <w:sz w:val="15"/>
              </w:rPr>
              <w:t>Unit and API (CI)</w:t>
            </w:r>
          </w:p>
        </w:tc>
        <w:tc>
          <w:tcPr>
            <w:tcW w:type="dxa" w:w="3402"/>
            <w:vAlign w:val="top"/>
          </w:tcPr>
          <w:p>
            <w:pPr>
              <w:spacing w:after="20" w:line="252" w:lineRule="auto"/>
            </w:pPr>
            <w:r>
              <w:rPr>
                <w:b w:val="0"/>
                <w:i w:val="0"/>
                <w:sz w:val="15"/>
              </w:rPr>
              <w:t>Code reviewed; migrations applied cleanly</w:t>
            </w:r>
          </w:p>
        </w:tc>
        <w:tc>
          <w:tcPr>
            <w:tcW w:type="dxa" w:w="4535"/>
            <w:vAlign w:val="top"/>
          </w:tcPr>
          <w:p>
            <w:pPr>
              <w:spacing w:after="20" w:line="252" w:lineRule="auto"/>
            </w:pPr>
            <w:r>
              <w:rPr>
                <w:b w:val="0"/>
                <w:i w:val="0"/>
                <w:sz w:val="15"/>
              </w:rPr>
              <w:t>All tests pass; lint, type check and format clean; coverage ≥ 70% on core modules; no Critical/High dependency findings</w:t>
            </w:r>
          </w:p>
        </w:tc>
      </w:tr>
      <w:tr>
        <w:trPr>
          <w:cantSplit/>
        </w:trPr>
        <w:tc>
          <w:tcPr>
            <w:tcW w:type="dxa" w:w="1701"/>
            <w:vAlign w:val="top"/>
            <w:shd w:val="clear" w:color="auto" w:fill="FDF0F7"/>
          </w:tcPr>
          <w:p>
            <w:pPr>
              <w:spacing w:after="20" w:line="252" w:lineRule="auto"/>
            </w:pPr>
            <w:r>
              <w:rPr>
                <w:b/>
                <w:i w:val="0"/>
                <w:sz w:val="15"/>
              </w:rPr>
              <w:t>End-to-end and release candidate</w:t>
            </w:r>
          </w:p>
        </w:tc>
        <w:tc>
          <w:tcPr>
            <w:tcW w:type="dxa" w:w="3402"/>
            <w:vAlign w:val="top"/>
            <w:shd w:val="clear" w:color="auto" w:fill="FDF0F7"/>
          </w:tcPr>
          <w:p>
            <w:pPr>
              <w:spacing w:after="20" w:line="252" w:lineRule="auto"/>
            </w:pPr>
            <w:r>
              <w:rPr>
                <w:b w:val="0"/>
                <w:i w:val="0"/>
                <w:sz w:val="15"/>
              </w:rPr>
              <w:t>CI green; release notes drafted; demonstration data loaded</w:t>
            </w:r>
          </w:p>
        </w:tc>
        <w:tc>
          <w:tcPr>
            <w:tcW w:type="dxa" w:w="4535"/>
            <w:vAlign w:val="top"/>
            <w:shd w:val="clear" w:color="auto" w:fill="FDF0F7"/>
          </w:tcPr>
          <w:p>
            <w:pPr>
              <w:spacing w:after="20" w:line="252" w:lineRule="auto"/>
            </w:pPr>
            <w:r>
              <w:rPr>
                <w:b w:val="0"/>
                <w:i w:val="0"/>
                <w:sz w:val="15"/>
              </w:rPr>
              <w:t>End-to-end suite and API run green; OWASP checks 29/29; Playwright smoke green; test cases workbook refreshed</w:t>
            </w:r>
          </w:p>
        </w:tc>
      </w:tr>
      <w:tr>
        <w:trPr>
          <w:cantSplit/>
        </w:trPr>
        <w:tc>
          <w:tcPr>
            <w:tcW w:type="dxa" w:w="1701"/>
            <w:vAlign w:val="top"/>
          </w:tcPr>
          <w:p>
            <w:pPr>
              <w:spacing w:after="20" w:line="252" w:lineRule="auto"/>
            </w:pPr>
            <w:r>
              <w:rPr>
                <w:b/>
                <w:i w:val="0"/>
                <w:sz w:val="15"/>
              </w:rPr>
              <w:t>SIT</w:t>
            </w:r>
          </w:p>
        </w:tc>
        <w:tc>
          <w:tcPr>
            <w:tcW w:type="dxa" w:w="3402"/>
            <w:vAlign w:val="top"/>
          </w:tcPr>
          <w:p>
            <w:pPr>
              <w:spacing w:after="20" w:line="252" w:lineRule="auto"/>
            </w:pPr>
            <w:r>
              <w:rPr>
                <w:b w:val="0"/>
                <w:i w:val="0"/>
                <w:sz w:val="15"/>
              </w:rPr>
              <w:t>Release candidate deployed to SIT; interfaces, test endpoints and credentials available (week 8 assumption); SIT cases reviewed with IITH owners; test data prepared</w:t>
            </w:r>
          </w:p>
        </w:tc>
        <w:tc>
          <w:tcPr>
            <w:tcW w:type="dxa" w:w="4535"/>
            <w:vAlign w:val="top"/>
          </w:tcPr>
          <w:p>
            <w:pPr>
              <w:spacing w:after="20" w:line="252" w:lineRule="auto"/>
            </w:pPr>
            <w:r>
              <w:rPr>
                <w:b w:val="0"/>
                <w:i w:val="0"/>
                <w:sz w:val="15"/>
              </w:rPr>
              <w:t>≥ 95% cases passed, 100% of Must requirements covered; no open Critical/High; Medium defects with agreed workaround or fix date; reconciliation MATCHED three days running; SIT results report (DEL-14) issued</w:t>
            </w:r>
          </w:p>
        </w:tc>
      </w:tr>
      <w:tr>
        <w:trPr>
          <w:cantSplit/>
        </w:trPr>
        <w:tc>
          <w:tcPr>
            <w:tcW w:type="dxa" w:w="1701"/>
            <w:vAlign w:val="top"/>
            <w:shd w:val="clear" w:color="auto" w:fill="FDF0F7"/>
          </w:tcPr>
          <w:p>
            <w:pPr>
              <w:spacing w:after="20" w:line="252" w:lineRule="auto"/>
            </w:pPr>
            <w:r>
              <w:rPr>
                <w:b/>
                <w:i w:val="0"/>
                <w:sz w:val="15"/>
              </w:rPr>
              <w:t>Performance</w:t>
            </w:r>
          </w:p>
        </w:tc>
        <w:tc>
          <w:tcPr>
            <w:tcW w:type="dxa" w:w="3402"/>
            <w:vAlign w:val="top"/>
            <w:shd w:val="clear" w:color="auto" w:fill="FDF0F7"/>
          </w:tcPr>
          <w:p>
            <w:pPr>
              <w:spacing w:after="20" w:line="252" w:lineRule="auto"/>
            </w:pPr>
            <w:r>
              <w:rPr>
                <w:b w:val="0"/>
                <w:i w:val="0"/>
                <w:sz w:val="15"/>
              </w:rPr>
              <w:t>SIT functional exit; production-like sizing; monitoring in place</w:t>
            </w:r>
          </w:p>
        </w:tc>
        <w:tc>
          <w:tcPr>
            <w:tcW w:type="dxa" w:w="4535"/>
            <w:vAlign w:val="top"/>
            <w:shd w:val="clear" w:color="auto" w:fill="FDF0F7"/>
          </w:tcPr>
          <w:p>
            <w:pPr>
              <w:spacing w:after="20" w:line="252" w:lineRule="auto"/>
            </w:pPr>
            <w:r>
              <w:rPr>
                <w:b w:val="0"/>
                <w:i w:val="0"/>
                <w:sz w:val="15"/>
              </w:rPr>
              <w:t>Targets met or deviations accepted by IIFT with a remediation plan; report issued (DEL-18)</w:t>
            </w:r>
          </w:p>
        </w:tc>
      </w:tr>
      <w:tr>
        <w:trPr>
          <w:cantSplit/>
        </w:trPr>
        <w:tc>
          <w:tcPr>
            <w:tcW w:type="dxa" w:w="1701"/>
            <w:vAlign w:val="top"/>
          </w:tcPr>
          <w:p>
            <w:pPr>
              <w:spacing w:after="20" w:line="252" w:lineRule="auto"/>
            </w:pPr>
            <w:r>
              <w:rPr>
                <w:b/>
                <w:i w:val="0"/>
                <w:sz w:val="15"/>
              </w:rPr>
              <w:t>Security (VAPT)</w:t>
            </w:r>
          </w:p>
        </w:tc>
        <w:tc>
          <w:tcPr>
            <w:tcW w:type="dxa" w:w="3402"/>
            <w:vAlign w:val="top"/>
          </w:tcPr>
          <w:p>
            <w:pPr>
              <w:spacing w:after="20" w:line="252" w:lineRule="auto"/>
            </w:pPr>
            <w:r>
              <w:rPr>
                <w:b w:val="0"/>
                <w:i w:val="0"/>
                <w:sz w:val="15"/>
              </w:rPr>
              <w:t>SIT functional exit; rules of engagement signed; test accounts per role</w:t>
            </w:r>
          </w:p>
        </w:tc>
        <w:tc>
          <w:tcPr>
            <w:tcW w:type="dxa" w:w="4535"/>
            <w:vAlign w:val="top"/>
          </w:tcPr>
          <w:p>
            <w:pPr>
              <w:spacing w:after="20" w:line="252" w:lineRule="auto"/>
            </w:pPr>
            <w:r>
              <w:rPr>
                <w:b w:val="0"/>
                <w:i w:val="0"/>
                <w:sz w:val="15"/>
              </w:rPr>
              <w:t>No open Critical/High; Medium/Low with dates; re-test report issued (DEL-17)</w:t>
            </w:r>
          </w:p>
        </w:tc>
      </w:tr>
      <w:tr>
        <w:trPr>
          <w:cantSplit/>
        </w:trPr>
        <w:tc>
          <w:tcPr>
            <w:tcW w:type="dxa" w:w="1701"/>
            <w:vAlign w:val="top"/>
            <w:shd w:val="clear" w:color="auto" w:fill="FDF0F7"/>
          </w:tcPr>
          <w:p>
            <w:pPr>
              <w:spacing w:after="20" w:line="252" w:lineRule="auto"/>
            </w:pPr>
            <w:r>
              <w:rPr>
                <w:b/>
                <w:i w:val="0"/>
                <w:sz w:val="15"/>
              </w:rPr>
              <w:t>UAT</w:t>
            </w:r>
          </w:p>
        </w:tc>
        <w:tc>
          <w:tcPr>
            <w:tcW w:type="dxa" w:w="3402"/>
            <w:vAlign w:val="top"/>
            <w:shd w:val="clear" w:color="auto" w:fill="FDF0F7"/>
          </w:tcPr>
          <w:p>
            <w:pPr>
              <w:spacing w:after="20" w:line="252" w:lineRule="auto"/>
            </w:pPr>
            <w:r>
              <w:rPr>
                <w:b w:val="0"/>
                <w:i w:val="0"/>
                <w:sz w:val="15"/>
              </w:rPr>
              <w:t>SIT exit; UAT environment with masked data; testers trained; UAT scripts approved</w:t>
            </w:r>
          </w:p>
        </w:tc>
        <w:tc>
          <w:tcPr>
            <w:tcW w:type="dxa" w:w="4535"/>
            <w:vAlign w:val="top"/>
            <w:shd w:val="clear" w:color="auto" w:fill="FDF0F7"/>
          </w:tcPr>
          <w:p>
            <w:pPr>
              <w:spacing w:after="20" w:line="252" w:lineRule="auto"/>
            </w:pPr>
            <w:r>
              <w:rPr>
                <w:b w:val="0"/>
                <w:i w:val="0"/>
                <w:sz w:val="15"/>
              </w:rPr>
              <w:t>All UAT scripts executed; no open Critical/High; signed UAT certificate (DEL-16)</w:t>
            </w:r>
          </w:p>
        </w:tc>
      </w:tr>
      <w:tr>
        <w:trPr>
          <w:cantSplit/>
        </w:trPr>
        <w:tc>
          <w:tcPr>
            <w:tcW w:type="dxa" w:w="1701"/>
            <w:vAlign w:val="top"/>
          </w:tcPr>
          <w:p>
            <w:pPr>
              <w:spacing w:after="20" w:line="252" w:lineRule="auto"/>
            </w:pPr>
            <w:r>
              <w:rPr>
                <w:b/>
                <w:i w:val="0"/>
                <w:sz w:val="15"/>
              </w:rPr>
              <w:t>Go-live</w:t>
            </w:r>
          </w:p>
        </w:tc>
        <w:tc>
          <w:tcPr>
            <w:tcW w:type="dxa" w:w="3402"/>
            <w:vAlign w:val="top"/>
          </w:tcPr>
          <w:p>
            <w:pPr>
              <w:spacing w:after="20" w:line="252" w:lineRule="auto"/>
            </w:pPr>
            <w:r>
              <w:rPr>
                <w:b w:val="0"/>
                <w:i w:val="0"/>
                <w:sz w:val="15"/>
              </w:rPr>
              <w:t>UAT sign-off; VAPT cleared; migration dry-run 2 reconciled; DR drill done; go-live checklist complete (DEL-21)</w:t>
            </w:r>
          </w:p>
        </w:tc>
        <w:tc>
          <w:tcPr>
            <w:tcW w:type="dxa" w:w="4535"/>
            <w:vAlign w:val="top"/>
          </w:tcPr>
          <w:p>
            <w:pPr>
              <w:spacing w:after="20" w:line="252" w:lineRule="auto"/>
            </w:pPr>
            <w:r>
              <w:rPr>
                <w:b w:val="0"/>
                <w:i w:val="0"/>
                <w:sz w:val="15"/>
              </w:rPr>
              <w:t>Production deployment verified by the smoke checklist; hypercare entry</w:t>
            </w:r>
          </w:p>
        </w:tc>
      </w:tr>
    </w:tbl>
    <w:p>
      <w:pPr>
        <w:pStyle w:val="Caption"/>
        <w:jc w:val="center"/>
      </w:pPr>
      <w:r>
        <w:rPr>
          <w:b w:val="0"/>
          <w:i w:val="0"/>
        </w:rPr>
        <w:t>Table 3: Entry and exit criteria per phase</w:t>
      </w:r>
    </w:p>
    <w:p>
      <w:pPr>
        <w:keepNext w:val="0"/>
      </w:pPr>
      <w:r>
        <w:rPr>
          <w:b w:val="0"/>
          <w:i w:val="0"/>
        </w:rPr>
        <w:t>Exit decisions are taken by the test manager with IIFT's product owner at the phase review; deviations (for example a Medium defect deferred) are recorded in the phase report with the agreed date.</w:t>
      </w:r>
    </w:p>
    <w:p>
      <w:pPr>
        <w:pStyle w:val="Heading1"/>
        <w:pageBreakBefore/>
        <w:pBdr>
          <w:bottom w:val="single" w:sz="12" w:space="4" w:color="F58220"/>
        </w:pBdr>
      </w:pPr>
      <w:r>
        <w:t>5. Defect management</w:t>
      </w:r>
    </w:p>
    <w:p>
      <w:pPr>
        <w:keepNext w:val="0"/>
      </w:pPr>
      <w:r>
        <w:rPr>
          <w:b w:val="0"/>
          <w:i w:val="0"/>
        </w:rPr>
        <w:t>Defects are logged with steps, data, expected and actual result, evidence and the case identifier; they are triaged daily during SIT and UAT. Severity describes the impact, priority the urgency of the fix. A fixed defect is re-tested by the person who found it where possible, and the related automated cases are extended so that the defect cannot return unnoticed.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4876"/>
        <w:gridCol w:w="3402"/>
      </w:tblGrid>
      <w:tr>
        <w:trPr>
          <w:cantSplit/>
          <w:tblHeader/>
        </w:trPr>
        <w:tc>
          <w:tcPr>
            <w:tcW w:type="dxa" w:w="1361"/>
            <w:shd w:val="clear" w:color="auto" w:fill="E1058C"/>
            <w:vAlign w:val="center"/>
          </w:tcPr>
          <w:p>
            <w:pPr>
              <w:spacing w:after="0"/>
            </w:pPr>
            <w:r>
              <w:rPr>
                <w:b/>
                <w:i w:val="0"/>
                <w:color w:val="FFFFFF"/>
                <w:sz w:val="16"/>
              </w:rPr>
              <w:t>Severity</w:t>
            </w:r>
          </w:p>
        </w:tc>
        <w:tc>
          <w:tcPr>
            <w:tcW w:type="dxa" w:w="4876"/>
            <w:shd w:val="clear" w:color="auto" w:fill="E1058C"/>
            <w:vAlign w:val="center"/>
          </w:tcPr>
          <w:p>
            <w:pPr>
              <w:spacing w:after="0"/>
            </w:pPr>
            <w:r>
              <w:rPr>
                <w:b/>
                <w:i w:val="0"/>
                <w:color w:val="FFFFFF"/>
                <w:sz w:val="16"/>
              </w:rPr>
              <w:t>Definition</w:t>
            </w:r>
          </w:p>
        </w:tc>
        <w:tc>
          <w:tcPr>
            <w:tcW w:type="dxa" w:w="3402"/>
            <w:shd w:val="clear" w:color="auto" w:fill="E1058C"/>
            <w:vAlign w:val="center"/>
          </w:tcPr>
          <w:p>
            <w:pPr>
              <w:spacing w:after="0"/>
            </w:pPr>
            <w:r>
              <w:rPr>
                <w:b/>
                <w:i w:val="0"/>
                <w:color w:val="FFFFFF"/>
                <w:sz w:val="16"/>
              </w:rPr>
              <w:t>Resolution target</w:t>
            </w:r>
          </w:p>
        </w:tc>
      </w:tr>
      <w:tr>
        <w:trPr>
          <w:cantSplit/>
        </w:trPr>
        <w:tc>
          <w:tcPr>
            <w:tcW w:type="dxa" w:w="1361"/>
            <w:vAlign w:val="top"/>
          </w:tcPr>
          <w:p>
            <w:pPr>
              <w:spacing w:after="20" w:line="252" w:lineRule="auto"/>
            </w:pPr>
            <w:r>
              <w:rPr>
                <w:b/>
                <w:i w:val="0"/>
                <w:sz w:val="16"/>
              </w:rPr>
              <w:t>Critical</w:t>
            </w:r>
          </w:p>
        </w:tc>
        <w:tc>
          <w:tcPr>
            <w:tcW w:type="dxa" w:w="4876"/>
            <w:vAlign w:val="top"/>
          </w:tcPr>
          <w:p>
            <w:pPr>
              <w:spacing w:after="20" w:line="252" w:lineRule="auto"/>
            </w:pPr>
            <w:r>
              <w:rPr>
                <w:b w:val="0"/>
                <w:i w:val="0"/>
                <w:sz w:val="16"/>
              </w:rPr>
              <w:t>System unusable, data integrity or security at risk, or a Must requirement cannot be met; no workaround</w:t>
            </w:r>
          </w:p>
        </w:tc>
        <w:tc>
          <w:tcPr>
            <w:tcW w:type="dxa" w:w="3402"/>
            <w:vAlign w:val="top"/>
          </w:tcPr>
          <w:p>
            <w:pPr>
              <w:spacing w:after="20" w:line="252" w:lineRule="auto"/>
            </w:pPr>
            <w:r>
              <w:rPr>
                <w:b w:val="0"/>
                <w:i w:val="0"/>
                <w:sz w:val="16"/>
              </w:rPr>
              <w:t>Fix before exit of the current phase; in production, P1 handling (contained within 24 h)</w:t>
            </w:r>
          </w:p>
        </w:tc>
      </w:tr>
      <w:tr>
        <w:trPr>
          <w:cantSplit/>
        </w:trPr>
        <w:tc>
          <w:tcPr>
            <w:tcW w:type="dxa" w:w="1361"/>
            <w:vAlign w:val="top"/>
            <w:shd w:val="clear" w:color="auto" w:fill="FDF0F7"/>
          </w:tcPr>
          <w:p>
            <w:pPr>
              <w:spacing w:after="20" w:line="252" w:lineRule="auto"/>
            </w:pPr>
            <w:r>
              <w:rPr>
                <w:b/>
                <w:i w:val="0"/>
                <w:sz w:val="16"/>
              </w:rPr>
              <w:t>High</w:t>
            </w:r>
          </w:p>
        </w:tc>
        <w:tc>
          <w:tcPr>
            <w:tcW w:type="dxa" w:w="4876"/>
            <w:vAlign w:val="top"/>
            <w:shd w:val="clear" w:color="auto" w:fill="FDF0F7"/>
          </w:tcPr>
          <w:p>
            <w:pPr>
              <w:spacing w:after="20" w:line="252" w:lineRule="auto"/>
            </w:pPr>
            <w:r>
              <w:rPr>
                <w:b w:val="0"/>
                <w:i w:val="0"/>
                <w:sz w:val="16"/>
              </w:rPr>
              <w:t>Key function fails or gives wrong results; workaround difficult</w:t>
            </w:r>
          </w:p>
        </w:tc>
        <w:tc>
          <w:tcPr>
            <w:tcW w:type="dxa" w:w="3402"/>
            <w:vAlign w:val="top"/>
            <w:shd w:val="clear" w:color="auto" w:fill="FDF0F7"/>
          </w:tcPr>
          <w:p>
            <w:pPr>
              <w:spacing w:after="20" w:line="252" w:lineRule="auto"/>
            </w:pPr>
            <w:r>
              <w:rPr>
                <w:b w:val="0"/>
                <w:i w:val="0"/>
                <w:sz w:val="16"/>
              </w:rPr>
              <w:t>Fix before exit of the current phase; in production, 14 days</w:t>
            </w:r>
          </w:p>
        </w:tc>
      </w:tr>
      <w:tr>
        <w:trPr>
          <w:cantSplit/>
        </w:trPr>
        <w:tc>
          <w:tcPr>
            <w:tcW w:type="dxa" w:w="1361"/>
            <w:vAlign w:val="top"/>
          </w:tcPr>
          <w:p>
            <w:pPr>
              <w:spacing w:after="20" w:line="252" w:lineRule="auto"/>
            </w:pPr>
            <w:r>
              <w:rPr>
                <w:b/>
                <w:i w:val="0"/>
                <w:sz w:val="16"/>
              </w:rPr>
              <w:t>Medium</w:t>
            </w:r>
          </w:p>
        </w:tc>
        <w:tc>
          <w:tcPr>
            <w:tcW w:type="dxa" w:w="4876"/>
            <w:vAlign w:val="top"/>
          </w:tcPr>
          <w:p>
            <w:pPr>
              <w:spacing w:after="20" w:line="252" w:lineRule="auto"/>
            </w:pPr>
            <w:r>
              <w:rPr>
                <w:b w:val="0"/>
                <w:i w:val="0"/>
                <w:sz w:val="16"/>
              </w:rPr>
              <w:t>Function impaired with an acceptable workaround</w:t>
            </w:r>
          </w:p>
        </w:tc>
        <w:tc>
          <w:tcPr>
            <w:tcW w:type="dxa" w:w="3402"/>
            <w:vAlign w:val="top"/>
          </w:tcPr>
          <w:p>
            <w:pPr>
              <w:spacing w:after="20" w:line="252" w:lineRule="auto"/>
            </w:pPr>
            <w:r>
              <w:rPr>
                <w:b w:val="0"/>
                <w:i w:val="0"/>
                <w:sz w:val="16"/>
              </w:rPr>
              <w:t>Fix before go-live or agreed deferral with IIFT</w:t>
            </w:r>
          </w:p>
        </w:tc>
      </w:tr>
      <w:tr>
        <w:trPr>
          <w:cantSplit/>
        </w:trPr>
        <w:tc>
          <w:tcPr>
            <w:tcW w:type="dxa" w:w="1361"/>
            <w:vAlign w:val="top"/>
            <w:shd w:val="clear" w:color="auto" w:fill="FDF0F7"/>
          </w:tcPr>
          <w:p>
            <w:pPr>
              <w:spacing w:after="20" w:line="252" w:lineRule="auto"/>
            </w:pPr>
            <w:r>
              <w:rPr>
                <w:b/>
                <w:i w:val="0"/>
                <w:sz w:val="16"/>
              </w:rPr>
              <w:t>Low</w:t>
            </w:r>
          </w:p>
        </w:tc>
        <w:tc>
          <w:tcPr>
            <w:tcW w:type="dxa" w:w="4876"/>
            <w:vAlign w:val="top"/>
            <w:shd w:val="clear" w:color="auto" w:fill="FDF0F7"/>
          </w:tcPr>
          <w:p>
            <w:pPr>
              <w:spacing w:after="20" w:line="252" w:lineRule="auto"/>
            </w:pPr>
            <w:r>
              <w:rPr>
                <w:b w:val="0"/>
                <w:i w:val="0"/>
                <w:sz w:val="16"/>
              </w:rPr>
              <w:t>Cosmetic, wording or minor usability</w:t>
            </w:r>
          </w:p>
        </w:tc>
        <w:tc>
          <w:tcPr>
            <w:tcW w:type="dxa" w:w="3402"/>
            <w:vAlign w:val="top"/>
            <w:shd w:val="clear" w:color="auto" w:fill="FDF0F7"/>
          </w:tcPr>
          <w:p>
            <w:pPr>
              <w:spacing w:after="20" w:line="252" w:lineRule="auto"/>
            </w:pPr>
            <w:r>
              <w:rPr>
                <w:b w:val="0"/>
                <w:i w:val="0"/>
                <w:sz w:val="16"/>
              </w:rPr>
              <w:t>Planned release</w:t>
            </w:r>
          </w:p>
        </w:tc>
      </w:tr>
    </w:tbl>
    <w:p>
      <w:pPr>
        <w:pStyle w:val="Caption"/>
        <w:jc w:val="center"/>
      </w:pPr>
      <w:r>
        <w:rPr>
          <w:b w:val="0"/>
          <w:i w:val="0"/>
        </w:rPr>
        <w:t>Table 4: Defect severity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4876"/>
        <w:gridCol w:w="3402"/>
      </w:tblGrid>
      <w:tr>
        <w:trPr>
          <w:cantSplit/>
          <w:tblHeader/>
        </w:trPr>
        <w:tc>
          <w:tcPr>
            <w:tcW w:type="dxa" w:w="1361"/>
            <w:shd w:val="clear" w:color="auto" w:fill="E1058C"/>
            <w:vAlign w:val="center"/>
          </w:tcPr>
          <w:p>
            <w:pPr>
              <w:spacing w:after="0"/>
            </w:pPr>
            <w:r>
              <w:rPr>
                <w:b/>
                <w:i w:val="0"/>
                <w:color w:val="FFFFFF"/>
                <w:sz w:val="16"/>
              </w:rPr>
              <w:t>Priority</w:t>
            </w:r>
          </w:p>
        </w:tc>
        <w:tc>
          <w:tcPr>
            <w:tcW w:type="dxa" w:w="4876"/>
            <w:shd w:val="clear" w:color="auto" w:fill="E1058C"/>
            <w:vAlign w:val="center"/>
          </w:tcPr>
          <w:p>
            <w:pPr>
              <w:spacing w:after="0"/>
            </w:pPr>
            <w:r>
              <w:rPr>
                <w:b/>
                <w:i w:val="0"/>
                <w:color w:val="FFFFFF"/>
                <w:sz w:val="16"/>
              </w:rPr>
              <w:t>Definition</w:t>
            </w:r>
          </w:p>
        </w:tc>
        <w:tc>
          <w:tcPr>
            <w:tcW w:type="dxa" w:w="3402"/>
            <w:shd w:val="clear" w:color="auto" w:fill="E1058C"/>
            <w:vAlign w:val="center"/>
          </w:tcPr>
          <w:p>
            <w:pPr>
              <w:spacing w:after="0"/>
            </w:pPr>
            <w:r>
              <w:rPr>
                <w:b/>
                <w:i w:val="0"/>
                <w:color w:val="FFFFFF"/>
                <w:sz w:val="16"/>
              </w:rPr>
              <w:t>Target</w:t>
            </w:r>
          </w:p>
        </w:tc>
      </w:tr>
      <w:tr>
        <w:trPr>
          <w:cantSplit/>
        </w:trPr>
        <w:tc>
          <w:tcPr>
            <w:tcW w:type="dxa" w:w="1361"/>
            <w:vAlign w:val="top"/>
          </w:tcPr>
          <w:p>
            <w:pPr>
              <w:spacing w:after="20" w:line="252" w:lineRule="auto"/>
            </w:pPr>
            <w:r>
              <w:rPr>
                <w:b/>
                <w:i w:val="0"/>
                <w:sz w:val="16"/>
              </w:rPr>
              <w:t>Urgent</w:t>
            </w:r>
          </w:p>
        </w:tc>
        <w:tc>
          <w:tcPr>
            <w:tcW w:type="dxa" w:w="4876"/>
            <w:vAlign w:val="top"/>
          </w:tcPr>
          <w:p>
            <w:pPr>
              <w:spacing w:after="20" w:line="252" w:lineRule="auto"/>
            </w:pPr>
            <w:r>
              <w:rPr>
                <w:b w:val="0"/>
                <w:i w:val="0"/>
                <w:sz w:val="16"/>
              </w:rPr>
              <w:t>Blocks testing of other cases or a milestone</w:t>
            </w:r>
          </w:p>
        </w:tc>
        <w:tc>
          <w:tcPr>
            <w:tcW w:type="dxa" w:w="3402"/>
            <w:vAlign w:val="top"/>
          </w:tcPr>
          <w:p>
            <w:pPr>
              <w:spacing w:after="20" w:line="252" w:lineRule="auto"/>
            </w:pPr>
            <w:r>
              <w:rPr>
                <w:b w:val="0"/>
                <w:i w:val="0"/>
                <w:sz w:val="16"/>
              </w:rPr>
              <w:t>Next build (within 1 working day in SIT/UAT)</w:t>
            </w:r>
          </w:p>
        </w:tc>
      </w:tr>
      <w:tr>
        <w:trPr>
          <w:cantSplit/>
        </w:trPr>
        <w:tc>
          <w:tcPr>
            <w:tcW w:type="dxa" w:w="1361"/>
            <w:vAlign w:val="top"/>
            <w:shd w:val="clear" w:color="auto" w:fill="FDF0F7"/>
          </w:tcPr>
          <w:p>
            <w:pPr>
              <w:spacing w:after="20" w:line="252" w:lineRule="auto"/>
            </w:pPr>
            <w:r>
              <w:rPr>
                <w:b/>
                <w:i w:val="0"/>
                <w:sz w:val="16"/>
              </w:rPr>
              <w:t>High</w:t>
            </w:r>
          </w:p>
        </w:tc>
        <w:tc>
          <w:tcPr>
            <w:tcW w:type="dxa" w:w="4876"/>
            <w:vAlign w:val="top"/>
            <w:shd w:val="clear" w:color="auto" w:fill="FDF0F7"/>
          </w:tcPr>
          <w:p>
            <w:pPr>
              <w:spacing w:after="20" w:line="252" w:lineRule="auto"/>
            </w:pPr>
            <w:r>
              <w:rPr>
                <w:b w:val="0"/>
                <w:i w:val="0"/>
                <w:sz w:val="16"/>
              </w:rPr>
              <w:t>Needed for the current phase exit</w:t>
            </w:r>
          </w:p>
        </w:tc>
        <w:tc>
          <w:tcPr>
            <w:tcW w:type="dxa" w:w="3402"/>
            <w:vAlign w:val="top"/>
            <w:shd w:val="clear" w:color="auto" w:fill="FDF0F7"/>
          </w:tcPr>
          <w:p>
            <w:pPr>
              <w:spacing w:after="20" w:line="252" w:lineRule="auto"/>
            </w:pPr>
            <w:r>
              <w:rPr>
                <w:b w:val="0"/>
                <w:i w:val="0"/>
                <w:sz w:val="16"/>
              </w:rPr>
              <w:t>Within 3 working days</w:t>
            </w:r>
          </w:p>
        </w:tc>
      </w:tr>
      <w:tr>
        <w:trPr>
          <w:cantSplit/>
        </w:trPr>
        <w:tc>
          <w:tcPr>
            <w:tcW w:type="dxa" w:w="1361"/>
            <w:vAlign w:val="top"/>
          </w:tcPr>
          <w:p>
            <w:pPr>
              <w:spacing w:after="20" w:line="252" w:lineRule="auto"/>
            </w:pPr>
            <w:r>
              <w:rPr>
                <w:b/>
                <w:i w:val="0"/>
                <w:sz w:val="16"/>
              </w:rPr>
              <w:t>Medium</w:t>
            </w:r>
          </w:p>
        </w:tc>
        <w:tc>
          <w:tcPr>
            <w:tcW w:type="dxa" w:w="4876"/>
            <w:vAlign w:val="top"/>
          </w:tcPr>
          <w:p>
            <w:pPr>
              <w:spacing w:after="20" w:line="252" w:lineRule="auto"/>
            </w:pPr>
            <w:r>
              <w:rPr>
                <w:b w:val="0"/>
                <w:i w:val="0"/>
                <w:sz w:val="16"/>
              </w:rPr>
              <w:t>Needed before go-live</w:t>
            </w:r>
          </w:p>
        </w:tc>
        <w:tc>
          <w:tcPr>
            <w:tcW w:type="dxa" w:w="3402"/>
            <w:vAlign w:val="top"/>
          </w:tcPr>
          <w:p>
            <w:pPr>
              <w:spacing w:after="20" w:line="252" w:lineRule="auto"/>
            </w:pPr>
            <w:r>
              <w:rPr>
                <w:b w:val="0"/>
                <w:i w:val="0"/>
                <w:sz w:val="16"/>
              </w:rPr>
              <w:t>Next planned build</w:t>
            </w:r>
          </w:p>
        </w:tc>
      </w:tr>
      <w:tr>
        <w:trPr>
          <w:cantSplit/>
        </w:trPr>
        <w:tc>
          <w:tcPr>
            <w:tcW w:type="dxa" w:w="1361"/>
            <w:vAlign w:val="top"/>
            <w:shd w:val="clear" w:color="auto" w:fill="FDF0F7"/>
          </w:tcPr>
          <w:p>
            <w:pPr>
              <w:spacing w:after="20" w:line="252" w:lineRule="auto"/>
            </w:pPr>
            <w:r>
              <w:rPr>
                <w:b/>
                <w:i w:val="0"/>
                <w:sz w:val="16"/>
              </w:rPr>
              <w:t>Low</w:t>
            </w:r>
          </w:p>
        </w:tc>
        <w:tc>
          <w:tcPr>
            <w:tcW w:type="dxa" w:w="4876"/>
            <w:vAlign w:val="top"/>
            <w:shd w:val="clear" w:color="auto" w:fill="FDF0F7"/>
          </w:tcPr>
          <w:p>
            <w:pPr>
              <w:spacing w:after="20" w:line="252" w:lineRule="auto"/>
            </w:pPr>
            <w:r>
              <w:rPr>
                <w:b w:val="0"/>
                <w:i w:val="0"/>
                <w:sz w:val="16"/>
              </w:rPr>
              <w:t>Improvement; can follow go-live</w:t>
            </w:r>
          </w:p>
        </w:tc>
        <w:tc>
          <w:tcPr>
            <w:tcW w:type="dxa" w:w="3402"/>
            <w:vAlign w:val="top"/>
            <w:shd w:val="clear" w:color="auto" w:fill="FDF0F7"/>
          </w:tcPr>
          <w:p>
            <w:pPr>
              <w:spacing w:after="20" w:line="252" w:lineRule="auto"/>
            </w:pPr>
            <w:r>
              <w:rPr>
                <w:b w:val="0"/>
                <w:i w:val="0"/>
                <w:sz w:val="16"/>
              </w:rPr>
              <w:t>Backlog</w:t>
            </w:r>
          </w:p>
        </w:tc>
      </w:tr>
    </w:tbl>
    <w:p>
      <w:pPr>
        <w:pStyle w:val="Caption"/>
        <w:jc w:val="center"/>
      </w:pPr>
      <w:r>
        <w:rPr>
          <w:b w:val="0"/>
          <w:i w:val="0"/>
        </w:rPr>
        <w:t>Table 5: Defect priority</w:t>
      </w:r>
    </w:p>
    <w:p>
      <w:pPr>
        <w:pStyle w:val="Heading2"/>
      </w:pPr>
      <w:r>
        <w:t>5.1 Defect workflow</w:t>
      </w:r>
    </w:p>
    <w:p>
      <w:pPr>
        <w:keepNext/>
        <w:spacing w:after="60"/>
      </w:pPr>
      <w:r>
        <w:rPr>
          <w:b/>
          <w:i w:val="0"/>
        </w:rPr>
        <w:t>Steps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40" w:type="dxa"/>
          <w:left w:w="90" w:type="dxa"/>
          <w:bottom w:w="40" w:type="dxa"/>
          <w:right w:w="90" w:type="dxa"/>
        </w:tblCellMar>
        <w:tblLayout w:type="fixed"/>
      </w:tblPr>
      <w:tblGrid>
        <w:gridCol w:w="567"/>
        <w:gridCol w:w="9072"/>
      </w:tblGrid>
      <w:tr>
        <w:trPr>
          <w:cantSplit/>
          <w:tblHeader/>
        </w:trPr>
        <w:tc>
          <w:tcPr>
            <w:tcW w:type="dxa" w:w="567"/>
            <w:shd w:val="clear" w:color="auto" w:fill="E1058C"/>
            <w:vAlign w:val="center"/>
          </w:tcPr>
          <w:p>
            <w:pPr>
              <w:spacing w:after="0"/>
            </w:pPr>
            <w:r>
              <w:rPr>
                <w:b/>
                <w:i w:val="0"/>
                <w:color w:val="FFFFFF"/>
                <w:sz w:val="17"/>
              </w:rPr>
              <w:t>#</w:t>
            </w:r>
          </w:p>
        </w:tc>
        <w:tc>
          <w:tcPr>
            <w:tcW w:type="dxa" w:w="9071"/>
            <w:shd w:val="clear" w:color="auto" w:fill="E1058C"/>
            <w:vAlign w:val="center"/>
          </w:tcPr>
          <w:p>
            <w:pPr>
              <w:spacing w:after="0"/>
            </w:pPr>
            <w:r>
              <w:rPr>
                <w:b/>
                <w:i w:val="0"/>
                <w:color w:val="FFFFFF"/>
                <w:sz w:val="17"/>
              </w:rPr>
              <w:t>Action</w:t>
            </w:r>
          </w:p>
        </w:tc>
      </w:tr>
      <w:tr>
        <w:trPr>
          <w:cantSplit/>
        </w:trPr>
        <w:tc>
          <w:tcPr>
            <w:tcW w:type="dxa" w:w="567"/>
            <w:vAlign w:val="top"/>
          </w:tcPr>
          <w:p>
            <w:pPr>
              <w:spacing w:after="20" w:line="252" w:lineRule="auto"/>
              <w:jc w:val="center"/>
            </w:pPr>
            <w:r>
              <w:rPr>
                <w:b w:val="0"/>
                <w:i w:val="0"/>
                <w:sz w:val="17"/>
              </w:rPr>
              <w:t>1</w:t>
            </w:r>
          </w:p>
        </w:tc>
        <w:tc>
          <w:tcPr>
            <w:tcW w:type="dxa" w:w="9071"/>
            <w:vAlign w:val="top"/>
          </w:tcPr>
          <w:p>
            <w:pPr>
              <w:spacing w:after="20" w:line="252" w:lineRule="auto"/>
            </w:pPr>
            <w:r>
              <w:rPr>
                <w:b w:val="0"/>
                <w:i w:val="0"/>
                <w:sz w:val="17"/>
              </w:rPr>
              <w:t>Log the defect in the agreed tool with the case identifier, environment, build and evidence.</w:t>
            </w:r>
          </w:p>
        </w:tc>
      </w:tr>
      <w:tr>
        <w:trPr>
          <w:cantSplit/>
        </w:trPr>
        <w:tc>
          <w:tcPr>
            <w:tcW w:type="dxa" w:w="567"/>
            <w:vAlign w:val="top"/>
            <w:shd w:val="clear" w:color="auto" w:fill="FDF0F7"/>
          </w:tcPr>
          <w:p>
            <w:pPr>
              <w:spacing w:after="20" w:line="252" w:lineRule="auto"/>
              <w:jc w:val="center"/>
            </w:pPr>
            <w:r>
              <w:rPr>
                <w:b w:val="0"/>
                <w:i w:val="0"/>
                <w:sz w:val="17"/>
              </w:rPr>
              <w:t>2</w:t>
            </w:r>
          </w:p>
        </w:tc>
        <w:tc>
          <w:tcPr>
            <w:tcW w:type="dxa" w:w="9071"/>
            <w:vAlign w:val="top"/>
            <w:shd w:val="clear" w:color="auto" w:fill="FDF0F7"/>
          </w:tcPr>
          <w:p>
            <w:pPr>
              <w:spacing w:after="20" w:line="252" w:lineRule="auto"/>
            </w:pPr>
            <w:r>
              <w:rPr>
                <w:b w:val="0"/>
                <w:i w:val="0"/>
                <w:sz w:val="17"/>
              </w:rPr>
              <w:t>Triage (daily): confirm, set severity and priority, assign to iorta; reject duplicates or expected behaviour with a note.</w:t>
            </w:r>
          </w:p>
        </w:tc>
      </w:tr>
      <w:tr>
        <w:trPr>
          <w:cantSplit/>
        </w:trPr>
        <w:tc>
          <w:tcPr>
            <w:tcW w:type="dxa" w:w="567"/>
            <w:vAlign w:val="top"/>
          </w:tcPr>
          <w:p>
            <w:pPr>
              <w:spacing w:after="20" w:line="252" w:lineRule="auto"/>
              <w:jc w:val="center"/>
            </w:pPr>
            <w:r>
              <w:rPr>
                <w:b w:val="0"/>
                <w:i w:val="0"/>
                <w:sz w:val="17"/>
              </w:rPr>
              <w:t>3</w:t>
            </w:r>
          </w:p>
        </w:tc>
        <w:tc>
          <w:tcPr>
            <w:tcW w:type="dxa" w:w="9071"/>
            <w:vAlign w:val="top"/>
          </w:tcPr>
          <w:p>
            <w:pPr>
              <w:spacing w:after="20" w:line="252" w:lineRule="auto"/>
            </w:pPr>
            <w:r>
              <w:rPr>
                <w:b w:val="0"/>
                <w:i w:val="0"/>
                <w:sz w:val="17"/>
              </w:rPr>
              <w:t>Fix and unit-test; add or extend an automated case; deliver in the next build with release notes.</w:t>
            </w:r>
          </w:p>
        </w:tc>
      </w:tr>
      <w:tr>
        <w:trPr>
          <w:cantSplit/>
        </w:trPr>
        <w:tc>
          <w:tcPr>
            <w:tcW w:type="dxa" w:w="567"/>
            <w:vAlign w:val="top"/>
            <w:shd w:val="clear" w:color="auto" w:fill="FDF0F7"/>
          </w:tcPr>
          <w:p>
            <w:pPr>
              <w:spacing w:after="20" w:line="252" w:lineRule="auto"/>
              <w:jc w:val="center"/>
            </w:pPr>
            <w:r>
              <w:rPr>
                <w:b w:val="0"/>
                <w:i w:val="0"/>
                <w:sz w:val="17"/>
              </w:rPr>
              <w:t>4</w:t>
            </w:r>
          </w:p>
        </w:tc>
        <w:tc>
          <w:tcPr>
            <w:tcW w:type="dxa" w:w="9071"/>
            <w:vAlign w:val="top"/>
            <w:shd w:val="clear" w:color="auto" w:fill="FDF0F7"/>
          </w:tcPr>
          <w:p>
            <w:pPr>
              <w:spacing w:after="20" w:line="252" w:lineRule="auto"/>
            </w:pPr>
            <w:r>
              <w:rPr>
                <w:b w:val="0"/>
                <w:i w:val="0"/>
                <w:sz w:val="17"/>
              </w:rPr>
              <w:t>Re-test the case and the related regression set; close or re-open with evidence.</w:t>
            </w:r>
          </w:p>
        </w:tc>
      </w:tr>
      <w:tr>
        <w:trPr>
          <w:cantSplit/>
        </w:trPr>
        <w:tc>
          <w:tcPr>
            <w:tcW w:type="dxa" w:w="567"/>
            <w:vAlign w:val="top"/>
          </w:tcPr>
          <w:p>
            <w:pPr>
              <w:spacing w:after="20" w:line="252" w:lineRule="auto"/>
              <w:jc w:val="center"/>
            </w:pPr>
            <w:r>
              <w:rPr>
                <w:b w:val="0"/>
                <w:i w:val="0"/>
                <w:sz w:val="17"/>
              </w:rPr>
              <w:t>5</w:t>
            </w:r>
          </w:p>
        </w:tc>
        <w:tc>
          <w:tcPr>
            <w:tcW w:type="dxa" w:w="9071"/>
            <w:vAlign w:val="top"/>
          </w:tcPr>
          <w:p>
            <w:pPr>
              <w:spacing w:after="20" w:line="252" w:lineRule="auto"/>
            </w:pPr>
            <w:r>
              <w:rPr>
                <w:b w:val="0"/>
                <w:i w:val="0"/>
                <w:sz w:val="17"/>
              </w:rPr>
              <w:t>Report open defects by severity and age in the daily and weekly reports; agree deferrals with IIFT.</w:t>
            </w:r>
          </w:p>
        </w:tc>
      </w:tr>
    </w:tbl>
    <w:p>
      <w:pPr>
        <w:spacing w:after="0" w:before="0"/>
      </w:pPr>
      <w:r>
        <w:rPr>
          <w:sz w:val="8"/>
        </w:rPr>
      </w:r>
    </w:p>
    <w:p>
      <w:pPr>
        <w:pStyle w:val="Heading1"/>
        <w:pageBreakBefore/>
        <w:pBdr>
          <w:bottom w:val="single" w:sz="12" w:space="4" w:color="F58220"/>
        </w:pBdr>
      </w:pPr>
      <w:r>
        <w:t>6. Roles and responsibilities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030"/>
      </w:tblGrid>
      <w:tr>
        <w:trPr>
          <w:cantSplit/>
          <w:tblHeader/>
        </w:trPr>
        <w:tc>
          <w:tcPr>
            <w:tcW w:type="dxa" w:w="2608"/>
            <w:shd w:val="clear" w:color="auto" w:fill="E1058C"/>
            <w:vAlign w:val="center"/>
          </w:tcPr>
          <w:p>
            <w:pPr>
              <w:spacing w:after="0"/>
            </w:pPr>
            <w:r>
              <w:rPr>
                <w:b/>
                <w:i w:val="0"/>
                <w:color w:val="FFFFFF"/>
                <w:sz w:val="16"/>
              </w:rPr>
              <w:t>Role</w:t>
            </w:r>
          </w:p>
        </w:tc>
        <w:tc>
          <w:tcPr>
            <w:tcW w:type="dxa" w:w="7030"/>
            <w:shd w:val="clear" w:color="auto" w:fill="E1058C"/>
            <w:vAlign w:val="center"/>
          </w:tcPr>
          <w:p>
            <w:pPr>
              <w:spacing w:after="0"/>
            </w:pPr>
            <w:r>
              <w:rPr>
                <w:b/>
                <w:i w:val="0"/>
                <w:color w:val="FFFFFF"/>
                <w:sz w:val="16"/>
              </w:rPr>
              <w:t>Responsibilities</w:t>
            </w:r>
          </w:p>
        </w:tc>
      </w:tr>
      <w:tr>
        <w:trPr>
          <w:cantSplit/>
        </w:trPr>
        <w:tc>
          <w:tcPr>
            <w:tcW w:type="dxa" w:w="2608"/>
            <w:vAlign w:val="top"/>
          </w:tcPr>
          <w:p>
            <w:pPr>
              <w:spacing w:after="20" w:line="252" w:lineRule="auto"/>
            </w:pPr>
            <w:r>
              <w:rPr>
                <w:b/>
                <w:i w:val="0"/>
                <w:sz w:val="16"/>
              </w:rPr>
              <w:t>Test manager (iorta)</w:t>
            </w:r>
          </w:p>
        </w:tc>
        <w:tc>
          <w:tcPr>
            <w:tcW w:type="dxa" w:w="7030"/>
            <w:vAlign w:val="top"/>
          </w:tcPr>
          <w:p>
            <w:pPr>
              <w:spacing w:after="20" w:line="252" w:lineRule="auto"/>
            </w:pPr>
            <w:r>
              <w:rPr>
                <w:b w:val="0"/>
                <w:i w:val="0"/>
                <w:sz w:val="16"/>
              </w:rPr>
              <w:t>Owns this strategy, the workbook, entry/exit decisions, defect triage, reporting</w:t>
            </w:r>
          </w:p>
        </w:tc>
      </w:tr>
      <w:tr>
        <w:trPr>
          <w:cantSplit/>
        </w:trPr>
        <w:tc>
          <w:tcPr>
            <w:tcW w:type="dxa" w:w="2608"/>
            <w:vAlign w:val="top"/>
            <w:shd w:val="clear" w:color="auto" w:fill="FDF0F7"/>
          </w:tcPr>
          <w:p>
            <w:pPr>
              <w:spacing w:after="20" w:line="252" w:lineRule="auto"/>
            </w:pPr>
            <w:r>
              <w:rPr>
                <w:b/>
                <w:i w:val="0"/>
                <w:sz w:val="16"/>
              </w:rPr>
              <w:t>QA engineers (iorta)</w:t>
            </w:r>
          </w:p>
        </w:tc>
        <w:tc>
          <w:tcPr>
            <w:tcW w:type="dxa" w:w="7030"/>
            <w:vAlign w:val="top"/>
            <w:shd w:val="clear" w:color="auto" w:fill="FDF0F7"/>
          </w:tcPr>
          <w:p>
            <w:pPr>
              <w:spacing w:after="20" w:line="252" w:lineRule="auto"/>
            </w:pPr>
            <w:r>
              <w:rPr>
                <w:b w:val="0"/>
                <w:i w:val="0"/>
                <w:sz w:val="16"/>
              </w:rPr>
              <w:t>Write and run cases, maintain the automated suites and the API run script, record evidence, re-test fixes</w:t>
            </w:r>
          </w:p>
        </w:tc>
      </w:tr>
      <w:tr>
        <w:trPr>
          <w:cantSplit/>
        </w:trPr>
        <w:tc>
          <w:tcPr>
            <w:tcW w:type="dxa" w:w="2608"/>
            <w:vAlign w:val="top"/>
          </w:tcPr>
          <w:p>
            <w:pPr>
              <w:spacing w:after="20" w:line="252" w:lineRule="auto"/>
            </w:pPr>
            <w:r>
              <w:rPr>
                <w:b/>
                <w:i w:val="0"/>
                <w:sz w:val="16"/>
              </w:rPr>
              <w:t>Developers (iorta)</w:t>
            </w:r>
          </w:p>
        </w:tc>
        <w:tc>
          <w:tcPr>
            <w:tcW w:type="dxa" w:w="7030"/>
            <w:vAlign w:val="top"/>
          </w:tcPr>
          <w:p>
            <w:pPr>
              <w:spacing w:after="20" w:line="252" w:lineRule="auto"/>
            </w:pPr>
            <w:r>
              <w:rPr>
                <w:b w:val="0"/>
                <w:i w:val="0"/>
                <w:sz w:val="16"/>
              </w:rPr>
              <w:t>Unit and API tests with every change; fix defects; support SIT and UAT</w:t>
            </w:r>
          </w:p>
        </w:tc>
      </w:tr>
      <w:tr>
        <w:trPr>
          <w:cantSplit/>
        </w:trPr>
        <w:tc>
          <w:tcPr>
            <w:tcW w:type="dxa" w:w="2608"/>
            <w:vAlign w:val="top"/>
            <w:shd w:val="clear" w:color="auto" w:fill="FDF0F7"/>
          </w:tcPr>
          <w:p>
            <w:pPr>
              <w:spacing w:after="20" w:line="252" w:lineRule="auto"/>
            </w:pPr>
            <w:r>
              <w:rPr>
                <w:b/>
                <w:i w:val="0"/>
                <w:sz w:val="16"/>
              </w:rPr>
              <w:t>DevOps and security engineer (iorta)</w:t>
            </w:r>
          </w:p>
        </w:tc>
        <w:tc>
          <w:tcPr>
            <w:tcW w:type="dxa" w:w="7030"/>
            <w:vAlign w:val="top"/>
            <w:shd w:val="clear" w:color="auto" w:fill="FDF0F7"/>
          </w:tcPr>
          <w:p>
            <w:pPr>
              <w:spacing w:after="20" w:line="252" w:lineRule="auto"/>
            </w:pPr>
            <w:r>
              <w:rPr>
                <w:b w:val="0"/>
                <w:i w:val="0"/>
                <w:sz w:val="16"/>
              </w:rPr>
              <w:t>CI gates, environments, performance tests, VAPT coordination and remediation tracking</w:t>
            </w:r>
          </w:p>
        </w:tc>
      </w:tr>
      <w:tr>
        <w:trPr>
          <w:cantSplit/>
        </w:trPr>
        <w:tc>
          <w:tcPr>
            <w:tcW w:type="dxa" w:w="2608"/>
            <w:vAlign w:val="top"/>
          </w:tcPr>
          <w:p>
            <w:pPr>
              <w:spacing w:after="20" w:line="252" w:lineRule="auto"/>
            </w:pPr>
            <w:r>
              <w:rPr>
                <w:b/>
                <w:i w:val="0"/>
                <w:sz w:val="16"/>
              </w:rPr>
              <w:t>Business analyst (iorta)</w:t>
            </w:r>
          </w:p>
        </w:tc>
        <w:tc>
          <w:tcPr>
            <w:tcW w:type="dxa" w:w="7030"/>
            <w:vAlign w:val="top"/>
          </w:tcPr>
          <w:p>
            <w:pPr>
              <w:spacing w:after="20" w:line="252" w:lineRule="auto"/>
            </w:pPr>
            <w:r>
              <w:rPr>
                <w:b w:val="0"/>
                <w:i w:val="0"/>
                <w:sz w:val="16"/>
              </w:rPr>
              <w:t>Scenario review against the BRS/FRS and Appendix 3 flows; UAT script preparation and support</w:t>
            </w:r>
          </w:p>
        </w:tc>
      </w:tr>
      <w:tr>
        <w:trPr>
          <w:cantSplit/>
        </w:trPr>
        <w:tc>
          <w:tcPr>
            <w:tcW w:type="dxa" w:w="2608"/>
            <w:vAlign w:val="top"/>
            <w:shd w:val="clear" w:color="auto" w:fill="FDF0F7"/>
          </w:tcPr>
          <w:p>
            <w:pPr>
              <w:spacing w:after="20" w:line="252" w:lineRule="auto"/>
            </w:pPr>
            <w:r>
              <w:rPr>
                <w:b/>
                <w:i w:val="0"/>
                <w:sz w:val="16"/>
              </w:rPr>
              <w:t>IIFT UAT testers / super-users</w:t>
            </w:r>
          </w:p>
        </w:tc>
        <w:tc>
          <w:tcPr>
            <w:tcW w:type="dxa" w:w="7030"/>
            <w:vAlign w:val="top"/>
            <w:shd w:val="clear" w:color="auto" w:fill="FDF0F7"/>
          </w:tcPr>
          <w:p>
            <w:pPr>
              <w:spacing w:after="20" w:line="252" w:lineRule="auto"/>
            </w:pPr>
            <w:r>
              <w:rPr>
                <w:b w:val="0"/>
                <w:i w:val="0"/>
                <w:sz w:val="16"/>
              </w:rPr>
              <w:t>Execute UAT scripts, record results and defects, confirm business acceptance; browser checks on IIFT devices</w:t>
            </w:r>
          </w:p>
        </w:tc>
      </w:tr>
      <w:tr>
        <w:trPr>
          <w:cantSplit/>
        </w:trPr>
        <w:tc>
          <w:tcPr>
            <w:tcW w:type="dxa" w:w="2608"/>
            <w:vAlign w:val="top"/>
          </w:tcPr>
          <w:p>
            <w:pPr>
              <w:spacing w:after="20" w:line="252" w:lineRule="auto"/>
            </w:pPr>
            <w:r>
              <w:rPr>
                <w:b/>
                <w:i w:val="0"/>
                <w:sz w:val="16"/>
              </w:rPr>
              <w:t>IIFT product and business owners</w:t>
            </w:r>
          </w:p>
        </w:tc>
        <w:tc>
          <w:tcPr>
            <w:tcW w:type="dxa" w:w="7030"/>
            <w:vAlign w:val="top"/>
          </w:tcPr>
          <w:p>
            <w:pPr>
              <w:spacing w:after="20" w:line="252" w:lineRule="auto"/>
            </w:pPr>
            <w:r>
              <w:rPr>
                <w:b w:val="0"/>
                <w:i w:val="0"/>
                <w:sz w:val="16"/>
              </w:rPr>
              <w:t>Approve UAT scripts and exit; decide on deferrals; sign the UAT certificate</w:t>
            </w:r>
          </w:p>
        </w:tc>
      </w:tr>
      <w:tr>
        <w:trPr>
          <w:cantSplit/>
        </w:trPr>
        <w:tc>
          <w:tcPr>
            <w:tcW w:type="dxa" w:w="2608"/>
            <w:vAlign w:val="top"/>
            <w:shd w:val="clear" w:color="auto" w:fill="FDF0F7"/>
          </w:tcPr>
          <w:p>
            <w:pPr>
              <w:spacing w:after="20" w:line="252" w:lineRule="auto"/>
            </w:pPr>
            <w:r>
              <w:rPr>
                <w:b/>
                <w:i w:val="0"/>
                <w:sz w:val="16"/>
              </w:rPr>
              <w:t>IITH IT</w:t>
            </w:r>
          </w:p>
        </w:tc>
        <w:tc>
          <w:tcPr>
            <w:tcW w:type="dxa" w:w="7030"/>
            <w:vAlign w:val="top"/>
            <w:shd w:val="clear" w:color="auto" w:fill="FDF0F7"/>
          </w:tcPr>
          <w:p>
            <w:pPr>
              <w:spacing w:after="20" w:line="252" w:lineRule="auto"/>
            </w:pPr>
            <w:r>
              <w:rPr>
                <w:b w:val="0"/>
                <w:i w:val="0"/>
                <w:sz w:val="16"/>
              </w:rPr>
              <w:t>SIT and UAT environments, interface test endpoints and credentials, AD, SMTP, SMS, monitoring, backup/DR drills; participation in SIT of interfaces</w:t>
            </w:r>
          </w:p>
        </w:tc>
      </w:tr>
      <w:tr>
        <w:trPr>
          <w:cantSplit/>
        </w:trPr>
        <w:tc>
          <w:tcPr>
            <w:tcW w:type="dxa" w:w="2608"/>
            <w:vAlign w:val="top"/>
          </w:tcPr>
          <w:p>
            <w:pPr>
              <w:spacing w:after="20" w:line="252" w:lineRule="auto"/>
            </w:pPr>
            <w:r>
              <w:rPr>
                <w:b/>
                <w:i w:val="0"/>
                <w:sz w:val="16"/>
              </w:rPr>
              <w:t>Independent VAPT provider</w:t>
            </w:r>
          </w:p>
        </w:tc>
        <w:tc>
          <w:tcPr>
            <w:tcW w:type="dxa" w:w="7030"/>
            <w:vAlign w:val="top"/>
          </w:tcPr>
          <w:p>
            <w:pPr>
              <w:spacing w:after="20" w:line="252" w:lineRule="auto"/>
            </w:pPr>
            <w:r>
              <w:rPr>
                <w:b w:val="0"/>
                <w:i w:val="0"/>
                <w:sz w:val="16"/>
              </w:rPr>
              <w:t>Vulnerability assessment and penetration test, re-test, report</w:t>
            </w:r>
          </w:p>
        </w:tc>
      </w:tr>
    </w:tbl>
    <w:p>
      <w:pPr>
        <w:pStyle w:val="Caption"/>
        <w:jc w:val="center"/>
      </w:pPr>
      <w:r>
        <w:rPr>
          <w:b w:val="0"/>
          <w:i w:val="0"/>
        </w:rPr>
        <w:t>Table 6: Roles</w:t>
      </w:r>
    </w:p>
    <w:p>
      <w:pPr>
        <w:pStyle w:val="Heading1"/>
        <w:pageBreakBefore/>
        <w:pBdr>
          <w:bottom w:val="single" w:sz="12" w:space="4" w:color="F58220"/>
        </w:pBdr>
      </w:pPr>
      <w:r>
        <w:t>7. Tooling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061"/>
        <w:gridCol w:w="6577"/>
      </w:tblGrid>
      <w:tr>
        <w:trPr>
          <w:cantSplit/>
          <w:tblHeader/>
        </w:trPr>
        <w:tc>
          <w:tcPr>
            <w:tcW w:type="dxa" w:w="3061"/>
            <w:shd w:val="clear" w:color="auto" w:fill="E1058C"/>
            <w:vAlign w:val="center"/>
          </w:tcPr>
          <w:p>
            <w:pPr>
              <w:spacing w:after="0"/>
            </w:pPr>
            <w:r>
              <w:rPr>
                <w:b/>
                <w:i w:val="0"/>
                <w:color w:val="FFFFFF"/>
                <w:sz w:val="16"/>
              </w:rPr>
              <w:t>Tool</w:t>
            </w:r>
          </w:p>
        </w:tc>
        <w:tc>
          <w:tcPr>
            <w:tcW w:type="dxa" w:w="6576"/>
            <w:shd w:val="clear" w:color="auto" w:fill="E1058C"/>
            <w:vAlign w:val="center"/>
          </w:tcPr>
          <w:p>
            <w:pPr>
              <w:spacing w:after="0"/>
            </w:pPr>
            <w:r>
              <w:rPr>
                <w:b/>
                <w:i w:val="0"/>
                <w:color w:val="FFFFFF"/>
                <w:sz w:val="16"/>
              </w:rPr>
              <w:t>Use</w:t>
            </w:r>
          </w:p>
        </w:tc>
      </w:tr>
      <w:tr>
        <w:trPr>
          <w:cantSplit/>
        </w:trPr>
        <w:tc>
          <w:tcPr>
            <w:tcW w:type="dxa" w:w="3061"/>
            <w:vAlign w:val="top"/>
          </w:tcPr>
          <w:p>
            <w:pPr>
              <w:spacing w:after="20" w:line="252" w:lineRule="auto"/>
            </w:pPr>
            <w:r>
              <w:rPr>
                <w:b/>
                <w:i w:val="0"/>
                <w:sz w:val="16"/>
              </w:rPr>
              <w:t>Vitest</w:t>
            </w:r>
          </w:p>
        </w:tc>
        <w:tc>
          <w:tcPr>
            <w:tcW w:type="dxa" w:w="6576"/>
            <w:vAlign w:val="top"/>
          </w:tcPr>
          <w:p>
            <w:pPr>
              <w:spacing w:after="20" w:line="252" w:lineRule="auto"/>
            </w:pPr>
            <w:r>
              <w:rPr>
                <w:b w:val="0"/>
                <w:i w:val="0"/>
                <w:sz w:val="16"/>
              </w:rPr>
              <w:t>Unit and API/end-to-end test runner (JSON reports kept as evidence)</w:t>
            </w:r>
          </w:p>
        </w:tc>
      </w:tr>
      <w:tr>
        <w:trPr>
          <w:cantSplit/>
        </w:trPr>
        <w:tc>
          <w:tcPr>
            <w:tcW w:type="dxa" w:w="3061"/>
            <w:vAlign w:val="top"/>
            <w:shd w:val="clear" w:color="auto" w:fill="FDF0F7"/>
          </w:tcPr>
          <w:p>
            <w:pPr>
              <w:spacing w:after="20" w:line="252" w:lineRule="auto"/>
            </w:pPr>
            <w:r>
              <w:rPr>
                <w:b/>
                <w:i w:val="0"/>
                <w:sz w:val="16"/>
              </w:rPr>
              <w:t>supertest</w:t>
            </w:r>
          </w:p>
        </w:tc>
        <w:tc>
          <w:tcPr>
            <w:tcW w:type="dxa" w:w="6576"/>
            <w:vAlign w:val="top"/>
            <w:shd w:val="clear" w:color="auto" w:fill="FDF0F7"/>
          </w:tcPr>
          <w:p>
            <w:pPr>
              <w:spacing w:after="20" w:line="252" w:lineRule="auto"/>
            </w:pPr>
            <w:r>
              <w:rPr>
                <w:b w:val="0"/>
                <w:i w:val="0"/>
                <w:sz w:val="16"/>
              </w:rPr>
              <w:t>HTTP calls against the application in the end-to-end suite</w:t>
            </w:r>
          </w:p>
        </w:tc>
      </w:tr>
      <w:tr>
        <w:trPr>
          <w:cantSplit/>
        </w:trPr>
        <w:tc>
          <w:tcPr>
            <w:tcW w:type="dxa" w:w="3061"/>
            <w:vAlign w:val="top"/>
          </w:tcPr>
          <w:p>
            <w:pPr>
              <w:spacing w:after="20" w:line="252" w:lineRule="auto"/>
            </w:pPr>
            <w:r>
              <w:rPr>
                <w:b/>
                <w:i w:val="0"/>
                <w:sz w:val="16"/>
              </w:rPr>
              <w:t>Testing Library + jsdom</w:t>
            </w:r>
          </w:p>
        </w:tc>
        <w:tc>
          <w:tcPr>
            <w:tcW w:type="dxa" w:w="6576"/>
            <w:vAlign w:val="top"/>
          </w:tcPr>
          <w:p>
            <w:pPr>
              <w:spacing w:after="20" w:line="252" w:lineRule="auto"/>
            </w:pPr>
            <w:r>
              <w:rPr>
                <w:b w:val="0"/>
                <w:i w:val="0"/>
                <w:sz w:val="16"/>
              </w:rPr>
              <w:t>Web component tests</w:t>
            </w:r>
          </w:p>
        </w:tc>
      </w:tr>
      <w:tr>
        <w:trPr>
          <w:cantSplit/>
        </w:trPr>
        <w:tc>
          <w:tcPr>
            <w:tcW w:type="dxa" w:w="3061"/>
            <w:vAlign w:val="top"/>
            <w:shd w:val="clear" w:color="auto" w:fill="FDF0F7"/>
          </w:tcPr>
          <w:p>
            <w:pPr>
              <w:spacing w:after="20" w:line="252" w:lineRule="auto"/>
            </w:pPr>
            <w:r>
              <w:rPr>
                <w:b/>
                <w:i w:val="0"/>
                <w:sz w:val="16"/>
              </w:rPr>
              <w:t>Playwright</w:t>
            </w:r>
          </w:p>
        </w:tc>
        <w:tc>
          <w:tcPr>
            <w:tcW w:type="dxa" w:w="6576"/>
            <w:vAlign w:val="top"/>
            <w:shd w:val="clear" w:color="auto" w:fill="FDF0F7"/>
          </w:tcPr>
          <w:p>
            <w:pPr>
              <w:spacing w:after="20" w:line="252" w:lineRule="auto"/>
            </w:pPr>
            <w:r>
              <w:rPr>
                <w:b w:val="0"/>
                <w:i w:val="0"/>
                <w:sz w:val="16"/>
              </w:rPr>
              <w:t>Browser smoke and regression suite (SIT onwards)</w:t>
            </w:r>
          </w:p>
        </w:tc>
      </w:tr>
      <w:tr>
        <w:trPr>
          <w:cantSplit/>
        </w:trPr>
        <w:tc>
          <w:tcPr>
            <w:tcW w:type="dxa" w:w="3061"/>
            <w:vAlign w:val="top"/>
          </w:tcPr>
          <w:p>
            <w:pPr>
              <w:spacing w:after="20" w:line="252" w:lineRule="auto"/>
            </w:pPr>
            <w:r>
              <w:rPr>
                <w:b/>
                <w:i w:val="0"/>
                <w:sz w:val="16"/>
              </w:rPr>
              <w:t>tools/testing/api-test-run.mjs</w:t>
            </w:r>
          </w:p>
        </w:tc>
        <w:tc>
          <w:tcPr>
            <w:tcW w:type="dxa" w:w="6576"/>
            <w:vAlign w:val="top"/>
          </w:tcPr>
          <w:p>
            <w:pPr>
              <w:spacing w:after="20" w:line="252" w:lineRule="auto"/>
            </w:pPr>
            <w:r>
              <w:rPr>
                <w:b w:val="0"/>
                <w:i w:val="0"/>
                <w:sz w:val="16"/>
              </w:rPr>
              <w:t>Scripted system cases against a running instance; writes evidence/api-test-run.json</w:t>
            </w:r>
          </w:p>
        </w:tc>
      </w:tr>
      <w:tr>
        <w:trPr>
          <w:cantSplit/>
        </w:trPr>
        <w:tc>
          <w:tcPr>
            <w:tcW w:type="dxa" w:w="3061"/>
            <w:vAlign w:val="top"/>
            <w:shd w:val="clear" w:color="auto" w:fill="FDF0F7"/>
          </w:tcPr>
          <w:p>
            <w:pPr>
              <w:spacing w:after="20" w:line="252" w:lineRule="auto"/>
            </w:pPr>
            <w:r>
              <w:rPr>
                <w:b/>
                <w:i w:val="0"/>
                <w:sz w:val="16"/>
              </w:rPr>
              <w:t>tools/security/security-checks.mjs</w:t>
            </w:r>
          </w:p>
        </w:tc>
        <w:tc>
          <w:tcPr>
            <w:tcW w:type="dxa" w:w="6576"/>
            <w:vAlign w:val="top"/>
            <w:shd w:val="clear" w:color="auto" w:fill="FDF0F7"/>
          </w:tcPr>
          <w:p>
            <w:pPr>
              <w:spacing w:after="20" w:line="252" w:lineRule="auto"/>
            </w:pPr>
            <w:r>
              <w:rPr>
                <w:b w:val="0"/>
                <w:i w:val="0"/>
                <w:sz w:val="16"/>
              </w:rPr>
              <w:t>29 OWASP Top 10 checks; evidence/security-checks.json</w:t>
            </w:r>
          </w:p>
        </w:tc>
      </w:tr>
      <w:tr>
        <w:trPr>
          <w:cantSplit/>
        </w:trPr>
        <w:tc>
          <w:tcPr>
            <w:tcW w:type="dxa" w:w="3061"/>
            <w:vAlign w:val="top"/>
          </w:tcPr>
          <w:p>
            <w:pPr>
              <w:spacing w:after="20" w:line="252" w:lineRule="auto"/>
            </w:pPr>
            <w:r>
              <w:rPr>
                <w:b/>
                <w:i w:val="0"/>
                <w:sz w:val="16"/>
              </w:rPr>
              <w:t>CodeQL, gitleaks, npm audit, Trivy, CycloneDX SBOM</w:t>
            </w:r>
          </w:p>
        </w:tc>
        <w:tc>
          <w:tcPr>
            <w:tcW w:type="dxa" w:w="6576"/>
            <w:vAlign w:val="top"/>
          </w:tcPr>
          <w:p>
            <w:pPr>
              <w:spacing w:after="20" w:line="252" w:lineRule="auto"/>
            </w:pPr>
            <w:r>
              <w:rPr>
                <w:b w:val="0"/>
                <w:i w:val="0"/>
                <w:sz w:val="16"/>
              </w:rPr>
              <w:t>CI security gates</w:t>
            </w:r>
          </w:p>
        </w:tc>
      </w:tr>
      <w:tr>
        <w:trPr>
          <w:cantSplit/>
        </w:trPr>
        <w:tc>
          <w:tcPr>
            <w:tcW w:type="dxa" w:w="3061"/>
            <w:vAlign w:val="top"/>
            <w:shd w:val="clear" w:color="auto" w:fill="FDF0F7"/>
          </w:tcPr>
          <w:p>
            <w:pPr>
              <w:spacing w:after="20" w:line="252" w:lineRule="auto"/>
            </w:pPr>
            <w:r>
              <w:rPr>
                <w:b/>
                <w:i w:val="0"/>
                <w:sz w:val="16"/>
              </w:rPr>
              <w:t>k6, Grafana, Prometheus</w:t>
            </w:r>
          </w:p>
        </w:tc>
        <w:tc>
          <w:tcPr>
            <w:tcW w:type="dxa" w:w="6576"/>
            <w:vAlign w:val="top"/>
            <w:shd w:val="clear" w:color="auto" w:fill="FDF0F7"/>
          </w:tcPr>
          <w:p>
            <w:pPr>
              <w:spacing w:after="20" w:line="252" w:lineRule="auto"/>
            </w:pPr>
            <w:r>
              <w:rPr>
                <w:b w:val="0"/>
                <w:i w:val="0"/>
                <w:sz w:val="16"/>
              </w:rPr>
              <w:t>Performance scenarios and measurements</w:t>
            </w:r>
          </w:p>
        </w:tc>
      </w:tr>
      <w:tr>
        <w:trPr>
          <w:cantSplit/>
        </w:trPr>
        <w:tc>
          <w:tcPr>
            <w:tcW w:type="dxa" w:w="3061"/>
            <w:vAlign w:val="top"/>
          </w:tcPr>
          <w:p>
            <w:pPr>
              <w:spacing w:after="20" w:line="252" w:lineRule="auto"/>
            </w:pPr>
            <w:r>
              <w:rPr>
                <w:b/>
                <w:i w:val="0"/>
                <w:sz w:val="16"/>
              </w:rPr>
              <w:t>Issues module / IIFT's defect tool</w:t>
            </w:r>
          </w:p>
        </w:tc>
        <w:tc>
          <w:tcPr>
            <w:tcW w:type="dxa" w:w="6576"/>
            <w:vAlign w:val="top"/>
          </w:tcPr>
          <w:p>
            <w:pPr>
              <w:spacing w:after="20" w:line="252" w:lineRule="auto"/>
            </w:pPr>
            <w:r>
              <w:rPr>
                <w:b w:val="0"/>
                <w:i w:val="0"/>
                <w:sz w:val="16"/>
              </w:rPr>
              <w:t>Defect log during SIT and UAT (IIFT's tool if preferred; export to the SIT and UAT results reports)</w:t>
            </w:r>
          </w:p>
        </w:tc>
      </w:tr>
      <w:tr>
        <w:trPr>
          <w:cantSplit/>
        </w:trPr>
        <w:tc>
          <w:tcPr>
            <w:tcW w:type="dxa" w:w="3061"/>
            <w:vAlign w:val="top"/>
            <w:shd w:val="clear" w:color="auto" w:fill="FDF0F7"/>
          </w:tcPr>
          <w:p>
            <w:pPr>
              <w:spacing w:after="20" w:line="252" w:lineRule="auto"/>
            </w:pPr>
            <w:r>
              <w:rPr>
                <w:b/>
                <w:i w:val="0"/>
                <w:sz w:val="16"/>
              </w:rPr>
              <w:t>docs/technical/build</w:t>
            </w:r>
          </w:p>
        </w:tc>
        <w:tc>
          <w:tcPr>
            <w:tcW w:type="dxa" w:w="6576"/>
            <w:vAlign w:val="top"/>
            <w:shd w:val="clear" w:color="auto" w:fill="FDF0F7"/>
          </w:tcPr>
          <w:p>
            <w:pPr>
              <w:spacing w:after="20" w:line="252" w:lineRule="auto"/>
            </w:pPr>
            <w:r>
              <w:rPr>
                <w:b w:val="0"/>
                <w:i w:val="0"/>
                <w:sz w:val="16"/>
              </w:rPr>
              <w:t>Generates this strategy and the workbook from the catalogue and the evidence files</w:t>
            </w:r>
          </w:p>
        </w:tc>
      </w:tr>
    </w:tbl>
    <w:p>
      <w:pPr>
        <w:pStyle w:val="Caption"/>
        <w:jc w:val="center"/>
      </w:pPr>
      <w:r>
        <w:rPr>
          <w:b w:val="0"/>
          <w:i w:val="0"/>
        </w:rPr>
        <w:t>Table 7: Tools</w:t>
      </w:r>
    </w:p>
    <w:p>
      <w:pPr>
        <w:keepNext w:val="0"/>
      </w:pPr>
      <w:r>
        <w:rPr>
          <w:b w:val="0"/>
          <w:i w:val="0"/>
        </w:rPr>
        <w:t>Every automated run writes a JSON report that is kept under docs/technical/evidence and read when the workbook and this document are rebuilt, so the recorded status is always the result of a real run, never a typed value.</w:t>
      </w:r>
    </w:p>
    <w:p>
      <w:pPr>
        <w:pStyle w:val="Heading1"/>
        <w:pageBreakBefore/>
        <w:pBdr>
          <w:bottom w:val="single" w:sz="12" w:space="4" w:color="F58220"/>
        </w:pBdr>
      </w:pPr>
      <w:r>
        <w:t>8. Traceability</w:t>
      </w:r>
    </w:p>
    <w:p>
      <w:pPr>
        <w:keepNext w:val="0"/>
      </w:pPr>
      <w:r>
        <w:rPr>
          <w:b w:val="0"/>
          <w:i w:val="0"/>
        </w:rPr>
        <w:t>Traceability runs from the RFP requirement to the executed case in four links, all held in the workbook: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
        <w:gridCol w:w="1701"/>
        <w:gridCol w:w="2835"/>
        <w:gridCol w:w="4536"/>
      </w:tblGrid>
      <w:tr>
        <w:trPr>
          <w:cantSplit/>
          <w:tblHeader/>
        </w:trPr>
        <w:tc>
          <w:tcPr>
            <w:tcW w:type="dxa" w:w="567"/>
            <w:shd w:val="clear" w:color="auto" w:fill="E1058C"/>
            <w:vAlign w:val="center"/>
          </w:tcPr>
          <w:p>
            <w:pPr>
              <w:spacing w:after="0"/>
            </w:pPr>
            <w:r>
              <w:rPr>
                <w:b/>
                <w:i w:val="0"/>
                <w:color w:val="FFFFFF"/>
                <w:sz w:val="16"/>
              </w:rPr>
              <w:t>Link</w:t>
            </w:r>
          </w:p>
        </w:tc>
        <w:tc>
          <w:tcPr>
            <w:tcW w:type="dxa" w:w="1701"/>
            <w:shd w:val="clear" w:color="auto" w:fill="E1058C"/>
            <w:vAlign w:val="center"/>
          </w:tcPr>
          <w:p>
            <w:pPr>
              <w:spacing w:after="0"/>
            </w:pPr>
            <w:r>
              <w:rPr>
                <w:b/>
                <w:i w:val="0"/>
                <w:color w:val="FFFFFF"/>
                <w:sz w:val="16"/>
              </w:rPr>
              <w:t>Artefact</w:t>
            </w:r>
          </w:p>
        </w:tc>
        <w:tc>
          <w:tcPr>
            <w:tcW w:type="dxa" w:w="2835"/>
            <w:shd w:val="clear" w:color="auto" w:fill="E1058C"/>
            <w:vAlign w:val="center"/>
          </w:tcPr>
          <w:p>
            <w:pPr>
              <w:spacing w:after="0"/>
            </w:pPr>
            <w:r>
              <w:rPr>
                <w:b/>
                <w:i w:val="0"/>
                <w:color w:val="FFFFFF"/>
                <w:sz w:val="16"/>
              </w:rPr>
              <w:t>Identifier</w:t>
            </w:r>
          </w:p>
        </w:tc>
        <w:tc>
          <w:tcPr>
            <w:tcW w:type="dxa" w:w="4535"/>
            <w:shd w:val="clear" w:color="auto" w:fill="E1058C"/>
            <w:vAlign w:val="center"/>
          </w:tcPr>
          <w:p>
            <w:pPr>
              <w:spacing w:after="0"/>
            </w:pPr>
            <w:r>
              <w:rPr>
                <w:b/>
                <w:i w:val="0"/>
                <w:color w:val="FFFFFF"/>
                <w:sz w:val="16"/>
              </w:rPr>
              <w:t>Content</w:t>
            </w:r>
          </w:p>
        </w:tc>
      </w:tr>
      <w:tr>
        <w:trPr>
          <w:cantSplit/>
        </w:trPr>
        <w:tc>
          <w:tcPr>
            <w:tcW w:type="dxa" w:w="567"/>
            <w:vAlign w:val="top"/>
          </w:tcPr>
          <w:p>
            <w:pPr>
              <w:spacing w:after="20" w:line="252" w:lineRule="auto"/>
              <w:jc w:val="center"/>
            </w:pPr>
            <w:r>
              <w:rPr>
                <w:b w:val="0"/>
                <w:i w:val="0"/>
                <w:sz w:val="16"/>
              </w:rPr>
              <w:t>1</w:t>
            </w:r>
          </w:p>
        </w:tc>
        <w:tc>
          <w:tcPr>
            <w:tcW w:type="dxa" w:w="1701"/>
            <w:vAlign w:val="top"/>
          </w:tcPr>
          <w:p>
            <w:pPr>
              <w:spacing w:after="20" w:line="252" w:lineRule="auto"/>
            </w:pPr>
            <w:r>
              <w:rPr>
                <w:b w:val="0"/>
                <w:i w:val="0"/>
                <w:sz w:val="16"/>
              </w:rPr>
              <w:t>RFP requirement</w:t>
            </w:r>
          </w:p>
        </w:tc>
        <w:tc>
          <w:tcPr>
            <w:tcW w:type="dxa" w:w="2835"/>
            <w:vAlign w:val="top"/>
          </w:tcPr>
          <w:p>
            <w:pPr>
              <w:spacing w:after="20" w:line="252" w:lineRule="auto"/>
            </w:pPr>
            <w:r>
              <w:rPr>
                <w:b w:val="0"/>
                <w:i w:val="0"/>
                <w:sz w:val="16"/>
              </w:rPr>
              <w:t>AP-nn, BO-nn, INT-nn, COM-nn, NFR-nn, DEL-nn, MNT-nn, FFR0n</w:t>
            </w:r>
          </w:p>
        </w:tc>
        <w:tc>
          <w:tcPr>
            <w:tcW w:type="dxa" w:w="4535"/>
            <w:vAlign w:val="top"/>
          </w:tcPr>
          <w:p>
            <w:pPr>
              <w:spacing w:after="20" w:line="252" w:lineRule="auto"/>
            </w:pPr>
            <w:r>
              <w:rPr>
                <w:b w:val="0"/>
                <w:i w:val="0"/>
                <w:sz w:val="16"/>
              </w:rPr>
              <w:t>Requirement and short title (Traceability sheet)</w:t>
            </w:r>
          </w:p>
        </w:tc>
      </w:tr>
      <w:tr>
        <w:trPr>
          <w:cantSplit/>
        </w:trPr>
        <w:tc>
          <w:tcPr>
            <w:tcW w:type="dxa" w:w="567"/>
            <w:vAlign w:val="top"/>
            <w:shd w:val="clear" w:color="auto" w:fill="FDF0F7"/>
          </w:tcPr>
          <w:p>
            <w:pPr>
              <w:spacing w:after="20" w:line="252" w:lineRule="auto"/>
              <w:jc w:val="center"/>
            </w:pPr>
            <w:r>
              <w:rPr>
                <w:b w:val="0"/>
                <w:i w:val="0"/>
                <w:sz w:val="16"/>
              </w:rPr>
              <w:t>2</w:t>
            </w:r>
          </w:p>
        </w:tc>
        <w:tc>
          <w:tcPr>
            <w:tcW w:type="dxa" w:w="1701"/>
            <w:vAlign w:val="top"/>
            <w:shd w:val="clear" w:color="auto" w:fill="FDF0F7"/>
          </w:tcPr>
          <w:p>
            <w:pPr>
              <w:spacing w:after="20" w:line="252" w:lineRule="auto"/>
            </w:pPr>
            <w:r>
              <w:rPr>
                <w:b w:val="0"/>
                <w:i w:val="0"/>
                <w:sz w:val="16"/>
              </w:rPr>
              <w:t>Test scenario</w:t>
            </w:r>
          </w:p>
        </w:tc>
        <w:tc>
          <w:tcPr>
            <w:tcW w:type="dxa" w:w="2835"/>
            <w:vAlign w:val="top"/>
            <w:shd w:val="clear" w:color="auto" w:fill="FDF0F7"/>
          </w:tcPr>
          <w:p>
            <w:pPr>
              <w:spacing w:after="20" w:line="252" w:lineRule="auto"/>
            </w:pPr>
            <w:r>
              <w:rPr>
                <w:b w:val="0"/>
                <w:i w:val="0"/>
                <w:sz w:val="16"/>
              </w:rPr>
              <w:t>TS-nn</w:t>
            </w:r>
          </w:p>
        </w:tc>
        <w:tc>
          <w:tcPr>
            <w:tcW w:type="dxa" w:w="4535"/>
            <w:vAlign w:val="top"/>
            <w:shd w:val="clear" w:color="auto" w:fill="FDF0F7"/>
          </w:tcPr>
          <w:p>
            <w:pPr>
              <w:spacing w:after="20" w:line="252" w:lineRule="auto"/>
            </w:pPr>
            <w:r>
              <w:rPr>
                <w:b w:val="0"/>
                <w:i w:val="0"/>
                <w:sz w:val="16"/>
              </w:rPr>
              <w:t>Business or technical situation, persona, pre-conditions, expected end state, RFP identifiers covered</w:t>
            </w:r>
          </w:p>
        </w:tc>
      </w:tr>
      <w:tr>
        <w:trPr>
          <w:cantSplit/>
        </w:trPr>
        <w:tc>
          <w:tcPr>
            <w:tcW w:type="dxa" w:w="567"/>
            <w:vAlign w:val="top"/>
          </w:tcPr>
          <w:p>
            <w:pPr>
              <w:spacing w:after="20" w:line="252" w:lineRule="auto"/>
              <w:jc w:val="center"/>
            </w:pPr>
            <w:r>
              <w:rPr>
                <w:b w:val="0"/>
                <w:i w:val="0"/>
                <w:sz w:val="16"/>
              </w:rPr>
              <w:t>3</w:t>
            </w:r>
          </w:p>
        </w:tc>
        <w:tc>
          <w:tcPr>
            <w:tcW w:type="dxa" w:w="1701"/>
            <w:vAlign w:val="top"/>
          </w:tcPr>
          <w:p>
            <w:pPr>
              <w:spacing w:after="20" w:line="252" w:lineRule="auto"/>
            </w:pPr>
            <w:r>
              <w:rPr>
                <w:b w:val="0"/>
                <w:i w:val="0"/>
                <w:sz w:val="16"/>
              </w:rPr>
              <w:t>Test condition</w:t>
            </w:r>
          </w:p>
        </w:tc>
        <w:tc>
          <w:tcPr>
            <w:tcW w:type="dxa" w:w="2835"/>
            <w:vAlign w:val="top"/>
          </w:tcPr>
          <w:p>
            <w:pPr>
              <w:spacing w:after="20" w:line="252" w:lineRule="auto"/>
            </w:pPr>
            <w:r>
              <w:rPr>
                <w:b w:val="0"/>
                <w:i w:val="0"/>
                <w:sz w:val="16"/>
              </w:rPr>
              <w:t>TC-nnn</w:t>
            </w:r>
          </w:p>
        </w:tc>
        <w:tc>
          <w:tcPr>
            <w:tcW w:type="dxa" w:w="4535"/>
            <w:vAlign w:val="top"/>
          </w:tcPr>
          <w:p>
            <w:pPr>
              <w:spacing w:after="20" w:line="252" w:lineRule="auto"/>
            </w:pPr>
            <w:r>
              <w:rPr>
                <w:b w:val="0"/>
                <w:i w:val="0"/>
                <w:sz w:val="16"/>
              </w:rPr>
              <w:t>One rule or decision inside the scenario that must be verified</w:t>
            </w:r>
          </w:p>
        </w:tc>
      </w:tr>
      <w:tr>
        <w:trPr>
          <w:cantSplit/>
        </w:trPr>
        <w:tc>
          <w:tcPr>
            <w:tcW w:type="dxa" w:w="567"/>
            <w:vAlign w:val="top"/>
            <w:shd w:val="clear" w:color="auto" w:fill="FDF0F7"/>
          </w:tcPr>
          <w:p>
            <w:pPr>
              <w:spacing w:after="20" w:line="252" w:lineRule="auto"/>
              <w:jc w:val="center"/>
            </w:pPr>
            <w:r>
              <w:rPr>
                <w:b w:val="0"/>
                <w:i w:val="0"/>
                <w:sz w:val="16"/>
              </w:rPr>
              <w:t>4</w:t>
            </w:r>
          </w:p>
        </w:tc>
        <w:tc>
          <w:tcPr>
            <w:tcW w:type="dxa" w:w="1701"/>
            <w:vAlign w:val="top"/>
            <w:shd w:val="clear" w:color="auto" w:fill="FDF0F7"/>
          </w:tcPr>
          <w:p>
            <w:pPr>
              <w:spacing w:after="20" w:line="252" w:lineRule="auto"/>
            </w:pPr>
            <w:r>
              <w:rPr>
                <w:b w:val="0"/>
                <w:i w:val="0"/>
                <w:sz w:val="16"/>
              </w:rPr>
              <w:t>Test case</w:t>
            </w:r>
          </w:p>
        </w:tc>
        <w:tc>
          <w:tcPr>
            <w:tcW w:type="dxa" w:w="2835"/>
            <w:vAlign w:val="top"/>
            <w:shd w:val="clear" w:color="auto" w:fill="FDF0F7"/>
          </w:tcPr>
          <w:p>
            <w:pPr>
              <w:spacing w:after="20" w:line="252" w:lineRule="auto"/>
            </w:pPr>
            <w:r>
              <w:rPr>
                <w:b w:val="0"/>
                <w:i w:val="0"/>
                <w:sz w:val="16"/>
              </w:rPr>
              <w:t>CS-nnnn</w:t>
            </w:r>
          </w:p>
        </w:tc>
        <w:tc>
          <w:tcPr>
            <w:tcW w:type="dxa" w:w="4535"/>
            <w:vAlign w:val="top"/>
            <w:shd w:val="clear" w:color="auto" w:fill="FDF0F7"/>
          </w:tcPr>
          <w:p>
            <w:pPr>
              <w:spacing w:after="20" w:line="252" w:lineRule="auto"/>
            </w:pPr>
            <w:r>
              <w:rPr>
                <w:b w:val="0"/>
                <w:i w:val="0"/>
                <w:sz w:val="16"/>
              </w:rPr>
              <w:t>Steps, data, expected result, level, automation, status, evidence, execution details, defect reference</w:t>
            </w:r>
          </w:p>
        </w:tc>
      </w:tr>
    </w:tbl>
    <w:p>
      <w:pPr>
        <w:pStyle w:val="Caption"/>
        <w:jc w:val="center"/>
      </w:pPr>
      <w:r>
        <w:rPr>
          <w:b w:val="0"/>
          <w:i w:val="0"/>
        </w:rPr>
        <w:t>Table 8: Traceability links</w:t>
      </w:r>
    </w:p>
    <w:p>
      <w:pPr>
        <w:keepNext w:val="0"/>
      </w:pPr>
      <w:r>
        <w:rPr>
          <w:b w:val="0"/>
          <w:i w:val="0"/>
        </w:rPr>
        <w:t>The Traceability sheet shows, for each requirement, the scenarios, the case identifiers and a coverage status (executed – passed, partly executed, cases defined but not executed, no case yet). The build fails if a scenario cites an unknown requirement, if a condition has no case, or if a case cites evidence that does not exist. UAT scripts (DEL-15) are produced from the scenarios whose persona is an IIFT user, with the business language of Appendix 3.</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103"/>
        <w:gridCol w:w="4536"/>
      </w:tblGrid>
      <w:tr>
        <w:trPr>
          <w:cantSplit/>
          <w:tblHeader/>
        </w:trPr>
        <w:tc>
          <w:tcPr>
            <w:tcW w:type="dxa" w:w="5102"/>
            <w:shd w:val="clear" w:color="auto" w:fill="E1058C"/>
            <w:vAlign w:val="center"/>
          </w:tcPr>
          <w:p>
            <w:pPr>
              <w:spacing w:after="0"/>
            </w:pPr>
            <w:r>
              <w:rPr>
                <w:b/>
                <w:i w:val="0"/>
                <w:color w:val="FFFFFF"/>
                <w:sz w:val="17"/>
              </w:rPr>
              <w:t>Catalogue element</w:t>
            </w:r>
          </w:p>
        </w:tc>
        <w:tc>
          <w:tcPr>
            <w:tcW w:type="dxa" w:w="4535"/>
            <w:shd w:val="clear" w:color="auto" w:fill="E1058C"/>
            <w:vAlign w:val="center"/>
          </w:tcPr>
          <w:p>
            <w:pPr>
              <w:spacing w:after="0"/>
            </w:pPr>
            <w:r>
              <w:rPr>
                <w:b/>
                <w:i w:val="0"/>
                <w:color w:val="FFFFFF"/>
                <w:sz w:val="17"/>
              </w:rPr>
              <w:t>Count</w:t>
            </w:r>
          </w:p>
        </w:tc>
      </w:tr>
      <w:tr>
        <w:trPr>
          <w:cantSplit/>
        </w:trPr>
        <w:tc>
          <w:tcPr>
            <w:tcW w:type="dxa" w:w="5102"/>
            <w:vAlign w:val="top"/>
          </w:tcPr>
          <w:p>
            <w:pPr>
              <w:spacing w:after="20" w:line="252" w:lineRule="auto"/>
            </w:pPr>
            <w:r>
              <w:rPr>
                <w:b/>
                <w:i w:val="0"/>
                <w:sz w:val="17"/>
              </w:rPr>
              <w:t>Functional and technical areas</w:t>
            </w:r>
          </w:p>
        </w:tc>
        <w:tc>
          <w:tcPr>
            <w:tcW w:type="dxa" w:w="4535"/>
            <w:vAlign w:val="top"/>
          </w:tcPr>
          <w:p>
            <w:pPr>
              <w:spacing w:after="20" w:line="252" w:lineRule="auto"/>
              <w:jc w:val="center"/>
            </w:pPr>
            <w:r>
              <w:rPr>
                <w:b w:val="0"/>
                <w:i w:val="0"/>
                <w:sz w:val="17"/>
              </w:rPr>
              <w:t>22</w:t>
            </w:r>
          </w:p>
        </w:tc>
      </w:tr>
      <w:tr>
        <w:trPr>
          <w:cantSplit/>
        </w:trPr>
        <w:tc>
          <w:tcPr>
            <w:tcW w:type="dxa" w:w="5102"/>
            <w:vAlign w:val="top"/>
            <w:shd w:val="clear" w:color="auto" w:fill="FDF0F7"/>
          </w:tcPr>
          <w:p>
            <w:pPr>
              <w:spacing w:after="20" w:line="252" w:lineRule="auto"/>
            </w:pPr>
            <w:r>
              <w:rPr>
                <w:b/>
                <w:i w:val="0"/>
                <w:sz w:val="17"/>
              </w:rPr>
              <w:t>Test scenarios</w:t>
            </w:r>
          </w:p>
        </w:tc>
        <w:tc>
          <w:tcPr>
            <w:tcW w:type="dxa" w:w="4535"/>
            <w:vAlign w:val="top"/>
            <w:shd w:val="clear" w:color="auto" w:fill="FDF0F7"/>
          </w:tcPr>
          <w:p>
            <w:pPr>
              <w:spacing w:after="20" w:line="252" w:lineRule="auto"/>
              <w:jc w:val="center"/>
            </w:pPr>
            <w:r>
              <w:rPr>
                <w:b w:val="0"/>
                <w:i w:val="0"/>
                <w:sz w:val="17"/>
              </w:rPr>
              <w:t>70</w:t>
            </w:r>
          </w:p>
        </w:tc>
      </w:tr>
      <w:tr>
        <w:trPr>
          <w:cantSplit/>
        </w:trPr>
        <w:tc>
          <w:tcPr>
            <w:tcW w:type="dxa" w:w="5102"/>
            <w:vAlign w:val="top"/>
          </w:tcPr>
          <w:p>
            <w:pPr>
              <w:spacing w:after="20" w:line="252" w:lineRule="auto"/>
            </w:pPr>
            <w:r>
              <w:rPr>
                <w:b/>
                <w:i w:val="0"/>
                <w:sz w:val="17"/>
              </w:rPr>
              <w:t>Test conditions</w:t>
            </w:r>
          </w:p>
        </w:tc>
        <w:tc>
          <w:tcPr>
            <w:tcW w:type="dxa" w:w="4535"/>
            <w:vAlign w:val="top"/>
          </w:tcPr>
          <w:p>
            <w:pPr>
              <w:spacing w:after="20" w:line="252" w:lineRule="auto"/>
              <w:jc w:val="center"/>
            </w:pPr>
            <w:r>
              <w:rPr>
                <w:b w:val="0"/>
                <w:i w:val="0"/>
                <w:sz w:val="17"/>
              </w:rPr>
              <w:t>196</w:t>
            </w:r>
          </w:p>
        </w:tc>
      </w:tr>
      <w:tr>
        <w:trPr>
          <w:cantSplit/>
        </w:trPr>
        <w:tc>
          <w:tcPr>
            <w:tcW w:type="dxa" w:w="5102"/>
            <w:vAlign w:val="top"/>
            <w:shd w:val="clear" w:color="auto" w:fill="FDF0F7"/>
          </w:tcPr>
          <w:p>
            <w:pPr>
              <w:spacing w:after="20" w:line="252" w:lineRule="auto"/>
            </w:pPr>
            <w:r>
              <w:rPr>
                <w:b/>
                <w:i w:val="0"/>
                <w:sz w:val="17"/>
              </w:rPr>
              <w:t>Test cases</w:t>
            </w:r>
          </w:p>
        </w:tc>
        <w:tc>
          <w:tcPr>
            <w:tcW w:type="dxa" w:w="4535"/>
            <w:vAlign w:val="top"/>
            <w:shd w:val="clear" w:color="auto" w:fill="FDF0F7"/>
          </w:tcPr>
          <w:p>
            <w:pPr>
              <w:spacing w:after="20" w:line="252" w:lineRule="auto"/>
              <w:jc w:val="center"/>
            </w:pPr>
            <w:r>
              <w:rPr>
                <w:b w:val="0"/>
                <w:i w:val="0"/>
                <w:sz w:val="17"/>
              </w:rPr>
              <w:t>438</w:t>
            </w:r>
          </w:p>
        </w:tc>
      </w:tr>
      <w:tr>
        <w:trPr>
          <w:cantSplit/>
        </w:trPr>
        <w:tc>
          <w:tcPr>
            <w:tcW w:type="dxa" w:w="5102"/>
            <w:vAlign w:val="top"/>
          </w:tcPr>
          <w:p>
            <w:pPr>
              <w:spacing w:after="20" w:line="252" w:lineRule="auto"/>
            </w:pPr>
            <w:r>
              <w:rPr>
                <w:b/>
                <w:i w:val="0"/>
                <w:sz w:val="17"/>
              </w:rPr>
              <w:t>RFP requirements traced</w:t>
            </w:r>
          </w:p>
        </w:tc>
        <w:tc>
          <w:tcPr>
            <w:tcW w:type="dxa" w:w="4535"/>
            <w:vAlign w:val="top"/>
          </w:tcPr>
          <w:p>
            <w:pPr>
              <w:spacing w:after="20" w:line="252" w:lineRule="auto"/>
              <w:jc w:val="center"/>
            </w:pPr>
            <w:r>
              <w:rPr>
                <w:b w:val="0"/>
                <w:i w:val="0"/>
                <w:sz w:val="17"/>
              </w:rPr>
              <w:t>169</w:t>
            </w:r>
          </w:p>
        </w:tc>
      </w:tr>
    </w:tbl>
    <w:p>
      <w:pPr>
        <w:pStyle w:val="Caption"/>
        <w:jc w:val="center"/>
      </w:pPr>
      <w:r>
        <w:rPr>
          <w:b w:val="0"/>
          <w:i w:val="0"/>
        </w:rPr>
        <w:t>Table 9: Catalogue size</w:t>
      </w:r>
    </w:p>
    <w:p>
      <w:pPr>
        <w:pStyle w:val="Heading1"/>
        <w:pageBreakBefore/>
        <w:pBdr>
          <w:bottom w:val="single" w:sz="12" w:space="4" w:color="F58220"/>
        </w:pBdr>
      </w:pPr>
      <w:r>
        <w:t>9. Schedule</w:t>
      </w:r>
    </w:p>
    <w:p>
      <w:pPr>
        <w:keepNext w:val="0"/>
      </w:pPr>
      <w:r>
        <w:rPr>
          <w:b w:val="0"/>
          <w:i w:val="0"/>
        </w:rPr>
        <w:t>The schedule follows the 24-week delivery plan of the proposal: SIT, performance and VAPT in weeks 16 to 19, UAT in weeks 19 to 22, go-live in week 24 and 4 weeks of hypercare.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907"/>
        <w:gridCol w:w="1814"/>
        <w:gridCol w:w="4195"/>
        <w:gridCol w:w="2721"/>
      </w:tblGrid>
      <w:tr>
        <w:trPr>
          <w:cantSplit/>
          <w:tblHeader/>
        </w:trPr>
        <w:tc>
          <w:tcPr>
            <w:tcW w:type="dxa" w:w="907"/>
            <w:shd w:val="clear" w:color="auto" w:fill="E1058C"/>
            <w:vAlign w:val="center"/>
          </w:tcPr>
          <w:p>
            <w:pPr>
              <w:spacing w:after="0"/>
            </w:pPr>
            <w:r>
              <w:rPr>
                <w:b/>
                <w:i w:val="0"/>
                <w:color w:val="FFFFFF"/>
                <w:sz w:val="15"/>
              </w:rPr>
              <w:t>Weeks</w:t>
            </w:r>
          </w:p>
        </w:tc>
        <w:tc>
          <w:tcPr>
            <w:tcW w:type="dxa" w:w="1814"/>
            <w:shd w:val="clear" w:color="auto" w:fill="E1058C"/>
            <w:vAlign w:val="center"/>
          </w:tcPr>
          <w:p>
            <w:pPr>
              <w:spacing w:after="0"/>
            </w:pPr>
            <w:r>
              <w:rPr>
                <w:b/>
                <w:i w:val="0"/>
                <w:color w:val="FFFFFF"/>
                <w:sz w:val="15"/>
              </w:rPr>
              <w:t>Activity</w:t>
            </w:r>
          </w:p>
        </w:tc>
        <w:tc>
          <w:tcPr>
            <w:tcW w:type="dxa" w:w="4195"/>
            <w:shd w:val="clear" w:color="auto" w:fill="E1058C"/>
            <w:vAlign w:val="center"/>
          </w:tcPr>
          <w:p>
            <w:pPr>
              <w:spacing w:after="0"/>
            </w:pPr>
            <w:r>
              <w:rPr>
                <w:b/>
                <w:i w:val="0"/>
                <w:color w:val="FFFFFF"/>
                <w:sz w:val="15"/>
              </w:rPr>
              <w:t>Testing</w:t>
            </w:r>
          </w:p>
        </w:tc>
        <w:tc>
          <w:tcPr>
            <w:tcW w:type="dxa" w:w="2721"/>
            <w:shd w:val="clear" w:color="auto" w:fill="E1058C"/>
            <w:vAlign w:val="center"/>
          </w:tcPr>
          <w:p>
            <w:pPr>
              <w:spacing w:after="0"/>
            </w:pPr>
            <w:r>
              <w:rPr>
                <w:b/>
                <w:i w:val="0"/>
                <w:color w:val="FFFFFF"/>
                <w:sz w:val="15"/>
              </w:rPr>
              <w:t>Output / milestone</w:t>
            </w:r>
          </w:p>
        </w:tc>
      </w:tr>
      <w:tr>
        <w:trPr>
          <w:cantSplit/>
        </w:trPr>
        <w:tc>
          <w:tcPr>
            <w:tcW w:type="dxa" w:w="907"/>
            <w:vAlign w:val="top"/>
          </w:tcPr>
          <w:p>
            <w:pPr>
              <w:spacing w:after="20" w:line="252" w:lineRule="auto"/>
              <w:jc w:val="center"/>
            </w:pPr>
            <w:r>
              <w:rPr>
                <w:b w:val="0"/>
                <w:i w:val="0"/>
                <w:sz w:val="15"/>
              </w:rPr>
              <w:t>6–16</w:t>
            </w:r>
          </w:p>
        </w:tc>
        <w:tc>
          <w:tcPr>
            <w:tcW w:type="dxa" w:w="1814"/>
            <w:vAlign w:val="top"/>
          </w:tcPr>
          <w:p>
            <w:pPr>
              <w:spacing w:after="20" w:line="252" w:lineRule="auto"/>
            </w:pPr>
            <w:r>
              <w:rPr>
                <w:b w:val="0"/>
                <w:i w:val="0"/>
                <w:sz w:val="15"/>
              </w:rPr>
              <w:t>Build sprints</w:t>
            </w:r>
          </w:p>
        </w:tc>
        <w:tc>
          <w:tcPr>
            <w:tcW w:type="dxa" w:w="4195"/>
            <w:vAlign w:val="top"/>
          </w:tcPr>
          <w:p>
            <w:pPr>
              <w:spacing w:after="20" w:line="252" w:lineRule="auto"/>
            </w:pPr>
            <w:r>
              <w:rPr>
                <w:b w:val="0"/>
                <w:i w:val="0"/>
                <w:sz w:val="15"/>
              </w:rPr>
              <w:t>Unit, API and end-to-end tests with every story; sprint demo acceptance; OWASP checks each sprint</w:t>
            </w:r>
          </w:p>
        </w:tc>
        <w:tc>
          <w:tcPr>
            <w:tcW w:type="dxa" w:w="2721"/>
            <w:vAlign w:val="top"/>
          </w:tcPr>
          <w:p>
            <w:pPr>
              <w:spacing w:after="20" w:line="252" w:lineRule="auto"/>
            </w:pPr>
            <w:r>
              <w:rPr>
                <w:b w:val="0"/>
                <w:i w:val="0"/>
                <w:sz w:val="15"/>
              </w:rPr>
              <w:t>CI green per sprint</w:t>
            </w:r>
          </w:p>
        </w:tc>
      </w:tr>
      <w:tr>
        <w:trPr>
          <w:cantSplit/>
        </w:trPr>
        <w:tc>
          <w:tcPr>
            <w:tcW w:type="dxa" w:w="907"/>
            <w:vAlign w:val="top"/>
            <w:shd w:val="clear" w:color="auto" w:fill="FDF0F7"/>
          </w:tcPr>
          <w:p>
            <w:pPr>
              <w:spacing w:after="20" w:line="252" w:lineRule="auto"/>
              <w:jc w:val="center"/>
            </w:pPr>
            <w:r>
              <w:rPr>
                <w:b w:val="0"/>
                <w:i w:val="0"/>
                <w:sz w:val="15"/>
              </w:rPr>
              <w:t>16</w:t>
            </w:r>
          </w:p>
        </w:tc>
        <w:tc>
          <w:tcPr>
            <w:tcW w:type="dxa" w:w="1814"/>
            <w:vAlign w:val="top"/>
            <w:shd w:val="clear" w:color="auto" w:fill="FDF0F7"/>
          </w:tcPr>
          <w:p>
            <w:pPr>
              <w:spacing w:after="20" w:line="252" w:lineRule="auto"/>
            </w:pPr>
            <w:r>
              <w:rPr>
                <w:b w:val="0"/>
                <w:i w:val="0"/>
                <w:sz w:val="15"/>
              </w:rPr>
              <w:t>Hardening</w:t>
            </w:r>
          </w:p>
        </w:tc>
        <w:tc>
          <w:tcPr>
            <w:tcW w:type="dxa" w:w="4195"/>
            <w:vAlign w:val="top"/>
            <w:shd w:val="clear" w:color="auto" w:fill="FDF0F7"/>
          </w:tcPr>
          <w:p>
            <w:pPr>
              <w:spacing w:after="20" w:line="252" w:lineRule="auto"/>
            </w:pPr>
            <w:r>
              <w:rPr>
                <w:b w:val="0"/>
                <w:i w:val="0"/>
                <w:sz w:val="15"/>
              </w:rPr>
              <w:t>Full regression; API run; security checks; workbook refreshed; SIT readiness review</w:t>
            </w:r>
          </w:p>
        </w:tc>
        <w:tc>
          <w:tcPr>
            <w:tcW w:type="dxa" w:w="2721"/>
            <w:vAlign w:val="top"/>
            <w:shd w:val="clear" w:color="auto" w:fill="FDF0F7"/>
          </w:tcPr>
          <w:p>
            <w:pPr>
              <w:spacing w:after="20" w:line="252" w:lineRule="auto"/>
            </w:pPr>
            <w:r>
              <w:rPr>
                <w:b w:val="0"/>
                <w:i w:val="0"/>
                <w:sz w:val="15"/>
              </w:rPr>
              <w:t>Build complete (M3)</w:t>
            </w:r>
          </w:p>
        </w:tc>
      </w:tr>
      <w:tr>
        <w:trPr>
          <w:cantSplit/>
        </w:trPr>
        <w:tc>
          <w:tcPr>
            <w:tcW w:type="dxa" w:w="907"/>
            <w:vAlign w:val="top"/>
          </w:tcPr>
          <w:p>
            <w:pPr>
              <w:spacing w:after="20" w:line="252" w:lineRule="auto"/>
              <w:jc w:val="center"/>
            </w:pPr>
            <w:r>
              <w:rPr>
                <w:b w:val="0"/>
                <w:i w:val="0"/>
                <w:sz w:val="15"/>
              </w:rPr>
              <w:t>16–19</w:t>
            </w:r>
          </w:p>
        </w:tc>
        <w:tc>
          <w:tcPr>
            <w:tcW w:type="dxa" w:w="1814"/>
            <w:vAlign w:val="top"/>
          </w:tcPr>
          <w:p>
            <w:pPr>
              <w:spacing w:after="20" w:line="252" w:lineRule="auto"/>
            </w:pPr>
            <w:r>
              <w:rPr>
                <w:b w:val="0"/>
                <w:i w:val="0"/>
                <w:sz w:val="15"/>
              </w:rPr>
              <w:t>SIT</w:t>
            </w:r>
          </w:p>
        </w:tc>
        <w:tc>
          <w:tcPr>
            <w:tcW w:type="dxa" w:w="4195"/>
            <w:vAlign w:val="top"/>
          </w:tcPr>
          <w:p>
            <w:pPr>
              <w:spacing w:after="20" w:line="252" w:lineRule="auto"/>
            </w:pPr>
            <w:r>
              <w:rPr>
                <w:b w:val="0"/>
                <w:i w:val="0"/>
                <w:sz w:val="15"/>
              </w:rPr>
              <w:t>SIT cases with IITH interface owners; three EOD/reconciliation cycles; defect fixing and re-test</w:t>
            </w:r>
          </w:p>
        </w:tc>
        <w:tc>
          <w:tcPr>
            <w:tcW w:type="dxa" w:w="2721"/>
            <w:vAlign w:val="top"/>
          </w:tcPr>
          <w:p>
            <w:pPr>
              <w:spacing w:after="20" w:line="252" w:lineRule="auto"/>
            </w:pPr>
            <w:r>
              <w:rPr>
                <w:b w:val="0"/>
                <w:i w:val="0"/>
                <w:sz w:val="15"/>
              </w:rPr>
              <w:t>SIT results (DEL-14)</w:t>
            </w:r>
          </w:p>
        </w:tc>
      </w:tr>
      <w:tr>
        <w:trPr>
          <w:cantSplit/>
        </w:trPr>
        <w:tc>
          <w:tcPr>
            <w:tcW w:type="dxa" w:w="907"/>
            <w:vAlign w:val="top"/>
            <w:shd w:val="clear" w:color="auto" w:fill="FDF0F7"/>
          </w:tcPr>
          <w:p>
            <w:pPr>
              <w:spacing w:after="20" w:line="252" w:lineRule="auto"/>
              <w:jc w:val="center"/>
            </w:pPr>
            <w:r>
              <w:rPr>
                <w:b w:val="0"/>
                <w:i w:val="0"/>
                <w:sz w:val="15"/>
              </w:rPr>
              <w:t>17–18</w:t>
            </w:r>
          </w:p>
        </w:tc>
        <w:tc>
          <w:tcPr>
            <w:tcW w:type="dxa" w:w="1814"/>
            <w:vAlign w:val="top"/>
            <w:shd w:val="clear" w:color="auto" w:fill="FDF0F7"/>
          </w:tcPr>
          <w:p>
            <w:pPr>
              <w:spacing w:after="20" w:line="252" w:lineRule="auto"/>
            </w:pPr>
            <w:r>
              <w:rPr>
                <w:b w:val="0"/>
                <w:i w:val="0"/>
                <w:sz w:val="15"/>
              </w:rPr>
              <w:t>Performance</w:t>
            </w:r>
          </w:p>
        </w:tc>
        <w:tc>
          <w:tcPr>
            <w:tcW w:type="dxa" w:w="4195"/>
            <w:vAlign w:val="top"/>
            <w:shd w:val="clear" w:color="auto" w:fill="FDF0F7"/>
          </w:tcPr>
          <w:p>
            <w:pPr>
              <w:spacing w:after="20" w:line="252" w:lineRule="auto"/>
            </w:pPr>
            <w:r>
              <w:rPr>
                <w:b w:val="0"/>
                <w:i w:val="0"/>
                <w:sz w:val="15"/>
              </w:rPr>
              <w:t>Load, stress, soak and volume tests; tuning</w:t>
            </w:r>
          </w:p>
        </w:tc>
        <w:tc>
          <w:tcPr>
            <w:tcW w:type="dxa" w:w="2721"/>
            <w:vAlign w:val="top"/>
            <w:shd w:val="clear" w:color="auto" w:fill="FDF0F7"/>
          </w:tcPr>
          <w:p>
            <w:pPr>
              <w:spacing w:after="20" w:line="252" w:lineRule="auto"/>
            </w:pPr>
            <w:r>
              <w:rPr>
                <w:b w:val="0"/>
                <w:i w:val="0"/>
                <w:sz w:val="15"/>
              </w:rPr>
              <w:t>Performance report (DEL-18)</w:t>
            </w:r>
          </w:p>
        </w:tc>
      </w:tr>
      <w:tr>
        <w:trPr>
          <w:cantSplit/>
        </w:trPr>
        <w:tc>
          <w:tcPr>
            <w:tcW w:type="dxa" w:w="907"/>
            <w:vAlign w:val="top"/>
          </w:tcPr>
          <w:p>
            <w:pPr>
              <w:spacing w:after="20" w:line="252" w:lineRule="auto"/>
              <w:jc w:val="center"/>
            </w:pPr>
            <w:r>
              <w:rPr>
                <w:b w:val="0"/>
                <w:i w:val="0"/>
                <w:sz w:val="15"/>
              </w:rPr>
              <w:t>17–19</w:t>
            </w:r>
          </w:p>
        </w:tc>
        <w:tc>
          <w:tcPr>
            <w:tcW w:type="dxa" w:w="1814"/>
            <w:vAlign w:val="top"/>
          </w:tcPr>
          <w:p>
            <w:pPr>
              <w:spacing w:after="20" w:line="252" w:lineRule="auto"/>
            </w:pPr>
            <w:r>
              <w:rPr>
                <w:b w:val="0"/>
                <w:i w:val="0"/>
                <w:sz w:val="15"/>
              </w:rPr>
              <w:t>VAPT</w:t>
            </w:r>
          </w:p>
        </w:tc>
        <w:tc>
          <w:tcPr>
            <w:tcW w:type="dxa" w:w="4195"/>
            <w:vAlign w:val="top"/>
          </w:tcPr>
          <w:p>
            <w:pPr>
              <w:spacing w:after="20" w:line="252" w:lineRule="auto"/>
            </w:pPr>
            <w:r>
              <w:rPr>
                <w:b w:val="0"/>
                <w:i w:val="0"/>
                <w:sz w:val="15"/>
              </w:rPr>
              <w:t>Independent test, remediation, re-test</w:t>
            </w:r>
          </w:p>
        </w:tc>
        <w:tc>
          <w:tcPr>
            <w:tcW w:type="dxa" w:w="2721"/>
            <w:vAlign w:val="top"/>
          </w:tcPr>
          <w:p>
            <w:pPr>
              <w:spacing w:after="20" w:line="252" w:lineRule="auto"/>
            </w:pPr>
            <w:r>
              <w:rPr>
                <w:b w:val="0"/>
                <w:i w:val="0"/>
                <w:sz w:val="15"/>
              </w:rPr>
              <w:t>Security assessment (DEL-17); SIT exit and security clearance (M4, week 19)</w:t>
            </w:r>
          </w:p>
        </w:tc>
      </w:tr>
      <w:tr>
        <w:trPr>
          <w:cantSplit/>
        </w:trPr>
        <w:tc>
          <w:tcPr>
            <w:tcW w:type="dxa" w:w="907"/>
            <w:vAlign w:val="top"/>
            <w:shd w:val="clear" w:color="auto" w:fill="FDF0F7"/>
          </w:tcPr>
          <w:p>
            <w:pPr>
              <w:spacing w:after="20" w:line="252" w:lineRule="auto"/>
              <w:jc w:val="center"/>
            </w:pPr>
            <w:r>
              <w:rPr>
                <w:b w:val="0"/>
                <w:i w:val="0"/>
                <w:sz w:val="15"/>
              </w:rPr>
              <w:t>19–22</w:t>
            </w:r>
          </w:p>
        </w:tc>
        <w:tc>
          <w:tcPr>
            <w:tcW w:type="dxa" w:w="1814"/>
            <w:vAlign w:val="top"/>
            <w:shd w:val="clear" w:color="auto" w:fill="FDF0F7"/>
          </w:tcPr>
          <w:p>
            <w:pPr>
              <w:spacing w:after="20" w:line="252" w:lineRule="auto"/>
            </w:pPr>
            <w:r>
              <w:rPr>
                <w:b w:val="0"/>
                <w:i w:val="0"/>
                <w:sz w:val="15"/>
              </w:rPr>
              <w:t>UAT</w:t>
            </w:r>
          </w:p>
        </w:tc>
        <w:tc>
          <w:tcPr>
            <w:tcW w:type="dxa" w:w="4195"/>
            <w:vAlign w:val="top"/>
            <w:shd w:val="clear" w:color="auto" w:fill="FDF0F7"/>
          </w:tcPr>
          <w:p>
            <w:pPr>
              <w:spacing w:after="20" w:line="252" w:lineRule="auto"/>
            </w:pPr>
            <w:r>
              <w:rPr>
                <w:b w:val="0"/>
                <w:i w:val="0"/>
                <w:sz w:val="15"/>
              </w:rPr>
              <w:t>IIFT testers execute UAT scripts; daily triage; browser matrix; accessibility checks</w:t>
            </w:r>
          </w:p>
        </w:tc>
        <w:tc>
          <w:tcPr>
            <w:tcW w:type="dxa" w:w="2721"/>
            <w:vAlign w:val="top"/>
            <w:shd w:val="clear" w:color="auto" w:fill="FDF0F7"/>
          </w:tcPr>
          <w:p>
            <w:pPr>
              <w:spacing w:after="20" w:line="252" w:lineRule="auto"/>
            </w:pPr>
            <w:r>
              <w:rPr>
                <w:b w:val="0"/>
                <w:i w:val="0"/>
                <w:sz w:val="15"/>
              </w:rPr>
              <w:t>UAT results and sign-off (DEL-16, M5 week 22)</w:t>
            </w:r>
          </w:p>
        </w:tc>
      </w:tr>
      <w:tr>
        <w:trPr>
          <w:cantSplit/>
        </w:trPr>
        <w:tc>
          <w:tcPr>
            <w:tcW w:type="dxa" w:w="907"/>
            <w:vAlign w:val="top"/>
          </w:tcPr>
          <w:p>
            <w:pPr>
              <w:spacing w:after="20" w:line="252" w:lineRule="auto"/>
              <w:jc w:val="center"/>
            </w:pPr>
            <w:r>
              <w:rPr>
                <w:b w:val="0"/>
                <w:i w:val="0"/>
                <w:sz w:val="15"/>
              </w:rPr>
              <w:t>19–23</w:t>
            </w:r>
          </w:p>
        </w:tc>
        <w:tc>
          <w:tcPr>
            <w:tcW w:type="dxa" w:w="1814"/>
            <w:vAlign w:val="top"/>
          </w:tcPr>
          <w:p>
            <w:pPr>
              <w:spacing w:after="20" w:line="252" w:lineRule="auto"/>
            </w:pPr>
            <w:r>
              <w:rPr>
                <w:b w:val="0"/>
                <w:i w:val="0"/>
                <w:sz w:val="15"/>
              </w:rPr>
              <w:t>Migration rehearsals</w:t>
            </w:r>
          </w:p>
        </w:tc>
        <w:tc>
          <w:tcPr>
            <w:tcW w:type="dxa" w:w="4195"/>
            <w:vAlign w:val="top"/>
          </w:tcPr>
          <w:p>
            <w:pPr>
              <w:spacing w:after="20" w:line="252" w:lineRule="auto"/>
            </w:pPr>
            <w:r>
              <w:rPr>
                <w:b w:val="0"/>
                <w:i w:val="0"/>
                <w:sz w:val="15"/>
              </w:rPr>
              <w:t>Dry-run 1 and 2 with reconciliation</w:t>
            </w:r>
          </w:p>
        </w:tc>
        <w:tc>
          <w:tcPr>
            <w:tcW w:type="dxa" w:w="2721"/>
            <w:vAlign w:val="top"/>
          </w:tcPr>
          <w:p>
            <w:pPr>
              <w:spacing w:after="20" w:line="252" w:lineRule="auto"/>
            </w:pPr>
            <w:r>
              <w:rPr>
                <w:b w:val="0"/>
                <w:i w:val="0"/>
                <w:sz w:val="15"/>
              </w:rPr>
              <w:t>Migration plan and reconciliation reports</w:t>
            </w:r>
          </w:p>
        </w:tc>
      </w:tr>
      <w:tr>
        <w:trPr>
          <w:cantSplit/>
        </w:trPr>
        <w:tc>
          <w:tcPr>
            <w:tcW w:type="dxa" w:w="907"/>
            <w:vAlign w:val="top"/>
            <w:shd w:val="clear" w:color="auto" w:fill="FDF0F7"/>
          </w:tcPr>
          <w:p>
            <w:pPr>
              <w:spacing w:after="20" w:line="252" w:lineRule="auto"/>
              <w:jc w:val="center"/>
            </w:pPr>
            <w:r>
              <w:rPr>
                <w:b w:val="0"/>
                <w:i w:val="0"/>
                <w:sz w:val="15"/>
              </w:rPr>
              <w:t>23</w:t>
            </w:r>
          </w:p>
        </w:tc>
        <w:tc>
          <w:tcPr>
            <w:tcW w:type="dxa" w:w="1814"/>
            <w:vAlign w:val="top"/>
            <w:shd w:val="clear" w:color="auto" w:fill="FDF0F7"/>
          </w:tcPr>
          <w:p>
            <w:pPr>
              <w:spacing w:after="20" w:line="252" w:lineRule="auto"/>
            </w:pPr>
            <w:r>
              <w:rPr>
                <w:b w:val="0"/>
                <w:i w:val="0"/>
                <w:sz w:val="15"/>
              </w:rPr>
              <w:t>Readiness</w:t>
            </w:r>
          </w:p>
        </w:tc>
        <w:tc>
          <w:tcPr>
            <w:tcW w:type="dxa" w:w="4195"/>
            <w:vAlign w:val="top"/>
            <w:shd w:val="clear" w:color="auto" w:fill="FDF0F7"/>
          </w:tcPr>
          <w:p>
            <w:pPr>
              <w:spacing w:after="20" w:line="252" w:lineRule="auto"/>
            </w:pPr>
            <w:r>
              <w:rPr>
                <w:b w:val="0"/>
                <w:i w:val="0"/>
                <w:sz w:val="15"/>
              </w:rPr>
              <w:t>Deployment rehearsal, DR drill, go-live checklist</w:t>
            </w:r>
          </w:p>
        </w:tc>
        <w:tc>
          <w:tcPr>
            <w:tcW w:type="dxa" w:w="2721"/>
            <w:vAlign w:val="top"/>
            <w:shd w:val="clear" w:color="auto" w:fill="FDF0F7"/>
          </w:tcPr>
          <w:p>
            <w:pPr>
              <w:spacing w:after="20" w:line="252" w:lineRule="auto"/>
            </w:pPr>
            <w:r>
              <w:rPr>
                <w:b w:val="0"/>
                <w:i w:val="0"/>
                <w:sz w:val="15"/>
              </w:rPr>
              <w:t>Go/no-go (DEL-21)</w:t>
            </w:r>
          </w:p>
        </w:tc>
      </w:tr>
      <w:tr>
        <w:trPr>
          <w:cantSplit/>
        </w:trPr>
        <w:tc>
          <w:tcPr>
            <w:tcW w:type="dxa" w:w="907"/>
            <w:vAlign w:val="top"/>
          </w:tcPr>
          <w:p>
            <w:pPr>
              <w:spacing w:after="20" w:line="252" w:lineRule="auto"/>
              <w:jc w:val="center"/>
            </w:pPr>
            <w:r>
              <w:rPr>
                <w:b w:val="0"/>
                <w:i w:val="0"/>
                <w:sz w:val="15"/>
              </w:rPr>
              <w:t>24</w:t>
            </w:r>
          </w:p>
        </w:tc>
        <w:tc>
          <w:tcPr>
            <w:tcW w:type="dxa" w:w="1814"/>
            <w:vAlign w:val="top"/>
          </w:tcPr>
          <w:p>
            <w:pPr>
              <w:spacing w:after="20" w:line="252" w:lineRule="auto"/>
            </w:pPr>
            <w:r>
              <w:rPr>
                <w:b w:val="0"/>
                <w:i w:val="0"/>
                <w:sz w:val="15"/>
              </w:rPr>
              <w:t>Go-live</w:t>
            </w:r>
          </w:p>
        </w:tc>
        <w:tc>
          <w:tcPr>
            <w:tcW w:type="dxa" w:w="4195"/>
            <w:vAlign w:val="top"/>
          </w:tcPr>
          <w:p>
            <w:pPr>
              <w:spacing w:after="20" w:line="252" w:lineRule="auto"/>
            </w:pPr>
            <w:r>
              <w:rPr>
                <w:b w:val="0"/>
                <w:i w:val="0"/>
                <w:sz w:val="15"/>
              </w:rPr>
              <w:t>Production smoke checklist; first EOD monitored</w:t>
            </w:r>
          </w:p>
        </w:tc>
        <w:tc>
          <w:tcPr>
            <w:tcW w:type="dxa" w:w="2721"/>
            <w:vAlign w:val="top"/>
          </w:tcPr>
          <w:p>
            <w:pPr>
              <w:spacing w:after="20" w:line="252" w:lineRule="auto"/>
            </w:pPr>
            <w:r>
              <w:rPr>
                <w:b w:val="0"/>
                <w:i w:val="0"/>
                <w:sz w:val="15"/>
              </w:rPr>
              <w:t>Production deployment (DEL-28, M6)</w:t>
            </w:r>
          </w:p>
        </w:tc>
      </w:tr>
      <w:tr>
        <w:trPr>
          <w:cantSplit/>
        </w:trPr>
        <w:tc>
          <w:tcPr>
            <w:tcW w:type="dxa" w:w="907"/>
            <w:vAlign w:val="top"/>
            <w:shd w:val="clear" w:color="auto" w:fill="FDF0F7"/>
          </w:tcPr>
          <w:p>
            <w:pPr>
              <w:spacing w:after="20" w:line="252" w:lineRule="auto"/>
              <w:jc w:val="center"/>
            </w:pPr>
            <w:r>
              <w:rPr>
                <w:b w:val="0"/>
                <w:i w:val="0"/>
                <w:sz w:val="15"/>
              </w:rPr>
              <w:t>25–28</w:t>
            </w:r>
          </w:p>
        </w:tc>
        <w:tc>
          <w:tcPr>
            <w:tcW w:type="dxa" w:w="1814"/>
            <w:vAlign w:val="top"/>
            <w:shd w:val="clear" w:color="auto" w:fill="FDF0F7"/>
          </w:tcPr>
          <w:p>
            <w:pPr>
              <w:spacing w:after="20" w:line="252" w:lineRule="auto"/>
            </w:pPr>
            <w:r>
              <w:rPr>
                <w:b w:val="0"/>
                <w:i w:val="0"/>
                <w:sz w:val="15"/>
              </w:rPr>
              <w:t>Hypercare</w:t>
            </w:r>
          </w:p>
        </w:tc>
        <w:tc>
          <w:tcPr>
            <w:tcW w:type="dxa" w:w="4195"/>
            <w:vAlign w:val="top"/>
            <w:shd w:val="clear" w:color="auto" w:fill="FDF0F7"/>
          </w:tcPr>
          <w:p>
            <w:pPr>
              <w:spacing w:after="20" w:line="252" w:lineRule="auto"/>
            </w:pPr>
            <w:r>
              <w:rPr>
                <w:b w:val="0"/>
                <w:i w:val="0"/>
                <w:sz w:val="15"/>
              </w:rPr>
              <w:t>Daily checks; fixes under warranty; regression before each patch</w:t>
            </w:r>
          </w:p>
        </w:tc>
        <w:tc>
          <w:tcPr>
            <w:tcW w:type="dxa" w:w="2721"/>
            <w:vAlign w:val="top"/>
            <w:shd w:val="clear" w:color="auto" w:fill="FDF0F7"/>
          </w:tcPr>
          <w:p>
            <w:pPr>
              <w:spacing w:after="20" w:line="252" w:lineRule="auto"/>
            </w:pPr>
            <w:r>
              <w:rPr>
                <w:b w:val="0"/>
                <w:i w:val="0"/>
                <w:sz w:val="15"/>
              </w:rPr>
              <w:t>Hypercare exit (M7)</w:t>
            </w:r>
          </w:p>
        </w:tc>
      </w:tr>
    </w:tbl>
    <w:p>
      <w:pPr>
        <w:pStyle w:val="Caption"/>
        <w:jc w:val="center"/>
      </w:pPr>
      <w:r>
        <w:rPr>
          <w:b w:val="0"/>
          <w:i w:val="0"/>
        </w:rPr>
        <w:t>Table 10: Test schedule</w:t>
      </w:r>
    </w:p>
    <w:p>
      <w:pPr>
        <w:pStyle w:val="Heading1"/>
        <w:pageBreakBefore/>
        <w:pBdr>
          <w:bottom w:val="single" w:sz="12" w:space="4" w:color="F58220"/>
        </w:pBdr>
      </w:pPr>
      <w:r>
        <w:t>10. Metrics and reporting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5443"/>
        <w:gridCol w:w="2268"/>
      </w:tblGrid>
      <w:tr>
        <w:trPr>
          <w:cantSplit/>
          <w:tblHeader/>
        </w:trPr>
        <w:tc>
          <w:tcPr>
            <w:tcW w:type="dxa" w:w="1928"/>
            <w:shd w:val="clear" w:color="auto" w:fill="E1058C"/>
            <w:vAlign w:val="center"/>
          </w:tcPr>
          <w:p>
            <w:pPr>
              <w:spacing w:after="0"/>
            </w:pPr>
            <w:r>
              <w:rPr>
                <w:b/>
                <w:i w:val="0"/>
                <w:color w:val="FFFFFF"/>
                <w:sz w:val="16"/>
              </w:rPr>
              <w:t>Metric</w:t>
            </w:r>
          </w:p>
        </w:tc>
        <w:tc>
          <w:tcPr>
            <w:tcW w:type="dxa" w:w="5443"/>
            <w:shd w:val="clear" w:color="auto" w:fill="E1058C"/>
            <w:vAlign w:val="center"/>
          </w:tcPr>
          <w:p>
            <w:pPr>
              <w:spacing w:after="0"/>
            </w:pPr>
            <w:r>
              <w:rPr>
                <w:b/>
                <w:i w:val="0"/>
                <w:color w:val="FFFFFF"/>
                <w:sz w:val="16"/>
              </w:rPr>
              <w:t>Definition</w:t>
            </w:r>
          </w:p>
        </w:tc>
        <w:tc>
          <w:tcPr>
            <w:tcW w:type="dxa" w:w="2268"/>
            <w:shd w:val="clear" w:color="auto" w:fill="E1058C"/>
            <w:vAlign w:val="center"/>
          </w:tcPr>
          <w:p>
            <w:pPr>
              <w:spacing w:after="0"/>
            </w:pPr>
            <w:r>
              <w:rPr>
                <w:b/>
                <w:i w:val="0"/>
                <w:color w:val="FFFFFF"/>
                <w:sz w:val="16"/>
              </w:rPr>
              <w:t>Frequency</w:t>
            </w:r>
          </w:p>
        </w:tc>
      </w:tr>
      <w:tr>
        <w:trPr>
          <w:cantSplit/>
        </w:trPr>
        <w:tc>
          <w:tcPr>
            <w:tcW w:type="dxa" w:w="1928"/>
            <w:vAlign w:val="top"/>
          </w:tcPr>
          <w:p>
            <w:pPr>
              <w:spacing w:after="20" w:line="252" w:lineRule="auto"/>
            </w:pPr>
            <w:r>
              <w:rPr>
                <w:b/>
                <w:i w:val="0"/>
                <w:sz w:val="16"/>
              </w:rPr>
              <w:t>Execution progress</w:t>
            </w:r>
          </w:p>
        </w:tc>
        <w:tc>
          <w:tcPr>
            <w:tcW w:type="dxa" w:w="5443"/>
            <w:vAlign w:val="top"/>
          </w:tcPr>
          <w:p>
            <w:pPr>
              <w:spacing w:after="20" w:line="252" w:lineRule="auto"/>
            </w:pPr>
            <w:r>
              <w:rPr>
                <w:b w:val="0"/>
                <w:i w:val="0"/>
                <w:sz w:val="16"/>
              </w:rPr>
              <w:t>Cases planned, executed, passed, failed, blocked per level and per area</w:t>
            </w:r>
          </w:p>
        </w:tc>
        <w:tc>
          <w:tcPr>
            <w:tcW w:type="dxa" w:w="2268"/>
            <w:vAlign w:val="top"/>
          </w:tcPr>
          <w:p>
            <w:pPr>
              <w:spacing w:after="20" w:line="252" w:lineRule="auto"/>
            </w:pPr>
            <w:r>
              <w:rPr>
                <w:b w:val="0"/>
                <w:i w:val="0"/>
                <w:sz w:val="16"/>
              </w:rPr>
              <w:t>Daily in SIT/UAT; weekly to the Working Committee</w:t>
            </w:r>
          </w:p>
        </w:tc>
      </w:tr>
      <w:tr>
        <w:trPr>
          <w:cantSplit/>
        </w:trPr>
        <w:tc>
          <w:tcPr>
            <w:tcW w:type="dxa" w:w="1928"/>
            <w:vAlign w:val="top"/>
            <w:shd w:val="clear" w:color="auto" w:fill="FDF0F7"/>
          </w:tcPr>
          <w:p>
            <w:pPr>
              <w:spacing w:after="20" w:line="252" w:lineRule="auto"/>
            </w:pPr>
            <w:r>
              <w:rPr>
                <w:b/>
                <w:i w:val="0"/>
                <w:sz w:val="16"/>
              </w:rPr>
              <w:t>Pass rate</w:t>
            </w:r>
          </w:p>
        </w:tc>
        <w:tc>
          <w:tcPr>
            <w:tcW w:type="dxa" w:w="5443"/>
            <w:vAlign w:val="top"/>
            <w:shd w:val="clear" w:color="auto" w:fill="FDF0F7"/>
          </w:tcPr>
          <w:p>
            <w:pPr>
              <w:spacing w:after="20" w:line="252" w:lineRule="auto"/>
            </w:pPr>
            <w:r>
              <w:rPr>
                <w:b w:val="0"/>
                <w:i w:val="0"/>
                <w:sz w:val="16"/>
              </w:rPr>
              <w:t>Passed / executed; target ≥ 95% at SIT exit, 100% of Must requirements</w:t>
            </w:r>
          </w:p>
        </w:tc>
        <w:tc>
          <w:tcPr>
            <w:tcW w:type="dxa" w:w="2268"/>
            <w:vAlign w:val="top"/>
            <w:shd w:val="clear" w:color="auto" w:fill="FDF0F7"/>
          </w:tcPr>
          <w:p>
            <w:pPr>
              <w:spacing w:after="20" w:line="252" w:lineRule="auto"/>
            </w:pPr>
            <w:r>
              <w:rPr>
                <w:b w:val="0"/>
                <w:i w:val="0"/>
                <w:sz w:val="16"/>
              </w:rPr>
              <w:t>Daily / weekly</w:t>
            </w:r>
          </w:p>
        </w:tc>
      </w:tr>
      <w:tr>
        <w:trPr>
          <w:cantSplit/>
        </w:trPr>
        <w:tc>
          <w:tcPr>
            <w:tcW w:type="dxa" w:w="1928"/>
            <w:vAlign w:val="top"/>
          </w:tcPr>
          <w:p>
            <w:pPr>
              <w:spacing w:after="20" w:line="252" w:lineRule="auto"/>
            </w:pPr>
            <w:r>
              <w:rPr>
                <w:b/>
                <w:i w:val="0"/>
                <w:sz w:val="16"/>
              </w:rPr>
              <w:t>Requirement coverage</w:t>
            </w:r>
          </w:p>
        </w:tc>
        <w:tc>
          <w:tcPr>
            <w:tcW w:type="dxa" w:w="5443"/>
            <w:vAlign w:val="top"/>
          </w:tcPr>
          <w:p>
            <w:pPr>
              <w:spacing w:after="20" w:line="252" w:lineRule="auto"/>
            </w:pPr>
            <w:r>
              <w:rPr>
                <w:b w:val="0"/>
                <w:i w:val="0"/>
                <w:sz w:val="16"/>
              </w:rPr>
              <w:t>RFP requirements with at least one executed and passed case (Traceability sheet)</w:t>
            </w:r>
          </w:p>
        </w:tc>
        <w:tc>
          <w:tcPr>
            <w:tcW w:type="dxa" w:w="2268"/>
            <w:vAlign w:val="top"/>
          </w:tcPr>
          <w:p>
            <w:pPr>
              <w:spacing w:after="20" w:line="252" w:lineRule="auto"/>
            </w:pPr>
            <w:r>
              <w:rPr>
                <w:b w:val="0"/>
                <w:i w:val="0"/>
                <w:sz w:val="16"/>
              </w:rPr>
              <w:t>Weekly; 100% at UAT exit</w:t>
            </w:r>
          </w:p>
        </w:tc>
      </w:tr>
      <w:tr>
        <w:trPr>
          <w:cantSplit/>
        </w:trPr>
        <w:tc>
          <w:tcPr>
            <w:tcW w:type="dxa" w:w="1928"/>
            <w:vAlign w:val="top"/>
            <w:shd w:val="clear" w:color="auto" w:fill="FDF0F7"/>
          </w:tcPr>
          <w:p>
            <w:pPr>
              <w:spacing w:after="20" w:line="252" w:lineRule="auto"/>
            </w:pPr>
            <w:r>
              <w:rPr>
                <w:b/>
                <w:i w:val="0"/>
                <w:sz w:val="16"/>
              </w:rPr>
              <w:t>Defects</w:t>
            </w:r>
          </w:p>
        </w:tc>
        <w:tc>
          <w:tcPr>
            <w:tcW w:type="dxa" w:w="5443"/>
            <w:vAlign w:val="top"/>
            <w:shd w:val="clear" w:color="auto" w:fill="FDF0F7"/>
          </w:tcPr>
          <w:p>
            <w:pPr>
              <w:spacing w:after="20" w:line="252" w:lineRule="auto"/>
            </w:pPr>
            <w:r>
              <w:rPr>
                <w:b w:val="0"/>
                <w:i w:val="0"/>
                <w:sz w:val="16"/>
              </w:rPr>
              <w:t>Open by severity and age; found vs fixed per week; re-open rate</w:t>
            </w:r>
          </w:p>
        </w:tc>
        <w:tc>
          <w:tcPr>
            <w:tcW w:type="dxa" w:w="2268"/>
            <w:vAlign w:val="top"/>
            <w:shd w:val="clear" w:color="auto" w:fill="FDF0F7"/>
          </w:tcPr>
          <w:p>
            <w:pPr>
              <w:spacing w:after="20" w:line="252" w:lineRule="auto"/>
            </w:pPr>
            <w:r>
              <w:rPr>
                <w:b w:val="0"/>
                <w:i w:val="0"/>
                <w:sz w:val="16"/>
              </w:rPr>
              <w:t>Daily / weekly</w:t>
            </w:r>
          </w:p>
        </w:tc>
      </w:tr>
      <w:tr>
        <w:trPr>
          <w:cantSplit/>
        </w:trPr>
        <w:tc>
          <w:tcPr>
            <w:tcW w:type="dxa" w:w="1928"/>
            <w:vAlign w:val="top"/>
          </w:tcPr>
          <w:p>
            <w:pPr>
              <w:spacing w:after="20" w:line="252" w:lineRule="auto"/>
            </w:pPr>
            <w:r>
              <w:rPr>
                <w:b/>
                <w:i w:val="0"/>
                <w:sz w:val="16"/>
              </w:rPr>
              <w:t>Automation</w:t>
            </w:r>
          </w:p>
        </w:tc>
        <w:tc>
          <w:tcPr>
            <w:tcW w:type="dxa" w:w="5443"/>
            <w:vAlign w:val="top"/>
          </w:tcPr>
          <w:p>
            <w:pPr>
              <w:spacing w:after="20" w:line="252" w:lineRule="auto"/>
            </w:pPr>
            <w:r>
              <w:rPr>
                <w:b w:val="0"/>
                <w:i w:val="0"/>
                <w:sz w:val="16"/>
              </w:rPr>
              <w:t>Share of cases automated; regression duration</w:t>
            </w:r>
          </w:p>
        </w:tc>
        <w:tc>
          <w:tcPr>
            <w:tcW w:type="dxa" w:w="2268"/>
            <w:vAlign w:val="top"/>
          </w:tcPr>
          <w:p>
            <w:pPr>
              <w:spacing w:after="20" w:line="252" w:lineRule="auto"/>
            </w:pPr>
            <w:r>
              <w:rPr>
                <w:b w:val="0"/>
                <w:i w:val="0"/>
                <w:sz w:val="16"/>
              </w:rPr>
              <w:t>Per release</w:t>
            </w:r>
          </w:p>
        </w:tc>
      </w:tr>
      <w:tr>
        <w:trPr>
          <w:cantSplit/>
        </w:trPr>
        <w:tc>
          <w:tcPr>
            <w:tcW w:type="dxa" w:w="1928"/>
            <w:vAlign w:val="top"/>
            <w:shd w:val="clear" w:color="auto" w:fill="FDF0F7"/>
          </w:tcPr>
          <w:p>
            <w:pPr>
              <w:spacing w:after="20" w:line="252" w:lineRule="auto"/>
            </w:pPr>
            <w:r>
              <w:rPr>
                <w:b/>
                <w:i w:val="0"/>
                <w:sz w:val="16"/>
              </w:rPr>
              <w:t>Non-functional</w:t>
            </w:r>
          </w:p>
        </w:tc>
        <w:tc>
          <w:tcPr>
            <w:tcW w:type="dxa" w:w="5443"/>
            <w:vAlign w:val="top"/>
            <w:shd w:val="clear" w:color="auto" w:fill="FDF0F7"/>
          </w:tcPr>
          <w:p>
            <w:pPr>
              <w:spacing w:after="20" w:line="252" w:lineRule="auto"/>
            </w:pPr>
            <w:r>
              <w:rPr>
                <w:b w:val="0"/>
                <w:i w:val="0"/>
                <w:sz w:val="16"/>
              </w:rPr>
              <w:t>p95 response time, error rate, throughput, resource use</w:t>
            </w:r>
          </w:p>
        </w:tc>
        <w:tc>
          <w:tcPr>
            <w:tcW w:type="dxa" w:w="2268"/>
            <w:vAlign w:val="top"/>
            <w:shd w:val="clear" w:color="auto" w:fill="FDF0F7"/>
          </w:tcPr>
          <w:p>
            <w:pPr>
              <w:spacing w:after="20" w:line="252" w:lineRule="auto"/>
            </w:pPr>
            <w:r>
              <w:rPr>
                <w:b w:val="0"/>
                <w:i w:val="0"/>
                <w:sz w:val="16"/>
              </w:rPr>
              <w:t>Performance report</w:t>
            </w:r>
          </w:p>
        </w:tc>
      </w:tr>
      <w:tr>
        <w:trPr>
          <w:cantSplit/>
        </w:trPr>
        <w:tc>
          <w:tcPr>
            <w:tcW w:type="dxa" w:w="1928"/>
            <w:vAlign w:val="top"/>
          </w:tcPr>
          <w:p>
            <w:pPr>
              <w:spacing w:after="20" w:line="252" w:lineRule="auto"/>
            </w:pPr>
            <w:r>
              <w:rPr>
                <w:b/>
                <w:i w:val="0"/>
                <w:sz w:val="16"/>
              </w:rPr>
              <w:t>Security</w:t>
            </w:r>
          </w:p>
        </w:tc>
        <w:tc>
          <w:tcPr>
            <w:tcW w:type="dxa" w:w="5443"/>
            <w:vAlign w:val="top"/>
          </w:tcPr>
          <w:p>
            <w:pPr>
              <w:spacing w:after="20" w:line="252" w:lineRule="auto"/>
            </w:pPr>
            <w:r>
              <w:rPr>
                <w:b w:val="0"/>
                <w:i w:val="0"/>
                <w:sz w:val="16"/>
              </w:rPr>
              <w:t>Findings by severity and remediation status</w:t>
            </w:r>
          </w:p>
        </w:tc>
        <w:tc>
          <w:tcPr>
            <w:tcW w:type="dxa" w:w="2268"/>
            <w:vAlign w:val="top"/>
          </w:tcPr>
          <w:p>
            <w:pPr>
              <w:spacing w:after="20" w:line="252" w:lineRule="auto"/>
            </w:pPr>
            <w:r>
              <w:rPr>
                <w:b w:val="0"/>
                <w:i w:val="0"/>
                <w:sz w:val="16"/>
              </w:rPr>
              <w:t>VAPT report and re-test</w:t>
            </w:r>
          </w:p>
        </w:tc>
      </w:tr>
    </w:tbl>
    <w:p>
      <w:pPr>
        <w:pStyle w:val="Caption"/>
        <w:jc w:val="center"/>
      </w:pPr>
      <w:r>
        <w:rPr>
          <w:b w:val="0"/>
          <w:i w:val="0"/>
        </w:rPr>
        <w:t>Table 11: Metrics</w:t>
      </w:r>
    </w:p>
    <w:p>
      <w:pPr>
        <w:pStyle w:val="ListBullet"/>
      </w:pPr>
      <w:r>
        <w:rPr>
          <w:b w:val="0"/>
          <w:i w:val="0"/>
        </w:rPr>
        <w:t>Daily SIT/UAT report: cases executed and passed, blockers, defects found and fixed, open by severity.</w:t>
      </w:r>
    </w:p>
    <w:p>
      <w:pPr>
        <w:pStyle w:val="ListBullet"/>
      </w:pPr>
      <w:r>
        <w:rPr>
          <w:b w:val="0"/>
          <w:i w:val="0"/>
        </w:rPr>
        <w:t>Weekly Working Committee report: progress against plan, pass rate, coverage, defect trend, risks.</w:t>
      </w:r>
    </w:p>
    <w:p>
      <w:pPr>
        <w:pStyle w:val="ListBullet"/>
      </w:pPr>
      <w:r>
        <w:rPr>
          <w:b w:val="0"/>
          <w:i w:val="0"/>
        </w:rPr>
        <w:t>Phase reports: SIT results (DEL-14), performance report (DEL-18), security assessment and VAPT re-test (DEL-17), UAT results and certificate (DEL-16); each attaches the workbook refreshed on that date.</w:t>
      </w:r>
    </w:p>
    <w:p>
      <w:pPr>
        <w:pStyle w:val="Heading1"/>
        <w:pageBreakBefore/>
        <w:pBdr>
          <w:bottom w:val="single" w:sz="12" w:space="4" w:color="F58220"/>
        </w:pBdr>
      </w:pPr>
      <w:r>
        <w:t>11. Risks and mitigations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2041"/>
        <w:gridCol w:w="4762"/>
      </w:tblGrid>
      <w:tr>
        <w:trPr>
          <w:cantSplit/>
          <w:tblHeader/>
        </w:trPr>
        <w:tc>
          <w:tcPr>
            <w:tcW w:type="dxa" w:w="2835"/>
            <w:shd w:val="clear" w:color="auto" w:fill="E1058C"/>
            <w:vAlign w:val="center"/>
          </w:tcPr>
          <w:p>
            <w:pPr>
              <w:spacing w:after="0"/>
            </w:pPr>
            <w:r>
              <w:rPr>
                <w:b/>
                <w:i w:val="0"/>
                <w:color w:val="FFFFFF"/>
                <w:sz w:val="16"/>
              </w:rPr>
              <w:t>Risk</w:t>
            </w:r>
          </w:p>
        </w:tc>
        <w:tc>
          <w:tcPr>
            <w:tcW w:type="dxa" w:w="2041"/>
            <w:shd w:val="clear" w:color="auto" w:fill="E1058C"/>
            <w:vAlign w:val="center"/>
          </w:tcPr>
          <w:p>
            <w:pPr>
              <w:spacing w:after="0"/>
            </w:pPr>
            <w:r>
              <w:rPr>
                <w:b/>
                <w:i w:val="0"/>
                <w:color w:val="FFFFFF"/>
                <w:sz w:val="16"/>
              </w:rPr>
              <w:t>Effect</w:t>
            </w:r>
          </w:p>
        </w:tc>
        <w:tc>
          <w:tcPr>
            <w:tcW w:type="dxa" w:w="4762"/>
            <w:shd w:val="clear" w:color="auto" w:fill="E1058C"/>
            <w:vAlign w:val="center"/>
          </w:tcPr>
          <w:p>
            <w:pPr>
              <w:spacing w:after="0"/>
            </w:pPr>
            <w:r>
              <w:rPr>
                <w:b/>
                <w:i w:val="0"/>
                <w:color w:val="FFFFFF"/>
                <w:sz w:val="16"/>
              </w:rPr>
              <w:t>Mitigation</w:t>
            </w:r>
          </w:p>
        </w:tc>
      </w:tr>
      <w:tr>
        <w:trPr>
          <w:cantSplit/>
        </w:trPr>
        <w:tc>
          <w:tcPr>
            <w:tcW w:type="dxa" w:w="2835"/>
            <w:vAlign w:val="top"/>
          </w:tcPr>
          <w:p>
            <w:pPr>
              <w:spacing w:after="20" w:line="252" w:lineRule="auto"/>
            </w:pPr>
            <w:r>
              <w:rPr>
                <w:b/>
                <w:i w:val="0"/>
                <w:sz w:val="16"/>
              </w:rPr>
              <w:t>Interface test endpoints or credentials late (Core, FIN, AML, AD)</w:t>
            </w:r>
          </w:p>
        </w:tc>
        <w:tc>
          <w:tcPr>
            <w:tcW w:type="dxa" w:w="2041"/>
            <w:vAlign w:val="top"/>
          </w:tcPr>
          <w:p>
            <w:pPr>
              <w:spacing w:after="20" w:line="252" w:lineRule="auto"/>
            </w:pPr>
            <w:r>
              <w:rPr>
                <w:b w:val="0"/>
                <w:i w:val="0"/>
                <w:sz w:val="16"/>
              </w:rPr>
              <w:t>SIT slips</w:t>
            </w:r>
          </w:p>
        </w:tc>
        <w:tc>
          <w:tcPr>
            <w:tcW w:type="dxa" w:w="4762"/>
            <w:vAlign w:val="top"/>
          </w:tcPr>
          <w:p>
            <w:pPr>
              <w:spacing w:after="20" w:line="252" w:lineRule="auto"/>
            </w:pPr>
            <w:r>
              <w:rPr>
                <w:b w:val="0"/>
                <w:i w:val="0"/>
                <w:sz w:val="16"/>
              </w:rPr>
              <w:t>Simulated adapters allow all flows to be tested first; interface cases isolated and scheduled last; dependency tracked from week 8</w:t>
            </w:r>
          </w:p>
        </w:tc>
      </w:tr>
      <w:tr>
        <w:trPr>
          <w:cantSplit/>
        </w:trPr>
        <w:tc>
          <w:tcPr>
            <w:tcW w:type="dxa" w:w="2835"/>
            <w:vAlign w:val="top"/>
            <w:shd w:val="clear" w:color="auto" w:fill="FDF0F7"/>
          </w:tcPr>
          <w:p>
            <w:pPr>
              <w:spacing w:after="20" w:line="252" w:lineRule="auto"/>
            </w:pPr>
            <w:r>
              <w:rPr>
                <w:b/>
                <w:i w:val="0"/>
                <w:sz w:val="16"/>
              </w:rPr>
              <w:t>Shared demonstration accounts used by several testers</w:t>
            </w:r>
          </w:p>
        </w:tc>
        <w:tc>
          <w:tcPr>
            <w:tcW w:type="dxa" w:w="2041"/>
            <w:vAlign w:val="top"/>
            <w:shd w:val="clear" w:color="auto" w:fill="FDF0F7"/>
          </w:tcPr>
          <w:p>
            <w:pPr>
              <w:spacing w:after="20" w:line="252" w:lineRule="auto"/>
            </w:pPr>
            <w:r>
              <w:rPr>
                <w:b w:val="0"/>
                <w:i w:val="0"/>
                <w:sz w:val="16"/>
              </w:rPr>
              <w:t>Sessions ended by the single-active-session rule; misleading failures</w:t>
            </w:r>
          </w:p>
        </w:tc>
        <w:tc>
          <w:tcPr>
            <w:tcW w:type="dxa" w:w="4762"/>
            <w:vAlign w:val="top"/>
            <w:shd w:val="clear" w:color="auto" w:fill="FDF0F7"/>
          </w:tcPr>
          <w:p>
            <w:pPr>
              <w:spacing w:after="20" w:line="252" w:lineRule="auto"/>
            </w:pPr>
            <w:r>
              <w:rPr>
                <w:b w:val="0"/>
                <w:i w:val="0"/>
                <w:sz w:val="16"/>
              </w:rPr>
              <w:t>Named accounts per tester in SIT/UAT; the API run re-signs in and records it</w:t>
            </w:r>
          </w:p>
        </w:tc>
      </w:tr>
      <w:tr>
        <w:trPr>
          <w:cantSplit/>
        </w:trPr>
        <w:tc>
          <w:tcPr>
            <w:tcW w:type="dxa" w:w="2835"/>
            <w:vAlign w:val="top"/>
          </w:tcPr>
          <w:p>
            <w:pPr>
              <w:spacing w:after="20" w:line="252" w:lineRule="auto"/>
            </w:pPr>
            <w:r>
              <w:rPr>
                <w:b/>
                <w:i w:val="0"/>
                <w:sz w:val="16"/>
              </w:rPr>
              <w:t>Time-zone-dependent tests and jobs</w:t>
            </w:r>
          </w:p>
        </w:tc>
        <w:tc>
          <w:tcPr>
            <w:tcW w:type="dxa" w:w="2041"/>
            <w:vAlign w:val="top"/>
          </w:tcPr>
          <w:p>
            <w:pPr>
              <w:spacing w:after="20" w:line="252" w:lineRule="auto"/>
            </w:pPr>
            <w:r>
              <w:rPr>
                <w:b w:val="0"/>
                <w:i w:val="0"/>
                <w:sz w:val="16"/>
              </w:rPr>
              <w:t>Flaky results near midnight Brunei time</w:t>
            </w:r>
          </w:p>
        </w:tc>
        <w:tc>
          <w:tcPr>
            <w:tcW w:type="dxa" w:w="4762"/>
            <w:vAlign w:val="top"/>
          </w:tcPr>
          <w:p>
            <w:pPr>
              <w:spacing w:after="20" w:line="252" w:lineRule="auto"/>
            </w:pPr>
            <w:r>
              <w:rPr>
                <w:b w:val="0"/>
                <w:i w:val="0"/>
                <w:sz w:val="16"/>
              </w:rPr>
              <w:t>All tests use the business-day helper (DEF-001); jobs tested at their scheduled time in SIT</w:t>
            </w:r>
          </w:p>
        </w:tc>
      </w:tr>
      <w:tr>
        <w:trPr>
          <w:cantSplit/>
        </w:trPr>
        <w:tc>
          <w:tcPr>
            <w:tcW w:type="dxa" w:w="2835"/>
            <w:vAlign w:val="top"/>
            <w:shd w:val="clear" w:color="auto" w:fill="FDF0F7"/>
          </w:tcPr>
          <w:p>
            <w:pPr>
              <w:spacing w:after="20" w:line="252" w:lineRule="auto"/>
            </w:pPr>
            <w:r>
              <w:rPr>
                <w:b/>
                <w:i w:val="0"/>
                <w:sz w:val="16"/>
              </w:rPr>
              <w:t>UAT tester availability</w:t>
            </w:r>
          </w:p>
        </w:tc>
        <w:tc>
          <w:tcPr>
            <w:tcW w:type="dxa" w:w="2041"/>
            <w:vAlign w:val="top"/>
            <w:shd w:val="clear" w:color="auto" w:fill="FDF0F7"/>
          </w:tcPr>
          <w:p>
            <w:pPr>
              <w:spacing w:after="20" w:line="252" w:lineRule="auto"/>
            </w:pPr>
            <w:r>
              <w:rPr>
                <w:b w:val="0"/>
                <w:i w:val="0"/>
                <w:sz w:val="16"/>
              </w:rPr>
              <w:t>UAT exceeds weeks 19–22</w:t>
            </w:r>
          </w:p>
        </w:tc>
        <w:tc>
          <w:tcPr>
            <w:tcW w:type="dxa" w:w="4762"/>
            <w:vAlign w:val="top"/>
            <w:shd w:val="clear" w:color="auto" w:fill="FDF0F7"/>
          </w:tcPr>
          <w:p>
            <w:pPr>
              <w:spacing w:after="20" w:line="252" w:lineRule="auto"/>
            </w:pPr>
            <w:r>
              <w:rPr>
                <w:b w:val="0"/>
                <w:i w:val="0"/>
                <w:sz w:val="16"/>
              </w:rPr>
              <w:t>Testers named by week 16; scripts short and per role; iorta on site</w:t>
            </w:r>
          </w:p>
        </w:tc>
      </w:tr>
      <w:tr>
        <w:trPr>
          <w:cantSplit/>
        </w:trPr>
        <w:tc>
          <w:tcPr>
            <w:tcW w:type="dxa" w:w="2835"/>
            <w:vAlign w:val="top"/>
          </w:tcPr>
          <w:p>
            <w:pPr>
              <w:spacing w:after="20" w:line="252" w:lineRule="auto"/>
            </w:pPr>
            <w:r>
              <w:rPr>
                <w:b/>
                <w:i w:val="0"/>
                <w:sz w:val="16"/>
              </w:rPr>
              <w:t>Performance environment not production-like</w:t>
            </w:r>
          </w:p>
        </w:tc>
        <w:tc>
          <w:tcPr>
            <w:tcW w:type="dxa" w:w="2041"/>
            <w:vAlign w:val="top"/>
          </w:tcPr>
          <w:p>
            <w:pPr>
              <w:spacing w:after="20" w:line="252" w:lineRule="auto"/>
            </w:pPr>
            <w:r>
              <w:rPr>
                <w:b w:val="0"/>
                <w:i w:val="0"/>
                <w:sz w:val="16"/>
              </w:rPr>
              <w:t>Results not representative</w:t>
            </w:r>
          </w:p>
        </w:tc>
        <w:tc>
          <w:tcPr>
            <w:tcW w:type="dxa" w:w="4762"/>
            <w:vAlign w:val="top"/>
          </w:tcPr>
          <w:p>
            <w:pPr>
              <w:spacing w:after="20" w:line="252" w:lineRule="auto"/>
            </w:pPr>
            <w:r>
              <w:rPr>
                <w:b w:val="0"/>
                <w:i w:val="0"/>
                <w:sz w:val="16"/>
              </w:rPr>
              <w:t>Sizing agreed in the Solution Architecture; environment checked before the test; results reported with configuration</w:t>
            </w:r>
          </w:p>
        </w:tc>
      </w:tr>
      <w:tr>
        <w:trPr>
          <w:cantSplit/>
        </w:trPr>
        <w:tc>
          <w:tcPr>
            <w:tcW w:type="dxa" w:w="2835"/>
            <w:vAlign w:val="top"/>
            <w:shd w:val="clear" w:color="auto" w:fill="FDF0F7"/>
          </w:tcPr>
          <w:p>
            <w:pPr>
              <w:spacing w:after="20" w:line="252" w:lineRule="auto"/>
            </w:pPr>
            <w:r>
              <w:rPr>
                <w:b/>
                <w:i w:val="0"/>
                <w:sz w:val="16"/>
              </w:rPr>
              <w:t>VAPT findings late in the plan</w:t>
            </w:r>
          </w:p>
        </w:tc>
        <w:tc>
          <w:tcPr>
            <w:tcW w:type="dxa" w:w="2041"/>
            <w:vAlign w:val="top"/>
            <w:shd w:val="clear" w:color="auto" w:fill="FDF0F7"/>
          </w:tcPr>
          <w:p>
            <w:pPr>
              <w:spacing w:after="20" w:line="252" w:lineRule="auto"/>
            </w:pPr>
            <w:r>
              <w:rPr>
                <w:b w:val="0"/>
                <w:i w:val="0"/>
                <w:sz w:val="16"/>
              </w:rPr>
              <w:t>Go-live at risk</w:t>
            </w:r>
          </w:p>
        </w:tc>
        <w:tc>
          <w:tcPr>
            <w:tcW w:type="dxa" w:w="4762"/>
            <w:vAlign w:val="top"/>
            <w:shd w:val="clear" w:color="auto" w:fill="FDF0F7"/>
          </w:tcPr>
          <w:p>
            <w:pPr>
              <w:spacing w:after="20" w:line="252" w:lineRule="auto"/>
            </w:pPr>
            <w:r>
              <w:rPr>
                <w:b w:val="0"/>
                <w:i w:val="0"/>
                <w:sz w:val="16"/>
              </w:rPr>
              <w:t>Internal checks and CI gates first; VAPT starts at SIT functional exit; remediation window reserved in week 19</w:t>
            </w:r>
          </w:p>
        </w:tc>
      </w:tr>
      <w:tr>
        <w:trPr>
          <w:cantSplit/>
        </w:trPr>
        <w:tc>
          <w:tcPr>
            <w:tcW w:type="dxa" w:w="2835"/>
            <w:vAlign w:val="top"/>
          </w:tcPr>
          <w:p>
            <w:pPr>
              <w:spacing w:after="20" w:line="252" w:lineRule="auto"/>
            </w:pPr>
            <w:r>
              <w:rPr>
                <w:b/>
                <w:i w:val="0"/>
                <w:sz w:val="16"/>
              </w:rPr>
              <w:t>Migration data quality</w:t>
            </w:r>
          </w:p>
        </w:tc>
        <w:tc>
          <w:tcPr>
            <w:tcW w:type="dxa" w:w="2041"/>
            <w:vAlign w:val="top"/>
          </w:tcPr>
          <w:p>
            <w:pPr>
              <w:spacing w:after="20" w:line="252" w:lineRule="auto"/>
            </w:pPr>
            <w:r>
              <w:rPr>
                <w:b w:val="0"/>
                <w:i w:val="0"/>
                <w:sz w:val="16"/>
              </w:rPr>
              <w:t>Reconciliation mismatches</w:t>
            </w:r>
          </w:p>
        </w:tc>
        <w:tc>
          <w:tcPr>
            <w:tcW w:type="dxa" w:w="4762"/>
            <w:vAlign w:val="top"/>
          </w:tcPr>
          <w:p>
            <w:pPr>
              <w:spacing w:after="20" w:line="252" w:lineRule="auto"/>
            </w:pPr>
            <w:r>
              <w:rPr>
                <w:b w:val="0"/>
                <w:i w:val="0"/>
                <w:sz w:val="16"/>
              </w:rPr>
              <w:t>Two dry-runs; corrections at source; exception reports</w:t>
            </w:r>
          </w:p>
        </w:tc>
      </w:tr>
    </w:tbl>
    <w:p>
      <w:pPr>
        <w:pStyle w:val="Caption"/>
        <w:jc w:val="center"/>
      </w:pPr>
      <w:r>
        <w:rPr>
          <w:b w:val="0"/>
          <w:i w:val="0"/>
        </w:rPr>
        <w:t>Table 12: Test risks</w:t>
      </w:r>
    </w:p>
    <w:p>
      <w:pPr>
        <w:pStyle w:val="Heading1"/>
        <w:pageBreakBefore/>
        <w:pBdr>
          <w:bottom w:val="single" w:sz="12" w:space="4" w:color="F58220"/>
        </w:pBdr>
      </w:pPr>
      <w:r>
        <w:t>12. Status post testing</w:t>
      </w:r>
    </w:p>
    <w:p>
      <w:pPr>
        <w:keepNext w:val="0"/>
      </w:pPr>
      <w:r>
        <w:rPr>
          <w:b w:val="0"/>
          <w:i w:val="0"/>
        </w:rPr>
        <w:t>Status of testing on the build of 2 October 2026 (source commit af2fb05), counted from the evidence files listed in the annex. The figures are the same as on the Summary sheet of the Test Cases workbook; the build of this pack verifies that they agree.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907"/>
        <w:gridCol w:w="907"/>
        <w:gridCol w:w="6350"/>
      </w:tblGrid>
      <w:tr>
        <w:trPr>
          <w:cantSplit/>
          <w:tblHeader/>
        </w:trPr>
        <w:tc>
          <w:tcPr>
            <w:tcW w:type="dxa" w:w="1474"/>
            <w:shd w:val="clear" w:color="auto" w:fill="E1058C"/>
            <w:vAlign w:val="center"/>
          </w:tcPr>
          <w:p>
            <w:pPr>
              <w:spacing w:after="0"/>
            </w:pPr>
            <w:r>
              <w:rPr>
                <w:b/>
                <w:i w:val="0"/>
                <w:color w:val="FFFFFF"/>
                <w:sz w:val="17"/>
              </w:rPr>
              <w:t>Status</w:t>
            </w:r>
          </w:p>
        </w:tc>
        <w:tc>
          <w:tcPr>
            <w:tcW w:type="dxa" w:w="907"/>
            <w:shd w:val="clear" w:color="auto" w:fill="E1058C"/>
            <w:vAlign w:val="center"/>
          </w:tcPr>
          <w:p>
            <w:pPr>
              <w:spacing w:after="0"/>
            </w:pPr>
            <w:r>
              <w:rPr>
                <w:b/>
                <w:i w:val="0"/>
                <w:color w:val="FFFFFF"/>
                <w:sz w:val="17"/>
              </w:rPr>
              <w:t>Cases</w:t>
            </w:r>
          </w:p>
        </w:tc>
        <w:tc>
          <w:tcPr>
            <w:tcW w:type="dxa" w:w="907"/>
            <w:shd w:val="clear" w:color="auto" w:fill="E1058C"/>
            <w:vAlign w:val="center"/>
          </w:tcPr>
          <w:p>
            <w:pPr>
              <w:spacing w:after="0"/>
            </w:pPr>
            <w:r>
              <w:rPr>
                <w:b/>
                <w:i w:val="0"/>
                <w:color w:val="FFFFFF"/>
                <w:sz w:val="17"/>
              </w:rPr>
              <w:t>Share</w:t>
            </w:r>
          </w:p>
        </w:tc>
        <w:tc>
          <w:tcPr>
            <w:tcW w:type="dxa" w:w="6350"/>
            <w:shd w:val="clear" w:color="auto" w:fill="E1058C"/>
            <w:vAlign w:val="center"/>
          </w:tcPr>
          <w:p>
            <w:pPr>
              <w:spacing w:after="0"/>
            </w:pPr>
            <w:r>
              <w:rPr>
                <w:b/>
                <w:i w:val="0"/>
                <w:color w:val="FFFFFF"/>
                <w:sz w:val="17"/>
              </w:rPr>
              <w:t>Meaning</w:t>
            </w:r>
          </w:p>
        </w:tc>
      </w:tr>
      <w:tr>
        <w:trPr>
          <w:cantSplit/>
        </w:trPr>
        <w:tc>
          <w:tcPr>
            <w:tcW w:type="dxa" w:w="1474"/>
            <w:vAlign w:val="top"/>
          </w:tcPr>
          <w:p>
            <w:pPr>
              <w:spacing w:after="20" w:line="252" w:lineRule="auto"/>
            </w:pPr>
            <w:r>
              <w:rPr>
                <w:b/>
                <w:i w:val="0"/>
                <w:sz w:val="17"/>
              </w:rPr>
              <w:t>Passed</w:t>
            </w:r>
          </w:p>
        </w:tc>
        <w:tc>
          <w:tcPr>
            <w:tcW w:type="dxa" w:w="907"/>
            <w:vAlign w:val="top"/>
          </w:tcPr>
          <w:p>
            <w:pPr>
              <w:spacing w:after="20" w:line="252" w:lineRule="auto"/>
              <w:jc w:val="center"/>
            </w:pPr>
            <w:r>
              <w:rPr>
                <w:b w:val="0"/>
                <w:i w:val="0"/>
                <w:sz w:val="17"/>
              </w:rPr>
              <w:t>384</w:t>
            </w:r>
          </w:p>
        </w:tc>
        <w:tc>
          <w:tcPr>
            <w:tcW w:type="dxa" w:w="907"/>
            <w:vAlign w:val="top"/>
          </w:tcPr>
          <w:p>
            <w:pPr>
              <w:spacing w:after="20" w:line="252" w:lineRule="auto"/>
              <w:jc w:val="center"/>
            </w:pPr>
            <w:r>
              <w:rPr>
                <w:b w:val="0"/>
                <w:i w:val="0"/>
                <w:sz w:val="17"/>
              </w:rPr>
              <w:t>88%</w:t>
            </w:r>
          </w:p>
        </w:tc>
        <w:tc>
          <w:tcPr>
            <w:tcW w:type="dxa" w:w="6350"/>
            <w:vAlign w:val="top"/>
          </w:tcPr>
          <w:p>
            <w:pPr>
              <w:spacing w:after="20" w:line="252" w:lineRule="auto"/>
            </w:pPr>
            <w:r>
              <w:rPr>
                <w:b w:val="0"/>
                <w:i w:val="0"/>
                <w:sz w:val="17"/>
              </w:rPr>
              <w:t>Executed with the expected result (automated suites, API run, security checks, manual runs with screen captures)</w:t>
            </w:r>
          </w:p>
        </w:tc>
      </w:tr>
      <w:tr>
        <w:trPr>
          <w:cantSplit/>
        </w:trPr>
        <w:tc>
          <w:tcPr>
            <w:tcW w:type="dxa" w:w="1474"/>
            <w:vAlign w:val="top"/>
            <w:shd w:val="clear" w:color="auto" w:fill="FDF0F7"/>
          </w:tcPr>
          <w:p>
            <w:pPr>
              <w:spacing w:after="20" w:line="252" w:lineRule="auto"/>
            </w:pPr>
            <w:r>
              <w:rPr>
                <w:b/>
                <w:i w:val="0"/>
                <w:sz w:val="17"/>
              </w:rPr>
              <w:t>Failed</w:t>
            </w:r>
          </w:p>
        </w:tc>
        <w:tc>
          <w:tcPr>
            <w:tcW w:type="dxa" w:w="907"/>
            <w:vAlign w:val="top"/>
            <w:shd w:val="clear" w:color="auto" w:fill="FDF0F7"/>
          </w:tcPr>
          <w:p>
            <w:pPr>
              <w:spacing w:after="20" w:line="252" w:lineRule="auto"/>
              <w:jc w:val="center"/>
            </w:pPr>
            <w:r>
              <w:rPr>
                <w:b w:val="0"/>
                <w:i w:val="0"/>
                <w:sz w:val="17"/>
              </w:rPr>
              <w:t>2</w:t>
            </w:r>
          </w:p>
        </w:tc>
        <w:tc>
          <w:tcPr>
            <w:tcW w:type="dxa" w:w="907"/>
            <w:vAlign w:val="top"/>
            <w:shd w:val="clear" w:color="auto" w:fill="FDF0F7"/>
          </w:tcPr>
          <w:p>
            <w:pPr>
              <w:spacing w:after="20" w:line="252" w:lineRule="auto"/>
              <w:jc w:val="center"/>
            </w:pPr>
            <w:r>
              <w:rPr>
                <w:b w:val="0"/>
                <w:i w:val="0"/>
                <w:sz w:val="17"/>
              </w:rPr>
              <w:t>0%</w:t>
            </w:r>
          </w:p>
        </w:tc>
        <w:tc>
          <w:tcPr>
            <w:tcW w:type="dxa" w:w="6350"/>
            <w:vAlign w:val="top"/>
            <w:shd w:val="clear" w:color="auto" w:fill="FDF0F7"/>
          </w:tcPr>
          <w:p>
            <w:pPr>
              <w:spacing w:after="20" w:line="252" w:lineRule="auto"/>
            </w:pPr>
            <w:r>
              <w:rPr>
                <w:b w:val="0"/>
                <w:i w:val="0"/>
                <w:sz w:val="17"/>
              </w:rPr>
              <w:t>Executed; expected result not observed; defect logged</w:t>
            </w:r>
          </w:p>
        </w:tc>
      </w:tr>
      <w:tr>
        <w:trPr>
          <w:cantSplit/>
        </w:trPr>
        <w:tc>
          <w:tcPr>
            <w:tcW w:type="dxa" w:w="1474"/>
            <w:vAlign w:val="top"/>
          </w:tcPr>
          <w:p>
            <w:pPr>
              <w:spacing w:after="20" w:line="252" w:lineRule="auto"/>
            </w:pPr>
            <w:r>
              <w:rPr>
                <w:b/>
                <w:i w:val="0"/>
                <w:sz w:val="17"/>
              </w:rPr>
              <w:t>Blocked</w:t>
            </w:r>
          </w:p>
        </w:tc>
        <w:tc>
          <w:tcPr>
            <w:tcW w:type="dxa" w:w="907"/>
            <w:vAlign w:val="top"/>
          </w:tcPr>
          <w:p>
            <w:pPr>
              <w:spacing w:after="20" w:line="252" w:lineRule="auto"/>
              <w:jc w:val="center"/>
            </w:pPr>
            <w:r>
              <w:rPr>
                <w:b w:val="0"/>
                <w:i w:val="0"/>
                <w:sz w:val="17"/>
              </w:rPr>
              <w:t>1</w:t>
            </w:r>
          </w:p>
        </w:tc>
        <w:tc>
          <w:tcPr>
            <w:tcW w:type="dxa" w:w="907"/>
            <w:vAlign w:val="top"/>
          </w:tcPr>
          <w:p>
            <w:pPr>
              <w:spacing w:after="20" w:line="252" w:lineRule="auto"/>
              <w:jc w:val="center"/>
            </w:pPr>
            <w:r>
              <w:rPr>
                <w:b w:val="0"/>
                <w:i w:val="0"/>
                <w:sz w:val="17"/>
              </w:rPr>
              <w:t>0%</w:t>
            </w:r>
          </w:p>
        </w:tc>
        <w:tc>
          <w:tcPr>
            <w:tcW w:type="dxa" w:w="6350"/>
            <w:vAlign w:val="top"/>
          </w:tcPr>
          <w:p>
            <w:pPr>
              <w:spacing w:after="20" w:line="252" w:lineRule="auto"/>
            </w:pPr>
            <w:r>
              <w:rPr>
                <w:b w:val="0"/>
                <w:i w:val="0"/>
                <w:sz w:val="17"/>
              </w:rPr>
              <w:t>Pre-condition not available in the test data at the time of the run</w:t>
            </w:r>
          </w:p>
        </w:tc>
      </w:tr>
      <w:tr>
        <w:trPr>
          <w:cantSplit/>
        </w:trPr>
        <w:tc>
          <w:tcPr>
            <w:tcW w:type="dxa" w:w="1474"/>
            <w:vAlign w:val="top"/>
            <w:shd w:val="clear" w:color="auto" w:fill="FDF0F7"/>
          </w:tcPr>
          <w:p>
            <w:pPr>
              <w:spacing w:after="20" w:line="252" w:lineRule="auto"/>
            </w:pPr>
            <w:r>
              <w:rPr>
                <w:b/>
                <w:i w:val="0"/>
                <w:sz w:val="17"/>
              </w:rPr>
              <w:t>Not executed</w:t>
            </w:r>
          </w:p>
        </w:tc>
        <w:tc>
          <w:tcPr>
            <w:tcW w:type="dxa" w:w="907"/>
            <w:vAlign w:val="top"/>
            <w:shd w:val="clear" w:color="auto" w:fill="FDF0F7"/>
          </w:tcPr>
          <w:p>
            <w:pPr>
              <w:spacing w:after="20" w:line="252" w:lineRule="auto"/>
              <w:jc w:val="center"/>
            </w:pPr>
            <w:r>
              <w:rPr>
                <w:b w:val="0"/>
                <w:i w:val="0"/>
                <w:sz w:val="17"/>
              </w:rPr>
              <w:t>51</w:t>
            </w:r>
          </w:p>
        </w:tc>
        <w:tc>
          <w:tcPr>
            <w:tcW w:type="dxa" w:w="907"/>
            <w:vAlign w:val="top"/>
            <w:shd w:val="clear" w:color="auto" w:fill="FDF0F7"/>
          </w:tcPr>
          <w:p>
            <w:pPr>
              <w:spacing w:after="20" w:line="252" w:lineRule="auto"/>
              <w:jc w:val="center"/>
            </w:pPr>
            <w:r>
              <w:rPr>
                <w:b w:val="0"/>
                <w:i w:val="0"/>
                <w:sz w:val="17"/>
              </w:rPr>
              <w:t>12%</w:t>
            </w:r>
          </w:p>
        </w:tc>
        <w:tc>
          <w:tcPr>
            <w:tcW w:type="dxa" w:w="6350"/>
            <w:vAlign w:val="top"/>
            <w:shd w:val="clear" w:color="auto" w:fill="FDF0F7"/>
          </w:tcPr>
          <w:p>
            <w:pPr>
              <w:spacing w:after="20" w:line="252" w:lineRule="auto"/>
            </w:pPr>
            <w:r>
              <w:rPr>
                <w:b w:val="0"/>
                <w:i w:val="0"/>
                <w:sz w:val="17"/>
              </w:rPr>
              <w:t>Needs IIFT's environment, scale, users or a time-based job; reason stated per case</w:t>
            </w:r>
          </w:p>
        </w:tc>
      </w:tr>
      <w:tr>
        <w:trPr>
          <w:cantSplit/>
        </w:trPr>
        <w:tc>
          <w:tcPr>
            <w:tcW w:type="dxa" w:w="1474"/>
            <w:vAlign w:val="top"/>
            <w:shd w:val="clear" w:color="auto" w:fill="FEEBDD"/>
          </w:tcPr>
          <w:p>
            <w:pPr>
              <w:spacing w:after="20" w:line="252" w:lineRule="auto"/>
            </w:pPr>
            <w:r>
              <w:rPr>
                <w:b/>
                <w:i w:val="0"/>
                <w:sz w:val="17"/>
              </w:rPr>
              <w:t>Total</w:t>
            </w:r>
          </w:p>
        </w:tc>
        <w:tc>
          <w:tcPr>
            <w:tcW w:type="dxa" w:w="907"/>
            <w:vAlign w:val="top"/>
            <w:shd w:val="clear" w:color="auto" w:fill="FEEBDD"/>
          </w:tcPr>
          <w:p>
            <w:pPr>
              <w:spacing w:after="20" w:line="252" w:lineRule="auto"/>
              <w:jc w:val="center"/>
            </w:pPr>
            <w:r>
              <w:rPr>
                <w:b/>
                <w:i w:val="0"/>
                <w:sz w:val="17"/>
              </w:rPr>
              <w:t>438</w:t>
            </w:r>
          </w:p>
        </w:tc>
        <w:tc>
          <w:tcPr>
            <w:tcW w:type="dxa" w:w="907"/>
            <w:vAlign w:val="top"/>
            <w:shd w:val="clear" w:color="auto" w:fill="FEEBDD"/>
          </w:tcPr>
          <w:p>
            <w:pPr>
              <w:spacing w:after="20" w:line="252" w:lineRule="auto"/>
              <w:jc w:val="center"/>
            </w:pPr>
            <w:r>
              <w:rPr>
                <w:b/>
                <w:i w:val="0"/>
                <w:sz w:val="17"/>
              </w:rPr>
              <w:t>100%</w:t>
            </w:r>
          </w:p>
        </w:tc>
        <w:tc>
          <w:tcPr>
            <w:tcW w:type="dxa" w:w="6350"/>
            <w:vAlign w:val="top"/>
            <w:shd w:val="clear" w:color="auto" w:fill="FEEBDD"/>
          </w:tcPr>
          <w:p>
            <w:pPr>
              <w:spacing w:after="20" w:line="252" w:lineRule="auto"/>
            </w:pPr>
            <w:r>
              <w:rPr>
                <w:b/>
                <w:i w:val="0"/>
                <w:sz w:val="17"/>
              </w:rPr>
              <w:t>70 scenarios, 196 conditions</w:t>
            </w:r>
          </w:p>
        </w:tc>
      </w:tr>
    </w:tbl>
    <w:p>
      <w:pPr>
        <w:pStyle w:val="Caption"/>
        <w:jc w:val="center"/>
      </w:pPr>
      <w:r>
        <w:rPr>
          <w:b w:val="0"/>
          <w:i w:val="0"/>
        </w:rPr>
        <w:t>Table 13: Cases by status</w:t>
      </w:r>
    </w:p>
    <w:tbl>
      <w:tblPr>
        <w:tblW w:type="dxa" w:w="9298"/>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742"/>
        <w:gridCol w:w="1020"/>
        <w:gridCol w:w="1020"/>
        <w:gridCol w:w="1020"/>
        <w:gridCol w:w="1020"/>
        <w:gridCol w:w="1474"/>
      </w:tblGrid>
      <w:tr>
        <w:trPr>
          <w:cantSplit/>
          <w:tblHeader/>
        </w:trPr>
        <w:tc>
          <w:tcPr>
            <w:tcW w:type="dxa" w:w="3742"/>
            <w:shd w:val="clear" w:color="auto" w:fill="E1058C"/>
            <w:vAlign w:val="center"/>
          </w:tcPr>
          <w:p>
            <w:pPr>
              <w:spacing w:after="0"/>
            </w:pPr>
            <w:r>
              <w:rPr>
                <w:b/>
                <w:i w:val="0"/>
                <w:color w:val="FFFFFF"/>
                <w:sz w:val="17"/>
              </w:rPr>
              <w:t>Level</w:t>
            </w:r>
          </w:p>
        </w:tc>
        <w:tc>
          <w:tcPr>
            <w:tcW w:type="dxa" w:w="1020"/>
            <w:shd w:val="clear" w:color="auto" w:fill="E1058C"/>
            <w:vAlign w:val="center"/>
          </w:tcPr>
          <w:p>
            <w:pPr>
              <w:spacing w:after="0"/>
            </w:pPr>
            <w:r>
              <w:rPr>
                <w:b/>
                <w:i w:val="0"/>
                <w:color w:val="FFFFFF"/>
                <w:sz w:val="17"/>
              </w:rPr>
              <w:t>Cases</w:t>
            </w:r>
          </w:p>
        </w:tc>
        <w:tc>
          <w:tcPr>
            <w:tcW w:type="dxa" w:w="1020"/>
            <w:shd w:val="clear" w:color="auto" w:fill="E1058C"/>
            <w:vAlign w:val="center"/>
          </w:tcPr>
          <w:p>
            <w:pPr>
              <w:spacing w:after="0"/>
            </w:pPr>
            <w:r>
              <w:rPr>
                <w:b/>
                <w:i w:val="0"/>
                <w:color w:val="FFFFFF"/>
                <w:sz w:val="17"/>
              </w:rPr>
              <w:t>Passed</w:t>
            </w:r>
          </w:p>
        </w:tc>
        <w:tc>
          <w:tcPr>
            <w:tcW w:type="dxa" w:w="1020"/>
            <w:shd w:val="clear" w:color="auto" w:fill="E1058C"/>
            <w:vAlign w:val="center"/>
          </w:tcPr>
          <w:p>
            <w:pPr>
              <w:spacing w:after="0"/>
            </w:pPr>
            <w:r>
              <w:rPr>
                <w:b/>
                <w:i w:val="0"/>
                <w:color w:val="FFFFFF"/>
                <w:sz w:val="17"/>
              </w:rPr>
              <w:t>Failed</w:t>
            </w:r>
          </w:p>
        </w:tc>
        <w:tc>
          <w:tcPr>
            <w:tcW w:type="dxa" w:w="1020"/>
            <w:shd w:val="clear" w:color="auto" w:fill="E1058C"/>
            <w:vAlign w:val="center"/>
          </w:tcPr>
          <w:p>
            <w:pPr>
              <w:spacing w:after="0"/>
            </w:pPr>
            <w:r>
              <w:rPr>
                <w:b/>
                <w:i w:val="0"/>
                <w:color w:val="FFFFFF"/>
                <w:sz w:val="17"/>
              </w:rPr>
              <w:t>Blocked</w:t>
            </w:r>
          </w:p>
        </w:tc>
        <w:tc>
          <w:tcPr>
            <w:tcW w:type="dxa" w:w="1474"/>
            <w:shd w:val="clear" w:color="auto" w:fill="E1058C"/>
            <w:vAlign w:val="center"/>
          </w:tcPr>
          <w:p>
            <w:pPr>
              <w:spacing w:after="0"/>
            </w:pPr>
            <w:r>
              <w:rPr>
                <w:b/>
                <w:i w:val="0"/>
                <w:color w:val="FFFFFF"/>
                <w:sz w:val="17"/>
              </w:rPr>
              <w:t>Not executed</w:t>
            </w:r>
          </w:p>
        </w:tc>
      </w:tr>
      <w:tr>
        <w:trPr>
          <w:cantSplit/>
        </w:trPr>
        <w:tc>
          <w:tcPr>
            <w:tcW w:type="dxa" w:w="3742"/>
            <w:vAlign w:val="top"/>
          </w:tcPr>
          <w:p>
            <w:pPr>
              <w:spacing w:after="20" w:line="252" w:lineRule="auto"/>
            </w:pPr>
            <w:r>
              <w:rPr>
                <w:b/>
                <w:i w:val="0"/>
                <w:sz w:val="17"/>
              </w:rPr>
              <w:t>Unit (API and web components)</w:t>
            </w:r>
          </w:p>
        </w:tc>
        <w:tc>
          <w:tcPr>
            <w:tcW w:type="dxa" w:w="1020"/>
            <w:vAlign w:val="top"/>
          </w:tcPr>
          <w:p>
            <w:pPr>
              <w:spacing w:after="20" w:line="252" w:lineRule="auto"/>
              <w:jc w:val="center"/>
            </w:pPr>
            <w:r>
              <w:rPr>
                <w:b w:val="0"/>
                <w:i w:val="0"/>
                <w:sz w:val="17"/>
              </w:rPr>
              <w:t>150</w:t>
            </w:r>
          </w:p>
        </w:tc>
        <w:tc>
          <w:tcPr>
            <w:tcW w:type="dxa" w:w="1020"/>
            <w:vAlign w:val="top"/>
          </w:tcPr>
          <w:p>
            <w:pPr>
              <w:spacing w:after="20" w:line="252" w:lineRule="auto"/>
              <w:jc w:val="center"/>
            </w:pPr>
            <w:r>
              <w:rPr>
                <w:b w:val="0"/>
                <w:i w:val="0"/>
                <w:sz w:val="17"/>
              </w:rPr>
              <w:t>150</w:t>
            </w:r>
          </w:p>
        </w:tc>
        <w:tc>
          <w:tcPr>
            <w:tcW w:type="dxa" w:w="1020"/>
            <w:vAlign w:val="top"/>
          </w:tcPr>
          <w:p>
            <w:pPr>
              <w:spacing w:after="20" w:line="252" w:lineRule="auto"/>
              <w:jc w:val="center"/>
            </w:pPr>
            <w:r>
              <w:rPr>
                <w:b w:val="0"/>
                <w:i w:val="0"/>
                <w:sz w:val="17"/>
              </w:rPr>
              <w:t>0</w:t>
            </w:r>
          </w:p>
        </w:tc>
        <w:tc>
          <w:tcPr>
            <w:tcW w:type="dxa" w:w="1020"/>
            <w:vAlign w:val="top"/>
          </w:tcPr>
          <w:p>
            <w:pPr>
              <w:spacing w:after="20" w:line="252" w:lineRule="auto"/>
              <w:jc w:val="center"/>
            </w:pPr>
            <w:r>
              <w:rPr>
                <w:b w:val="0"/>
                <w:i w:val="0"/>
                <w:sz w:val="17"/>
              </w:rPr>
              <w:t>0</w:t>
            </w:r>
          </w:p>
        </w:tc>
        <w:tc>
          <w:tcPr>
            <w:tcW w:type="dxa" w:w="1474"/>
            <w:vAlign w:val="top"/>
          </w:tcPr>
          <w:p>
            <w:pPr>
              <w:spacing w:after="20" w:line="252" w:lineRule="auto"/>
              <w:jc w:val="center"/>
            </w:pPr>
            <w:r>
              <w:rPr>
                <w:b w:val="0"/>
                <w:i w:val="0"/>
                <w:sz w:val="17"/>
              </w:rPr>
              <w:t>0</w:t>
            </w:r>
          </w:p>
        </w:tc>
      </w:tr>
      <w:tr>
        <w:trPr>
          <w:cantSplit/>
        </w:trPr>
        <w:tc>
          <w:tcPr>
            <w:tcW w:type="dxa" w:w="3742"/>
            <w:vAlign w:val="top"/>
            <w:shd w:val="clear" w:color="auto" w:fill="FDF0F7"/>
          </w:tcPr>
          <w:p>
            <w:pPr>
              <w:spacing w:after="20" w:line="252" w:lineRule="auto"/>
            </w:pPr>
            <w:r>
              <w:rPr>
                <w:b/>
                <w:i w:val="0"/>
                <w:sz w:val="17"/>
              </w:rPr>
              <w:t>API system cases executed against the running system</w:t>
            </w:r>
          </w:p>
        </w:tc>
        <w:tc>
          <w:tcPr>
            <w:tcW w:type="dxa" w:w="1020"/>
            <w:vAlign w:val="top"/>
            <w:shd w:val="clear" w:color="auto" w:fill="FDF0F7"/>
          </w:tcPr>
          <w:p>
            <w:pPr>
              <w:spacing w:after="20" w:line="252" w:lineRule="auto"/>
              <w:jc w:val="center"/>
            </w:pPr>
            <w:r>
              <w:rPr>
                <w:b w:val="0"/>
                <w:i w:val="0"/>
                <w:sz w:val="17"/>
              </w:rPr>
              <w:t>122</w:t>
            </w:r>
          </w:p>
        </w:tc>
        <w:tc>
          <w:tcPr>
            <w:tcW w:type="dxa" w:w="1020"/>
            <w:vAlign w:val="top"/>
            <w:shd w:val="clear" w:color="auto" w:fill="FDF0F7"/>
          </w:tcPr>
          <w:p>
            <w:pPr>
              <w:spacing w:after="20" w:line="252" w:lineRule="auto"/>
              <w:jc w:val="center"/>
            </w:pPr>
            <w:r>
              <w:rPr>
                <w:b w:val="0"/>
                <w:i w:val="0"/>
                <w:sz w:val="17"/>
              </w:rPr>
              <w:t>111</w:t>
            </w:r>
          </w:p>
        </w:tc>
        <w:tc>
          <w:tcPr>
            <w:tcW w:type="dxa" w:w="1020"/>
            <w:vAlign w:val="top"/>
            <w:shd w:val="clear" w:color="auto" w:fill="FDF0F7"/>
          </w:tcPr>
          <w:p>
            <w:pPr>
              <w:spacing w:after="20" w:line="252" w:lineRule="auto"/>
              <w:jc w:val="center"/>
            </w:pPr>
            <w:r>
              <w:rPr>
                <w:b w:val="0"/>
                <w:i w:val="0"/>
                <w:sz w:val="17"/>
              </w:rPr>
              <w:t>1</w:t>
            </w:r>
          </w:p>
        </w:tc>
        <w:tc>
          <w:tcPr>
            <w:tcW w:type="dxa" w:w="1020"/>
            <w:vAlign w:val="top"/>
            <w:shd w:val="clear" w:color="auto" w:fill="FDF0F7"/>
          </w:tcPr>
          <w:p>
            <w:pPr>
              <w:spacing w:after="20" w:line="252" w:lineRule="auto"/>
              <w:jc w:val="center"/>
            </w:pPr>
            <w:r>
              <w:rPr>
                <w:b w:val="0"/>
                <w:i w:val="0"/>
                <w:sz w:val="17"/>
              </w:rPr>
              <w:t>1</w:t>
            </w:r>
          </w:p>
        </w:tc>
        <w:tc>
          <w:tcPr>
            <w:tcW w:type="dxa" w:w="1474"/>
            <w:vAlign w:val="top"/>
            <w:shd w:val="clear" w:color="auto" w:fill="FDF0F7"/>
          </w:tcPr>
          <w:p>
            <w:pPr>
              <w:spacing w:after="20" w:line="252" w:lineRule="auto"/>
              <w:jc w:val="center"/>
            </w:pPr>
            <w:r>
              <w:rPr>
                <w:b w:val="0"/>
                <w:i w:val="0"/>
                <w:sz w:val="17"/>
              </w:rPr>
              <w:t>9</w:t>
            </w:r>
          </w:p>
        </w:tc>
      </w:tr>
      <w:tr>
        <w:trPr>
          <w:cantSplit/>
        </w:trPr>
        <w:tc>
          <w:tcPr>
            <w:tcW w:type="dxa" w:w="3742"/>
            <w:vAlign w:val="top"/>
          </w:tcPr>
          <w:p>
            <w:pPr>
              <w:spacing w:after="20" w:line="252" w:lineRule="auto"/>
            </w:pPr>
            <w:r>
              <w:rPr>
                <w:b/>
                <w:i w:val="0"/>
                <w:sz w:val="17"/>
              </w:rPr>
              <w:t>End-to-end API suite (business journeys)</w:t>
            </w:r>
          </w:p>
        </w:tc>
        <w:tc>
          <w:tcPr>
            <w:tcW w:type="dxa" w:w="1020"/>
            <w:vAlign w:val="top"/>
          </w:tcPr>
          <w:p>
            <w:pPr>
              <w:spacing w:after="20" w:line="252" w:lineRule="auto"/>
              <w:jc w:val="center"/>
            </w:pPr>
            <w:r>
              <w:rPr>
                <w:b w:val="0"/>
                <w:i w:val="0"/>
                <w:sz w:val="17"/>
              </w:rPr>
              <w:t>44</w:t>
            </w:r>
          </w:p>
        </w:tc>
        <w:tc>
          <w:tcPr>
            <w:tcW w:type="dxa" w:w="1020"/>
            <w:vAlign w:val="top"/>
          </w:tcPr>
          <w:p>
            <w:pPr>
              <w:spacing w:after="20" w:line="252" w:lineRule="auto"/>
              <w:jc w:val="center"/>
            </w:pPr>
            <w:r>
              <w:rPr>
                <w:b w:val="0"/>
                <w:i w:val="0"/>
                <w:sz w:val="17"/>
              </w:rPr>
              <w:t>43</w:t>
            </w:r>
          </w:p>
        </w:tc>
        <w:tc>
          <w:tcPr>
            <w:tcW w:type="dxa" w:w="1020"/>
            <w:vAlign w:val="top"/>
          </w:tcPr>
          <w:p>
            <w:pPr>
              <w:spacing w:after="20" w:line="252" w:lineRule="auto"/>
              <w:jc w:val="center"/>
            </w:pPr>
            <w:r>
              <w:rPr>
                <w:b w:val="0"/>
                <w:i w:val="0"/>
                <w:sz w:val="17"/>
              </w:rPr>
              <w:t>1</w:t>
            </w:r>
          </w:p>
        </w:tc>
        <w:tc>
          <w:tcPr>
            <w:tcW w:type="dxa" w:w="1020"/>
            <w:vAlign w:val="top"/>
          </w:tcPr>
          <w:p>
            <w:pPr>
              <w:spacing w:after="20" w:line="252" w:lineRule="auto"/>
              <w:jc w:val="center"/>
            </w:pPr>
            <w:r>
              <w:rPr>
                <w:b w:val="0"/>
                <w:i w:val="0"/>
                <w:sz w:val="17"/>
              </w:rPr>
              <w:t>0</w:t>
            </w:r>
          </w:p>
        </w:tc>
        <w:tc>
          <w:tcPr>
            <w:tcW w:type="dxa" w:w="1474"/>
            <w:vAlign w:val="top"/>
          </w:tcPr>
          <w:p>
            <w:pPr>
              <w:spacing w:after="20" w:line="252" w:lineRule="auto"/>
              <w:jc w:val="center"/>
            </w:pPr>
            <w:r>
              <w:rPr>
                <w:b w:val="0"/>
                <w:i w:val="0"/>
                <w:sz w:val="17"/>
              </w:rPr>
              <w:t>0</w:t>
            </w:r>
          </w:p>
        </w:tc>
      </w:tr>
      <w:tr>
        <w:trPr>
          <w:cantSplit/>
        </w:trPr>
        <w:tc>
          <w:tcPr>
            <w:tcW w:type="dxa" w:w="3742"/>
            <w:vAlign w:val="top"/>
            <w:shd w:val="clear" w:color="auto" w:fill="FDF0F7"/>
          </w:tcPr>
          <w:p>
            <w:pPr>
              <w:spacing w:after="20" w:line="252" w:lineRule="auto"/>
            </w:pPr>
            <w:r>
              <w:rPr>
                <w:b/>
                <w:i w:val="0"/>
                <w:sz w:val="17"/>
              </w:rPr>
              <w:t>User interface (manual, exploratory)</w:t>
            </w:r>
          </w:p>
        </w:tc>
        <w:tc>
          <w:tcPr>
            <w:tcW w:type="dxa" w:w="1020"/>
            <w:vAlign w:val="top"/>
            <w:shd w:val="clear" w:color="auto" w:fill="FDF0F7"/>
          </w:tcPr>
          <w:p>
            <w:pPr>
              <w:spacing w:after="20" w:line="252" w:lineRule="auto"/>
              <w:jc w:val="center"/>
            </w:pPr>
            <w:r>
              <w:rPr>
                <w:b w:val="0"/>
                <w:i w:val="0"/>
                <w:sz w:val="17"/>
              </w:rPr>
              <w:t>57</w:t>
            </w:r>
          </w:p>
        </w:tc>
        <w:tc>
          <w:tcPr>
            <w:tcW w:type="dxa" w:w="1020"/>
            <w:vAlign w:val="top"/>
            <w:shd w:val="clear" w:color="auto" w:fill="FDF0F7"/>
          </w:tcPr>
          <w:p>
            <w:pPr>
              <w:spacing w:after="20" w:line="252" w:lineRule="auto"/>
              <w:jc w:val="center"/>
            </w:pPr>
            <w:r>
              <w:rPr>
                <w:b w:val="0"/>
                <w:i w:val="0"/>
                <w:sz w:val="17"/>
              </w:rPr>
              <w:t>51</w:t>
            </w:r>
          </w:p>
        </w:tc>
        <w:tc>
          <w:tcPr>
            <w:tcW w:type="dxa" w:w="1020"/>
            <w:vAlign w:val="top"/>
            <w:shd w:val="clear" w:color="auto" w:fill="FDF0F7"/>
          </w:tcPr>
          <w:p>
            <w:pPr>
              <w:spacing w:after="20" w:line="252" w:lineRule="auto"/>
              <w:jc w:val="center"/>
            </w:pPr>
            <w:r>
              <w:rPr>
                <w:b w:val="0"/>
                <w:i w:val="0"/>
                <w:sz w:val="17"/>
              </w:rPr>
              <w:t>0</w:t>
            </w:r>
          </w:p>
        </w:tc>
        <w:tc>
          <w:tcPr>
            <w:tcW w:type="dxa" w:w="1020"/>
            <w:vAlign w:val="top"/>
            <w:shd w:val="clear" w:color="auto" w:fill="FDF0F7"/>
          </w:tcPr>
          <w:p>
            <w:pPr>
              <w:spacing w:after="20" w:line="252" w:lineRule="auto"/>
              <w:jc w:val="center"/>
            </w:pPr>
            <w:r>
              <w:rPr>
                <w:b w:val="0"/>
                <w:i w:val="0"/>
                <w:sz w:val="17"/>
              </w:rPr>
              <w:t>0</w:t>
            </w:r>
          </w:p>
        </w:tc>
        <w:tc>
          <w:tcPr>
            <w:tcW w:type="dxa" w:w="1474"/>
            <w:vAlign w:val="top"/>
            <w:shd w:val="clear" w:color="auto" w:fill="FDF0F7"/>
          </w:tcPr>
          <w:p>
            <w:pPr>
              <w:spacing w:after="20" w:line="252" w:lineRule="auto"/>
              <w:jc w:val="center"/>
            </w:pPr>
            <w:r>
              <w:rPr>
                <w:b w:val="0"/>
                <w:i w:val="0"/>
                <w:sz w:val="17"/>
              </w:rPr>
              <w:t>6</w:t>
            </w:r>
          </w:p>
        </w:tc>
      </w:tr>
      <w:tr>
        <w:trPr>
          <w:cantSplit/>
        </w:trPr>
        <w:tc>
          <w:tcPr>
            <w:tcW w:type="dxa" w:w="3742"/>
            <w:vAlign w:val="top"/>
          </w:tcPr>
          <w:p>
            <w:pPr>
              <w:spacing w:after="20" w:line="252" w:lineRule="auto"/>
            </w:pPr>
            <w:r>
              <w:rPr>
                <w:b/>
                <w:i w:val="0"/>
                <w:sz w:val="17"/>
              </w:rPr>
              <w:t>Security checks (OWASP Top 10)</w:t>
            </w:r>
          </w:p>
        </w:tc>
        <w:tc>
          <w:tcPr>
            <w:tcW w:type="dxa" w:w="1020"/>
            <w:vAlign w:val="top"/>
          </w:tcPr>
          <w:p>
            <w:pPr>
              <w:spacing w:after="20" w:line="252" w:lineRule="auto"/>
              <w:jc w:val="center"/>
            </w:pPr>
            <w:r>
              <w:rPr>
                <w:b w:val="0"/>
                <w:i w:val="0"/>
                <w:sz w:val="17"/>
              </w:rPr>
              <w:t>34</w:t>
            </w:r>
          </w:p>
        </w:tc>
        <w:tc>
          <w:tcPr>
            <w:tcW w:type="dxa" w:w="1020"/>
            <w:vAlign w:val="top"/>
          </w:tcPr>
          <w:p>
            <w:pPr>
              <w:spacing w:after="20" w:line="252" w:lineRule="auto"/>
              <w:jc w:val="center"/>
            </w:pPr>
            <w:r>
              <w:rPr>
                <w:b w:val="0"/>
                <w:i w:val="0"/>
                <w:sz w:val="17"/>
              </w:rPr>
              <w:t>29</w:t>
            </w:r>
          </w:p>
        </w:tc>
        <w:tc>
          <w:tcPr>
            <w:tcW w:type="dxa" w:w="1020"/>
            <w:vAlign w:val="top"/>
          </w:tcPr>
          <w:p>
            <w:pPr>
              <w:spacing w:after="20" w:line="252" w:lineRule="auto"/>
              <w:jc w:val="center"/>
            </w:pPr>
            <w:r>
              <w:rPr>
                <w:b w:val="0"/>
                <w:i w:val="0"/>
                <w:sz w:val="17"/>
              </w:rPr>
              <w:t>0</w:t>
            </w:r>
          </w:p>
        </w:tc>
        <w:tc>
          <w:tcPr>
            <w:tcW w:type="dxa" w:w="1020"/>
            <w:vAlign w:val="top"/>
          </w:tcPr>
          <w:p>
            <w:pPr>
              <w:spacing w:after="20" w:line="252" w:lineRule="auto"/>
              <w:jc w:val="center"/>
            </w:pPr>
            <w:r>
              <w:rPr>
                <w:b w:val="0"/>
                <w:i w:val="0"/>
                <w:sz w:val="17"/>
              </w:rPr>
              <w:t>0</w:t>
            </w:r>
          </w:p>
        </w:tc>
        <w:tc>
          <w:tcPr>
            <w:tcW w:type="dxa" w:w="1474"/>
            <w:vAlign w:val="top"/>
          </w:tcPr>
          <w:p>
            <w:pPr>
              <w:spacing w:after="20" w:line="252" w:lineRule="auto"/>
              <w:jc w:val="center"/>
            </w:pPr>
            <w:r>
              <w:rPr>
                <w:b w:val="0"/>
                <w:i w:val="0"/>
                <w:sz w:val="17"/>
              </w:rPr>
              <w:t>5</w:t>
            </w:r>
          </w:p>
        </w:tc>
      </w:tr>
      <w:tr>
        <w:trPr>
          <w:cantSplit/>
        </w:trPr>
        <w:tc>
          <w:tcPr>
            <w:tcW w:type="dxa" w:w="3742"/>
            <w:vAlign w:val="top"/>
            <w:shd w:val="clear" w:color="auto" w:fill="FDF0F7"/>
          </w:tcPr>
          <w:p>
            <w:pPr>
              <w:spacing w:after="20" w:line="252" w:lineRule="auto"/>
            </w:pPr>
            <w:r>
              <w:rPr>
                <w:b/>
                <w:i w:val="0"/>
                <w:sz w:val="17"/>
              </w:rPr>
              <w:t>System integration test with IIFT systems</w:t>
            </w:r>
          </w:p>
        </w:tc>
        <w:tc>
          <w:tcPr>
            <w:tcW w:type="dxa" w:w="1020"/>
            <w:vAlign w:val="top"/>
            <w:shd w:val="clear" w:color="auto" w:fill="FDF0F7"/>
          </w:tcPr>
          <w:p>
            <w:pPr>
              <w:spacing w:after="20" w:line="252" w:lineRule="auto"/>
              <w:jc w:val="center"/>
            </w:pPr>
            <w:r>
              <w:rPr>
                <w:b w:val="0"/>
                <w:i w:val="0"/>
                <w:sz w:val="17"/>
              </w:rPr>
              <w:t>25</w:t>
            </w:r>
          </w:p>
        </w:tc>
        <w:tc>
          <w:tcPr>
            <w:tcW w:type="dxa" w:w="1020"/>
            <w:vAlign w:val="top"/>
            <w:shd w:val="clear" w:color="auto" w:fill="FDF0F7"/>
          </w:tcPr>
          <w:p>
            <w:pPr>
              <w:spacing w:after="20" w:line="252" w:lineRule="auto"/>
              <w:jc w:val="center"/>
            </w:pPr>
            <w:r>
              <w:rPr>
                <w:b w:val="0"/>
                <w:i w:val="0"/>
                <w:sz w:val="17"/>
              </w:rPr>
              <w:t>0</w:t>
            </w:r>
          </w:p>
        </w:tc>
        <w:tc>
          <w:tcPr>
            <w:tcW w:type="dxa" w:w="1020"/>
            <w:vAlign w:val="top"/>
            <w:shd w:val="clear" w:color="auto" w:fill="FDF0F7"/>
          </w:tcPr>
          <w:p>
            <w:pPr>
              <w:spacing w:after="20" w:line="252" w:lineRule="auto"/>
              <w:jc w:val="center"/>
            </w:pPr>
            <w:r>
              <w:rPr>
                <w:b w:val="0"/>
                <w:i w:val="0"/>
                <w:sz w:val="17"/>
              </w:rPr>
              <w:t>0</w:t>
            </w:r>
          </w:p>
        </w:tc>
        <w:tc>
          <w:tcPr>
            <w:tcW w:type="dxa" w:w="1020"/>
            <w:vAlign w:val="top"/>
            <w:shd w:val="clear" w:color="auto" w:fill="FDF0F7"/>
          </w:tcPr>
          <w:p>
            <w:pPr>
              <w:spacing w:after="20" w:line="252" w:lineRule="auto"/>
              <w:jc w:val="center"/>
            </w:pPr>
            <w:r>
              <w:rPr>
                <w:b w:val="0"/>
                <w:i w:val="0"/>
                <w:sz w:val="17"/>
              </w:rPr>
              <w:t>0</w:t>
            </w:r>
          </w:p>
        </w:tc>
        <w:tc>
          <w:tcPr>
            <w:tcW w:type="dxa" w:w="1474"/>
            <w:vAlign w:val="top"/>
            <w:shd w:val="clear" w:color="auto" w:fill="FDF0F7"/>
          </w:tcPr>
          <w:p>
            <w:pPr>
              <w:spacing w:after="20" w:line="252" w:lineRule="auto"/>
              <w:jc w:val="center"/>
            </w:pPr>
            <w:r>
              <w:rPr>
                <w:b w:val="0"/>
                <w:i w:val="0"/>
                <w:sz w:val="17"/>
              </w:rPr>
              <w:t>25</w:t>
            </w:r>
          </w:p>
        </w:tc>
      </w:tr>
      <w:tr>
        <w:trPr>
          <w:cantSplit/>
        </w:trPr>
        <w:tc>
          <w:tcPr>
            <w:tcW w:type="dxa" w:w="3742"/>
            <w:vAlign w:val="top"/>
          </w:tcPr>
          <w:p>
            <w:pPr>
              <w:spacing w:after="20" w:line="252" w:lineRule="auto"/>
            </w:pPr>
            <w:r>
              <w:rPr>
                <w:b/>
                <w:i w:val="0"/>
                <w:sz w:val="17"/>
              </w:rPr>
              <w:t>Performance</w:t>
            </w:r>
          </w:p>
        </w:tc>
        <w:tc>
          <w:tcPr>
            <w:tcW w:type="dxa" w:w="1020"/>
            <w:vAlign w:val="top"/>
          </w:tcPr>
          <w:p>
            <w:pPr>
              <w:spacing w:after="20" w:line="252" w:lineRule="auto"/>
              <w:jc w:val="center"/>
            </w:pPr>
            <w:r>
              <w:rPr>
                <w:b w:val="0"/>
                <w:i w:val="0"/>
                <w:sz w:val="17"/>
              </w:rPr>
              <w:t>3</w:t>
            </w:r>
          </w:p>
        </w:tc>
        <w:tc>
          <w:tcPr>
            <w:tcW w:type="dxa" w:w="1020"/>
            <w:vAlign w:val="top"/>
          </w:tcPr>
          <w:p>
            <w:pPr>
              <w:spacing w:after="20" w:line="252" w:lineRule="auto"/>
              <w:jc w:val="center"/>
            </w:pPr>
            <w:r>
              <w:rPr>
                <w:b w:val="0"/>
                <w:i w:val="0"/>
                <w:sz w:val="17"/>
              </w:rPr>
              <w:t>0</w:t>
            </w:r>
          </w:p>
        </w:tc>
        <w:tc>
          <w:tcPr>
            <w:tcW w:type="dxa" w:w="1020"/>
            <w:vAlign w:val="top"/>
          </w:tcPr>
          <w:p>
            <w:pPr>
              <w:spacing w:after="20" w:line="252" w:lineRule="auto"/>
              <w:jc w:val="center"/>
            </w:pPr>
            <w:r>
              <w:rPr>
                <w:b w:val="0"/>
                <w:i w:val="0"/>
                <w:sz w:val="17"/>
              </w:rPr>
              <w:t>0</w:t>
            </w:r>
          </w:p>
        </w:tc>
        <w:tc>
          <w:tcPr>
            <w:tcW w:type="dxa" w:w="1020"/>
            <w:vAlign w:val="top"/>
          </w:tcPr>
          <w:p>
            <w:pPr>
              <w:spacing w:after="20" w:line="252" w:lineRule="auto"/>
              <w:jc w:val="center"/>
            </w:pPr>
            <w:r>
              <w:rPr>
                <w:b w:val="0"/>
                <w:i w:val="0"/>
                <w:sz w:val="17"/>
              </w:rPr>
              <w:t>0</w:t>
            </w:r>
          </w:p>
        </w:tc>
        <w:tc>
          <w:tcPr>
            <w:tcW w:type="dxa" w:w="1474"/>
            <w:vAlign w:val="top"/>
          </w:tcPr>
          <w:p>
            <w:pPr>
              <w:spacing w:after="20" w:line="252" w:lineRule="auto"/>
              <w:jc w:val="center"/>
            </w:pPr>
            <w:r>
              <w:rPr>
                <w:b w:val="0"/>
                <w:i w:val="0"/>
                <w:sz w:val="17"/>
              </w:rPr>
              <w:t>3</w:t>
            </w:r>
          </w:p>
        </w:tc>
      </w:tr>
      <w:tr>
        <w:trPr>
          <w:cantSplit/>
        </w:trPr>
        <w:tc>
          <w:tcPr>
            <w:tcW w:type="dxa" w:w="3742"/>
            <w:vAlign w:val="top"/>
            <w:shd w:val="clear" w:color="auto" w:fill="FDF0F7"/>
          </w:tcPr>
          <w:p>
            <w:pPr>
              <w:spacing w:after="20" w:line="252" w:lineRule="auto"/>
            </w:pPr>
            <w:r>
              <w:rPr>
                <w:b/>
                <w:i w:val="0"/>
                <w:sz w:val="17"/>
              </w:rPr>
              <w:t>User acceptance</w:t>
            </w:r>
          </w:p>
        </w:tc>
        <w:tc>
          <w:tcPr>
            <w:tcW w:type="dxa" w:w="1020"/>
            <w:vAlign w:val="top"/>
            <w:shd w:val="clear" w:color="auto" w:fill="FDF0F7"/>
          </w:tcPr>
          <w:p>
            <w:pPr>
              <w:spacing w:after="20" w:line="252" w:lineRule="auto"/>
              <w:jc w:val="center"/>
            </w:pPr>
            <w:r>
              <w:rPr>
                <w:b w:val="0"/>
                <w:i w:val="0"/>
                <w:sz w:val="17"/>
              </w:rPr>
              <w:t>3</w:t>
            </w:r>
          </w:p>
        </w:tc>
        <w:tc>
          <w:tcPr>
            <w:tcW w:type="dxa" w:w="1020"/>
            <w:vAlign w:val="top"/>
            <w:shd w:val="clear" w:color="auto" w:fill="FDF0F7"/>
          </w:tcPr>
          <w:p>
            <w:pPr>
              <w:spacing w:after="20" w:line="252" w:lineRule="auto"/>
              <w:jc w:val="center"/>
            </w:pPr>
            <w:r>
              <w:rPr>
                <w:b w:val="0"/>
                <w:i w:val="0"/>
                <w:sz w:val="17"/>
              </w:rPr>
              <w:t>0</w:t>
            </w:r>
          </w:p>
        </w:tc>
        <w:tc>
          <w:tcPr>
            <w:tcW w:type="dxa" w:w="1020"/>
            <w:vAlign w:val="top"/>
            <w:shd w:val="clear" w:color="auto" w:fill="FDF0F7"/>
          </w:tcPr>
          <w:p>
            <w:pPr>
              <w:spacing w:after="20" w:line="252" w:lineRule="auto"/>
              <w:jc w:val="center"/>
            </w:pPr>
            <w:r>
              <w:rPr>
                <w:b w:val="0"/>
                <w:i w:val="0"/>
                <w:sz w:val="17"/>
              </w:rPr>
              <w:t>0</w:t>
            </w:r>
          </w:p>
        </w:tc>
        <w:tc>
          <w:tcPr>
            <w:tcW w:type="dxa" w:w="1020"/>
            <w:vAlign w:val="top"/>
            <w:shd w:val="clear" w:color="auto" w:fill="FDF0F7"/>
          </w:tcPr>
          <w:p>
            <w:pPr>
              <w:spacing w:after="20" w:line="252" w:lineRule="auto"/>
              <w:jc w:val="center"/>
            </w:pPr>
            <w:r>
              <w:rPr>
                <w:b w:val="0"/>
                <w:i w:val="0"/>
                <w:sz w:val="17"/>
              </w:rPr>
              <w:t>0</w:t>
            </w:r>
          </w:p>
        </w:tc>
        <w:tc>
          <w:tcPr>
            <w:tcW w:type="dxa" w:w="1474"/>
            <w:vAlign w:val="top"/>
            <w:shd w:val="clear" w:color="auto" w:fill="FDF0F7"/>
          </w:tcPr>
          <w:p>
            <w:pPr>
              <w:spacing w:after="20" w:line="252" w:lineRule="auto"/>
              <w:jc w:val="center"/>
            </w:pPr>
            <w:r>
              <w:rPr>
                <w:b w:val="0"/>
                <w:i w:val="0"/>
                <w:sz w:val="17"/>
              </w:rPr>
              <w:t>3</w:t>
            </w:r>
          </w:p>
        </w:tc>
      </w:tr>
    </w:tbl>
    <w:p>
      <w:pPr>
        <w:pStyle w:val="Caption"/>
        <w:jc w:val="center"/>
      </w:pPr>
      <w:r>
        <w:rPr>
          <w:b w:val="0"/>
          <w:i w:val="0"/>
        </w:rPr>
        <w:t>Table 14: Cases by level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103"/>
        <w:gridCol w:w="4536"/>
      </w:tblGrid>
      <w:tr>
        <w:trPr>
          <w:cantSplit/>
          <w:tblHeader/>
        </w:trPr>
        <w:tc>
          <w:tcPr>
            <w:tcW w:type="dxa" w:w="5102"/>
            <w:shd w:val="clear" w:color="auto" w:fill="E1058C"/>
            <w:vAlign w:val="center"/>
          </w:tcPr>
          <w:p>
            <w:pPr>
              <w:spacing w:after="0"/>
            </w:pPr>
            <w:r>
              <w:rPr>
                <w:b/>
                <w:i w:val="0"/>
                <w:color w:val="FFFFFF"/>
                <w:sz w:val="17"/>
              </w:rPr>
              <w:t>Automation</w:t>
            </w:r>
          </w:p>
        </w:tc>
        <w:tc>
          <w:tcPr>
            <w:tcW w:type="dxa" w:w="4535"/>
            <w:shd w:val="clear" w:color="auto" w:fill="E1058C"/>
            <w:vAlign w:val="center"/>
          </w:tcPr>
          <w:p>
            <w:pPr>
              <w:spacing w:after="0"/>
            </w:pPr>
            <w:r>
              <w:rPr>
                <w:b/>
                <w:i w:val="0"/>
                <w:color w:val="FFFFFF"/>
                <w:sz w:val="17"/>
              </w:rPr>
              <w:t>Cases</w:t>
            </w:r>
          </w:p>
        </w:tc>
      </w:tr>
      <w:tr>
        <w:trPr>
          <w:cantSplit/>
        </w:trPr>
        <w:tc>
          <w:tcPr>
            <w:tcW w:type="dxa" w:w="5102"/>
            <w:vAlign w:val="top"/>
          </w:tcPr>
          <w:p>
            <w:pPr>
              <w:spacing w:after="20" w:line="252" w:lineRule="auto"/>
            </w:pPr>
            <w:r>
              <w:rPr>
                <w:b/>
                <w:i w:val="0"/>
                <w:sz w:val="17"/>
              </w:rPr>
              <w:t>Automated</w:t>
            </w:r>
          </w:p>
        </w:tc>
        <w:tc>
          <w:tcPr>
            <w:tcW w:type="dxa" w:w="4535"/>
            <w:vAlign w:val="top"/>
          </w:tcPr>
          <w:p>
            <w:pPr>
              <w:spacing w:after="20" w:line="252" w:lineRule="auto"/>
              <w:jc w:val="center"/>
            </w:pPr>
            <w:r>
              <w:rPr>
                <w:b w:val="0"/>
                <w:i w:val="0"/>
                <w:sz w:val="17"/>
              </w:rPr>
              <w:t>223</w:t>
            </w:r>
          </w:p>
        </w:tc>
      </w:tr>
      <w:tr>
        <w:trPr>
          <w:cantSplit/>
        </w:trPr>
        <w:tc>
          <w:tcPr>
            <w:tcW w:type="dxa" w:w="5102"/>
            <w:vAlign w:val="top"/>
            <w:shd w:val="clear" w:color="auto" w:fill="FDF0F7"/>
          </w:tcPr>
          <w:p>
            <w:pPr>
              <w:spacing w:after="20" w:line="252" w:lineRule="auto"/>
            </w:pPr>
            <w:r>
              <w:rPr>
                <w:b/>
                <w:i w:val="0"/>
                <w:sz w:val="17"/>
              </w:rPr>
              <w:t>Executed – API run</w:t>
            </w:r>
          </w:p>
        </w:tc>
        <w:tc>
          <w:tcPr>
            <w:tcW w:type="dxa" w:w="4535"/>
            <w:vAlign w:val="top"/>
            <w:shd w:val="clear" w:color="auto" w:fill="FDF0F7"/>
          </w:tcPr>
          <w:p>
            <w:pPr>
              <w:spacing w:after="20" w:line="252" w:lineRule="auto"/>
              <w:jc w:val="center"/>
            </w:pPr>
            <w:r>
              <w:rPr>
                <w:b w:val="0"/>
                <w:i w:val="0"/>
                <w:sz w:val="17"/>
              </w:rPr>
              <w:t>113</w:t>
            </w:r>
          </w:p>
        </w:tc>
      </w:tr>
      <w:tr>
        <w:trPr>
          <w:cantSplit/>
        </w:trPr>
        <w:tc>
          <w:tcPr>
            <w:tcW w:type="dxa" w:w="5102"/>
            <w:vAlign w:val="top"/>
          </w:tcPr>
          <w:p>
            <w:pPr>
              <w:spacing w:after="20" w:line="252" w:lineRule="auto"/>
            </w:pPr>
            <w:r>
              <w:rPr>
                <w:b/>
                <w:i w:val="0"/>
                <w:sz w:val="17"/>
              </w:rPr>
              <w:t>Manual</w:t>
            </w:r>
          </w:p>
        </w:tc>
        <w:tc>
          <w:tcPr>
            <w:tcW w:type="dxa" w:w="4535"/>
            <w:vAlign w:val="top"/>
          </w:tcPr>
          <w:p>
            <w:pPr>
              <w:spacing w:after="20" w:line="252" w:lineRule="auto"/>
              <w:jc w:val="center"/>
            </w:pPr>
            <w:r>
              <w:rPr>
                <w:b w:val="0"/>
                <w:i w:val="0"/>
                <w:sz w:val="17"/>
              </w:rPr>
              <w:t>51</w:t>
            </w:r>
          </w:p>
        </w:tc>
      </w:tr>
      <w:tr>
        <w:trPr>
          <w:cantSplit/>
        </w:trPr>
        <w:tc>
          <w:tcPr>
            <w:tcW w:type="dxa" w:w="5102"/>
            <w:vAlign w:val="top"/>
            <w:shd w:val="clear" w:color="auto" w:fill="FDF0F7"/>
          </w:tcPr>
          <w:p>
            <w:pPr>
              <w:spacing w:after="20" w:line="252" w:lineRule="auto"/>
            </w:pPr>
            <w:r>
              <w:rPr>
                <w:b/>
                <w:i w:val="0"/>
                <w:sz w:val="17"/>
              </w:rPr>
              <w:t>Not automated</w:t>
            </w:r>
          </w:p>
        </w:tc>
        <w:tc>
          <w:tcPr>
            <w:tcW w:type="dxa" w:w="4535"/>
            <w:vAlign w:val="top"/>
            <w:shd w:val="clear" w:color="auto" w:fill="FDF0F7"/>
          </w:tcPr>
          <w:p>
            <w:pPr>
              <w:spacing w:after="20" w:line="252" w:lineRule="auto"/>
              <w:jc w:val="center"/>
            </w:pPr>
            <w:r>
              <w:rPr>
                <w:b w:val="0"/>
                <w:i w:val="0"/>
                <w:sz w:val="17"/>
              </w:rPr>
              <w:t>51</w:t>
            </w:r>
          </w:p>
        </w:tc>
      </w:tr>
    </w:tbl>
    <w:p>
      <w:pPr>
        <w:pStyle w:val="Caption"/>
        <w:jc w:val="center"/>
      </w:pPr>
      <w:r>
        <w:rPr>
          <w:b w:val="0"/>
          <w:i w:val="0"/>
        </w:rPr>
        <w:t>Table 15: Cases by automation</w:t>
      </w:r>
    </w:p>
    <w:p>
      <w:pPr>
        <w:pStyle w:val="Heading2"/>
      </w:pPr>
      <w:r>
        <w:t>12.1 What was executed</w:t>
      </w:r>
    </w:p>
    <w:p>
      <w:pPr>
        <w:pStyle w:val="ListBullet"/>
      </w:pPr>
      <w:r>
        <w:rPr>
          <w:b w:val="0"/>
          <w:i w:val="0"/>
        </w:rPr>
        <w:t>Unit tests: 59 of 59 API tests and 91 of 91 web tests passed in the re-run of 2 October 2026.</w:t>
      </w:r>
    </w:p>
    <w:p>
      <w:pPr>
        <w:pStyle w:val="ListBullet"/>
      </w:pPr>
      <w:r>
        <w:rPr>
          <w:b w:val="0"/>
          <w:i w:val="0"/>
        </w:rPr>
        <w:t>End-to-end suite: 31 of 32 journeys passed in the re-run; all 32 passed in the earlier evidence run of the same day (see DEF-001).</w:t>
      </w:r>
    </w:p>
    <w:p>
      <w:pPr>
        <w:pStyle w:val="ListBullet"/>
      </w:pPr>
      <w:r>
        <w:rPr>
          <w:b w:val="0"/>
          <w:i w:val="0"/>
        </w:rPr>
        <w:t>API run: 111 of 113 system cases passed against the running demonstration instance (http://localhost:3000), executed by iorta TechNXT QA (API run) on 2026-10-02 starting 22:12 UTC; every request and response is in the Execution log sheet.</w:t>
      </w:r>
    </w:p>
    <w:p>
      <w:pPr>
        <w:pStyle w:val="ListBullet"/>
      </w:pPr>
      <w:r>
        <w:rPr>
          <w:b w:val="0"/>
          <w:i w:val="0"/>
        </w:rPr>
        <w:t>Security: 29 of 29 OWASP checks passed (2 October 2026, 14:57 UTC); details in the Security Assessment Report.</w:t>
      </w:r>
    </w:p>
    <w:p>
      <w:pPr>
        <w:pStyle w:val="ListBullet"/>
      </w:pPr>
      <w:r>
        <w:rPr>
          <w:b w:val="0"/>
          <w:i w:val="0"/>
        </w:rPr>
        <w:t>Manual exploratory runs of the portal and back-office screens with screen captures held in evidence/ui-screens.</w:t>
      </w:r>
    </w:p>
    <w:p>
      <w:pPr>
        <w:pStyle w:val="Heading2"/>
      </w:pPr>
      <w:r>
        <w:t>12.2 Defects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907"/>
        <w:gridCol w:w="4762"/>
        <w:gridCol w:w="1134"/>
        <w:gridCol w:w="2835"/>
      </w:tblGrid>
      <w:tr>
        <w:trPr>
          <w:cantSplit/>
          <w:tblHeader/>
        </w:trPr>
        <w:tc>
          <w:tcPr>
            <w:tcW w:type="dxa" w:w="907"/>
            <w:shd w:val="clear" w:color="auto" w:fill="E1058C"/>
            <w:vAlign w:val="center"/>
          </w:tcPr>
          <w:p>
            <w:pPr>
              <w:spacing w:after="0"/>
            </w:pPr>
            <w:r>
              <w:rPr>
                <w:b/>
                <w:i w:val="0"/>
                <w:color w:val="FFFFFF"/>
                <w:sz w:val="16"/>
              </w:rPr>
              <w:t>ID</w:t>
            </w:r>
          </w:p>
        </w:tc>
        <w:tc>
          <w:tcPr>
            <w:tcW w:type="dxa" w:w="4762"/>
            <w:shd w:val="clear" w:color="auto" w:fill="E1058C"/>
            <w:vAlign w:val="center"/>
          </w:tcPr>
          <w:p>
            <w:pPr>
              <w:spacing w:after="0"/>
            </w:pPr>
            <w:r>
              <w:rPr>
                <w:b/>
                <w:i w:val="0"/>
                <w:color w:val="FFFFFF"/>
                <w:sz w:val="16"/>
              </w:rPr>
              <w:t>Title</w:t>
            </w:r>
          </w:p>
        </w:tc>
        <w:tc>
          <w:tcPr>
            <w:tcW w:type="dxa" w:w="1134"/>
            <w:shd w:val="clear" w:color="auto" w:fill="E1058C"/>
            <w:vAlign w:val="center"/>
          </w:tcPr>
          <w:p>
            <w:pPr>
              <w:spacing w:after="0"/>
            </w:pPr>
            <w:r>
              <w:rPr>
                <w:b/>
                <w:i w:val="0"/>
                <w:color w:val="FFFFFF"/>
                <w:sz w:val="16"/>
              </w:rPr>
              <w:t>Severity</w:t>
            </w:r>
          </w:p>
        </w:tc>
        <w:tc>
          <w:tcPr>
            <w:tcW w:type="dxa" w:w="2835"/>
            <w:shd w:val="clear" w:color="auto" w:fill="E1058C"/>
            <w:vAlign w:val="center"/>
          </w:tcPr>
          <w:p>
            <w:pPr>
              <w:spacing w:after="0"/>
            </w:pPr>
            <w:r>
              <w:rPr>
                <w:b/>
                <w:i w:val="0"/>
                <w:color w:val="FFFFFF"/>
                <w:sz w:val="16"/>
              </w:rPr>
              <w:t>Status</w:t>
            </w:r>
          </w:p>
        </w:tc>
      </w:tr>
      <w:tr>
        <w:trPr>
          <w:cantSplit/>
        </w:trPr>
        <w:tc>
          <w:tcPr>
            <w:tcW w:type="dxa" w:w="907"/>
            <w:vAlign w:val="top"/>
          </w:tcPr>
          <w:p>
            <w:pPr>
              <w:spacing w:after="20" w:line="252" w:lineRule="auto"/>
            </w:pPr>
            <w:r>
              <w:rPr>
                <w:b/>
                <w:i w:val="0"/>
                <w:sz w:val="16"/>
              </w:rPr>
              <w:t>DEF-001</w:t>
            </w:r>
          </w:p>
        </w:tc>
        <w:tc>
          <w:tcPr>
            <w:tcW w:type="dxa" w:w="4762"/>
            <w:vAlign w:val="top"/>
          </w:tcPr>
          <w:p>
            <w:pPr>
              <w:spacing w:after="20" w:line="252" w:lineRule="auto"/>
            </w:pPr>
            <w:r>
              <w:rPr>
                <w:b w:val="0"/>
                <w:i w:val="0"/>
                <w:sz w:val="16"/>
              </w:rPr>
              <w:t>End-to-end claim test uses the UTC calendar day instead of the Brunei business day</w:t>
            </w:r>
          </w:p>
        </w:tc>
        <w:tc>
          <w:tcPr>
            <w:tcW w:type="dxa" w:w="1134"/>
            <w:vAlign w:val="top"/>
          </w:tcPr>
          <w:p>
            <w:pPr>
              <w:spacing w:after="20" w:line="252" w:lineRule="auto"/>
            </w:pPr>
            <w:r>
              <w:rPr>
                <w:b w:val="0"/>
                <w:i w:val="0"/>
                <w:sz w:val="16"/>
              </w:rPr>
              <w:t>Low</w:t>
            </w:r>
          </w:p>
        </w:tc>
        <w:tc>
          <w:tcPr>
            <w:tcW w:type="dxa" w:w="2835"/>
            <w:vAlign w:val="top"/>
          </w:tcPr>
          <w:p>
            <w:pPr>
              <w:spacing w:after="20" w:line="252" w:lineRule="auto"/>
            </w:pPr>
            <w:r>
              <w:rPr>
                <w:b w:val="0"/>
                <w:i w:val="0"/>
                <w:sz w:val="16"/>
              </w:rPr>
              <w:t>Open – fix in test code (use the business-day helper); no product change</w:t>
            </w:r>
          </w:p>
        </w:tc>
      </w:tr>
      <w:tr>
        <w:trPr>
          <w:cantSplit/>
        </w:trPr>
        <w:tc>
          <w:tcPr>
            <w:tcW w:type="dxa" w:w="907"/>
            <w:vAlign w:val="top"/>
            <w:shd w:val="clear" w:color="auto" w:fill="FDF0F7"/>
          </w:tcPr>
          <w:p>
            <w:pPr>
              <w:spacing w:after="20" w:line="252" w:lineRule="auto"/>
            </w:pPr>
            <w:r>
              <w:rPr>
                <w:b/>
                <w:i w:val="0"/>
                <w:sz w:val="16"/>
              </w:rPr>
              <w:t>DEF-002</w:t>
            </w:r>
          </w:p>
        </w:tc>
        <w:tc>
          <w:tcPr>
            <w:tcW w:type="dxa" w:w="4762"/>
            <w:vAlign w:val="top"/>
            <w:shd w:val="clear" w:color="auto" w:fill="FDF0F7"/>
          </w:tcPr>
          <w:p>
            <w:pPr>
              <w:spacing w:after="20" w:line="252" w:lineRule="auto"/>
            </w:pPr>
            <w:r>
              <w:rPr>
                <w:b w:val="0"/>
                <w:i w:val="0"/>
                <w:sz w:val="16"/>
              </w:rPr>
              <w:t>Administrator password reset re-activates a disabled account</w:t>
            </w:r>
          </w:p>
        </w:tc>
        <w:tc>
          <w:tcPr>
            <w:tcW w:type="dxa" w:w="1134"/>
            <w:vAlign w:val="top"/>
            <w:shd w:val="clear" w:color="auto" w:fill="FDF0F7"/>
          </w:tcPr>
          <w:p>
            <w:pPr>
              <w:spacing w:after="20" w:line="252" w:lineRule="auto"/>
            </w:pPr>
            <w:r>
              <w:rPr>
                <w:b w:val="0"/>
                <w:i w:val="0"/>
                <w:sz w:val="16"/>
              </w:rPr>
              <w:t>Medium</w:t>
            </w:r>
          </w:p>
        </w:tc>
        <w:tc>
          <w:tcPr>
            <w:tcW w:type="dxa" w:w="2835"/>
            <w:vAlign w:val="top"/>
            <w:shd w:val="clear" w:color="auto" w:fill="FDF0F7"/>
          </w:tcPr>
          <w:p>
            <w:pPr>
              <w:spacing w:after="20" w:line="252" w:lineRule="auto"/>
            </w:pPr>
            <w:r>
              <w:rPr>
                <w:b w:val="0"/>
                <w:i w:val="0"/>
                <w:sz w:val="16"/>
              </w:rPr>
              <w:t>Open – fix proposed: keep the status on reset and audit any re-activation; to be confirmed with IIFT</w:t>
            </w:r>
          </w:p>
        </w:tc>
      </w:tr>
    </w:tbl>
    <w:p>
      <w:pPr>
        <w:pStyle w:val="Caption"/>
        <w:jc w:val="center"/>
      </w:pPr>
      <w:r>
        <w:rPr>
          <w:b w:val="0"/>
          <w:i w:val="0"/>
        </w:rPr>
        <w:t>Table 16: Defects found</w:t>
      </w:r>
    </w:p>
    <w:p>
      <w:pPr>
        <w:keepNext w:val="0"/>
      </w:pPr>
      <w:r>
        <w:rPr>
          <w:b/>
          <w:i w:val="0"/>
          <w:sz w:val="17"/>
        </w:rPr>
        <w:t>DEF-001</w:t>
      </w:r>
      <w:r>
        <w:rPr>
          <w:b w:val="0"/>
          <w:i w:val="0"/>
          <w:sz w:val="17"/>
        </w:rPr>
        <w:t xml:space="preserve"> – The test 'accepts claim notifications only within the period of cover' notifies a claim dated today() in UTC. Policies seeded after 16:00 UTC start on the next Brunei day, so the claim is refused with CLAIM_NOT_VALID and the test fails when the suite runs between 16:00 and 24:00 UTC. The application behaves correctly (the same case passed in the API run with the Brunei date, EX-067). The evidence run at 14:50 UTC passed; the re-run at 22:00 UTC failed.</w:t>
      </w:r>
    </w:p>
    <w:p>
      <w:pPr>
        <w:keepNext w:val="0"/>
      </w:pPr>
      <w:r>
        <w:rPr>
          <w:b/>
          <w:i w:val="0"/>
          <w:sz w:val="17"/>
        </w:rPr>
        <w:t>DEF-002</w:t>
      </w:r>
      <w:r>
        <w:rPr>
          <w:b w:val="0"/>
          <w:i w:val="0"/>
          <w:sz w:val="17"/>
        </w:rPr>
        <w:t xml:space="preserve"> – Resetting the password of a user whose status is DISABLED sets the status back to ACTIVE, and the user can sign in with the temporary password (EX-134: reset 200, sign-in 200). The audit trail records USER_PASSWORD_RESET only, not a re-activation. An administrator who resets a password should not silently re-enable an account that another administrator disabled; re-activation should be an explicit, separately audited status change (BO-03, NFR-10). The unlock function behaves correctly (it refuses disabled accounts).</w:t>
      </w:r>
    </w:p>
    <w:p>
      <w:pPr>
        <w:pStyle w:val="Heading2"/>
      </w:pPr>
      <w:r>
        <w:t>12.3 Not executed and why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268"/>
        <w:gridCol w:w="793"/>
        <w:gridCol w:w="6577"/>
      </w:tblGrid>
      <w:tr>
        <w:trPr>
          <w:cantSplit/>
          <w:tblHeader/>
        </w:trPr>
        <w:tc>
          <w:tcPr>
            <w:tcW w:type="dxa" w:w="2268"/>
            <w:shd w:val="clear" w:color="auto" w:fill="E1058C"/>
            <w:vAlign w:val="center"/>
          </w:tcPr>
          <w:p>
            <w:pPr>
              <w:spacing w:after="0"/>
            </w:pPr>
            <w:r>
              <w:rPr>
                <w:b/>
                <w:i w:val="0"/>
                <w:color w:val="FFFFFF"/>
                <w:sz w:val="15"/>
              </w:rPr>
              <w:t>Reason</w:t>
            </w:r>
          </w:p>
        </w:tc>
        <w:tc>
          <w:tcPr>
            <w:tcW w:type="dxa" w:w="794"/>
            <w:shd w:val="clear" w:color="auto" w:fill="E1058C"/>
            <w:vAlign w:val="center"/>
          </w:tcPr>
          <w:p>
            <w:pPr>
              <w:spacing w:after="0"/>
            </w:pPr>
            <w:r>
              <w:rPr>
                <w:b/>
                <w:i w:val="0"/>
                <w:color w:val="FFFFFF"/>
                <w:sz w:val="15"/>
              </w:rPr>
              <w:t>Cases</w:t>
            </w:r>
          </w:p>
        </w:tc>
        <w:tc>
          <w:tcPr>
            <w:tcW w:type="dxa" w:w="6576"/>
            <w:shd w:val="clear" w:color="auto" w:fill="E1058C"/>
            <w:vAlign w:val="center"/>
          </w:tcPr>
          <w:p>
            <w:pPr>
              <w:spacing w:after="0"/>
            </w:pPr>
            <w:r>
              <w:rPr>
                <w:b/>
                <w:i w:val="0"/>
                <w:color w:val="FFFFFF"/>
                <w:sz w:val="15"/>
              </w:rPr>
              <w:t>Cases concerned</w:t>
            </w:r>
          </w:p>
        </w:tc>
      </w:tr>
      <w:tr>
        <w:trPr>
          <w:cantSplit/>
        </w:trPr>
        <w:tc>
          <w:tcPr>
            <w:tcW w:type="dxa" w:w="2268"/>
            <w:vAlign w:val="top"/>
          </w:tcPr>
          <w:p>
            <w:pPr>
              <w:spacing w:after="20" w:line="252" w:lineRule="auto"/>
            </w:pPr>
            <w:r>
              <w:rPr>
                <w:b/>
                <w:i w:val="0"/>
                <w:sz w:val="15"/>
              </w:rPr>
              <w:t>Requires IIFT environment</w:t>
            </w:r>
          </w:p>
        </w:tc>
        <w:tc>
          <w:tcPr>
            <w:tcW w:type="dxa" w:w="794"/>
            <w:vAlign w:val="top"/>
          </w:tcPr>
          <w:p>
            <w:pPr>
              <w:spacing w:after="20" w:line="252" w:lineRule="auto"/>
              <w:jc w:val="center"/>
            </w:pPr>
            <w:r>
              <w:rPr>
                <w:b w:val="0"/>
                <w:i w:val="0"/>
                <w:sz w:val="15"/>
              </w:rPr>
              <w:t>21</w:t>
            </w:r>
          </w:p>
        </w:tc>
        <w:tc>
          <w:tcPr>
            <w:tcW w:type="dxa" w:w="6576"/>
            <w:vAlign w:val="top"/>
          </w:tcPr>
          <w:p>
            <w:pPr>
              <w:spacing w:after="20" w:line="252" w:lineRule="auto"/>
            </w:pPr>
            <w:r>
              <w:rPr>
                <w:b w:val="0"/>
                <w:i w:val="0"/>
                <w:sz w:val="15"/>
              </w:rPr>
              <w:t>Application instance and database failover; Back-office sign-on through IIFT Active Directory; Backup and restore drill; Browser matrix on IIFT devices; Core and FIN live delivery; DR failover drill; Deployment rehearsal and rollback; E-mail and SMS delivery through IIFT gateways; External AML service screening; Independent VAPT and re-test; Load test: p95 response time at 100 concurrent users; Mi</w:t>
            </w:r>
          </w:p>
        </w:tc>
      </w:tr>
      <w:tr>
        <w:trPr>
          <w:cantSplit/>
        </w:trPr>
        <w:tc>
          <w:tcPr>
            <w:tcW w:type="dxa" w:w="2268"/>
            <w:vAlign w:val="top"/>
            <w:shd w:val="clear" w:color="auto" w:fill="FDF0F7"/>
          </w:tcPr>
          <w:p>
            <w:pPr>
              <w:spacing w:after="20" w:line="252" w:lineRule="auto"/>
            </w:pPr>
            <w:r>
              <w:rPr>
                <w:b/>
                <w:i w:val="0"/>
                <w:sz w:val="15"/>
              </w:rPr>
              <w:t>Other</w:t>
            </w:r>
          </w:p>
        </w:tc>
        <w:tc>
          <w:tcPr>
            <w:tcW w:type="dxa" w:w="794"/>
            <w:vAlign w:val="top"/>
            <w:shd w:val="clear" w:color="auto" w:fill="FDF0F7"/>
          </w:tcPr>
          <w:p>
            <w:pPr>
              <w:spacing w:after="20" w:line="252" w:lineRule="auto"/>
              <w:jc w:val="center"/>
            </w:pPr>
            <w:r>
              <w:rPr>
                <w:b w:val="0"/>
                <w:i w:val="0"/>
                <w:sz w:val="15"/>
              </w:rPr>
              <w:t>11</w:t>
            </w:r>
          </w:p>
        </w:tc>
        <w:tc>
          <w:tcPr>
            <w:tcW w:type="dxa" w:w="6576"/>
            <w:vAlign w:val="top"/>
            <w:shd w:val="clear" w:color="auto" w:fill="FDF0F7"/>
          </w:tcPr>
          <w:p>
            <w:pPr>
              <w:spacing w:after="20" w:line="252" w:lineRule="auto"/>
            </w:pPr>
            <w:r>
              <w:rPr>
                <w:b w:val="0"/>
                <w:i w:val="0"/>
                <w:sz w:val="15"/>
              </w:rPr>
              <w:t>CI security gates; Dead-letter alert e-mail; Grace-period job blocks and unblocks an agency; LDAP filter escaping; Malware scan refuses an infected upload; Manual lift of a payment block; OWASP check script before release; Overseas Student Tertiary plan; Property financing with profit basis NONE; Retention and archival policy; Sign-in rate limit per client address</w:t>
            </w:r>
          </w:p>
        </w:tc>
      </w:tr>
      <w:tr>
        <w:trPr>
          <w:cantSplit/>
        </w:trPr>
        <w:tc>
          <w:tcPr>
            <w:tcW w:type="dxa" w:w="2268"/>
            <w:vAlign w:val="top"/>
          </w:tcPr>
          <w:p>
            <w:pPr>
              <w:spacing w:after="20" w:line="252" w:lineRule="auto"/>
            </w:pPr>
            <w:r>
              <w:rPr>
                <w:b/>
                <w:i w:val="0"/>
                <w:sz w:val="15"/>
              </w:rPr>
              <w:t>Scheduled for SIT regression</w:t>
            </w:r>
          </w:p>
        </w:tc>
        <w:tc>
          <w:tcPr>
            <w:tcW w:type="dxa" w:w="794"/>
            <w:vAlign w:val="top"/>
          </w:tcPr>
          <w:p>
            <w:pPr>
              <w:spacing w:after="20" w:line="252" w:lineRule="auto"/>
              <w:jc w:val="center"/>
            </w:pPr>
            <w:r>
              <w:rPr>
                <w:b w:val="0"/>
                <w:i w:val="0"/>
                <w:sz w:val="15"/>
              </w:rPr>
              <w:t>9</w:t>
            </w:r>
          </w:p>
        </w:tc>
        <w:tc>
          <w:tcPr>
            <w:tcW w:type="dxa" w:w="6576"/>
            <w:vAlign w:val="top"/>
          </w:tcPr>
          <w:p>
            <w:pPr>
              <w:spacing w:after="20" w:line="252" w:lineRule="auto"/>
            </w:pPr>
            <w:r>
              <w:rPr>
                <w:b w:val="0"/>
                <w:i w:val="0"/>
                <w:sz w:val="15"/>
              </w:rPr>
              <w:t>Atomic issuance under failure; Cancellation approved sets CANCELLED; Document expiry warning; Expired quotation cannot be submitted; Expiry job and renewal notices; Optimistic locking on concurrent edits; Password history and expiry; Rates re-applied at submission after a rate change; Second approval level above B$300,000</w:t>
            </w:r>
          </w:p>
        </w:tc>
      </w:tr>
      <w:tr>
        <w:trPr>
          <w:cantSplit/>
        </w:trPr>
        <w:tc>
          <w:tcPr>
            <w:tcW w:type="dxa" w:w="2268"/>
            <w:vAlign w:val="top"/>
            <w:shd w:val="clear" w:color="auto" w:fill="FDF0F7"/>
          </w:tcPr>
          <w:p>
            <w:pPr>
              <w:spacing w:after="20" w:line="252" w:lineRule="auto"/>
            </w:pPr>
            <w:r>
              <w:rPr>
                <w:b/>
                <w:i w:val="0"/>
                <w:sz w:val="15"/>
              </w:rPr>
              <w:t>UI under restyling at the time of the run</w:t>
            </w:r>
          </w:p>
        </w:tc>
        <w:tc>
          <w:tcPr>
            <w:tcW w:type="dxa" w:w="794"/>
            <w:vAlign w:val="top"/>
            <w:shd w:val="clear" w:color="auto" w:fill="FDF0F7"/>
          </w:tcPr>
          <w:p>
            <w:pPr>
              <w:spacing w:after="20" w:line="252" w:lineRule="auto"/>
              <w:jc w:val="center"/>
            </w:pPr>
            <w:r>
              <w:rPr>
                <w:b w:val="0"/>
                <w:i w:val="0"/>
                <w:sz w:val="15"/>
              </w:rPr>
              <w:t>6</w:t>
            </w:r>
          </w:p>
        </w:tc>
        <w:tc>
          <w:tcPr>
            <w:tcW w:type="dxa" w:w="6576"/>
            <w:vAlign w:val="top"/>
            <w:shd w:val="clear" w:color="auto" w:fill="FDF0F7"/>
          </w:tcPr>
          <w:p>
            <w:pPr>
              <w:spacing w:after="20" w:line="252" w:lineRule="auto"/>
            </w:pPr>
            <w:r>
              <w:rPr>
                <w:b w:val="0"/>
                <w:i w:val="0"/>
                <w:sz w:val="15"/>
              </w:rPr>
              <w:t>Accessibility review; Agent search filters; Attachments on issues; Billing figures reconcile with the policy list; Khairat renewal unavailable in the portal UI; Participant search in the back-office</w:t>
            </w:r>
          </w:p>
        </w:tc>
      </w:tr>
      <w:tr>
        <w:trPr>
          <w:cantSplit/>
        </w:trPr>
        <w:tc>
          <w:tcPr>
            <w:tcW w:type="dxa" w:w="2268"/>
            <w:vAlign w:val="top"/>
          </w:tcPr>
          <w:p>
            <w:pPr>
              <w:spacing w:after="20" w:line="252" w:lineRule="auto"/>
            </w:pPr>
            <w:r>
              <w:rPr>
                <w:b/>
                <w:i w:val="0"/>
                <w:sz w:val="15"/>
              </w:rPr>
              <w:t>Time-based job or timeout</w:t>
            </w:r>
          </w:p>
        </w:tc>
        <w:tc>
          <w:tcPr>
            <w:tcW w:type="dxa" w:w="794"/>
            <w:vAlign w:val="top"/>
          </w:tcPr>
          <w:p>
            <w:pPr>
              <w:spacing w:after="20" w:line="252" w:lineRule="auto"/>
              <w:jc w:val="center"/>
            </w:pPr>
            <w:r>
              <w:rPr>
                <w:b w:val="0"/>
                <w:i w:val="0"/>
                <w:sz w:val="15"/>
              </w:rPr>
              <w:t>3</w:t>
            </w:r>
          </w:p>
        </w:tc>
        <w:tc>
          <w:tcPr>
            <w:tcW w:type="dxa" w:w="6576"/>
            <w:vAlign w:val="top"/>
          </w:tcPr>
          <w:p>
            <w:pPr>
              <w:spacing w:after="20" w:line="252" w:lineRule="auto"/>
            </w:pPr>
            <w:r>
              <w:rPr>
                <w:b w:val="0"/>
                <w:i w:val="0"/>
                <w:sz w:val="15"/>
              </w:rPr>
              <w:t>Absolute timeout ends the session after 8 hours; Idle timeout ends the session after 15 minutes; Scheduled EOD at 23:30 Brunei time</w:t>
            </w:r>
          </w:p>
        </w:tc>
      </w:tr>
      <w:tr>
        <w:trPr>
          <w:cantSplit/>
        </w:trPr>
        <w:tc>
          <w:tcPr>
            <w:tcW w:type="dxa" w:w="2268"/>
            <w:vAlign w:val="top"/>
            <w:shd w:val="clear" w:color="auto" w:fill="FDF0F7"/>
          </w:tcPr>
          <w:p>
            <w:pPr>
              <w:spacing w:after="20" w:line="252" w:lineRule="auto"/>
            </w:pPr>
            <w:r>
              <w:rPr>
                <w:b/>
                <w:i w:val="0"/>
                <w:sz w:val="15"/>
              </w:rPr>
              <w:t>Not yet built</w:t>
            </w:r>
          </w:p>
        </w:tc>
        <w:tc>
          <w:tcPr>
            <w:tcW w:type="dxa" w:w="794"/>
            <w:vAlign w:val="top"/>
            <w:shd w:val="clear" w:color="auto" w:fill="FDF0F7"/>
          </w:tcPr>
          <w:p>
            <w:pPr>
              <w:spacing w:after="20" w:line="252" w:lineRule="auto"/>
              <w:jc w:val="center"/>
            </w:pPr>
            <w:r>
              <w:rPr>
                <w:b w:val="0"/>
                <w:i w:val="0"/>
                <w:sz w:val="15"/>
              </w:rPr>
              <w:t>1</w:t>
            </w:r>
          </w:p>
        </w:tc>
        <w:tc>
          <w:tcPr>
            <w:tcW w:type="dxa" w:w="6576"/>
            <w:vAlign w:val="top"/>
            <w:shd w:val="clear" w:color="auto" w:fill="FDF0F7"/>
          </w:tcPr>
          <w:p>
            <w:pPr>
              <w:spacing w:after="20" w:line="252" w:lineRule="auto"/>
            </w:pPr>
            <w:r>
              <w:rPr>
                <w:b w:val="0"/>
                <w:i w:val="0"/>
                <w:sz w:val="15"/>
              </w:rPr>
              <w:t>Back-office MFA</w:t>
            </w:r>
          </w:p>
        </w:tc>
      </w:tr>
    </w:tbl>
    <w:p>
      <w:pPr>
        <w:pStyle w:val="Caption"/>
        <w:jc w:val="center"/>
      </w:pPr>
      <w:r>
        <w:rPr>
          <w:b w:val="0"/>
          <w:i w:val="0"/>
        </w:rPr>
        <w:t>Table 17: Cases not executed in the iorta test environment</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Reading the status</w:t>
            </w:r>
          </w:p>
          <w:p>
            <w:pPr>
              <w:spacing w:after="40"/>
            </w:pPr>
            <w:r>
              <w:rPr>
                <w:b w:val="0"/>
                <w:i w:val="0"/>
                <w:sz w:val="19"/>
              </w:rPr>
              <w:t>Everything that can be proven on the application alone has been executed. Two cases failed: the end-to-end claim test affected by DEF-001 (a test-code issue) and the password-reset case that found DEF-002 (a disabled account is re-activated by a reset). One renewal case was blocked by exhausted test data. What remains needs IIFT's interfaces, scale, devices or users, or a scheduled job observed at its time, and is planned for SIT, performance testing, VAPT and UAT in weeks 16 to 22.</w:t>
            </w:r>
          </w:p>
          <w:p>
            <w:pPr>
              <w:spacing w:after="40"/>
            </w:pPr>
            <w:r>
              <w:rPr>
                <w:b w:val="0"/>
                <w:i w:val="0"/>
                <w:sz w:val="19"/>
              </w:rPr>
              <w:t>During the first API run on 2 October 2026, other engineers signed in to the shared demonstration accounts from the user interface; the single-active-session rule ended the run's sessions. The script now signs in again when that happens and the run was repeated; the recorded run is the final one.</w:t>
            </w:r>
          </w:p>
        </w:tc>
      </w:tr>
    </w:tbl>
    <w:p>
      <w:pPr>
        <w:spacing w:after="0" w:before="0"/>
      </w:pPr>
      <w:r>
        <w:rPr>
          <w:sz w:val="12"/>
        </w:rPr>
      </w:r>
    </w:p>
    <w:p>
      <w:pPr>
        <w:pStyle w:val="Heading1"/>
        <w:pageBreakBefore/>
        <w:pBdr>
          <w:bottom w:val="single" w:sz="12" w:space="4" w:color="F58220"/>
        </w:pBdr>
      </w:pPr>
      <w:r>
        <w:t>Annex – Evidence files</w:t>
      </w:r>
    </w:p>
    <w:p>
      <w:pPr>
        <w:keepNext w:val="0"/>
      </w:pPr>
      <w:r>
        <w:rPr>
          <w:b w:val="0"/>
          <w:i w:val="0"/>
        </w:rPr>
        <w:t>Results in this report are read from the evidence files below when the report is built. The fingerprint is the start of each file's SHA-256 hash, so a reader can confirm which evidence a given version of the report was built from.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082"/>
        <w:gridCol w:w="1701"/>
        <w:gridCol w:w="3855"/>
      </w:tblGrid>
      <w:tr>
        <w:trPr>
          <w:cantSplit/>
          <w:tblHeader/>
        </w:trPr>
        <w:tc>
          <w:tcPr>
            <w:tcW w:type="dxa" w:w="4082"/>
            <w:shd w:val="clear" w:color="auto" w:fill="E1058C"/>
            <w:vAlign w:val="center"/>
          </w:tcPr>
          <w:p>
            <w:pPr>
              <w:spacing w:after="0"/>
            </w:pPr>
            <w:r>
              <w:rPr>
                <w:b/>
                <w:i w:val="0"/>
                <w:color w:val="FFFFFF"/>
                <w:sz w:val="16"/>
              </w:rPr>
              <w:t>Evidence file</w:t>
            </w:r>
          </w:p>
        </w:tc>
        <w:tc>
          <w:tcPr>
            <w:tcW w:type="dxa" w:w="1701"/>
            <w:shd w:val="clear" w:color="auto" w:fill="E1058C"/>
            <w:vAlign w:val="center"/>
          </w:tcPr>
          <w:p>
            <w:pPr>
              <w:spacing w:after="0"/>
            </w:pPr>
            <w:r>
              <w:rPr>
                <w:b/>
                <w:i w:val="0"/>
                <w:color w:val="FFFFFF"/>
                <w:sz w:val="16"/>
              </w:rPr>
              <w:t>Size</w:t>
            </w:r>
          </w:p>
        </w:tc>
        <w:tc>
          <w:tcPr>
            <w:tcW w:type="dxa" w:w="3855"/>
            <w:shd w:val="clear" w:color="auto" w:fill="E1058C"/>
            <w:vAlign w:val="center"/>
          </w:tcPr>
          <w:p>
            <w:pPr>
              <w:spacing w:after="0"/>
            </w:pPr>
            <w:r>
              <w:rPr>
                <w:b/>
                <w:i w:val="0"/>
                <w:color w:val="FFFFFF"/>
                <w:sz w:val="16"/>
              </w:rPr>
              <w:t>SHA-256 (first 16 characters)</w:t>
            </w:r>
          </w:p>
        </w:tc>
      </w:tr>
      <w:tr>
        <w:trPr>
          <w:cantSplit/>
        </w:trPr>
        <w:tc>
          <w:tcPr>
            <w:tcW w:type="dxa" w:w="4082"/>
            <w:vAlign w:val="top"/>
          </w:tcPr>
          <w:p>
            <w:pPr>
              <w:spacing w:after="20" w:line="252" w:lineRule="auto"/>
            </w:pPr>
            <w:r>
              <w:rPr>
                <w:b w:val="0"/>
                <w:i w:val="0"/>
                <w:sz w:val="16"/>
              </w:rPr>
              <w:t>api-e2e-coverage-summary.json</w:t>
            </w:r>
          </w:p>
        </w:tc>
        <w:tc>
          <w:tcPr>
            <w:tcW w:type="dxa" w:w="1701"/>
            <w:vAlign w:val="top"/>
          </w:tcPr>
          <w:p>
            <w:pPr>
              <w:spacing w:after="20" w:line="252" w:lineRule="auto"/>
            </w:pPr>
            <w:r>
              <w:rPr>
                <w:b w:val="0"/>
                <w:i w:val="0"/>
                <w:sz w:val="16"/>
              </w:rPr>
              <w:t>42,784 bytes</w:t>
            </w:r>
          </w:p>
        </w:tc>
        <w:tc>
          <w:tcPr>
            <w:tcW w:type="dxa" w:w="3855"/>
            <w:vAlign w:val="top"/>
          </w:tcPr>
          <w:p>
            <w:pPr>
              <w:spacing w:after="20" w:line="252" w:lineRule="auto"/>
            </w:pPr>
            <w:r>
              <w:rPr>
                <w:b w:val="0"/>
                <w:i w:val="0"/>
                <w:sz w:val="16"/>
              </w:rPr>
              <w:t>74b2c247a495d346…</w:t>
            </w:r>
          </w:p>
        </w:tc>
      </w:tr>
      <w:tr>
        <w:trPr>
          <w:cantSplit/>
        </w:trPr>
        <w:tc>
          <w:tcPr>
            <w:tcW w:type="dxa" w:w="4082"/>
            <w:vAlign w:val="top"/>
            <w:shd w:val="clear" w:color="auto" w:fill="FDF0F7"/>
          </w:tcPr>
          <w:p>
            <w:pPr>
              <w:spacing w:after="20" w:line="252" w:lineRule="auto"/>
            </w:pPr>
            <w:r>
              <w:rPr>
                <w:b w:val="0"/>
                <w:i w:val="0"/>
                <w:sz w:val="16"/>
              </w:rPr>
              <w:t>api-e2e-tests.json</w:t>
            </w:r>
          </w:p>
        </w:tc>
        <w:tc>
          <w:tcPr>
            <w:tcW w:type="dxa" w:w="1701"/>
            <w:vAlign w:val="top"/>
            <w:shd w:val="clear" w:color="auto" w:fill="FDF0F7"/>
          </w:tcPr>
          <w:p>
            <w:pPr>
              <w:spacing w:after="20" w:line="252" w:lineRule="auto"/>
            </w:pPr>
            <w:r>
              <w:rPr>
                <w:b w:val="0"/>
                <w:i w:val="0"/>
                <w:sz w:val="16"/>
              </w:rPr>
              <w:t>895,673 bytes</w:t>
            </w:r>
          </w:p>
        </w:tc>
        <w:tc>
          <w:tcPr>
            <w:tcW w:type="dxa" w:w="3855"/>
            <w:vAlign w:val="top"/>
            <w:shd w:val="clear" w:color="auto" w:fill="FDF0F7"/>
          </w:tcPr>
          <w:p>
            <w:pPr>
              <w:spacing w:after="20" w:line="252" w:lineRule="auto"/>
            </w:pPr>
            <w:r>
              <w:rPr>
                <w:b w:val="0"/>
                <w:i w:val="0"/>
                <w:sz w:val="16"/>
              </w:rPr>
              <w:t>bb1381c4fef07679…</w:t>
            </w:r>
          </w:p>
        </w:tc>
      </w:tr>
      <w:tr>
        <w:trPr>
          <w:cantSplit/>
        </w:trPr>
        <w:tc>
          <w:tcPr>
            <w:tcW w:type="dxa" w:w="4082"/>
            <w:vAlign w:val="top"/>
          </w:tcPr>
          <w:p>
            <w:pPr>
              <w:spacing w:after="20" w:line="252" w:lineRule="auto"/>
            </w:pPr>
            <w:r>
              <w:rPr>
                <w:b w:val="0"/>
                <w:i w:val="0"/>
                <w:sz w:val="16"/>
              </w:rPr>
              <w:t>api-static-analysis.json</w:t>
            </w:r>
          </w:p>
        </w:tc>
        <w:tc>
          <w:tcPr>
            <w:tcW w:type="dxa" w:w="1701"/>
            <w:vAlign w:val="top"/>
          </w:tcPr>
          <w:p>
            <w:pPr>
              <w:spacing w:after="20" w:line="252" w:lineRule="auto"/>
            </w:pPr>
            <w:r>
              <w:rPr>
                <w:b w:val="0"/>
                <w:i w:val="0"/>
                <w:sz w:val="16"/>
              </w:rPr>
              <w:t>796 bytes</w:t>
            </w:r>
          </w:p>
        </w:tc>
        <w:tc>
          <w:tcPr>
            <w:tcW w:type="dxa" w:w="3855"/>
            <w:vAlign w:val="top"/>
          </w:tcPr>
          <w:p>
            <w:pPr>
              <w:spacing w:after="20" w:line="252" w:lineRule="auto"/>
            </w:pPr>
            <w:r>
              <w:rPr>
                <w:b w:val="0"/>
                <w:i w:val="0"/>
                <w:sz w:val="16"/>
              </w:rPr>
              <w:t>38c06cf62d020977…</w:t>
            </w:r>
          </w:p>
        </w:tc>
      </w:tr>
      <w:tr>
        <w:trPr>
          <w:cantSplit/>
        </w:trPr>
        <w:tc>
          <w:tcPr>
            <w:tcW w:type="dxa" w:w="4082"/>
            <w:vAlign w:val="top"/>
            <w:shd w:val="clear" w:color="auto" w:fill="FDF0F7"/>
          </w:tcPr>
          <w:p>
            <w:pPr>
              <w:spacing w:after="20" w:line="252" w:lineRule="auto"/>
            </w:pPr>
            <w:r>
              <w:rPr>
                <w:b w:val="0"/>
                <w:i w:val="0"/>
                <w:sz w:val="16"/>
              </w:rPr>
              <w:t>api-test-run.json</w:t>
            </w:r>
          </w:p>
        </w:tc>
        <w:tc>
          <w:tcPr>
            <w:tcW w:type="dxa" w:w="1701"/>
            <w:vAlign w:val="top"/>
            <w:shd w:val="clear" w:color="auto" w:fill="FDF0F7"/>
          </w:tcPr>
          <w:p>
            <w:pPr>
              <w:spacing w:after="20" w:line="252" w:lineRule="auto"/>
            </w:pPr>
            <w:r>
              <w:rPr>
                <w:b w:val="0"/>
                <w:i w:val="0"/>
                <w:sz w:val="16"/>
              </w:rPr>
              <w:t>62,933 bytes</w:t>
            </w:r>
          </w:p>
        </w:tc>
        <w:tc>
          <w:tcPr>
            <w:tcW w:type="dxa" w:w="3855"/>
            <w:vAlign w:val="top"/>
            <w:shd w:val="clear" w:color="auto" w:fill="FDF0F7"/>
          </w:tcPr>
          <w:p>
            <w:pPr>
              <w:spacing w:after="20" w:line="252" w:lineRule="auto"/>
            </w:pPr>
            <w:r>
              <w:rPr>
                <w:b w:val="0"/>
                <w:i w:val="0"/>
                <w:sz w:val="16"/>
              </w:rPr>
              <w:t>bf46e22aaf170745…</w:t>
            </w:r>
          </w:p>
        </w:tc>
      </w:tr>
      <w:tr>
        <w:trPr>
          <w:cantSplit/>
        </w:trPr>
        <w:tc>
          <w:tcPr>
            <w:tcW w:type="dxa" w:w="4082"/>
            <w:vAlign w:val="top"/>
          </w:tcPr>
          <w:p>
            <w:pPr>
              <w:spacing w:after="20" w:line="252" w:lineRule="auto"/>
            </w:pPr>
            <w:r>
              <w:rPr>
                <w:b w:val="0"/>
                <w:i w:val="0"/>
                <w:sz w:val="16"/>
              </w:rPr>
              <w:t>api-unit-coverage-summary.json</w:t>
            </w:r>
          </w:p>
        </w:tc>
        <w:tc>
          <w:tcPr>
            <w:tcW w:type="dxa" w:w="1701"/>
            <w:vAlign w:val="top"/>
          </w:tcPr>
          <w:p>
            <w:pPr>
              <w:spacing w:after="20" w:line="252" w:lineRule="auto"/>
            </w:pPr>
            <w:r>
              <w:rPr>
                <w:b w:val="0"/>
                <w:i w:val="0"/>
                <w:sz w:val="16"/>
              </w:rPr>
              <w:t>41,871 bytes</w:t>
            </w:r>
          </w:p>
        </w:tc>
        <w:tc>
          <w:tcPr>
            <w:tcW w:type="dxa" w:w="3855"/>
            <w:vAlign w:val="top"/>
          </w:tcPr>
          <w:p>
            <w:pPr>
              <w:spacing w:after="20" w:line="252" w:lineRule="auto"/>
            </w:pPr>
            <w:r>
              <w:rPr>
                <w:b w:val="0"/>
                <w:i w:val="0"/>
                <w:sz w:val="16"/>
              </w:rPr>
              <w:t>501662d3899973ad…</w:t>
            </w:r>
          </w:p>
        </w:tc>
      </w:tr>
      <w:tr>
        <w:trPr>
          <w:cantSplit/>
        </w:trPr>
        <w:tc>
          <w:tcPr>
            <w:tcW w:type="dxa" w:w="4082"/>
            <w:vAlign w:val="top"/>
            <w:shd w:val="clear" w:color="auto" w:fill="FDF0F7"/>
          </w:tcPr>
          <w:p>
            <w:pPr>
              <w:spacing w:after="20" w:line="252" w:lineRule="auto"/>
            </w:pPr>
            <w:r>
              <w:rPr>
                <w:b w:val="0"/>
                <w:i w:val="0"/>
                <w:sz w:val="16"/>
              </w:rPr>
              <w:t>api-unit-tests.json</w:t>
            </w:r>
          </w:p>
        </w:tc>
        <w:tc>
          <w:tcPr>
            <w:tcW w:type="dxa" w:w="1701"/>
            <w:vAlign w:val="top"/>
            <w:shd w:val="clear" w:color="auto" w:fill="FDF0F7"/>
          </w:tcPr>
          <w:p>
            <w:pPr>
              <w:spacing w:after="20" w:line="252" w:lineRule="auto"/>
            </w:pPr>
            <w:r>
              <w:rPr>
                <w:b w:val="0"/>
                <w:i w:val="0"/>
                <w:sz w:val="16"/>
              </w:rPr>
              <w:t>901,653 bytes</w:t>
            </w:r>
          </w:p>
        </w:tc>
        <w:tc>
          <w:tcPr>
            <w:tcW w:type="dxa" w:w="3855"/>
            <w:vAlign w:val="top"/>
            <w:shd w:val="clear" w:color="auto" w:fill="FDF0F7"/>
          </w:tcPr>
          <w:p>
            <w:pPr>
              <w:spacing w:after="20" w:line="252" w:lineRule="auto"/>
            </w:pPr>
            <w:r>
              <w:rPr>
                <w:b w:val="0"/>
                <w:i w:val="0"/>
                <w:sz w:val="16"/>
              </w:rPr>
              <w:t>04b9d616f28c707b…</w:t>
            </w:r>
          </w:p>
        </w:tc>
      </w:tr>
      <w:tr>
        <w:trPr>
          <w:cantSplit/>
        </w:trPr>
        <w:tc>
          <w:tcPr>
            <w:tcW w:type="dxa" w:w="4082"/>
            <w:vAlign w:val="top"/>
          </w:tcPr>
          <w:p>
            <w:pPr>
              <w:spacing w:after="20" w:line="252" w:lineRule="auto"/>
            </w:pPr>
            <w:r>
              <w:rPr>
                <w:b w:val="0"/>
                <w:i w:val="0"/>
                <w:sz w:val="16"/>
              </w:rPr>
              <w:t>code-metrics-api.json</w:t>
            </w:r>
          </w:p>
        </w:tc>
        <w:tc>
          <w:tcPr>
            <w:tcW w:type="dxa" w:w="1701"/>
            <w:vAlign w:val="top"/>
          </w:tcPr>
          <w:p>
            <w:pPr>
              <w:spacing w:after="20" w:line="252" w:lineRule="auto"/>
            </w:pPr>
            <w:r>
              <w:rPr>
                <w:b w:val="0"/>
                <w:i w:val="0"/>
                <w:sz w:val="16"/>
              </w:rPr>
              <w:t>760 bytes</w:t>
            </w:r>
          </w:p>
        </w:tc>
        <w:tc>
          <w:tcPr>
            <w:tcW w:type="dxa" w:w="3855"/>
            <w:vAlign w:val="top"/>
          </w:tcPr>
          <w:p>
            <w:pPr>
              <w:spacing w:after="20" w:line="252" w:lineRule="auto"/>
            </w:pPr>
            <w:r>
              <w:rPr>
                <w:b w:val="0"/>
                <w:i w:val="0"/>
                <w:sz w:val="16"/>
              </w:rPr>
              <w:t>ec37c59d47c8708c…</w:t>
            </w:r>
          </w:p>
        </w:tc>
      </w:tr>
      <w:tr>
        <w:trPr>
          <w:cantSplit/>
        </w:trPr>
        <w:tc>
          <w:tcPr>
            <w:tcW w:type="dxa" w:w="4082"/>
            <w:vAlign w:val="top"/>
            <w:shd w:val="clear" w:color="auto" w:fill="FDF0F7"/>
          </w:tcPr>
          <w:p>
            <w:pPr>
              <w:spacing w:after="20" w:line="252" w:lineRule="auto"/>
            </w:pPr>
            <w:r>
              <w:rPr>
                <w:b w:val="0"/>
                <w:i w:val="0"/>
                <w:sz w:val="16"/>
              </w:rPr>
              <w:t>npm-audit.json</w:t>
            </w:r>
          </w:p>
        </w:tc>
        <w:tc>
          <w:tcPr>
            <w:tcW w:type="dxa" w:w="1701"/>
            <w:vAlign w:val="top"/>
            <w:shd w:val="clear" w:color="auto" w:fill="FDF0F7"/>
          </w:tcPr>
          <w:p>
            <w:pPr>
              <w:spacing w:after="20" w:line="252" w:lineRule="auto"/>
            </w:pPr>
            <w:r>
              <w:rPr>
                <w:b w:val="0"/>
                <w:i w:val="0"/>
                <w:sz w:val="16"/>
              </w:rPr>
              <w:t>366 bytes</w:t>
            </w:r>
          </w:p>
        </w:tc>
        <w:tc>
          <w:tcPr>
            <w:tcW w:type="dxa" w:w="3855"/>
            <w:vAlign w:val="top"/>
            <w:shd w:val="clear" w:color="auto" w:fill="FDF0F7"/>
          </w:tcPr>
          <w:p>
            <w:pPr>
              <w:spacing w:after="20" w:line="252" w:lineRule="auto"/>
            </w:pPr>
            <w:r>
              <w:rPr>
                <w:b w:val="0"/>
                <w:i w:val="0"/>
                <w:sz w:val="16"/>
              </w:rPr>
              <w:t>1cf279e9ef691d09…</w:t>
            </w:r>
          </w:p>
        </w:tc>
      </w:tr>
      <w:tr>
        <w:trPr>
          <w:cantSplit/>
        </w:trPr>
        <w:tc>
          <w:tcPr>
            <w:tcW w:type="dxa" w:w="4082"/>
            <w:vAlign w:val="top"/>
          </w:tcPr>
          <w:p>
            <w:pPr>
              <w:spacing w:after="20" w:line="252" w:lineRule="auto"/>
            </w:pPr>
            <w:r>
              <w:rPr>
                <w:b w:val="0"/>
                <w:i w:val="0"/>
                <w:sz w:val="16"/>
              </w:rPr>
              <w:t>runtime-dependency-licences.json</w:t>
            </w:r>
          </w:p>
        </w:tc>
        <w:tc>
          <w:tcPr>
            <w:tcW w:type="dxa" w:w="1701"/>
            <w:vAlign w:val="top"/>
          </w:tcPr>
          <w:p>
            <w:pPr>
              <w:spacing w:after="20" w:line="252" w:lineRule="auto"/>
            </w:pPr>
            <w:r>
              <w:rPr>
                <w:b w:val="0"/>
                <w:i w:val="0"/>
                <w:sz w:val="16"/>
              </w:rPr>
              <w:t>40,391 bytes</w:t>
            </w:r>
          </w:p>
        </w:tc>
        <w:tc>
          <w:tcPr>
            <w:tcW w:type="dxa" w:w="3855"/>
            <w:vAlign w:val="top"/>
          </w:tcPr>
          <w:p>
            <w:pPr>
              <w:spacing w:after="20" w:line="252" w:lineRule="auto"/>
            </w:pPr>
            <w:r>
              <w:rPr>
                <w:b w:val="0"/>
                <w:i w:val="0"/>
                <w:sz w:val="16"/>
              </w:rPr>
              <w:t>b003a0dc1a75e06f…</w:t>
            </w:r>
          </w:p>
        </w:tc>
      </w:tr>
      <w:tr>
        <w:trPr>
          <w:cantSplit/>
        </w:trPr>
        <w:tc>
          <w:tcPr>
            <w:tcW w:type="dxa" w:w="4082"/>
            <w:vAlign w:val="top"/>
            <w:shd w:val="clear" w:color="auto" w:fill="FDF0F7"/>
          </w:tcPr>
          <w:p>
            <w:pPr>
              <w:spacing w:after="20" w:line="252" w:lineRule="auto"/>
            </w:pPr>
            <w:r>
              <w:rPr>
                <w:b w:val="0"/>
                <w:i w:val="0"/>
                <w:sz w:val="16"/>
              </w:rPr>
              <w:t>security-checks.json</w:t>
            </w:r>
          </w:p>
        </w:tc>
        <w:tc>
          <w:tcPr>
            <w:tcW w:type="dxa" w:w="1701"/>
            <w:vAlign w:val="top"/>
            <w:shd w:val="clear" w:color="auto" w:fill="FDF0F7"/>
          </w:tcPr>
          <w:p>
            <w:pPr>
              <w:spacing w:after="20" w:line="252" w:lineRule="auto"/>
            </w:pPr>
            <w:r>
              <w:rPr>
                <w:b w:val="0"/>
                <w:i w:val="0"/>
                <w:sz w:val="16"/>
              </w:rPr>
              <w:t>9,685 bytes</w:t>
            </w:r>
          </w:p>
        </w:tc>
        <w:tc>
          <w:tcPr>
            <w:tcW w:type="dxa" w:w="3855"/>
            <w:vAlign w:val="top"/>
            <w:shd w:val="clear" w:color="auto" w:fill="FDF0F7"/>
          </w:tcPr>
          <w:p>
            <w:pPr>
              <w:spacing w:after="20" w:line="252" w:lineRule="auto"/>
            </w:pPr>
            <w:r>
              <w:rPr>
                <w:b w:val="0"/>
                <w:i w:val="0"/>
                <w:sz w:val="16"/>
              </w:rPr>
              <w:t>5ab9bdeea3c926fd…</w:t>
            </w:r>
          </w:p>
        </w:tc>
      </w:tr>
      <w:tr>
        <w:trPr>
          <w:cantSplit/>
        </w:trPr>
        <w:tc>
          <w:tcPr>
            <w:tcW w:type="dxa" w:w="4082"/>
            <w:vAlign w:val="top"/>
          </w:tcPr>
          <w:p>
            <w:pPr>
              <w:spacing w:after="20" w:line="252" w:lineRule="auto"/>
            </w:pPr>
            <w:r>
              <w:rPr>
                <w:b w:val="0"/>
                <w:i w:val="0"/>
                <w:sz w:val="16"/>
              </w:rPr>
              <w:t>test-reruns.json</w:t>
            </w:r>
          </w:p>
        </w:tc>
        <w:tc>
          <w:tcPr>
            <w:tcW w:type="dxa" w:w="1701"/>
            <w:vAlign w:val="top"/>
          </w:tcPr>
          <w:p>
            <w:pPr>
              <w:spacing w:after="20" w:line="252" w:lineRule="auto"/>
            </w:pPr>
            <w:r>
              <w:rPr>
                <w:b w:val="0"/>
                <w:i w:val="0"/>
                <w:sz w:val="16"/>
              </w:rPr>
              <w:t>40,047 bytes</w:t>
            </w:r>
          </w:p>
        </w:tc>
        <w:tc>
          <w:tcPr>
            <w:tcW w:type="dxa" w:w="3855"/>
            <w:vAlign w:val="top"/>
          </w:tcPr>
          <w:p>
            <w:pPr>
              <w:spacing w:after="20" w:line="252" w:lineRule="auto"/>
            </w:pPr>
            <w:r>
              <w:rPr>
                <w:b w:val="0"/>
                <w:i w:val="0"/>
                <w:sz w:val="16"/>
              </w:rPr>
              <w:t>99a7e747f67f05b0…</w:t>
            </w:r>
          </w:p>
        </w:tc>
      </w:tr>
      <w:tr>
        <w:trPr>
          <w:cantSplit/>
        </w:trPr>
        <w:tc>
          <w:tcPr>
            <w:tcW w:type="dxa" w:w="4082"/>
            <w:vAlign w:val="top"/>
            <w:shd w:val="clear" w:color="auto" w:fill="FDF0F7"/>
          </w:tcPr>
          <w:p>
            <w:pPr>
              <w:spacing w:after="20" w:line="252" w:lineRule="auto"/>
            </w:pPr>
            <w:r>
              <w:rPr>
                <w:b w:val="0"/>
                <w:i w:val="0"/>
                <w:sz w:val="16"/>
              </w:rPr>
              <w:t>web-build.txt</w:t>
            </w:r>
          </w:p>
        </w:tc>
        <w:tc>
          <w:tcPr>
            <w:tcW w:type="dxa" w:w="1701"/>
            <w:vAlign w:val="top"/>
            <w:shd w:val="clear" w:color="auto" w:fill="FDF0F7"/>
          </w:tcPr>
          <w:p>
            <w:pPr>
              <w:spacing w:after="20" w:line="252" w:lineRule="auto"/>
            </w:pPr>
            <w:r>
              <w:rPr>
                <w:b w:val="0"/>
                <w:i w:val="0"/>
                <w:sz w:val="16"/>
              </w:rPr>
              <w:t>9,886 bytes</w:t>
            </w:r>
          </w:p>
        </w:tc>
        <w:tc>
          <w:tcPr>
            <w:tcW w:type="dxa" w:w="3855"/>
            <w:vAlign w:val="top"/>
            <w:shd w:val="clear" w:color="auto" w:fill="FDF0F7"/>
          </w:tcPr>
          <w:p>
            <w:pPr>
              <w:spacing w:after="20" w:line="252" w:lineRule="auto"/>
            </w:pPr>
            <w:r>
              <w:rPr>
                <w:b w:val="0"/>
                <w:i w:val="0"/>
                <w:sz w:val="16"/>
              </w:rPr>
              <w:t>78590222981eafd9…</w:t>
            </w:r>
          </w:p>
        </w:tc>
      </w:tr>
      <w:tr>
        <w:trPr>
          <w:cantSplit/>
        </w:trPr>
        <w:tc>
          <w:tcPr>
            <w:tcW w:type="dxa" w:w="4082"/>
            <w:vAlign w:val="top"/>
          </w:tcPr>
          <w:p>
            <w:pPr>
              <w:spacing w:after="20" w:line="252" w:lineRule="auto"/>
            </w:pPr>
            <w:r>
              <w:rPr>
                <w:b w:val="0"/>
                <w:i w:val="0"/>
                <w:sz w:val="16"/>
              </w:rPr>
              <w:t>web-lint.json</w:t>
            </w:r>
          </w:p>
        </w:tc>
        <w:tc>
          <w:tcPr>
            <w:tcW w:type="dxa" w:w="1701"/>
            <w:vAlign w:val="top"/>
          </w:tcPr>
          <w:p>
            <w:pPr>
              <w:spacing w:after="20" w:line="252" w:lineRule="auto"/>
            </w:pPr>
            <w:r>
              <w:rPr>
                <w:b w:val="0"/>
                <w:i w:val="0"/>
                <w:sz w:val="16"/>
              </w:rPr>
              <w:t>197 bytes</w:t>
            </w:r>
          </w:p>
        </w:tc>
        <w:tc>
          <w:tcPr>
            <w:tcW w:type="dxa" w:w="3855"/>
            <w:vAlign w:val="top"/>
          </w:tcPr>
          <w:p>
            <w:pPr>
              <w:spacing w:after="20" w:line="252" w:lineRule="auto"/>
            </w:pPr>
            <w:r>
              <w:rPr>
                <w:b w:val="0"/>
                <w:i w:val="0"/>
                <w:sz w:val="16"/>
              </w:rPr>
              <w:t>21a8be1488eb17d7…</w:t>
            </w:r>
          </w:p>
        </w:tc>
      </w:tr>
      <w:tr>
        <w:trPr>
          <w:cantSplit/>
        </w:trPr>
        <w:tc>
          <w:tcPr>
            <w:tcW w:type="dxa" w:w="4082"/>
            <w:vAlign w:val="top"/>
            <w:shd w:val="clear" w:color="auto" w:fill="FDF0F7"/>
          </w:tcPr>
          <w:p>
            <w:pPr>
              <w:spacing w:after="20" w:line="252" w:lineRule="auto"/>
            </w:pPr>
            <w:r>
              <w:rPr>
                <w:b w:val="0"/>
                <w:i w:val="0"/>
                <w:sz w:val="16"/>
              </w:rPr>
              <w:t>web-typecheck.txt</w:t>
            </w:r>
          </w:p>
        </w:tc>
        <w:tc>
          <w:tcPr>
            <w:tcW w:type="dxa" w:w="1701"/>
            <w:vAlign w:val="top"/>
            <w:shd w:val="clear" w:color="auto" w:fill="FDF0F7"/>
          </w:tcPr>
          <w:p>
            <w:pPr>
              <w:spacing w:after="20" w:line="252" w:lineRule="auto"/>
            </w:pPr>
            <w:r>
              <w:rPr>
                <w:b w:val="0"/>
                <w:i w:val="0"/>
                <w:sz w:val="16"/>
              </w:rPr>
              <w:t>26 bytes</w:t>
            </w:r>
          </w:p>
        </w:tc>
        <w:tc>
          <w:tcPr>
            <w:tcW w:type="dxa" w:w="3855"/>
            <w:vAlign w:val="top"/>
            <w:shd w:val="clear" w:color="auto" w:fill="FDF0F7"/>
          </w:tcPr>
          <w:p>
            <w:pPr>
              <w:spacing w:after="20" w:line="252" w:lineRule="auto"/>
            </w:pPr>
            <w:r>
              <w:rPr>
                <w:b w:val="0"/>
                <w:i w:val="0"/>
                <w:sz w:val="16"/>
              </w:rPr>
              <w:t>e5073c15448438bb…</w:t>
            </w:r>
          </w:p>
        </w:tc>
      </w:tr>
      <w:tr>
        <w:trPr>
          <w:cantSplit/>
        </w:trPr>
        <w:tc>
          <w:tcPr>
            <w:tcW w:type="dxa" w:w="4082"/>
            <w:vAlign w:val="top"/>
          </w:tcPr>
          <w:p>
            <w:pPr>
              <w:spacing w:after="20" w:line="252" w:lineRule="auto"/>
            </w:pPr>
            <w:r>
              <w:rPr>
                <w:b w:val="0"/>
                <w:i w:val="0"/>
                <w:sz w:val="16"/>
              </w:rPr>
              <w:t>web-unit-tests.json</w:t>
            </w:r>
          </w:p>
        </w:tc>
        <w:tc>
          <w:tcPr>
            <w:tcW w:type="dxa" w:w="1701"/>
            <w:vAlign w:val="top"/>
          </w:tcPr>
          <w:p>
            <w:pPr>
              <w:spacing w:after="20" w:line="252" w:lineRule="auto"/>
            </w:pPr>
            <w:r>
              <w:rPr>
                <w:b w:val="0"/>
                <w:i w:val="0"/>
                <w:sz w:val="16"/>
              </w:rPr>
              <w:t>24,628 bytes</w:t>
            </w:r>
          </w:p>
        </w:tc>
        <w:tc>
          <w:tcPr>
            <w:tcW w:type="dxa" w:w="3855"/>
            <w:vAlign w:val="top"/>
          </w:tcPr>
          <w:p>
            <w:pPr>
              <w:spacing w:after="20" w:line="252" w:lineRule="auto"/>
            </w:pPr>
            <w:r>
              <w:rPr>
                <w:b w:val="0"/>
                <w:i w:val="0"/>
                <w:sz w:val="16"/>
              </w:rPr>
              <w:t>7dac851fc00c909f…</w:t>
            </w:r>
          </w:p>
        </w:tc>
      </w:tr>
    </w:tbl>
    <w:p>
      <w:pPr>
        <w:pStyle w:val="Caption"/>
        <w:jc w:val="center"/>
      </w:pPr>
      <w:r>
        <w:rPr>
          <w:b w:val="0"/>
          <w:i w:val="0"/>
        </w:rPr>
        <w:t>Table 18: Evidence files</w:t>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IIFT-SV2-TST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643238" cy="1980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643238" cy="198000"/>
                  </a:xfrm>
                  <a:prstGeom prst="rect"/>
                </pic:spPr>
              </pic:pic>
            </a:graphicData>
          </a:graphic>
        </wp:inline>
      </w:drawing>
    </w:r>
    <w:r>
      <w:tab/>
    </w:r>
    <w:r>
      <w:rPr>
        <w:b w:val="0"/>
        <w:i w:val="0"/>
        <w:color w:val="6B6B6B"/>
        <w:sz w:val="16"/>
      </w:rPr>
      <w:t>SalesVerse 2.0 Test Strategy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Test Strategy</dc:title>
  <dc:subject>IIFT Agent/Banca Portal &amp; Back-office – Test Strategy</dc:subject>
  <dc:creator>iorta TechNXT</dc:creator>
  <cp:keywords>test strategy; SIT; UAT; performance; VAPT; traceability; SalesVerse 2.0; IIFT</cp:keywords>
  <dc:description/>
  <cp:lastModifiedBy>iorta TechNXT</cp:lastModifiedBy>
  <cp:revision>1</cp:revision>
  <dcterms:created xsi:type="dcterms:W3CDTF">2026-10-02T22:16:12Z</dcterms:created>
  <dcterms:modified xsi:type="dcterms:W3CDTF">2026-10-02T22:16:12Z</dcterms:modified>
  <cp:category>Commercial-in-Confidence</cp:category>
  <dc:identifier>IIFT-SV2-TST</dc:identifier>
  <cp:version>1.0</cp:version>
</cp:coreProperties>
</file>