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drawing>
          <wp:inline xmlns:a="http://schemas.openxmlformats.org/drawingml/2006/main" xmlns:pic="http://schemas.openxmlformats.org/drawingml/2006/picture">
            <wp:extent cx="1871238" cy="576000"/>
            <wp:docPr id="1" name="Picture 1"/>
            <wp:cNvGraphicFramePr>
              <a:graphicFrameLocks noChangeAspect="1"/>
            </wp:cNvGraphicFramePr>
            <a:graphic>
              <a:graphicData uri="http://schemas.openxmlformats.org/drawingml/2006/picture">
                <pic:pic>
                  <pic:nvPicPr>
                    <pic:cNvPr id="0" name="iorta-logo.png"/>
                    <pic:cNvPicPr/>
                  </pic:nvPicPr>
                  <pic:blipFill>
                    <a:blip r:embed="rId11"/>
                    <a:stretch>
                      <a:fillRect/>
                    </a:stretch>
                  </pic:blipFill>
                  <pic:spPr>
                    <a:xfrm>
                      <a:off x="0" y="0"/>
                      <a:ext cx="1871238" cy="576000"/>
                    </a:xfrm>
                    <a:prstGeom prst="rect"/>
                  </pic:spPr>
                </pic:pic>
              </a:graphicData>
            </a:graphic>
          </wp:inline>
        </w:drawing>
      </w:r>
    </w:p>
    <w:p>
      <w:r>
        <w:drawing>
          <wp:inline xmlns:a="http://schemas.openxmlformats.org/drawingml/2006/main" xmlns:pic="http://schemas.openxmlformats.org/drawingml/2006/picture">
            <wp:extent cx="6120000" cy="214200"/>
            <wp:docPr id="2" name="Picture 2"/>
            <wp:cNvGraphicFramePr>
              <a:graphicFrameLocks noChangeAspect="1"/>
            </wp:cNvGraphicFramePr>
            <a:graphic>
              <a:graphicData uri="http://schemas.openxmlformats.org/drawingml/2006/picture">
                <pic:pic>
                  <pic:nvPicPr>
                    <pic:cNvPr id="0" name="cover-band.png"/>
                    <pic:cNvPicPr/>
                  </pic:nvPicPr>
                  <pic:blipFill>
                    <a:blip r:embed="rId12"/>
                    <a:stretch>
                      <a:fillRect/>
                    </a:stretch>
                  </pic:blipFill>
                  <pic:spPr>
                    <a:xfrm>
                      <a:off x="0" y="0"/>
                      <a:ext cx="6120000" cy="214200"/>
                    </a:xfrm>
                    <a:prstGeom prst="rect"/>
                  </pic:spPr>
                </pic:pic>
              </a:graphicData>
            </a:graphic>
          </wp:inline>
        </w:drawing>
      </w:r>
    </w:p>
    <w:p>
      <w:pPr>
        <w:spacing w:after="0" w:before="0"/>
      </w:pPr>
      <w:r>
        <w:rPr>
          <w:sz w:val="36"/>
        </w:rPr>
      </w:r>
    </w:p>
    <w:p>
      <w:pPr>
        <w:keepNext w:val="0"/>
        <w:spacing w:after="200"/>
      </w:pPr>
      <w:r>
        <w:rPr>
          <w:b/>
          <w:i w:val="0"/>
          <w:color w:val="E1058C"/>
          <w:sz w:val="54"/>
        </w:rPr>
        <w:t>Proposal for Agent/Banca Portal &amp; Back-office Solution</w:t>
      </w:r>
    </w:p>
    <w:p>
      <w:pPr>
        <w:keepNext w:val="0"/>
        <w:spacing w:after="120"/>
      </w:pPr>
      <w:r>
        <w:rPr>
          <w:b/>
          <w:i w:val="0"/>
          <w:color w:val="F58220"/>
          <w:sz w:val="28"/>
        </w:rPr>
        <w:t>SalesVerse 2.0, configured for IIFT as the IIFT Agent/Banca Portal &amp; Back-office</w:t>
      </w:r>
    </w:p>
    <w:p>
      <w:pPr>
        <w:keepNext w:val="0"/>
        <w:spacing w:after="720"/>
      </w:pPr>
      <w:r>
        <w:rPr>
          <w:b w:val="0"/>
          <w:i w:val="0"/>
          <w:color w:val="6B6B6B"/>
          <w:sz w:val="24"/>
        </w:rPr>
        <w:t>Technical and commercial proposal in response to IIFT's Request for Proposal</w:t>
      </w:r>
    </w:p>
    <w:tbl>
      <w:tblPr>
        <w:tblW w:type="dxa" w:w="9639"/>
        <w:jc w:val="left"/>
        <w:tblLayout w:type="fixed"/>
        <w:tblLook w:firstColumn="1" w:firstRow="1" w:lastColumn="0" w:lastRow="0" w:noHBand="0" w:noVBand="1" w:val="04A0"/>
        <w:tblLayout w:type="fixed"/>
      </w:tblPr>
      <w:tblGrid>
        <w:gridCol w:w="1927"/>
        <w:gridCol w:w="7711"/>
      </w:tblGrid>
      <w:tr>
        <w:tc>
          <w:tcPr>
            <w:tcW w:type="dxa" w:w="1928"/>
            <w:vAlign w:val="center"/>
          </w:tcPr>
          <w:p>
            <w:r>
              <w:drawing>
                <wp:inline xmlns:a="http://schemas.openxmlformats.org/drawingml/2006/main" xmlns:pic="http://schemas.openxmlformats.org/drawingml/2006/picture">
                  <wp:extent cx="657672" cy="1296000"/>
                  <wp:docPr id="3" name="Picture 3"/>
                  <wp:cNvGraphicFramePr>
                    <a:graphicFrameLocks noChangeAspect="1"/>
                  </wp:cNvGraphicFramePr>
                  <a:graphic>
                    <a:graphicData uri="http://schemas.openxmlformats.org/drawingml/2006/picture">
                      <pic:pic>
                        <pic:nvPicPr>
                          <pic:cNvPr id="0" name="iift-logo.png"/>
                          <pic:cNvPicPr/>
                        </pic:nvPicPr>
                        <pic:blipFill>
                          <a:blip r:embed="rId13"/>
                          <a:stretch>
                            <a:fillRect/>
                          </a:stretch>
                        </pic:blipFill>
                        <pic:spPr>
                          <a:xfrm>
                            <a:off x="0" y="0"/>
                            <a:ext cx="657672" cy="1296000"/>
                          </a:xfrm>
                          <a:prstGeom prst="rect"/>
                        </pic:spPr>
                      </pic:pic>
                    </a:graphicData>
                  </a:graphic>
                </wp:inline>
              </w:drawing>
            </w:r>
          </w:p>
        </w:tc>
        <w:tc>
          <w:tcPr>
            <w:tcW w:type="dxa" w:w="7710"/>
            <w:vAlign w:val="center"/>
          </w:tcPr>
          <w:p>
            <w:pPr>
              <w:spacing w:after="60"/>
            </w:pPr>
            <w:r>
              <w:rPr>
                <w:b/>
                <w:i w:val="0"/>
                <w:color w:val="F58220"/>
                <w:sz w:val="18"/>
              </w:rPr>
              <w:t>PREPARED FOR</w:t>
            </w:r>
          </w:p>
          <w:p>
            <w:pPr>
              <w:spacing w:after="60"/>
            </w:pPr>
            <w:r>
              <w:rPr>
                <w:b/>
                <w:i w:val="0"/>
                <w:color w:val="333333"/>
                <w:sz w:val="30"/>
              </w:rPr>
              <w:t>Insurans Islam Family Takaful Sendirian Berhad</w:t>
            </w:r>
          </w:p>
          <w:p>
            <w:pPr>
              <w:spacing w:after="60"/>
            </w:pPr>
            <w:r>
              <w:rPr>
                <w:b w:val="0"/>
                <w:i w:val="0"/>
                <w:color w:val="6B6B6B"/>
                <w:sz w:val="20"/>
              </w:rPr>
              <w:t>Insurans Islam TAIB Holding (IITH) group</w:t>
            </w:r>
          </w:p>
          <w:p>
            <w:pPr>
              <w:spacing w:after="60"/>
            </w:pPr>
            <w:r>
              <w:rPr>
                <w:b w:val="0"/>
                <w:i w:val="0"/>
                <w:color w:val="6B6B6B"/>
                <w:sz w:val="20"/>
              </w:rPr>
              <w:t>Bandar Seri Begawan, Brunei Darussalam</w:t>
            </w:r>
          </w:p>
        </w:tc>
      </w:tr>
      <w:tr>
        <w:tc>
          <w:tcPr>
            <w:tcW w:type="dxa" w:w="1928"/>
          </w:tcPr>
          <w:p>
            <w:pPr>
              <w:spacing w:before="480"/>
            </w:pPr>
          </w:p>
        </w:tc>
        <w:tc>
          <w:tcPr>
            <w:tcW w:type="dxa" w:w="7710"/>
          </w:tcPr>
          <w:p>
            <w:pPr>
              <w:spacing w:before="480" w:after="60"/>
            </w:pPr>
            <w:r>
              <w:rPr>
                <w:b/>
                <w:i w:val="0"/>
                <w:color w:val="F58220"/>
                <w:sz w:val="18"/>
              </w:rPr>
              <w:t>SUBMITTED BY</w:t>
            </w:r>
          </w:p>
          <w:p>
            <w:pPr>
              <w:spacing w:after="60"/>
            </w:pPr>
            <w:r>
              <w:rPr>
                <w:b/>
                <w:i w:val="0"/>
                <w:color w:val="333333"/>
                <w:sz w:val="30"/>
              </w:rPr>
              <w:t>iorta TechNXT</w:t>
            </w:r>
          </w:p>
          <w:p>
            <w:pPr>
              <w:spacing w:after="60"/>
            </w:pPr>
            <w:r>
              <w:rPr>
                <w:b w:val="0"/>
                <w:i w:val="0"/>
                <w:color w:val="6B6B6B"/>
                <w:sz w:val="20"/>
              </w:rPr>
              <w:t>https://iortatechnxt.com</w:t>
            </w:r>
          </w:p>
        </w:tc>
      </w:tr>
    </w:tbl>
    <w:p>
      <w:pPr>
        <w:spacing w:after="0" w:before="0"/>
      </w:pPr>
      <w:r>
        <w:rPr>
          <w:sz w:val="60"/>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Submission 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Proposal reference no.</w:t>
            </w:r>
          </w:p>
        </w:tc>
        <w:tc>
          <w:tcPr>
            <w:tcW w:type="dxa" w:w="6803"/>
          </w:tcPr>
          <w:p>
            <w:pPr>
              <w:spacing w:after="20"/>
            </w:pPr>
            <w:r>
              <w:rPr>
                <w:b w:val="0"/>
                <w:i w:val="0"/>
                <w:sz w:val="18"/>
                <w:highlight w:val="yellow"/>
              </w:rPr>
              <w:t>[Proposal reference no.]</w:t>
            </w:r>
          </w:p>
        </w:tc>
      </w:tr>
      <w:tr>
        <w:trPr>
          <w:cantSplit/>
        </w:trPr>
        <w:tc>
          <w:tcPr>
            <w:tcW w:type="dxa" w:w="2835"/>
            <w:shd w:val="clear" w:color="auto" w:fill="FDF0F7"/>
          </w:tcPr>
          <w:p>
            <w:pPr>
              <w:spacing w:after="20"/>
            </w:pPr>
            <w:r>
              <w:rPr>
                <w:b/>
                <w:i w:val="0"/>
                <w:sz w:val="18"/>
              </w:rPr>
              <w:t>RFP reference</w:t>
            </w:r>
          </w:p>
        </w:tc>
        <w:tc>
          <w:tcPr>
            <w:tcW w:type="dxa" w:w="6803"/>
          </w:tcPr>
          <w:p>
            <w:pPr>
              <w:spacing w:after="20"/>
            </w:pPr>
            <w:r>
              <w:rPr>
                <w:b w:val="0"/>
                <w:i w:val="0"/>
                <w:sz w:val="18"/>
                <w:highlight w:val="yellow"/>
              </w:rPr>
              <w:t>[IIFT RFP / tender reference no.]</w:t>
            </w:r>
          </w:p>
        </w:tc>
      </w:tr>
      <w:tr>
        <w:trPr>
          <w:cantSplit/>
        </w:trPr>
        <w:tc>
          <w:tcPr>
            <w:tcW w:type="dxa" w:w="2835"/>
            <w:shd w:val="clear" w:color="auto" w:fill="FDF0F7"/>
          </w:tcPr>
          <w:p>
            <w:pPr>
              <w:spacing w:after="20"/>
            </w:pPr>
            <w:r>
              <w:rPr>
                <w:b/>
                <w:i w:val="0"/>
                <w:sz w:val="18"/>
              </w:rPr>
              <w:t>Document 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32"/>
        </w:rPr>
      </w:r>
    </w:p>
    <w:p>
      <w:pPr>
        <w:keepNext w:val="0"/>
      </w:pPr>
      <w:r>
        <w:rPr>
          <w:b w:val="0"/>
          <w:i/>
          <w:color w:val="6B6B6B"/>
          <w:sz w:val="16"/>
        </w:rPr>
        <w:t>Commercial-in-Confidence. This proposal contains confidential commercial information of iorta TechNXT and is submitted solely for the evaluation of the above RFP by Insurans Islam Family Takaful Sendirian Berhad. It may not be disclosed to third parties without prior written consent.</w:t>
      </w:r>
    </w:p>
    <w:p>
      <w:pPr>
        <w:pStyle w:val="Heading1"/>
        <w:pageBreakBefore/>
        <w:pBdr>
          <w:bottom w:val="single" w:sz="12" w:space="4" w:color="F58220"/>
        </w:pBdr>
      </w:pPr>
      <w:r>
        <w:t>Cover Letter</w:t>
      </w:r>
    </w:p>
    <w:p>
      <w:pPr>
        <w:keepNext w:val="0"/>
        <w:spacing w:after="0"/>
      </w:pPr>
      <w:r>
        <w:rPr>
          <w:b w:val="0"/>
          <w:i w:val="0"/>
          <w:highlight w:val="yellow"/>
        </w:rPr>
        <w:t>[Day]</w:t>
      </w:r>
      <w:r>
        <w:rPr>
          <w:b w:val="0"/>
          <w:i w:val="0"/>
        </w:rPr>
        <w:t xml:space="preserve"> October 2026</w:t>
      </w:r>
    </w:p>
    <w:p>
      <w:pPr>
        <w:keepNext w:val="0"/>
        <w:spacing w:after="0"/>
      </w:pPr>
      <w:r>
        <w:rPr>
          <w:b w:val="0"/>
          <w:i w:val="0"/>
        </w:rPr>
        <w:t xml:space="preserve">Our ref: </w:t>
      </w:r>
      <w:r>
        <w:rPr>
          <w:b w:val="0"/>
          <w:i w:val="0"/>
          <w:highlight w:val="yellow"/>
        </w:rPr>
        <w:t>[Proposal reference no.]</w:t>
      </w:r>
    </w:p>
    <w:p>
      <w:pPr>
        <w:keepNext w:val="0"/>
        <w:spacing w:after="120"/>
      </w:pPr>
      <w:r>
        <w:rPr>
          <w:b w:val="0"/>
          <w:i w:val="0"/>
        </w:rPr>
        <w:t xml:space="preserve">Your ref: </w:t>
      </w:r>
      <w:r>
        <w:rPr>
          <w:b w:val="0"/>
          <w:i w:val="0"/>
          <w:highlight w:val="yellow"/>
        </w:rPr>
        <w:t>[IIFT RFP / tender reference no.]</w:t>
      </w:r>
    </w:p>
    <w:p>
      <w:pPr>
        <w:keepNext w:val="0"/>
        <w:spacing w:after="0"/>
      </w:pPr>
      <w:r>
        <w:rPr>
          <w:b w:val="0"/>
          <w:i w:val="0"/>
        </w:rPr>
        <w:t>The Management</w:t>
      </w:r>
    </w:p>
    <w:p>
      <w:pPr>
        <w:keepNext w:val="0"/>
        <w:spacing w:after="0"/>
      </w:pPr>
      <w:r>
        <w:rPr>
          <w:b/>
          <w:i w:val="0"/>
        </w:rPr>
        <w:t>Insurans Islam Family Takaful Sendirian Berhad</w:t>
      </w:r>
    </w:p>
    <w:p>
      <w:pPr>
        <w:keepNext w:val="0"/>
        <w:spacing w:after="0"/>
      </w:pPr>
      <w:r>
        <w:rPr>
          <w:b w:val="0"/>
          <w:i w:val="0"/>
          <w:highlight w:val="yellow"/>
        </w:rPr>
        <w:t>[Street address]</w:t>
      </w:r>
    </w:p>
    <w:p>
      <w:pPr>
        <w:keepNext w:val="0"/>
        <w:spacing w:after="0"/>
      </w:pPr>
      <w:r>
        <w:rPr>
          <w:b w:val="0"/>
          <w:i w:val="0"/>
        </w:rPr>
        <w:t xml:space="preserve">Bandar Seri Begawan </w:t>
      </w:r>
      <w:r>
        <w:rPr>
          <w:b w:val="0"/>
          <w:i w:val="0"/>
          <w:highlight w:val="yellow"/>
        </w:rPr>
        <w:t>[Postcode]</w:t>
      </w:r>
    </w:p>
    <w:p>
      <w:pPr>
        <w:keepNext w:val="0"/>
        <w:spacing w:after="0"/>
      </w:pPr>
      <w:r>
        <w:rPr>
          <w:b w:val="0"/>
          <w:i w:val="0"/>
        </w:rPr>
        <w:t>Brunei Darussalam</w:t>
      </w:r>
    </w:p>
    <w:p>
      <w:pPr>
        <w:spacing w:after="0" w:before="0"/>
      </w:pPr>
      <w:r>
        <w:rPr>
          <w:sz w:val="8"/>
        </w:rPr>
      </w:r>
    </w:p>
    <w:p>
      <w:pPr>
        <w:keepNext w:val="0"/>
      </w:pPr>
      <w:r>
        <w:rPr>
          <w:b w:val="0"/>
          <w:i w:val="0"/>
        </w:rPr>
        <w:t>Dear Sir/Madam,</w:t>
      </w:r>
    </w:p>
    <w:p>
      <w:pPr>
        <w:keepNext w:val="0"/>
      </w:pPr>
      <w:r>
        <w:rPr>
          <w:b/>
          <w:i w:val="0"/>
        </w:rPr>
        <w:t>Re: Proposal for Agent/Banca Portal &amp; Back-office Solution</w:t>
      </w:r>
    </w:p>
    <w:p>
      <w:pPr>
        <w:keepNext w:val="0"/>
      </w:pPr>
      <w:r>
        <w:rPr>
          <w:b w:val="0"/>
          <w:i w:val="0"/>
        </w:rPr>
        <w:t>iorta TechNXT is pleased to submit its proposal for the Agent/Banca Portal and Back-office Solution. We offer to configure, integrate, test, deploy and support the solution, with training, documentation, a six-month warranty and five years of maintenance and support.</w:t>
      </w:r>
    </w:p>
    <w:p>
      <w:pPr>
        <w:keepNext w:val="0"/>
      </w:pPr>
      <w:r>
        <w:rPr>
          <w:b w:val="0"/>
          <w:i w:val="0"/>
        </w:rPr>
        <w:t>The solution is SalesVerse 2.0, iorta TechNXT's distribution platform for Takaful and insurance, configured for IIFT as the IIFT Agent/Banca Portal &amp; Back-office. A working version already runs the seven products in Appendix 3 of the RFP, the B$150,000 referral rule, the seven-day grace-period agency block, maker-checker approvals, AML watch-list screening, e-signature, e-Policy and e-Receipt issuance and the end-of-day FIN interface file. The remaining work (integration with IIFT's systems, IIFT's rates and templates, testing, migration and training) is set out in this proposal at a fixed fee. We offer two commercial models and one add-on:</w:t>
      </w:r>
    </w:p>
    <w:p>
      <w:pPr>
        <w:pStyle w:val="ListBullet"/>
      </w:pPr>
      <w:r>
        <w:rPr>
          <w:b/>
          <w:i w:val="0"/>
        </w:rPr>
        <w:t>Option A, on-premise perpetual licence (recommended):</w:t>
      </w:r>
      <w:r>
        <w:rPr>
          <w:b w:val="0"/>
          <w:i w:val="0"/>
        </w:rPr>
        <w:t xml:space="preserve"> one-time B$ 178,000 (licence B$ 48,000; implementation services B$ 130,000); annual maintenance B$ 31,350 in Year 1, being 22% of licence and customisation, +5% a year.</w:t>
      </w:r>
    </w:p>
    <w:p>
      <w:pPr>
        <w:pStyle w:val="ListBullet"/>
      </w:pPr>
      <w:r>
        <w:rPr>
          <w:b/>
          <w:i w:val="0"/>
        </w:rPr>
        <w:t>Option B, subscription hosted and managed by iorta on cloud:</w:t>
      </w:r>
      <w:r>
        <w:rPr>
          <w:b w:val="0"/>
          <w:i w:val="0"/>
        </w:rPr>
        <w:t xml:space="preserve"> one-time B$ 145,000 (implementation services B$ 130,000; cloud set-up B$ 15,000); subscription B$ 3,400 a month in Year 1, +5% a year, minimum term 60 months; managed services B$ 1,100 a month; cloud infrastructure recharged at cost.</w:t>
      </w:r>
    </w:p>
    <w:p>
      <w:pPr>
        <w:pStyle w:val="ListBullet"/>
      </w:pPr>
      <w:r>
        <w:rPr>
          <w:b/>
          <w:i w:val="0"/>
        </w:rPr>
        <w:t>Option C, source code handover:</w:t>
      </w:r>
      <w:r>
        <w:rPr>
          <w:b w:val="0"/>
          <w:i w:val="0"/>
        </w:rPr>
        <w:t xml:space="preserve"> the core platform source code after go-live and hypercare, with an 8-week knowledge transfer and transition plan, for B$ 88,000.</w:t>
      </w:r>
    </w:p>
    <w:p>
      <w:pPr>
        <w:pStyle w:val="ListBullet"/>
      </w:pPr>
      <w:r>
        <w:rPr>
          <w:b w:val="0"/>
          <w:i w:val="0"/>
        </w:rPr>
        <w:t>Fees are inclusive of withholding tax. Out-of-pocket expenses (estimated at B$ 31,440) and cloud infrastructure are recharged at cost as disbursements, and third-party and infrastructure charges, listed in the Bill of Materials, are excluded.</w:t>
      </w:r>
    </w:p>
    <w:p>
      <w:pPr>
        <w:pStyle w:val="ListBullet"/>
      </w:pPr>
      <w:r>
        <w:rPr>
          <w:b w:val="0"/>
          <w:i w:val="0"/>
        </w:rPr>
        <w:t xml:space="preserve">Go-live in </w:t>
      </w:r>
      <w:r>
        <w:rPr>
          <w:b/>
          <w:i w:val="0"/>
        </w:rPr>
        <w:t>week 24</w:t>
      </w:r>
      <w:r>
        <w:rPr>
          <w:b w:val="0"/>
          <w:i w:val="0"/>
        </w:rPr>
        <w:t>, then four weeks of hypercare.</w:t>
      </w:r>
    </w:p>
    <w:p>
      <w:pPr>
        <w:keepNext/>
      </w:pPr>
      <w:r>
        <w:rPr>
          <w:b w:val="0"/>
          <w:i w:val="0"/>
        </w:rPr>
        <w:t>The proposal contains the items requested in your invitation, in the order requested: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15" w:type="dxa"/>
          <w:left w:w="90" w:type="dxa"/>
          <w:bottom w:w="15" w:type="dxa"/>
          <w:right w:w="90" w:type="dxa"/>
        </w:tblCellMar>
        <w:tblLayout w:type="fixed"/>
      </w:tblPr>
      <w:tblGrid>
        <w:gridCol w:w="680"/>
        <w:gridCol w:w="4762"/>
        <w:gridCol w:w="4195"/>
      </w:tblGrid>
      <w:tr>
        <w:trPr>
          <w:cantSplit/>
          <w:tblHeader/>
        </w:trPr>
        <w:tc>
          <w:tcPr>
            <w:tcW w:type="dxa" w:w="680"/>
            <w:shd w:val="clear" w:color="auto" w:fill="E1058C"/>
            <w:vAlign w:val="center"/>
          </w:tcPr>
          <w:p>
            <w:pPr>
              <w:spacing w:after="0"/>
            </w:pPr>
            <w:r>
              <w:rPr>
                <w:b/>
                <w:i w:val="0"/>
                <w:color w:val="FFFFFF"/>
                <w:sz w:val="15"/>
              </w:rPr>
              <w:t>Item</w:t>
            </w:r>
          </w:p>
        </w:tc>
        <w:tc>
          <w:tcPr>
            <w:tcW w:type="dxa" w:w="4762"/>
            <w:shd w:val="clear" w:color="auto" w:fill="E1058C"/>
            <w:vAlign w:val="center"/>
          </w:tcPr>
          <w:p>
            <w:pPr>
              <w:spacing w:after="0"/>
            </w:pPr>
            <w:r>
              <w:rPr>
                <w:b/>
                <w:i w:val="0"/>
                <w:color w:val="FFFFFF"/>
                <w:sz w:val="15"/>
              </w:rPr>
              <w:t>Content</w:t>
            </w:r>
          </w:p>
        </w:tc>
        <w:tc>
          <w:tcPr>
            <w:tcW w:type="dxa" w:w="4195"/>
            <w:shd w:val="clear" w:color="auto" w:fill="E1058C"/>
            <w:vAlign w:val="center"/>
          </w:tcPr>
          <w:p>
            <w:pPr>
              <w:spacing w:after="0"/>
            </w:pPr>
            <w:r>
              <w:rPr>
                <w:b/>
                <w:i w:val="0"/>
                <w:color w:val="FFFFFF"/>
                <w:sz w:val="15"/>
              </w:rPr>
              <w:t>Where</w:t>
            </w:r>
          </w:p>
        </w:tc>
      </w:tr>
      <w:tr>
        <w:trPr>
          <w:cantSplit/>
        </w:trPr>
        <w:tc>
          <w:tcPr>
            <w:tcW w:type="dxa" w:w="680"/>
            <w:vAlign w:val="top"/>
          </w:tcPr>
          <w:p>
            <w:pPr>
              <w:spacing w:after="20" w:line="252" w:lineRule="auto"/>
            </w:pPr>
            <w:r>
              <w:rPr>
                <w:b w:val="0"/>
                <w:i w:val="0"/>
                <w:sz w:val="15"/>
              </w:rPr>
              <w:t>(a)</w:t>
            </w:r>
          </w:p>
        </w:tc>
        <w:tc>
          <w:tcPr>
            <w:tcW w:type="dxa" w:w="4762"/>
            <w:vAlign w:val="top"/>
          </w:tcPr>
          <w:p>
            <w:pPr>
              <w:spacing w:after="20" w:line="252" w:lineRule="auto"/>
            </w:pPr>
            <w:r>
              <w:rPr>
                <w:b w:val="0"/>
                <w:i w:val="0"/>
                <w:sz w:val="15"/>
              </w:rPr>
              <w:t>Cover letter</w:t>
            </w:r>
          </w:p>
        </w:tc>
        <w:tc>
          <w:tcPr>
            <w:tcW w:type="dxa" w:w="4195"/>
            <w:vAlign w:val="top"/>
          </w:tcPr>
          <w:p>
            <w:pPr>
              <w:spacing w:after="20" w:line="252" w:lineRule="auto"/>
            </w:pPr>
            <w:r>
              <w:rPr>
                <w:b w:val="0"/>
                <w:i w:val="0"/>
                <w:sz w:val="15"/>
              </w:rPr>
              <w:t>This letter</w:t>
            </w:r>
          </w:p>
        </w:tc>
      </w:tr>
      <w:tr>
        <w:trPr>
          <w:cantSplit/>
        </w:trPr>
        <w:tc>
          <w:tcPr>
            <w:tcW w:type="dxa" w:w="680"/>
            <w:vAlign w:val="top"/>
            <w:shd w:val="clear" w:color="auto" w:fill="FDF0F7"/>
          </w:tcPr>
          <w:p>
            <w:pPr>
              <w:spacing w:after="20" w:line="252" w:lineRule="auto"/>
            </w:pPr>
            <w:r>
              <w:rPr>
                <w:b w:val="0"/>
                <w:i w:val="0"/>
                <w:sz w:val="15"/>
              </w:rPr>
              <w:t>(b)</w:t>
            </w:r>
          </w:p>
        </w:tc>
        <w:tc>
          <w:tcPr>
            <w:tcW w:type="dxa" w:w="4762"/>
            <w:vAlign w:val="top"/>
            <w:shd w:val="clear" w:color="auto" w:fill="FDF0F7"/>
          </w:tcPr>
          <w:p>
            <w:pPr>
              <w:spacing w:after="20" w:line="252" w:lineRule="auto"/>
            </w:pPr>
            <w:r>
              <w:rPr>
                <w:b w:val="0"/>
                <w:i w:val="0"/>
                <w:sz w:val="15"/>
              </w:rPr>
              <w:t>Corporate profile and relevant experience</w:t>
            </w:r>
          </w:p>
        </w:tc>
        <w:tc>
          <w:tcPr>
            <w:tcW w:type="dxa" w:w="4195"/>
            <w:vAlign w:val="top"/>
            <w:shd w:val="clear" w:color="auto" w:fill="FDF0F7"/>
          </w:tcPr>
          <w:p>
            <w:pPr>
              <w:spacing w:after="20" w:line="252" w:lineRule="auto"/>
            </w:pPr>
            <w:r>
              <w:rPr>
                <w:b w:val="0"/>
                <w:i w:val="0"/>
                <w:sz w:val="15"/>
              </w:rPr>
              <w:t>Enclosure B, attached separately</w:t>
            </w:r>
          </w:p>
        </w:tc>
      </w:tr>
      <w:tr>
        <w:trPr>
          <w:cantSplit/>
        </w:trPr>
        <w:tc>
          <w:tcPr>
            <w:tcW w:type="dxa" w:w="680"/>
            <w:vAlign w:val="top"/>
          </w:tcPr>
          <w:p>
            <w:pPr>
              <w:spacing w:after="20" w:line="252" w:lineRule="auto"/>
            </w:pPr>
            <w:r>
              <w:rPr>
                <w:b w:val="0"/>
                <w:i w:val="0"/>
                <w:sz w:val="15"/>
              </w:rPr>
              <w:t>(c)</w:t>
            </w:r>
          </w:p>
        </w:tc>
        <w:tc>
          <w:tcPr>
            <w:tcW w:type="dxa" w:w="4762"/>
            <w:vAlign w:val="top"/>
          </w:tcPr>
          <w:p>
            <w:pPr>
              <w:spacing w:after="20" w:line="252" w:lineRule="auto"/>
            </w:pPr>
            <w:r>
              <w:rPr>
                <w:b w:val="0"/>
                <w:i w:val="0"/>
                <w:sz w:val="15"/>
              </w:rPr>
              <w:t>Business registration certificate</w:t>
            </w:r>
          </w:p>
        </w:tc>
        <w:tc>
          <w:tcPr>
            <w:tcW w:type="dxa" w:w="4195"/>
            <w:vAlign w:val="top"/>
          </w:tcPr>
          <w:p>
            <w:pPr>
              <w:spacing w:after="20" w:line="252" w:lineRule="auto"/>
            </w:pPr>
            <w:r>
              <w:rPr>
                <w:b w:val="0"/>
                <w:i w:val="0"/>
                <w:sz w:val="15"/>
              </w:rPr>
              <w:t>Enclosure C, attached separately</w:t>
            </w:r>
          </w:p>
        </w:tc>
      </w:tr>
      <w:tr>
        <w:trPr>
          <w:cantSplit/>
        </w:trPr>
        <w:tc>
          <w:tcPr>
            <w:tcW w:type="dxa" w:w="680"/>
            <w:vAlign w:val="top"/>
            <w:shd w:val="clear" w:color="auto" w:fill="FDF0F7"/>
          </w:tcPr>
          <w:p>
            <w:pPr>
              <w:spacing w:after="20" w:line="252" w:lineRule="auto"/>
            </w:pPr>
            <w:r>
              <w:rPr>
                <w:b w:val="0"/>
                <w:i w:val="0"/>
                <w:sz w:val="15"/>
              </w:rPr>
              <w:t>(d)</w:t>
            </w:r>
          </w:p>
        </w:tc>
        <w:tc>
          <w:tcPr>
            <w:tcW w:type="dxa" w:w="4762"/>
            <w:vAlign w:val="top"/>
            <w:shd w:val="clear" w:color="auto" w:fill="FDF0F7"/>
          </w:tcPr>
          <w:p>
            <w:pPr>
              <w:spacing w:after="20" w:line="252" w:lineRule="auto"/>
            </w:pPr>
            <w:r>
              <w:rPr>
                <w:b w:val="0"/>
                <w:i w:val="0"/>
                <w:sz w:val="15"/>
              </w:rPr>
              <w:t>Detailed scope of work and methodology</w:t>
            </w:r>
          </w:p>
        </w:tc>
        <w:tc>
          <w:tcPr>
            <w:tcW w:type="dxa" w:w="4195"/>
            <w:vAlign w:val="top"/>
            <w:shd w:val="clear" w:color="auto" w:fill="FDF0F7"/>
          </w:tcPr>
          <w:p>
            <w:pPr>
              <w:spacing w:after="20" w:line="252" w:lineRule="auto"/>
            </w:pPr>
            <w:r>
              <w:rPr>
                <w:b w:val="0"/>
                <w:i w:val="0"/>
                <w:sz w:val="15"/>
              </w:rPr>
              <w:t>Sections 5, 6 and 17</w:t>
            </w:r>
          </w:p>
        </w:tc>
      </w:tr>
      <w:tr>
        <w:trPr>
          <w:cantSplit/>
        </w:trPr>
        <w:tc>
          <w:tcPr>
            <w:tcW w:type="dxa" w:w="680"/>
            <w:vAlign w:val="top"/>
          </w:tcPr>
          <w:p>
            <w:pPr>
              <w:spacing w:after="20" w:line="252" w:lineRule="auto"/>
            </w:pPr>
            <w:r>
              <w:rPr>
                <w:b w:val="0"/>
                <w:i w:val="0"/>
                <w:sz w:val="15"/>
              </w:rPr>
              <w:t>(e)</w:t>
            </w:r>
          </w:p>
        </w:tc>
        <w:tc>
          <w:tcPr>
            <w:tcW w:type="dxa" w:w="4762"/>
            <w:vAlign w:val="top"/>
          </w:tcPr>
          <w:p>
            <w:pPr>
              <w:spacing w:after="20" w:line="252" w:lineRule="auto"/>
            </w:pPr>
            <w:r>
              <w:rPr>
                <w:b w:val="0"/>
                <w:i w:val="0"/>
                <w:sz w:val="15"/>
              </w:rPr>
              <w:t>Detailed fee and pricing structure, stating WHT, OPE and third-party charges</w:t>
            </w:r>
          </w:p>
        </w:tc>
        <w:tc>
          <w:tcPr>
            <w:tcW w:type="dxa" w:w="4195"/>
            <w:vAlign w:val="top"/>
          </w:tcPr>
          <w:p>
            <w:pPr>
              <w:spacing w:after="20" w:line="252" w:lineRule="auto"/>
            </w:pPr>
            <w:r>
              <w:rPr>
                <w:b w:val="0"/>
                <w:i w:val="0"/>
                <w:sz w:val="15"/>
              </w:rPr>
              <w:t>Section 19 and the pricing workbook</w:t>
            </w:r>
          </w:p>
        </w:tc>
      </w:tr>
      <w:tr>
        <w:trPr>
          <w:cantSplit/>
        </w:trPr>
        <w:tc>
          <w:tcPr>
            <w:tcW w:type="dxa" w:w="680"/>
            <w:vAlign w:val="top"/>
            <w:shd w:val="clear" w:color="auto" w:fill="FDF0F7"/>
          </w:tcPr>
          <w:p>
            <w:pPr>
              <w:spacing w:after="20" w:line="252" w:lineRule="auto"/>
            </w:pPr>
            <w:r>
              <w:rPr>
                <w:b w:val="0"/>
                <w:i w:val="0"/>
                <w:sz w:val="15"/>
              </w:rPr>
              <w:t>(f)</w:t>
            </w:r>
          </w:p>
        </w:tc>
        <w:tc>
          <w:tcPr>
            <w:tcW w:type="dxa" w:w="4762"/>
            <w:vAlign w:val="top"/>
            <w:shd w:val="clear" w:color="auto" w:fill="FDF0F7"/>
          </w:tcPr>
          <w:p>
            <w:pPr>
              <w:spacing w:after="20" w:line="252" w:lineRule="auto"/>
            </w:pPr>
            <w:r>
              <w:rPr>
                <w:b w:val="0"/>
                <w:i w:val="0"/>
                <w:sz w:val="15"/>
              </w:rPr>
              <w:t>Delivery and implementation timeline with key milestones</w:t>
            </w:r>
          </w:p>
        </w:tc>
        <w:tc>
          <w:tcPr>
            <w:tcW w:type="dxa" w:w="4195"/>
            <w:vAlign w:val="top"/>
            <w:shd w:val="clear" w:color="auto" w:fill="FDF0F7"/>
          </w:tcPr>
          <w:p>
            <w:pPr>
              <w:spacing w:after="20" w:line="252" w:lineRule="auto"/>
            </w:pPr>
            <w:r>
              <w:rPr>
                <w:b w:val="0"/>
                <w:i w:val="0"/>
                <w:sz w:val="15"/>
              </w:rPr>
              <w:t>Section 18</w:t>
            </w:r>
          </w:p>
        </w:tc>
      </w:tr>
      <w:tr>
        <w:trPr>
          <w:cantSplit/>
        </w:trPr>
        <w:tc>
          <w:tcPr>
            <w:tcW w:type="dxa" w:w="680"/>
            <w:vAlign w:val="top"/>
          </w:tcPr>
          <w:p>
            <w:pPr>
              <w:spacing w:after="20" w:line="252" w:lineRule="auto"/>
            </w:pPr>
            <w:r>
              <w:rPr>
                <w:b w:val="0"/>
                <w:i w:val="0"/>
                <w:sz w:val="15"/>
              </w:rPr>
              <w:t>(g)</w:t>
            </w:r>
          </w:p>
        </w:tc>
        <w:tc>
          <w:tcPr>
            <w:tcW w:type="dxa" w:w="4762"/>
            <w:vAlign w:val="top"/>
          </w:tcPr>
          <w:p>
            <w:pPr>
              <w:spacing w:after="20" w:line="252" w:lineRule="auto"/>
            </w:pPr>
            <w:r>
              <w:rPr>
                <w:b w:val="0"/>
                <w:i w:val="0"/>
                <w:sz w:val="15"/>
              </w:rPr>
              <w:t>Quotation validity period</w:t>
            </w:r>
          </w:p>
        </w:tc>
        <w:tc>
          <w:tcPr>
            <w:tcW w:type="dxa" w:w="4195"/>
            <w:vAlign w:val="top"/>
          </w:tcPr>
          <w:p>
            <w:pPr>
              <w:spacing w:after="20" w:line="252" w:lineRule="auto"/>
            </w:pPr>
            <w:r>
              <w:rPr>
                <w:b w:val="0"/>
                <w:i w:val="0"/>
                <w:sz w:val="15"/>
              </w:rPr>
              <w:t>Section 24: 90 days</w:t>
            </w:r>
          </w:p>
        </w:tc>
      </w:tr>
      <w:tr>
        <w:trPr>
          <w:cantSplit/>
        </w:trPr>
        <w:tc>
          <w:tcPr>
            <w:tcW w:type="dxa" w:w="680"/>
            <w:vAlign w:val="top"/>
            <w:shd w:val="clear" w:color="auto" w:fill="FDF0F7"/>
          </w:tcPr>
          <w:p>
            <w:pPr>
              <w:spacing w:after="20" w:line="252" w:lineRule="auto"/>
            </w:pPr>
            <w:r>
              <w:rPr>
                <w:b w:val="0"/>
                <w:i w:val="0"/>
                <w:sz w:val="15"/>
              </w:rPr>
              <w:t>(h)</w:t>
            </w:r>
          </w:p>
        </w:tc>
        <w:tc>
          <w:tcPr>
            <w:tcW w:type="dxa" w:w="4762"/>
            <w:vAlign w:val="top"/>
            <w:shd w:val="clear" w:color="auto" w:fill="FDF0F7"/>
          </w:tcPr>
          <w:p>
            <w:pPr>
              <w:spacing w:after="20" w:line="252" w:lineRule="auto"/>
            </w:pPr>
            <w:r>
              <w:rPr>
                <w:b w:val="0"/>
                <w:i w:val="0"/>
                <w:sz w:val="15"/>
              </w:rPr>
              <w:t>Other supporting information</w:t>
            </w:r>
          </w:p>
        </w:tc>
        <w:tc>
          <w:tcPr>
            <w:tcW w:type="dxa" w:w="4195"/>
            <w:vAlign w:val="top"/>
            <w:shd w:val="clear" w:color="auto" w:fill="FDF0F7"/>
          </w:tcPr>
          <w:p>
            <w:pPr>
              <w:spacing w:after="20" w:line="252" w:lineRule="auto"/>
            </w:pPr>
            <w:r>
              <w:rPr>
                <w:b w:val="0"/>
                <w:i w:val="0"/>
                <w:sz w:val="15"/>
              </w:rPr>
              <w:t>Sections 7 to 11, 16 and 25; technical documents</w:t>
            </w:r>
          </w:p>
        </w:tc>
      </w:tr>
      <w:tr>
        <w:trPr>
          <w:cantSplit/>
        </w:trPr>
        <w:tc>
          <w:tcPr>
            <w:tcW w:type="dxa" w:w="680"/>
            <w:vAlign w:val="top"/>
          </w:tcPr>
          <w:p>
            <w:pPr>
              <w:spacing w:after="20" w:line="252" w:lineRule="auto"/>
            </w:pPr>
            <w:r>
              <w:rPr>
                <w:b w:val="0"/>
                <w:i w:val="0"/>
                <w:sz w:val="15"/>
              </w:rPr>
              <w:t>(i)</w:t>
            </w:r>
          </w:p>
        </w:tc>
        <w:tc>
          <w:tcPr>
            <w:tcW w:type="dxa" w:w="4762"/>
            <w:vAlign w:val="top"/>
          </w:tcPr>
          <w:p>
            <w:pPr>
              <w:spacing w:after="20" w:line="252" w:lineRule="auto"/>
            </w:pPr>
            <w:r>
              <w:rPr>
                <w:b w:val="0"/>
                <w:i w:val="0"/>
                <w:sz w:val="15"/>
              </w:rPr>
              <w:t>Terms and conditions</w:t>
            </w:r>
          </w:p>
        </w:tc>
        <w:tc>
          <w:tcPr>
            <w:tcW w:type="dxa" w:w="4195"/>
            <w:vAlign w:val="top"/>
          </w:tcPr>
          <w:p>
            <w:pPr>
              <w:spacing w:after="20" w:line="252" w:lineRule="auto"/>
            </w:pPr>
            <w:r>
              <w:rPr>
                <w:b w:val="0"/>
                <w:i w:val="0"/>
                <w:sz w:val="15"/>
              </w:rPr>
              <w:t>Section 26</w:t>
            </w:r>
          </w:p>
        </w:tc>
      </w:tr>
    </w:tbl>
    <w:p>
      <w:pPr>
        <w:spacing w:after="0" w:before="0"/>
      </w:pPr>
      <w:r>
        <w:rPr>
          <w:sz w:val="8"/>
        </w:rPr>
      </w:r>
    </w:p>
    <w:p>
      <w:pPr>
        <w:keepNext w:val="0"/>
      </w:pPr>
      <w:r>
        <w:rPr>
          <w:b w:val="0"/>
          <w:i w:val="0"/>
        </w:rPr>
        <w:t xml:space="preserve">We confirm that this proposal follows the RFP and would welcome the opportunity to demonstrate the working application. For clarification, please contact </w:t>
      </w:r>
      <w:r>
        <w:rPr>
          <w:b w:val="0"/>
          <w:i w:val="0"/>
          <w:highlight w:val="yellow"/>
        </w:rPr>
        <w:t>[Name of contact person]</w:t>
      </w:r>
      <w:r>
        <w:rPr>
          <w:b w:val="0"/>
          <w:i w:val="0"/>
        </w:rPr>
        <w:t xml:space="preserve">, </w:t>
      </w:r>
      <w:r>
        <w:rPr>
          <w:b w:val="0"/>
          <w:i w:val="0"/>
          <w:highlight w:val="yellow"/>
        </w:rPr>
        <w:t>[Designation]</w:t>
      </w:r>
      <w:r>
        <w:rPr>
          <w:b w:val="0"/>
          <w:i w:val="0"/>
        </w:rPr>
        <w:t xml:space="preserve">, at </w:t>
      </w:r>
      <w:r>
        <w:rPr>
          <w:b w:val="0"/>
          <w:i w:val="0"/>
          <w:highlight w:val="yellow"/>
        </w:rPr>
        <w:t>[e-mail address]</w:t>
      </w:r>
      <w:r>
        <w:rPr>
          <w:b w:val="0"/>
          <w:i w:val="0"/>
        </w:rPr>
        <w:t xml:space="preserve"> or </w:t>
      </w:r>
      <w:r>
        <w:rPr>
          <w:b w:val="0"/>
          <w:i w:val="0"/>
          <w:highlight w:val="yellow"/>
        </w:rPr>
        <w:t>[telephone number]</w:t>
      </w:r>
      <w:r>
        <w:rPr>
          <w:b w:val="0"/>
          <w:i w:val="0"/>
        </w:rPr>
        <w:t>.</w:t>
      </w:r>
    </w:p>
    <w:p>
      <w:pPr>
        <w:keepNext w:val="0"/>
      </w:pPr>
      <w:r>
        <w:rPr>
          <w:b w:val="0"/>
          <w:i w:val="0"/>
        </w:rPr>
        <w:t>Yours faithfully,</w:t>
      </w:r>
    </w:p>
    <w:p>
      <w:pPr>
        <w:spacing w:after="0" w:before="0"/>
      </w:pPr>
      <w:r>
        <w:rPr>
          <w:sz w:val="4"/>
        </w:rPr>
      </w:r>
    </w:p>
    <w:p>
      <w:pPr>
        <w:keepNext w:val="0"/>
        <w:spacing w:after="0"/>
      </w:pPr>
      <w:r>
        <w:rPr>
          <w:b w:val="0"/>
          <w:i w:val="0"/>
        </w:rPr>
        <w:t>______________________________</w:t>
      </w:r>
    </w:p>
    <w:p>
      <w:pPr>
        <w:keepNext w:val="0"/>
        <w:spacing w:after="0"/>
      </w:pPr>
      <w:r>
        <w:rPr>
          <w:b w:val="0"/>
          <w:i w:val="0"/>
          <w:highlight w:val="yellow"/>
        </w:rPr>
        <w:t>[Name of authorised signatory]</w:t>
      </w:r>
    </w:p>
    <w:p>
      <w:pPr>
        <w:keepNext w:val="0"/>
        <w:spacing w:after="0"/>
      </w:pPr>
      <w:r>
        <w:rPr>
          <w:b w:val="0"/>
          <w:i w:val="0"/>
          <w:highlight w:val="yellow"/>
        </w:rPr>
        <w:t>[Designation]</w:t>
      </w:r>
    </w:p>
    <w:p>
      <w:pPr>
        <w:keepNext w:val="0"/>
        <w:spacing w:after="0"/>
      </w:pPr>
      <w:r>
        <w:rPr>
          <w:b w:val="0"/>
          <w:i w:val="0"/>
        </w:rPr>
        <w:t xml:space="preserve">For and on behalf of </w:t>
      </w:r>
      <w:r>
        <w:rPr>
          <w:b/>
          <w:i w:val="0"/>
        </w:rPr>
        <w:t>iorta TechNXT</w:t>
      </w:r>
    </w:p>
    <w:p>
      <w:pPr>
        <w:keepNext w:val="0"/>
        <w:spacing w:after="0"/>
      </w:pPr>
      <w:r>
        <w:rPr>
          <w:b w:val="0"/>
          <w:i w:val="0"/>
          <w:highlight w:val="yellow"/>
        </w:rPr>
        <w:t>[Company stamp]</w:t>
      </w:r>
    </w:p>
    <w:p>
      <w:pPr>
        <w:pStyle w:val="Heading1"/>
        <w:pageBreakBefore/>
        <w:pBdr>
          <w:bottom w:val="single" w:sz="12" w:space="4" w:color="F58220"/>
        </w:pBdr>
      </w:pPr>
      <w:r>
        <w:t>Document Control</w:t>
      </w:r>
    </w:p>
    <w:p>
      <w:pPr>
        <w:pStyle w:val="Heading3"/>
      </w:pPr>
      <w:r>
        <w:t>Version history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247"/>
        <w:gridCol w:w="1871"/>
        <w:gridCol w:w="2268"/>
        <w:gridCol w:w="4252"/>
      </w:tblGrid>
      <w:tr>
        <w:trPr>
          <w:cantSplit/>
          <w:tblHeader/>
        </w:trPr>
        <w:tc>
          <w:tcPr>
            <w:tcW w:type="dxa" w:w="1247"/>
            <w:shd w:val="clear" w:color="auto" w:fill="E1058C"/>
            <w:vAlign w:val="center"/>
          </w:tcPr>
          <w:p>
            <w:pPr>
              <w:spacing w:after="0"/>
            </w:pPr>
            <w:r>
              <w:rPr>
                <w:b/>
                <w:i w:val="0"/>
                <w:color w:val="FFFFFF"/>
                <w:sz w:val="17"/>
              </w:rPr>
              <w:t>Version</w:t>
            </w:r>
          </w:p>
        </w:tc>
        <w:tc>
          <w:tcPr>
            <w:tcW w:type="dxa" w:w="1871"/>
            <w:shd w:val="clear" w:color="auto" w:fill="E1058C"/>
            <w:vAlign w:val="center"/>
          </w:tcPr>
          <w:p>
            <w:pPr>
              <w:spacing w:after="0"/>
            </w:pPr>
            <w:r>
              <w:rPr>
                <w:b/>
                <w:i w:val="0"/>
                <w:color w:val="FFFFFF"/>
                <w:sz w:val="17"/>
              </w:rPr>
              <w:t>Date</w:t>
            </w:r>
          </w:p>
        </w:tc>
        <w:tc>
          <w:tcPr>
            <w:tcW w:type="dxa" w:w="2268"/>
            <w:shd w:val="clear" w:color="auto" w:fill="E1058C"/>
            <w:vAlign w:val="center"/>
          </w:tcPr>
          <w:p>
            <w:pPr>
              <w:spacing w:after="0"/>
            </w:pPr>
            <w:r>
              <w:rPr>
                <w:b/>
                <w:i w:val="0"/>
                <w:color w:val="FFFFFF"/>
                <w:sz w:val="17"/>
              </w:rPr>
              <w:t>Author</w:t>
            </w:r>
          </w:p>
        </w:tc>
        <w:tc>
          <w:tcPr>
            <w:tcW w:type="dxa" w:w="4252"/>
            <w:shd w:val="clear" w:color="auto" w:fill="E1058C"/>
            <w:vAlign w:val="center"/>
          </w:tcPr>
          <w:p>
            <w:pPr>
              <w:spacing w:after="0"/>
            </w:pPr>
            <w:r>
              <w:rPr>
                <w:b/>
                <w:i w:val="0"/>
                <w:color w:val="FFFFFF"/>
                <w:sz w:val="17"/>
              </w:rPr>
              <w:t>Description</w:t>
            </w:r>
          </w:p>
        </w:tc>
      </w:tr>
      <w:tr>
        <w:trPr>
          <w:cantSplit/>
        </w:trPr>
        <w:tc>
          <w:tcPr>
            <w:tcW w:type="dxa" w:w="1247"/>
            <w:vAlign w:val="top"/>
          </w:tcPr>
          <w:p>
            <w:pPr>
              <w:spacing w:after="20" w:line="252" w:lineRule="auto"/>
            </w:pPr>
            <w:r>
              <w:rPr>
                <w:b w:val="0"/>
                <w:i w:val="0"/>
                <w:sz w:val="17"/>
              </w:rPr>
              <w:t>0.9</w:t>
            </w:r>
          </w:p>
        </w:tc>
        <w:tc>
          <w:tcPr>
            <w:tcW w:type="dxa" w:w="1871"/>
            <w:vAlign w:val="top"/>
          </w:tcPr>
          <w:p>
            <w:pPr>
              <w:spacing w:after="20" w:line="252" w:lineRule="auto"/>
            </w:pPr>
            <w:r>
              <w:rPr>
                <w:b w:val="0"/>
                <w:i w:val="0"/>
                <w:sz w:val="17"/>
                <w:highlight w:val="yellow"/>
              </w:rPr>
              <w:t>[Date]</w:t>
            </w:r>
          </w:p>
        </w:tc>
        <w:tc>
          <w:tcPr>
            <w:tcW w:type="dxa" w:w="2268"/>
            <w:vAlign w:val="top"/>
          </w:tcPr>
          <w:p>
            <w:pPr>
              <w:spacing w:after="20" w:line="252" w:lineRule="auto"/>
            </w:pPr>
            <w:r>
              <w:rPr>
                <w:b w:val="0"/>
                <w:i w:val="0"/>
                <w:sz w:val="17"/>
              </w:rPr>
              <w:t>iorta TechNXT</w:t>
            </w:r>
          </w:p>
        </w:tc>
        <w:tc>
          <w:tcPr>
            <w:tcW w:type="dxa" w:w="4252"/>
            <w:vAlign w:val="top"/>
          </w:tcPr>
          <w:p>
            <w:pPr>
              <w:spacing w:after="20" w:line="252" w:lineRule="auto"/>
            </w:pPr>
            <w:r>
              <w:rPr>
                <w:b w:val="0"/>
                <w:i w:val="0"/>
                <w:sz w:val="17"/>
              </w:rPr>
              <w:t>Internal review draft</w:t>
            </w:r>
          </w:p>
        </w:tc>
      </w:tr>
      <w:tr>
        <w:trPr>
          <w:cantSplit/>
        </w:trPr>
        <w:tc>
          <w:tcPr>
            <w:tcW w:type="dxa" w:w="1247"/>
            <w:vAlign w:val="top"/>
            <w:shd w:val="clear" w:color="auto" w:fill="FDF0F7"/>
          </w:tcPr>
          <w:p>
            <w:pPr>
              <w:spacing w:after="20" w:line="252" w:lineRule="auto"/>
            </w:pPr>
            <w:r>
              <w:rPr>
                <w:b w:val="0"/>
                <w:i w:val="0"/>
                <w:sz w:val="17"/>
              </w:rPr>
              <w:t>1.0</w:t>
            </w:r>
          </w:p>
        </w:tc>
        <w:tc>
          <w:tcPr>
            <w:tcW w:type="dxa" w:w="1871"/>
            <w:vAlign w:val="top"/>
            <w:shd w:val="clear" w:color="auto" w:fill="FDF0F7"/>
          </w:tcPr>
          <w:p>
            <w:pPr>
              <w:spacing w:after="20" w:line="252" w:lineRule="auto"/>
            </w:pPr>
            <w:r>
              <w:rPr>
                <w:b w:val="0"/>
                <w:i w:val="0"/>
                <w:sz w:val="17"/>
              </w:rPr>
              <w:t>October 2026</w:t>
            </w:r>
          </w:p>
        </w:tc>
        <w:tc>
          <w:tcPr>
            <w:tcW w:type="dxa" w:w="2268"/>
            <w:vAlign w:val="top"/>
            <w:shd w:val="clear" w:color="auto" w:fill="FDF0F7"/>
          </w:tcPr>
          <w:p>
            <w:pPr>
              <w:spacing w:after="20" w:line="252" w:lineRule="auto"/>
            </w:pPr>
            <w:r>
              <w:rPr>
                <w:b w:val="0"/>
                <w:i w:val="0"/>
                <w:sz w:val="17"/>
              </w:rPr>
              <w:t>iorta TechNXT</w:t>
            </w:r>
          </w:p>
        </w:tc>
        <w:tc>
          <w:tcPr>
            <w:tcW w:type="dxa" w:w="4252"/>
            <w:vAlign w:val="top"/>
            <w:shd w:val="clear" w:color="auto" w:fill="FDF0F7"/>
          </w:tcPr>
          <w:p>
            <w:pPr>
              <w:spacing w:after="20" w:line="252" w:lineRule="auto"/>
            </w:pPr>
            <w:r>
              <w:rPr>
                <w:b w:val="0"/>
                <w:i w:val="0"/>
                <w:sz w:val="17"/>
              </w:rPr>
              <w:t>Submission version</w:t>
            </w:r>
          </w:p>
        </w:tc>
      </w:tr>
    </w:tbl>
    <w:p>
      <w:pPr>
        <w:spacing w:after="0" w:before="0"/>
      </w:pPr>
      <w:r>
        <w:rPr>
          <w:sz w:val="8"/>
        </w:rPr>
      </w:r>
    </w:p>
    <w:p>
      <w:pPr>
        <w:pStyle w:val="Heading3"/>
      </w:pPr>
      <w:r>
        <w:t>Review and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3402"/>
        <w:gridCol w:w="2835"/>
      </w:tblGrid>
      <w:tr>
        <w:trPr>
          <w:cantSplit/>
          <w:tblHeader/>
        </w:trPr>
        <w:tc>
          <w:tcPr>
            <w:tcW w:type="dxa" w:w="3402"/>
            <w:shd w:val="clear" w:color="auto" w:fill="E1058C"/>
            <w:vAlign w:val="center"/>
          </w:tcPr>
          <w:p>
            <w:pPr>
              <w:spacing w:after="0"/>
            </w:pPr>
            <w:r>
              <w:rPr>
                <w:b/>
                <w:i w:val="0"/>
                <w:color w:val="FFFFFF"/>
                <w:sz w:val="17"/>
              </w:rPr>
              <w:t>Role</w:t>
            </w:r>
          </w:p>
        </w:tc>
        <w:tc>
          <w:tcPr>
            <w:tcW w:type="dxa" w:w="3402"/>
            <w:shd w:val="clear" w:color="auto" w:fill="E1058C"/>
            <w:vAlign w:val="center"/>
          </w:tcPr>
          <w:p>
            <w:pPr>
              <w:spacing w:after="0"/>
            </w:pPr>
            <w:r>
              <w:rPr>
                <w:b/>
                <w:i w:val="0"/>
                <w:color w:val="FFFFFF"/>
                <w:sz w:val="17"/>
              </w:rPr>
              <w:t>Name</w:t>
            </w:r>
          </w:p>
        </w:tc>
        <w:tc>
          <w:tcPr>
            <w:tcW w:type="dxa" w:w="2835"/>
            <w:shd w:val="clear" w:color="auto" w:fill="E1058C"/>
            <w:vAlign w:val="center"/>
          </w:tcPr>
          <w:p>
            <w:pPr>
              <w:spacing w:after="0"/>
            </w:pPr>
            <w:r>
              <w:rPr>
                <w:b/>
                <w:i w:val="0"/>
                <w:color w:val="FFFFFF"/>
                <w:sz w:val="17"/>
              </w:rPr>
              <w:t>Signature / date</w:t>
            </w:r>
          </w:p>
        </w:tc>
      </w:tr>
      <w:tr>
        <w:trPr>
          <w:cantSplit/>
        </w:trPr>
        <w:tc>
          <w:tcPr>
            <w:tcW w:type="dxa" w:w="3402"/>
            <w:vAlign w:val="top"/>
          </w:tcPr>
          <w:p>
            <w:pPr>
              <w:spacing w:after="20" w:line="252" w:lineRule="auto"/>
            </w:pPr>
            <w:r>
              <w:rPr>
                <w:b w:val="0"/>
                <w:i w:val="0"/>
                <w:sz w:val="17"/>
              </w:rPr>
              <w:t>Prepared by (Bid Manager)</w:t>
            </w:r>
          </w:p>
        </w:tc>
        <w:tc>
          <w:tcPr>
            <w:tcW w:type="dxa" w:w="3402"/>
            <w:vAlign w:val="top"/>
          </w:tcPr>
          <w:p>
            <w:pPr>
              <w:spacing w:after="20" w:line="252" w:lineRule="auto"/>
            </w:pPr>
            <w:r>
              <w:rPr>
                <w:b w:val="0"/>
                <w:i w:val="0"/>
                <w:sz w:val="17"/>
                <w:highlight w:val="yellow"/>
              </w:rPr>
              <w:t>[Name]</w:t>
            </w:r>
          </w:p>
        </w:tc>
        <w:tc>
          <w:tcPr>
            <w:tcW w:type="dxa" w:w="2835"/>
            <w:vAlign w:val="top"/>
          </w:tcPr>
          <w:p>
            <w:pPr>
              <w:spacing w:after="20" w:line="252" w:lineRule="auto"/>
            </w:pPr>
          </w:p>
        </w:tc>
      </w:tr>
      <w:tr>
        <w:trPr>
          <w:cantSplit/>
        </w:trPr>
        <w:tc>
          <w:tcPr>
            <w:tcW w:type="dxa" w:w="3402"/>
            <w:vAlign w:val="top"/>
            <w:shd w:val="clear" w:color="auto" w:fill="FDF0F7"/>
          </w:tcPr>
          <w:p>
            <w:pPr>
              <w:spacing w:after="20" w:line="252" w:lineRule="auto"/>
            </w:pPr>
            <w:r>
              <w:rPr>
                <w:b w:val="0"/>
                <w:i w:val="0"/>
                <w:sz w:val="17"/>
              </w:rPr>
              <w:t>Reviewed by (Solution Architect)</w:t>
            </w:r>
          </w:p>
        </w:tc>
        <w:tc>
          <w:tcPr>
            <w:tcW w:type="dxa" w:w="3402"/>
            <w:vAlign w:val="top"/>
            <w:shd w:val="clear" w:color="auto" w:fill="FDF0F7"/>
          </w:tcPr>
          <w:p>
            <w:pPr>
              <w:spacing w:after="20" w:line="252" w:lineRule="auto"/>
            </w:pPr>
            <w:r>
              <w:rPr>
                <w:b w:val="0"/>
                <w:i w:val="0"/>
                <w:sz w:val="17"/>
                <w:highlight w:val="yellow"/>
              </w:rPr>
              <w:t>[Name]</w:t>
            </w:r>
          </w:p>
        </w:tc>
        <w:tc>
          <w:tcPr>
            <w:tcW w:type="dxa" w:w="2835"/>
            <w:vAlign w:val="top"/>
            <w:shd w:val="clear" w:color="auto" w:fill="FDF0F7"/>
          </w:tcPr>
          <w:p>
            <w:pPr>
              <w:spacing w:after="20" w:line="252" w:lineRule="auto"/>
            </w:pPr>
          </w:p>
        </w:tc>
      </w:tr>
      <w:tr>
        <w:trPr>
          <w:cantSplit/>
        </w:trPr>
        <w:tc>
          <w:tcPr>
            <w:tcW w:type="dxa" w:w="3402"/>
            <w:vAlign w:val="top"/>
          </w:tcPr>
          <w:p>
            <w:pPr>
              <w:spacing w:after="20" w:line="252" w:lineRule="auto"/>
            </w:pPr>
            <w:r>
              <w:rPr>
                <w:b w:val="0"/>
                <w:i w:val="0"/>
                <w:sz w:val="17"/>
              </w:rPr>
              <w:t>Approved by (Authorised Signatory)</w:t>
            </w:r>
          </w:p>
        </w:tc>
        <w:tc>
          <w:tcPr>
            <w:tcW w:type="dxa" w:w="3402"/>
            <w:vAlign w:val="top"/>
          </w:tcPr>
          <w:p>
            <w:pPr>
              <w:spacing w:after="20" w:line="252" w:lineRule="auto"/>
            </w:pPr>
            <w:r>
              <w:rPr>
                <w:b w:val="0"/>
                <w:i w:val="0"/>
                <w:sz w:val="17"/>
                <w:highlight w:val="yellow"/>
              </w:rPr>
              <w:t>[Name, designation]</w:t>
            </w:r>
          </w:p>
        </w:tc>
        <w:tc>
          <w:tcPr>
            <w:tcW w:type="dxa" w:w="2835"/>
            <w:vAlign w:val="top"/>
          </w:tcPr>
          <w:p>
            <w:pPr>
              <w:spacing w:after="20" w:line="252" w:lineRule="auto"/>
            </w:pPr>
          </w:p>
        </w:tc>
      </w:tr>
    </w:tbl>
    <w:p>
      <w:pPr>
        <w:spacing w:after="0" w:before="0"/>
      </w:pPr>
      <w:r>
        <w:rPr>
          <w:sz w:val="8"/>
        </w:rPr>
      </w:r>
    </w:p>
    <w:p>
      <w:pPr>
        <w:pStyle w:val="Heading3"/>
      </w:pPr>
      <w:r>
        <w:t>Distribution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3402"/>
        <w:gridCol w:w="2835"/>
      </w:tblGrid>
      <w:tr>
        <w:trPr>
          <w:cantSplit/>
          <w:tblHeader/>
        </w:trPr>
        <w:tc>
          <w:tcPr>
            <w:tcW w:type="dxa" w:w="3402"/>
            <w:shd w:val="clear" w:color="auto" w:fill="E1058C"/>
            <w:vAlign w:val="center"/>
          </w:tcPr>
          <w:p>
            <w:pPr>
              <w:spacing w:after="0"/>
            </w:pPr>
            <w:r>
              <w:rPr>
                <w:b/>
                <w:i w:val="0"/>
                <w:color w:val="FFFFFF"/>
                <w:sz w:val="17"/>
              </w:rPr>
              <w:t>Recipient</w:t>
            </w:r>
          </w:p>
        </w:tc>
        <w:tc>
          <w:tcPr>
            <w:tcW w:type="dxa" w:w="3402"/>
            <w:shd w:val="clear" w:color="auto" w:fill="E1058C"/>
            <w:vAlign w:val="center"/>
          </w:tcPr>
          <w:p>
            <w:pPr>
              <w:spacing w:after="0"/>
            </w:pPr>
            <w:r>
              <w:rPr>
                <w:b/>
                <w:i w:val="0"/>
                <w:color w:val="FFFFFF"/>
                <w:sz w:val="17"/>
              </w:rPr>
              <w:t>Organisation</w:t>
            </w:r>
          </w:p>
        </w:tc>
        <w:tc>
          <w:tcPr>
            <w:tcW w:type="dxa" w:w="2835"/>
            <w:shd w:val="clear" w:color="auto" w:fill="E1058C"/>
            <w:vAlign w:val="center"/>
          </w:tcPr>
          <w:p>
            <w:pPr>
              <w:spacing w:after="0"/>
            </w:pPr>
            <w:r>
              <w:rPr>
                <w:b/>
                <w:i w:val="0"/>
                <w:color w:val="FFFFFF"/>
                <w:sz w:val="17"/>
              </w:rPr>
              <w:t>Format</w:t>
            </w:r>
          </w:p>
        </w:tc>
      </w:tr>
      <w:tr>
        <w:trPr>
          <w:cantSplit/>
        </w:trPr>
        <w:tc>
          <w:tcPr>
            <w:tcW w:type="dxa" w:w="3402"/>
            <w:vAlign w:val="top"/>
          </w:tcPr>
          <w:p>
            <w:pPr>
              <w:spacing w:after="20" w:line="252" w:lineRule="auto"/>
            </w:pPr>
            <w:r>
              <w:rPr>
                <w:b w:val="0"/>
                <w:i w:val="0"/>
                <w:sz w:val="17"/>
              </w:rPr>
              <w:t>Tender / Evaluation Committee</w:t>
            </w:r>
          </w:p>
        </w:tc>
        <w:tc>
          <w:tcPr>
            <w:tcW w:type="dxa" w:w="3402"/>
            <w:vAlign w:val="top"/>
          </w:tcPr>
          <w:p>
            <w:pPr>
              <w:spacing w:after="20" w:line="252" w:lineRule="auto"/>
            </w:pPr>
            <w:r>
              <w:rPr>
                <w:b w:val="0"/>
                <w:i w:val="0"/>
                <w:sz w:val="17"/>
              </w:rPr>
              <w:t>Insurans Islam Family Takaful Sendirian Berhad</w:t>
            </w:r>
          </w:p>
        </w:tc>
        <w:tc>
          <w:tcPr>
            <w:tcW w:type="dxa" w:w="2835"/>
            <w:vAlign w:val="top"/>
          </w:tcPr>
          <w:p>
            <w:pPr>
              <w:spacing w:after="20" w:line="252" w:lineRule="auto"/>
            </w:pPr>
            <w:r>
              <w:rPr>
                <w:b w:val="0"/>
                <w:i w:val="0"/>
                <w:sz w:val="17"/>
              </w:rPr>
              <w:t>Signed PDF and editable DOCX; pricing workbook and Bill of Materials (XLSX)</w:t>
            </w:r>
          </w:p>
        </w:tc>
      </w:tr>
      <w:tr>
        <w:trPr>
          <w:cantSplit/>
        </w:trPr>
        <w:tc>
          <w:tcPr>
            <w:tcW w:type="dxa" w:w="3402"/>
            <w:vAlign w:val="top"/>
            <w:shd w:val="clear" w:color="auto" w:fill="FDF0F7"/>
          </w:tcPr>
          <w:p>
            <w:pPr>
              <w:spacing w:after="20" w:line="252" w:lineRule="auto"/>
            </w:pPr>
            <w:r>
              <w:rPr>
                <w:b w:val="0"/>
                <w:i w:val="0"/>
                <w:sz w:val="17"/>
              </w:rPr>
              <w:t>Bid file</w:t>
            </w:r>
          </w:p>
        </w:tc>
        <w:tc>
          <w:tcPr>
            <w:tcW w:type="dxa" w:w="3402"/>
            <w:vAlign w:val="top"/>
            <w:shd w:val="clear" w:color="auto" w:fill="FDF0F7"/>
          </w:tcPr>
          <w:p>
            <w:pPr>
              <w:spacing w:after="20" w:line="252" w:lineRule="auto"/>
            </w:pPr>
            <w:r>
              <w:rPr>
                <w:b w:val="0"/>
                <w:i w:val="0"/>
                <w:sz w:val="17"/>
              </w:rPr>
              <w:t>iorta TechNXT</w:t>
            </w:r>
          </w:p>
        </w:tc>
        <w:tc>
          <w:tcPr>
            <w:tcW w:type="dxa" w:w="2835"/>
            <w:vAlign w:val="top"/>
            <w:shd w:val="clear" w:color="auto" w:fill="FDF0F7"/>
          </w:tcPr>
          <w:p>
            <w:pPr>
              <w:spacing w:after="20" w:line="252" w:lineRule="auto"/>
            </w:pPr>
            <w:r>
              <w:rPr>
                <w:b w:val="0"/>
                <w:i w:val="0"/>
                <w:sz w:val="17"/>
              </w:rPr>
              <w:t>Archive copy</w:t>
            </w:r>
          </w:p>
        </w:tc>
      </w:tr>
    </w:tbl>
    <w:p>
      <w:pPr>
        <w:spacing w:after="0" w:before="0"/>
      </w:pPr>
      <w:r>
        <w:rPr>
          <w:sz w:val="8"/>
        </w:rPr>
      </w:r>
    </w:p>
    <w:p>
      <w:pPr>
        <w:pStyle w:val="Heading3"/>
      </w:pPr>
      <w:r>
        <w:t>Companion documents</w:t>
      </w:r>
    </w:p>
    <w:p>
      <w:pPr>
        <w:pStyle w:val="ListBullet"/>
      </w:pPr>
      <w:r>
        <w:rPr>
          <w:b w:val="0"/>
          <w:i w:val="0"/>
        </w:rPr>
        <w:t>IIFT-Commercial-Pricing-iorta-TechNXT.xlsx: the pricing workbook (options summary, fees in IIFT's format, Options A, B and C, RFP section 10 breakdown, OPE, rate card, payment schedules and assumptions).</w:t>
      </w:r>
    </w:p>
    <w:p>
      <w:pPr>
        <w:pStyle w:val="ListBullet"/>
      </w:pPr>
      <w:r>
        <w:rPr>
          <w:b w:val="0"/>
          <w:i w:val="0"/>
        </w:rPr>
        <w:t>IIFT-Bill-of-Materials-iorta-TechNXT.xlsx: the Bill of Materials (on-premise infrastructure, cloud services, software licences and third-party services, with indicative costs and who pays).</w:t>
      </w:r>
    </w:p>
    <w:p>
      <w:pPr>
        <w:pStyle w:val="ListBullet"/>
      </w:pPr>
      <w:r>
        <w:rPr>
          <w:b w:val="0"/>
          <w:i w:val="0"/>
        </w:rPr>
        <w:t>Enclosure B: corporate profile and relevant experience (attached separately).</w:t>
      </w:r>
    </w:p>
    <w:p>
      <w:pPr>
        <w:pStyle w:val="ListBullet"/>
      </w:pPr>
      <w:r>
        <w:rPr>
          <w:b w:val="0"/>
          <w:i w:val="0"/>
        </w:rPr>
        <w:t>Enclosure C: business registration certificate (attached separately).</w:t>
      </w:r>
    </w:p>
    <w:p>
      <w:pPr>
        <w:pStyle w:val="ListBullet"/>
      </w:pPr>
      <w:r>
        <w:rPr>
          <w:b w:val="0"/>
          <w:i w:val="0"/>
        </w:rPr>
        <w:t>Technical document pack in docs/technical: solution architecture, data dictionary, code standards and quality report, security assessment report, production support handover.</w:t>
      </w:r>
    </w:p>
    <w:p>
      <w:pPr>
        <w:pStyle w:val="Heading1"/>
        <w:pageBreakBefore/>
        <w:pBdr>
          <w:bottom w:val="single" w:sz="12" w:space="4" w:color="F58220"/>
        </w:pBdr>
      </w:pPr>
      <w:r>
        <w:t>Table of 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Response Checklist</w:t>
      </w:r>
    </w:p>
    <w:p>
      <w:pPr>
        <w:keepNext w:val="0"/>
      </w:pPr>
      <w:r>
        <w:rPr>
          <w:b w:val="0"/>
          <w:i w:val="0"/>
        </w:rPr>
        <w:t>The invitation asked for items (a) to (i). The checklist shows where each is answered and whether it is in this document or attached separately.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680"/>
        <w:gridCol w:w="3742"/>
        <w:gridCol w:w="3402"/>
        <w:gridCol w:w="1814"/>
      </w:tblGrid>
      <w:tr>
        <w:trPr>
          <w:cantSplit/>
          <w:tblHeader/>
        </w:trPr>
        <w:tc>
          <w:tcPr>
            <w:tcW w:type="dxa" w:w="680"/>
            <w:shd w:val="clear" w:color="auto" w:fill="E1058C"/>
            <w:vAlign w:val="center"/>
          </w:tcPr>
          <w:p>
            <w:pPr>
              <w:spacing w:after="0"/>
            </w:pPr>
            <w:r>
              <w:rPr>
                <w:b/>
                <w:i w:val="0"/>
                <w:color w:val="FFFFFF"/>
                <w:sz w:val="16"/>
              </w:rPr>
              <w:t>Item</w:t>
            </w:r>
          </w:p>
        </w:tc>
        <w:tc>
          <w:tcPr>
            <w:tcW w:type="dxa" w:w="3742"/>
            <w:shd w:val="clear" w:color="auto" w:fill="E1058C"/>
            <w:vAlign w:val="center"/>
          </w:tcPr>
          <w:p>
            <w:pPr>
              <w:spacing w:after="0"/>
            </w:pPr>
            <w:r>
              <w:rPr>
                <w:b/>
                <w:i w:val="0"/>
                <w:color w:val="FFFFFF"/>
                <w:sz w:val="16"/>
              </w:rPr>
              <w:t>Invitation requirement</w:t>
            </w:r>
          </w:p>
        </w:tc>
        <w:tc>
          <w:tcPr>
            <w:tcW w:type="dxa" w:w="3402"/>
            <w:shd w:val="clear" w:color="auto" w:fill="E1058C"/>
            <w:vAlign w:val="center"/>
          </w:tcPr>
          <w:p>
            <w:pPr>
              <w:spacing w:after="0"/>
            </w:pPr>
            <w:r>
              <w:rPr>
                <w:b/>
                <w:i w:val="0"/>
                <w:color w:val="FFFFFF"/>
                <w:sz w:val="16"/>
              </w:rPr>
              <w:t>Where addressed</w:t>
            </w:r>
          </w:p>
        </w:tc>
        <w:tc>
          <w:tcPr>
            <w:tcW w:type="dxa" w:w="1814"/>
            <w:shd w:val="clear" w:color="auto" w:fill="E1058C"/>
            <w:vAlign w:val="center"/>
          </w:tcPr>
          <w:p>
            <w:pPr>
              <w:spacing w:after="0"/>
            </w:pPr>
            <w:r>
              <w:rPr>
                <w:b/>
                <w:i w:val="0"/>
                <w:color w:val="FFFFFF"/>
                <w:sz w:val="16"/>
              </w:rPr>
              <w:t>Status</w:t>
            </w:r>
          </w:p>
        </w:tc>
      </w:tr>
      <w:tr>
        <w:trPr>
          <w:cantSplit/>
        </w:trPr>
        <w:tc>
          <w:tcPr>
            <w:tcW w:type="dxa" w:w="680"/>
            <w:vAlign w:val="top"/>
          </w:tcPr>
          <w:p>
            <w:pPr>
              <w:spacing w:after="20" w:line="252" w:lineRule="auto"/>
              <w:jc w:val="center"/>
            </w:pPr>
            <w:r>
              <w:rPr>
                <w:b w:val="0"/>
                <w:i w:val="0"/>
                <w:sz w:val="16"/>
              </w:rPr>
              <w:t>(a)</w:t>
            </w:r>
          </w:p>
        </w:tc>
        <w:tc>
          <w:tcPr>
            <w:tcW w:type="dxa" w:w="3742"/>
            <w:vAlign w:val="top"/>
          </w:tcPr>
          <w:p>
            <w:pPr>
              <w:spacing w:after="20" w:line="252" w:lineRule="auto"/>
            </w:pPr>
            <w:r>
              <w:rPr>
                <w:b w:val="0"/>
                <w:i w:val="0"/>
                <w:sz w:val="16"/>
              </w:rPr>
              <w:t>Cover letter</w:t>
            </w:r>
          </w:p>
        </w:tc>
        <w:tc>
          <w:tcPr>
            <w:tcW w:type="dxa" w:w="3402"/>
            <w:vAlign w:val="top"/>
          </w:tcPr>
          <w:p>
            <w:pPr>
              <w:spacing w:after="20" w:line="252" w:lineRule="auto"/>
            </w:pPr>
            <w:r>
              <w:rPr>
                <w:b w:val="0"/>
                <w:i w:val="0"/>
                <w:sz w:val="16"/>
              </w:rPr>
              <w:t>Cover Letter, after the cover page</w:t>
            </w:r>
          </w:p>
        </w:tc>
        <w:tc>
          <w:tcPr>
            <w:tcW w:type="dxa" w:w="1814"/>
            <w:vAlign w:val="top"/>
          </w:tcPr>
          <w:p>
            <w:pPr>
              <w:spacing w:after="20" w:line="252" w:lineRule="auto"/>
            </w:pPr>
            <w:r>
              <w:rPr>
                <w:b w:val="0"/>
                <w:i w:val="0"/>
                <w:sz w:val="16"/>
              </w:rPr>
              <w:t>Included</w:t>
            </w:r>
          </w:p>
        </w:tc>
      </w:tr>
      <w:tr>
        <w:trPr>
          <w:cantSplit/>
        </w:trPr>
        <w:tc>
          <w:tcPr>
            <w:tcW w:type="dxa" w:w="680"/>
            <w:vAlign w:val="top"/>
            <w:shd w:val="clear" w:color="auto" w:fill="FDF0F7"/>
          </w:tcPr>
          <w:p>
            <w:pPr>
              <w:spacing w:after="20" w:line="252" w:lineRule="auto"/>
              <w:jc w:val="center"/>
            </w:pPr>
            <w:r>
              <w:rPr>
                <w:b w:val="0"/>
                <w:i w:val="0"/>
                <w:sz w:val="16"/>
              </w:rPr>
              <w:t>(b)</w:t>
            </w:r>
          </w:p>
        </w:tc>
        <w:tc>
          <w:tcPr>
            <w:tcW w:type="dxa" w:w="3742"/>
            <w:vAlign w:val="top"/>
            <w:shd w:val="clear" w:color="auto" w:fill="FDF0F7"/>
          </w:tcPr>
          <w:p>
            <w:pPr>
              <w:spacing w:after="20" w:line="252" w:lineRule="auto"/>
            </w:pPr>
            <w:r>
              <w:rPr>
                <w:b w:val="0"/>
                <w:i w:val="0"/>
                <w:sz w:val="16"/>
              </w:rPr>
              <w:t>Corporate profile and relevant experience</w:t>
            </w:r>
          </w:p>
        </w:tc>
        <w:tc>
          <w:tcPr>
            <w:tcW w:type="dxa" w:w="3402"/>
            <w:vAlign w:val="top"/>
            <w:shd w:val="clear" w:color="auto" w:fill="FDF0F7"/>
          </w:tcPr>
          <w:p>
            <w:pPr>
              <w:spacing w:after="20" w:line="252" w:lineRule="auto"/>
            </w:pPr>
            <w:r>
              <w:rPr>
                <w:b w:val="0"/>
                <w:i w:val="0"/>
                <w:sz w:val="16"/>
              </w:rPr>
              <w:t>Enclosure B (Section 3)</w:t>
            </w:r>
          </w:p>
        </w:tc>
        <w:tc>
          <w:tcPr>
            <w:tcW w:type="dxa" w:w="1814"/>
            <w:vAlign w:val="top"/>
            <w:shd w:val="clear" w:color="auto" w:fill="FDF0F7"/>
          </w:tcPr>
          <w:p>
            <w:pPr>
              <w:spacing w:after="20" w:line="252" w:lineRule="auto"/>
            </w:pPr>
            <w:r>
              <w:rPr>
                <w:b w:val="0"/>
                <w:i w:val="0"/>
                <w:sz w:val="16"/>
              </w:rPr>
              <w:t>To be attached by iorta</w:t>
            </w:r>
          </w:p>
        </w:tc>
      </w:tr>
      <w:tr>
        <w:trPr>
          <w:cantSplit/>
        </w:trPr>
        <w:tc>
          <w:tcPr>
            <w:tcW w:type="dxa" w:w="680"/>
            <w:vAlign w:val="top"/>
          </w:tcPr>
          <w:p>
            <w:pPr>
              <w:spacing w:after="20" w:line="252" w:lineRule="auto"/>
              <w:jc w:val="center"/>
            </w:pPr>
            <w:r>
              <w:rPr>
                <w:b w:val="0"/>
                <w:i w:val="0"/>
                <w:sz w:val="16"/>
              </w:rPr>
              <w:t>(c)</w:t>
            </w:r>
          </w:p>
        </w:tc>
        <w:tc>
          <w:tcPr>
            <w:tcW w:type="dxa" w:w="3742"/>
            <w:vAlign w:val="top"/>
          </w:tcPr>
          <w:p>
            <w:pPr>
              <w:spacing w:after="20" w:line="252" w:lineRule="auto"/>
            </w:pPr>
            <w:r>
              <w:rPr>
                <w:b w:val="0"/>
                <w:i w:val="0"/>
                <w:sz w:val="16"/>
              </w:rPr>
              <w:t>Business registration certificate</w:t>
            </w:r>
          </w:p>
        </w:tc>
        <w:tc>
          <w:tcPr>
            <w:tcW w:type="dxa" w:w="3402"/>
            <w:vAlign w:val="top"/>
          </w:tcPr>
          <w:p>
            <w:pPr>
              <w:spacing w:after="20" w:line="252" w:lineRule="auto"/>
            </w:pPr>
            <w:r>
              <w:rPr>
                <w:b w:val="0"/>
                <w:i w:val="0"/>
                <w:sz w:val="16"/>
              </w:rPr>
              <w:t>Enclosure C (Section 4)</w:t>
            </w:r>
          </w:p>
        </w:tc>
        <w:tc>
          <w:tcPr>
            <w:tcW w:type="dxa" w:w="1814"/>
            <w:vAlign w:val="top"/>
          </w:tcPr>
          <w:p>
            <w:pPr>
              <w:spacing w:after="20" w:line="252" w:lineRule="auto"/>
            </w:pPr>
            <w:r>
              <w:rPr>
                <w:b w:val="0"/>
                <w:i w:val="0"/>
                <w:sz w:val="16"/>
              </w:rPr>
              <w:t>To be attached by iorta</w:t>
            </w:r>
          </w:p>
        </w:tc>
      </w:tr>
      <w:tr>
        <w:trPr>
          <w:cantSplit/>
        </w:trPr>
        <w:tc>
          <w:tcPr>
            <w:tcW w:type="dxa" w:w="680"/>
            <w:vAlign w:val="top"/>
            <w:shd w:val="clear" w:color="auto" w:fill="FDF0F7"/>
          </w:tcPr>
          <w:p>
            <w:pPr>
              <w:spacing w:after="20" w:line="252" w:lineRule="auto"/>
              <w:jc w:val="center"/>
            </w:pPr>
            <w:r>
              <w:rPr>
                <w:b w:val="0"/>
                <w:i w:val="0"/>
                <w:sz w:val="16"/>
              </w:rPr>
              <w:t>(d)</w:t>
            </w:r>
          </w:p>
        </w:tc>
        <w:tc>
          <w:tcPr>
            <w:tcW w:type="dxa" w:w="3742"/>
            <w:vAlign w:val="top"/>
            <w:shd w:val="clear" w:color="auto" w:fill="FDF0F7"/>
          </w:tcPr>
          <w:p>
            <w:pPr>
              <w:spacing w:after="20" w:line="252" w:lineRule="auto"/>
            </w:pPr>
            <w:r>
              <w:rPr>
                <w:b w:val="0"/>
                <w:i w:val="0"/>
                <w:sz w:val="16"/>
              </w:rPr>
              <w:t>Detailed scope of work and methodology</w:t>
            </w:r>
          </w:p>
        </w:tc>
        <w:tc>
          <w:tcPr>
            <w:tcW w:type="dxa" w:w="3402"/>
            <w:vAlign w:val="top"/>
            <w:shd w:val="clear" w:color="auto" w:fill="FDF0F7"/>
          </w:tcPr>
          <w:p>
            <w:pPr>
              <w:spacing w:after="20" w:line="252" w:lineRule="auto"/>
            </w:pPr>
            <w:r>
              <w:rPr>
                <w:b w:val="0"/>
                <w:i w:val="0"/>
                <w:sz w:val="16"/>
              </w:rPr>
              <w:t>Sections 5 (scope), 6 (fitment), 17 (methodology)</w:t>
            </w:r>
          </w:p>
        </w:tc>
        <w:tc>
          <w:tcPr>
            <w:tcW w:type="dxa" w:w="1814"/>
            <w:vAlign w:val="top"/>
            <w:shd w:val="clear" w:color="auto" w:fill="FDF0F7"/>
          </w:tcPr>
          <w:p>
            <w:pPr>
              <w:spacing w:after="20" w:line="252" w:lineRule="auto"/>
            </w:pPr>
            <w:r>
              <w:rPr>
                <w:b w:val="0"/>
                <w:i w:val="0"/>
                <w:sz w:val="16"/>
              </w:rPr>
              <w:t>Included</w:t>
            </w:r>
          </w:p>
        </w:tc>
      </w:tr>
      <w:tr>
        <w:trPr>
          <w:cantSplit/>
        </w:trPr>
        <w:tc>
          <w:tcPr>
            <w:tcW w:type="dxa" w:w="680"/>
            <w:vAlign w:val="top"/>
          </w:tcPr>
          <w:p>
            <w:pPr>
              <w:spacing w:after="20" w:line="252" w:lineRule="auto"/>
              <w:jc w:val="center"/>
            </w:pPr>
            <w:r>
              <w:rPr>
                <w:b w:val="0"/>
                <w:i w:val="0"/>
                <w:sz w:val="16"/>
              </w:rPr>
              <w:t>(e)</w:t>
            </w:r>
          </w:p>
        </w:tc>
        <w:tc>
          <w:tcPr>
            <w:tcW w:type="dxa" w:w="3742"/>
            <w:vAlign w:val="top"/>
          </w:tcPr>
          <w:p>
            <w:pPr>
              <w:spacing w:after="20" w:line="252" w:lineRule="auto"/>
            </w:pPr>
            <w:r>
              <w:rPr>
                <w:b w:val="0"/>
                <w:i w:val="0"/>
                <w:sz w:val="16"/>
              </w:rPr>
              <w:t>Detailed fees and pricing structure, stating WHT, OPE and third-party charges</w:t>
            </w:r>
          </w:p>
        </w:tc>
        <w:tc>
          <w:tcPr>
            <w:tcW w:type="dxa" w:w="3402"/>
            <w:vAlign w:val="top"/>
          </w:tcPr>
          <w:p>
            <w:pPr>
              <w:spacing w:after="20" w:line="252" w:lineRule="auto"/>
            </w:pPr>
            <w:r>
              <w:rPr>
                <w:b w:val="0"/>
                <w:i w:val="0"/>
                <w:sz w:val="16"/>
              </w:rPr>
              <w:t>Section 19; pricing workbook; Bill of Materials workbook; Annex C</w:t>
            </w:r>
          </w:p>
        </w:tc>
        <w:tc>
          <w:tcPr>
            <w:tcW w:type="dxa" w:w="1814"/>
            <w:vAlign w:val="top"/>
          </w:tcPr>
          <w:p>
            <w:pPr>
              <w:spacing w:after="20" w:line="252" w:lineRule="auto"/>
            </w:pPr>
            <w:r>
              <w:rPr>
                <w:b w:val="0"/>
                <w:i w:val="0"/>
                <w:sz w:val="16"/>
              </w:rPr>
              <w:t>Included</w:t>
            </w:r>
          </w:p>
        </w:tc>
      </w:tr>
      <w:tr>
        <w:trPr>
          <w:cantSplit/>
        </w:trPr>
        <w:tc>
          <w:tcPr>
            <w:tcW w:type="dxa" w:w="680"/>
            <w:vAlign w:val="top"/>
            <w:shd w:val="clear" w:color="auto" w:fill="FDF0F7"/>
          </w:tcPr>
          <w:p>
            <w:pPr>
              <w:spacing w:after="20" w:line="252" w:lineRule="auto"/>
              <w:jc w:val="center"/>
            </w:pPr>
            <w:r>
              <w:rPr>
                <w:b w:val="0"/>
                <w:i w:val="0"/>
                <w:sz w:val="16"/>
              </w:rPr>
              <w:t>(f)</w:t>
            </w:r>
          </w:p>
        </w:tc>
        <w:tc>
          <w:tcPr>
            <w:tcW w:type="dxa" w:w="3742"/>
            <w:vAlign w:val="top"/>
            <w:shd w:val="clear" w:color="auto" w:fill="FDF0F7"/>
          </w:tcPr>
          <w:p>
            <w:pPr>
              <w:spacing w:after="20" w:line="252" w:lineRule="auto"/>
            </w:pPr>
            <w:r>
              <w:rPr>
                <w:b w:val="0"/>
                <w:i w:val="0"/>
                <w:sz w:val="16"/>
              </w:rPr>
              <w:t>Delivery and implementation timeline with key milestones</w:t>
            </w:r>
          </w:p>
        </w:tc>
        <w:tc>
          <w:tcPr>
            <w:tcW w:type="dxa" w:w="3402"/>
            <w:vAlign w:val="top"/>
            <w:shd w:val="clear" w:color="auto" w:fill="FDF0F7"/>
          </w:tcPr>
          <w:p>
            <w:pPr>
              <w:spacing w:after="20" w:line="252" w:lineRule="auto"/>
            </w:pPr>
            <w:r>
              <w:rPr>
                <w:b w:val="0"/>
                <w:i w:val="0"/>
                <w:sz w:val="16"/>
              </w:rPr>
              <w:t>Section 18</w:t>
            </w:r>
          </w:p>
        </w:tc>
        <w:tc>
          <w:tcPr>
            <w:tcW w:type="dxa" w:w="1814"/>
            <w:vAlign w:val="top"/>
            <w:shd w:val="clear" w:color="auto" w:fill="FDF0F7"/>
          </w:tcPr>
          <w:p>
            <w:pPr>
              <w:spacing w:after="20" w:line="252" w:lineRule="auto"/>
            </w:pPr>
            <w:r>
              <w:rPr>
                <w:b w:val="0"/>
                <w:i w:val="0"/>
                <w:sz w:val="16"/>
              </w:rPr>
              <w:t>Included</w:t>
            </w:r>
          </w:p>
        </w:tc>
      </w:tr>
      <w:tr>
        <w:trPr>
          <w:cantSplit/>
        </w:trPr>
        <w:tc>
          <w:tcPr>
            <w:tcW w:type="dxa" w:w="680"/>
            <w:vAlign w:val="top"/>
          </w:tcPr>
          <w:p>
            <w:pPr>
              <w:spacing w:after="20" w:line="252" w:lineRule="auto"/>
              <w:jc w:val="center"/>
            </w:pPr>
            <w:r>
              <w:rPr>
                <w:b w:val="0"/>
                <w:i w:val="0"/>
                <w:sz w:val="16"/>
              </w:rPr>
              <w:t>(g)</w:t>
            </w:r>
          </w:p>
        </w:tc>
        <w:tc>
          <w:tcPr>
            <w:tcW w:type="dxa" w:w="3742"/>
            <w:vAlign w:val="top"/>
          </w:tcPr>
          <w:p>
            <w:pPr>
              <w:spacing w:after="20" w:line="252" w:lineRule="auto"/>
            </w:pPr>
            <w:r>
              <w:rPr>
                <w:b w:val="0"/>
                <w:i w:val="0"/>
                <w:sz w:val="16"/>
              </w:rPr>
              <w:t>Quotation validity period</w:t>
            </w:r>
          </w:p>
        </w:tc>
        <w:tc>
          <w:tcPr>
            <w:tcW w:type="dxa" w:w="3402"/>
            <w:vAlign w:val="top"/>
          </w:tcPr>
          <w:p>
            <w:pPr>
              <w:spacing w:after="20" w:line="252" w:lineRule="auto"/>
            </w:pPr>
            <w:r>
              <w:rPr>
                <w:b w:val="0"/>
                <w:i w:val="0"/>
                <w:sz w:val="16"/>
              </w:rPr>
              <w:t>Section 24: 90 days</w:t>
            </w:r>
          </w:p>
        </w:tc>
        <w:tc>
          <w:tcPr>
            <w:tcW w:type="dxa" w:w="1814"/>
            <w:vAlign w:val="top"/>
          </w:tcPr>
          <w:p>
            <w:pPr>
              <w:spacing w:after="20" w:line="252" w:lineRule="auto"/>
            </w:pPr>
            <w:r>
              <w:rPr>
                <w:b w:val="0"/>
                <w:i w:val="0"/>
                <w:sz w:val="16"/>
              </w:rPr>
              <w:t>Included</w:t>
            </w:r>
          </w:p>
        </w:tc>
      </w:tr>
      <w:tr>
        <w:trPr>
          <w:cantSplit/>
        </w:trPr>
        <w:tc>
          <w:tcPr>
            <w:tcW w:type="dxa" w:w="680"/>
            <w:vAlign w:val="top"/>
            <w:shd w:val="clear" w:color="auto" w:fill="FDF0F7"/>
          </w:tcPr>
          <w:p>
            <w:pPr>
              <w:spacing w:after="20" w:line="252" w:lineRule="auto"/>
              <w:jc w:val="center"/>
            </w:pPr>
            <w:r>
              <w:rPr>
                <w:b w:val="0"/>
                <w:i w:val="0"/>
                <w:sz w:val="16"/>
              </w:rPr>
              <w:t>(h)</w:t>
            </w:r>
          </w:p>
        </w:tc>
        <w:tc>
          <w:tcPr>
            <w:tcW w:type="dxa" w:w="3742"/>
            <w:vAlign w:val="top"/>
            <w:shd w:val="clear" w:color="auto" w:fill="FDF0F7"/>
          </w:tcPr>
          <w:p>
            <w:pPr>
              <w:spacing w:after="20" w:line="252" w:lineRule="auto"/>
            </w:pPr>
            <w:r>
              <w:rPr>
                <w:b w:val="0"/>
                <w:i w:val="0"/>
                <w:sz w:val="16"/>
              </w:rPr>
              <w:t>Other supporting information</w:t>
            </w:r>
          </w:p>
        </w:tc>
        <w:tc>
          <w:tcPr>
            <w:tcW w:type="dxa" w:w="3402"/>
            <w:vAlign w:val="top"/>
            <w:shd w:val="clear" w:color="auto" w:fill="FDF0F7"/>
          </w:tcPr>
          <w:p>
            <w:pPr>
              <w:spacing w:after="20" w:line="252" w:lineRule="auto"/>
            </w:pPr>
            <w:r>
              <w:rPr>
                <w:b w:val="0"/>
                <w:i w:val="0"/>
                <w:sz w:val="16"/>
              </w:rPr>
              <w:t>Sections 7 to 11, 16 and 25; technical document pack</w:t>
            </w:r>
          </w:p>
        </w:tc>
        <w:tc>
          <w:tcPr>
            <w:tcW w:type="dxa" w:w="1814"/>
            <w:vAlign w:val="top"/>
            <w:shd w:val="clear" w:color="auto" w:fill="FDF0F7"/>
          </w:tcPr>
          <w:p>
            <w:pPr>
              <w:spacing w:after="20" w:line="252" w:lineRule="auto"/>
            </w:pPr>
            <w:r>
              <w:rPr>
                <w:b w:val="0"/>
                <w:i w:val="0"/>
                <w:sz w:val="16"/>
              </w:rPr>
              <w:t>Included</w:t>
            </w:r>
          </w:p>
        </w:tc>
      </w:tr>
      <w:tr>
        <w:trPr>
          <w:cantSplit/>
        </w:trPr>
        <w:tc>
          <w:tcPr>
            <w:tcW w:type="dxa" w:w="680"/>
            <w:vAlign w:val="top"/>
          </w:tcPr>
          <w:p>
            <w:pPr>
              <w:spacing w:after="20" w:line="252" w:lineRule="auto"/>
              <w:jc w:val="center"/>
            </w:pPr>
            <w:r>
              <w:rPr>
                <w:b w:val="0"/>
                <w:i w:val="0"/>
                <w:sz w:val="16"/>
              </w:rPr>
              <w:t>(i)</w:t>
            </w:r>
          </w:p>
        </w:tc>
        <w:tc>
          <w:tcPr>
            <w:tcW w:type="dxa" w:w="3742"/>
            <w:vAlign w:val="top"/>
          </w:tcPr>
          <w:p>
            <w:pPr>
              <w:spacing w:after="20" w:line="252" w:lineRule="auto"/>
            </w:pPr>
            <w:r>
              <w:rPr>
                <w:b w:val="0"/>
                <w:i w:val="0"/>
                <w:sz w:val="16"/>
              </w:rPr>
              <w:t>Terms and conditions</w:t>
            </w:r>
          </w:p>
        </w:tc>
        <w:tc>
          <w:tcPr>
            <w:tcW w:type="dxa" w:w="3402"/>
            <w:vAlign w:val="top"/>
          </w:tcPr>
          <w:p>
            <w:pPr>
              <w:spacing w:after="20" w:line="252" w:lineRule="auto"/>
            </w:pPr>
            <w:r>
              <w:rPr>
                <w:b w:val="0"/>
                <w:i w:val="0"/>
                <w:sz w:val="16"/>
              </w:rPr>
              <w:t>Section 26</w:t>
            </w:r>
          </w:p>
        </w:tc>
        <w:tc>
          <w:tcPr>
            <w:tcW w:type="dxa" w:w="1814"/>
            <w:vAlign w:val="top"/>
          </w:tcPr>
          <w:p>
            <w:pPr>
              <w:spacing w:after="20" w:line="252" w:lineRule="auto"/>
            </w:pPr>
            <w:r>
              <w:rPr>
                <w:b w:val="0"/>
                <w:i w:val="0"/>
                <w:sz w:val="16"/>
              </w:rPr>
              <w:t>Included</w:t>
            </w:r>
          </w:p>
        </w:tc>
      </w:tr>
      <w:tr>
        <w:trPr>
          <w:cantSplit/>
        </w:trPr>
        <w:tc>
          <w:tcPr>
            <w:tcW w:type="dxa" w:w="1814"/>
            <w:gridSpan w:val="4"/>
            <w:shd w:val="clear" w:color="auto" w:fill="FEEBDD"/>
          </w:tcPr>
          <w:p>
            <w:pPr>
              <w:spacing w:after="0"/>
            </w:pPr>
            <w:r>
              <w:rPr>
                <w:b/>
                <w:i w:val="0"/>
                <w:color w:val="333333"/>
                <w:sz w:val="16"/>
              </w:rPr>
              <w:t>Additional chapters</w:t>
            </w:r>
          </w:p>
        </w:tc>
      </w:tr>
      <w:tr>
        <w:trPr>
          <w:cantSplit/>
        </w:trPr>
        <w:tc>
          <w:tcPr>
            <w:tcW w:type="dxa" w:w="680"/>
            <w:vAlign w:val="top"/>
          </w:tcPr>
          <w:p>
            <w:pPr>
              <w:spacing w:after="20" w:line="252" w:lineRule="auto"/>
              <w:jc w:val="center"/>
            </w:pPr>
          </w:p>
        </w:tc>
        <w:tc>
          <w:tcPr>
            <w:tcW w:type="dxa" w:w="3742"/>
            <w:vAlign w:val="top"/>
          </w:tcPr>
          <w:p>
            <w:pPr>
              <w:spacing w:after="20" w:line="252" w:lineRule="auto"/>
            </w:pPr>
            <w:r>
              <w:rPr>
                <w:b w:val="0"/>
                <w:i w:val="0"/>
                <w:sz w:val="16"/>
              </w:rPr>
              <w:t>Personas and user journeys</w:t>
            </w:r>
          </w:p>
        </w:tc>
        <w:tc>
          <w:tcPr>
            <w:tcW w:type="dxa" w:w="3402"/>
            <w:vAlign w:val="top"/>
          </w:tcPr>
          <w:p>
            <w:pPr>
              <w:spacing w:after="20" w:line="252" w:lineRule="auto"/>
            </w:pPr>
            <w:r>
              <w:rPr>
                <w:b w:val="0"/>
                <w:i w:val="0"/>
                <w:sz w:val="16"/>
              </w:rPr>
              <w:t>Sections 7 and 8</w:t>
            </w:r>
          </w:p>
        </w:tc>
        <w:tc>
          <w:tcPr>
            <w:tcW w:type="dxa" w:w="1814"/>
            <w:vAlign w:val="top"/>
          </w:tcPr>
          <w:p>
            <w:pPr>
              <w:spacing w:after="20" w:line="252" w:lineRule="auto"/>
            </w:pPr>
          </w:p>
        </w:tc>
      </w:tr>
      <w:tr>
        <w:trPr>
          <w:cantSplit/>
        </w:trPr>
        <w:tc>
          <w:tcPr>
            <w:tcW w:type="dxa" w:w="680"/>
            <w:vAlign w:val="top"/>
            <w:shd w:val="clear" w:color="auto" w:fill="FDF0F7"/>
          </w:tcPr>
          <w:p>
            <w:pPr>
              <w:spacing w:after="20" w:line="252" w:lineRule="auto"/>
              <w:jc w:val="center"/>
            </w:pPr>
          </w:p>
        </w:tc>
        <w:tc>
          <w:tcPr>
            <w:tcW w:type="dxa" w:w="3742"/>
            <w:vAlign w:val="top"/>
            <w:shd w:val="clear" w:color="auto" w:fill="FDF0F7"/>
          </w:tcPr>
          <w:p>
            <w:pPr>
              <w:spacing w:after="20" w:line="252" w:lineRule="auto"/>
            </w:pPr>
            <w:r>
              <w:rPr>
                <w:b w:val="0"/>
                <w:i w:val="0"/>
                <w:sz w:val="16"/>
              </w:rPr>
              <w:t>Functional rules, products and screen catalogue</w:t>
            </w:r>
          </w:p>
        </w:tc>
        <w:tc>
          <w:tcPr>
            <w:tcW w:type="dxa" w:w="3402"/>
            <w:vAlign w:val="top"/>
            <w:shd w:val="clear" w:color="auto" w:fill="FDF0F7"/>
          </w:tcPr>
          <w:p>
            <w:pPr>
              <w:spacing w:after="20" w:line="252" w:lineRule="auto"/>
            </w:pPr>
            <w:r>
              <w:rPr>
                <w:b w:val="0"/>
                <w:i w:val="0"/>
                <w:sz w:val="16"/>
              </w:rPr>
              <w:t>Sections 9, 10 and 11</w:t>
            </w:r>
          </w:p>
        </w:tc>
        <w:tc>
          <w:tcPr>
            <w:tcW w:type="dxa" w:w="1814"/>
            <w:vAlign w:val="top"/>
            <w:shd w:val="clear" w:color="auto" w:fill="FDF0F7"/>
          </w:tcPr>
          <w:p>
            <w:pPr>
              <w:spacing w:after="20" w:line="252" w:lineRule="auto"/>
            </w:pPr>
          </w:p>
        </w:tc>
      </w:tr>
      <w:tr>
        <w:trPr>
          <w:cantSplit/>
        </w:trPr>
        <w:tc>
          <w:tcPr>
            <w:tcW w:type="dxa" w:w="680"/>
            <w:vAlign w:val="top"/>
          </w:tcPr>
          <w:p>
            <w:pPr>
              <w:spacing w:after="20" w:line="252" w:lineRule="auto"/>
              <w:jc w:val="center"/>
            </w:pPr>
          </w:p>
        </w:tc>
        <w:tc>
          <w:tcPr>
            <w:tcW w:type="dxa" w:w="3742"/>
            <w:vAlign w:val="top"/>
          </w:tcPr>
          <w:p>
            <w:pPr>
              <w:spacing w:after="20" w:line="252" w:lineRule="auto"/>
            </w:pPr>
            <w:r>
              <w:rPr>
                <w:b w:val="0"/>
                <w:i w:val="0"/>
                <w:sz w:val="16"/>
              </w:rPr>
              <w:t>Architecture, security, deployment, infrastructure</w:t>
            </w:r>
          </w:p>
        </w:tc>
        <w:tc>
          <w:tcPr>
            <w:tcW w:type="dxa" w:w="3402"/>
            <w:vAlign w:val="top"/>
          </w:tcPr>
          <w:p>
            <w:pPr>
              <w:spacing w:after="20" w:line="252" w:lineRule="auto"/>
            </w:pPr>
            <w:r>
              <w:rPr>
                <w:b w:val="0"/>
                <w:i w:val="0"/>
                <w:sz w:val="16"/>
              </w:rPr>
              <w:t>Sections 12 to 15</w:t>
            </w:r>
          </w:p>
        </w:tc>
        <w:tc>
          <w:tcPr>
            <w:tcW w:type="dxa" w:w="1814"/>
            <w:vAlign w:val="top"/>
          </w:tcPr>
          <w:p>
            <w:pPr>
              <w:spacing w:after="20" w:line="252" w:lineRule="auto"/>
            </w:pPr>
          </w:p>
        </w:tc>
      </w:tr>
      <w:tr>
        <w:trPr>
          <w:cantSplit/>
        </w:trPr>
        <w:tc>
          <w:tcPr>
            <w:tcW w:type="dxa" w:w="680"/>
            <w:vAlign w:val="top"/>
            <w:shd w:val="clear" w:color="auto" w:fill="FDF0F7"/>
          </w:tcPr>
          <w:p>
            <w:pPr>
              <w:spacing w:after="20" w:line="252" w:lineRule="auto"/>
              <w:jc w:val="center"/>
            </w:pPr>
          </w:p>
        </w:tc>
        <w:tc>
          <w:tcPr>
            <w:tcW w:type="dxa" w:w="3742"/>
            <w:vAlign w:val="top"/>
            <w:shd w:val="clear" w:color="auto" w:fill="FDF0F7"/>
          </w:tcPr>
          <w:p>
            <w:pPr>
              <w:spacing w:after="20" w:line="252" w:lineRule="auto"/>
            </w:pPr>
            <w:r>
              <w:rPr>
                <w:b w:val="0"/>
                <w:i w:val="0"/>
                <w:sz w:val="16"/>
              </w:rPr>
              <w:t>Technical document pack</w:t>
            </w:r>
          </w:p>
        </w:tc>
        <w:tc>
          <w:tcPr>
            <w:tcW w:type="dxa" w:w="3402"/>
            <w:vAlign w:val="top"/>
            <w:shd w:val="clear" w:color="auto" w:fill="FDF0F7"/>
          </w:tcPr>
          <w:p>
            <w:pPr>
              <w:spacing w:after="20" w:line="252" w:lineRule="auto"/>
            </w:pPr>
            <w:r>
              <w:rPr>
                <w:b w:val="0"/>
                <w:i w:val="0"/>
                <w:sz w:val="16"/>
              </w:rPr>
              <w:t>Section 16</w:t>
            </w:r>
          </w:p>
        </w:tc>
        <w:tc>
          <w:tcPr>
            <w:tcW w:type="dxa" w:w="1814"/>
            <w:vAlign w:val="top"/>
            <w:shd w:val="clear" w:color="auto" w:fill="FDF0F7"/>
          </w:tcPr>
          <w:p>
            <w:pPr>
              <w:spacing w:after="20" w:line="252" w:lineRule="auto"/>
            </w:pPr>
          </w:p>
        </w:tc>
      </w:tr>
      <w:tr>
        <w:trPr>
          <w:cantSplit/>
        </w:trPr>
        <w:tc>
          <w:tcPr>
            <w:tcW w:type="dxa" w:w="680"/>
            <w:vAlign w:val="top"/>
          </w:tcPr>
          <w:p>
            <w:pPr>
              <w:spacing w:after="20" w:line="252" w:lineRule="auto"/>
              <w:jc w:val="center"/>
            </w:pPr>
          </w:p>
        </w:tc>
        <w:tc>
          <w:tcPr>
            <w:tcW w:type="dxa" w:w="3742"/>
            <w:vAlign w:val="top"/>
          </w:tcPr>
          <w:p>
            <w:pPr>
              <w:spacing w:after="20" w:line="252" w:lineRule="auto"/>
            </w:pPr>
            <w:r>
              <w:rPr>
                <w:b w:val="0"/>
                <w:i w:val="0"/>
                <w:sz w:val="16"/>
              </w:rPr>
              <w:t>Five-year maintenance and support, SLA</w:t>
            </w:r>
          </w:p>
        </w:tc>
        <w:tc>
          <w:tcPr>
            <w:tcW w:type="dxa" w:w="3402"/>
            <w:vAlign w:val="top"/>
          </w:tcPr>
          <w:p>
            <w:pPr>
              <w:spacing w:after="20" w:line="252" w:lineRule="auto"/>
            </w:pPr>
            <w:r>
              <w:rPr>
                <w:b w:val="0"/>
                <w:i w:val="0"/>
                <w:sz w:val="16"/>
              </w:rPr>
              <w:t>Section 20</w:t>
            </w:r>
          </w:p>
        </w:tc>
        <w:tc>
          <w:tcPr>
            <w:tcW w:type="dxa" w:w="1814"/>
            <w:vAlign w:val="top"/>
          </w:tcPr>
          <w:p>
            <w:pPr>
              <w:spacing w:after="20" w:line="252" w:lineRule="auto"/>
            </w:pPr>
          </w:p>
        </w:tc>
      </w:tr>
      <w:tr>
        <w:trPr>
          <w:cantSplit/>
        </w:trPr>
        <w:tc>
          <w:tcPr>
            <w:tcW w:type="dxa" w:w="680"/>
            <w:vAlign w:val="top"/>
            <w:shd w:val="clear" w:color="auto" w:fill="FDF0F7"/>
          </w:tcPr>
          <w:p>
            <w:pPr>
              <w:spacing w:after="20" w:line="252" w:lineRule="auto"/>
              <w:jc w:val="center"/>
            </w:pPr>
          </w:p>
        </w:tc>
        <w:tc>
          <w:tcPr>
            <w:tcW w:type="dxa" w:w="3742"/>
            <w:vAlign w:val="top"/>
            <w:shd w:val="clear" w:color="auto" w:fill="FDF0F7"/>
          </w:tcPr>
          <w:p>
            <w:pPr>
              <w:spacing w:after="20" w:line="252" w:lineRule="auto"/>
            </w:pPr>
            <w:r>
              <w:rPr>
                <w:b w:val="0"/>
                <w:i w:val="0"/>
                <w:sz w:val="16"/>
              </w:rPr>
              <w:t>Team, assumptions and risks</w:t>
            </w:r>
          </w:p>
        </w:tc>
        <w:tc>
          <w:tcPr>
            <w:tcW w:type="dxa" w:w="3402"/>
            <w:vAlign w:val="top"/>
            <w:shd w:val="clear" w:color="auto" w:fill="FDF0F7"/>
          </w:tcPr>
          <w:p>
            <w:pPr>
              <w:spacing w:after="20" w:line="252" w:lineRule="auto"/>
            </w:pPr>
            <w:r>
              <w:rPr>
                <w:b w:val="0"/>
                <w:i w:val="0"/>
                <w:sz w:val="16"/>
              </w:rPr>
              <w:t>Sections 21 to 23</w:t>
            </w:r>
          </w:p>
        </w:tc>
        <w:tc>
          <w:tcPr>
            <w:tcW w:type="dxa" w:w="1814"/>
            <w:vAlign w:val="top"/>
            <w:shd w:val="clear" w:color="auto" w:fill="FDF0F7"/>
          </w:tcPr>
          <w:p>
            <w:pPr>
              <w:spacing w:after="20" w:line="252" w:lineRule="auto"/>
            </w:pPr>
          </w:p>
        </w:tc>
      </w:tr>
      <w:tr>
        <w:trPr>
          <w:cantSplit/>
        </w:trPr>
        <w:tc>
          <w:tcPr>
            <w:tcW w:type="dxa" w:w="680"/>
            <w:vAlign w:val="top"/>
          </w:tcPr>
          <w:p>
            <w:pPr>
              <w:spacing w:after="20" w:line="252" w:lineRule="auto"/>
              <w:jc w:val="center"/>
            </w:pPr>
          </w:p>
        </w:tc>
        <w:tc>
          <w:tcPr>
            <w:tcW w:type="dxa" w:w="3742"/>
            <w:vAlign w:val="top"/>
          </w:tcPr>
          <w:p>
            <w:pPr>
              <w:spacing w:after="20" w:line="252" w:lineRule="auto"/>
            </w:pPr>
            <w:r>
              <w:rPr>
                <w:b w:val="0"/>
                <w:i w:val="0"/>
                <w:sz w:val="16"/>
              </w:rPr>
              <w:t>Compliance and fitment matrix (every RFP requirement ID)</w:t>
            </w:r>
          </w:p>
        </w:tc>
        <w:tc>
          <w:tcPr>
            <w:tcW w:type="dxa" w:w="3402"/>
            <w:vAlign w:val="top"/>
          </w:tcPr>
          <w:p>
            <w:pPr>
              <w:spacing w:after="20" w:line="252" w:lineRule="auto"/>
            </w:pPr>
            <w:r>
              <w:rPr>
                <w:b w:val="0"/>
                <w:i w:val="0"/>
                <w:sz w:val="16"/>
              </w:rPr>
              <w:t>Annex A</w:t>
            </w:r>
          </w:p>
        </w:tc>
        <w:tc>
          <w:tcPr>
            <w:tcW w:type="dxa" w:w="1814"/>
            <w:vAlign w:val="top"/>
          </w:tcPr>
          <w:p>
            <w:pPr>
              <w:spacing w:after="20" w:line="252" w:lineRule="auto"/>
            </w:pPr>
          </w:p>
        </w:tc>
      </w:tr>
      <w:tr>
        <w:trPr>
          <w:cantSplit/>
        </w:trPr>
        <w:tc>
          <w:tcPr>
            <w:tcW w:type="dxa" w:w="680"/>
            <w:vAlign w:val="top"/>
            <w:shd w:val="clear" w:color="auto" w:fill="FDF0F7"/>
          </w:tcPr>
          <w:p>
            <w:pPr>
              <w:spacing w:after="20" w:line="252" w:lineRule="auto"/>
              <w:jc w:val="center"/>
            </w:pPr>
          </w:p>
        </w:tc>
        <w:tc>
          <w:tcPr>
            <w:tcW w:type="dxa" w:w="3742"/>
            <w:vAlign w:val="top"/>
            <w:shd w:val="clear" w:color="auto" w:fill="FDF0F7"/>
          </w:tcPr>
          <w:p>
            <w:pPr>
              <w:spacing w:after="20" w:line="252" w:lineRule="auto"/>
            </w:pPr>
            <w:r>
              <w:rPr>
                <w:b w:val="0"/>
                <w:i w:val="0"/>
                <w:sz w:val="16"/>
              </w:rPr>
              <w:t>Bill of Materials summary, software components, network flows</w:t>
            </w:r>
          </w:p>
        </w:tc>
        <w:tc>
          <w:tcPr>
            <w:tcW w:type="dxa" w:w="3402"/>
            <w:vAlign w:val="top"/>
            <w:shd w:val="clear" w:color="auto" w:fill="FDF0F7"/>
          </w:tcPr>
          <w:p>
            <w:pPr>
              <w:spacing w:after="20" w:line="252" w:lineRule="auto"/>
            </w:pPr>
            <w:r>
              <w:rPr>
                <w:b w:val="0"/>
                <w:i w:val="0"/>
                <w:sz w:val="16"/>
              </w:rPr>
              <w:t>Annex C</w:t>
            </w:r>
          </w:p>
        </w:tc>
        <w:tc>
          <w:tcPr>
            <w:tcW w:type="dxa" w:w="1814"/>
            <w:vAlign w:val="top"/>
            <w:shd w:val="clear" w:color="auto" w:fill="FDF0F7"/>
          </w:tcPr>
          <w:p>
            <w:pPr>
              <w:spacing w:after="20" w:line="252" w:lineRule="auto"/>
            </w:pPr>
          </w:p>
        </w:tc>
      </w:tr>
    </w:tbl>
    <w:p>
      <w:pPr>
        <w:spacing w:after="0" w:before="0"/>
      </w:pPr>
      <w:r>
        <w:rPr>
          <w:sz w:val="8"/>
        </w:rPr>
      </w:r>
    </w:p>
    <w:p>
      <w:pPr>
        <w:pStyle w:val="Heading1"/>
        <w:pageBreakBefore/>
        <w:pBdr>
          <w:bottom w:val="single" w:sz="12" w:space="4" w:color="F58220"/>
        </w:pBdr>
      </w:pPr>
      <w:r>
        <w:t>Abbreviations</w:t>
      </w:r>
    </w:p>
    <w:p>
      <w:pPr>
        <w:keepNext w:val="0"/>
      </w:pPr>
      <w:r>
        <w:rPr>
          <w:b w:val="0"/>
          <w:i w:val="0"/>
        </w:rPr>
        <w:t>Takaful and technical terms are explained in the glossary in Annex 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7597"/>
      </w:tblGrid>
      <w:tr>
        <w:trPr>
          <w:cantSplit/>
          <w:tblHeader/>
        </w:trPr>
        <w:tc>
          <w:tcPr>
            <w:tcW w:type="dxa" w:w="2041"/>
            <w:shd w:val="clear" w:color="auto" w:fill="E1058C"/>
            <w:vAlign w:val="center"/>
          </w:tcPr>
          <w:p>
            <w:pPr>
              <w:spacing w:after="0"/>
            </w:pPr>
            <w:r>
              <w:rPr>
                <w:b/>
                <w:i w:val="0"/>
                <w:color w:val="FFFFFF"/>
                <w:sz w:val="16"/>
              </w:rPr>
              <w:t>Abbreviation</w:t>
            </w:r>
          </w:p>
        </w:tc>
        <w:tc>
          <w:tcPr>
            <w:tcW w:type="dxa" w:w="7597"/>
            <w:shd w:val="clear" w:color="auto" w:fill="E1058C"/>
            <w:vAlign w:val="center"/>
          </w:tcPr>
          <w:p>
            <w:pPr>
              <w:spacing w:after="0"/>
            </w:pPr>
            <w:r>
              <w:rPr>
                <w:b/>
                <w:i w:val="0"/>
                <w:color w:val="FFFFFF"/>
                <w:sz w:val="16"/>
              </w:rPr>
              <w:t>Meaning</w:t>
            </w:r>
          </w:p>
        </w:tc>
      </w:tr>
      <w:tr>
        <w:trPr>
          <w:cantSplit/>
        </w:trPr>
        <w:tc>
          <w:tcPr>
            <w:tcW w:type="dxa" w:w="2041"/>
            <w:vAlign w:val="top"/>
          </w:tcPr>
          <w:p>
            <w:pPr>
              <w:spacing w:after="20" w:line="252" w:lineRule="auto"/>
            </w:pPr>
            <w:r>
              <w:rPr>
                <w:b/>
                <w:i w:val="0"/>
                <w:sz w:val="16"/>
              </w:rPr>
              <w:t>AD / LDAP</w:t>
            </w:r>
          </w:p>
        </w:tc>
        <w:tc>
          <w:tcPr>
            <w:tcW w:type="dxa" w:w="7597"/>
            <w:vAlign w:val="top"/>
          </w:tcPr>
          <w:p>
            <w:pPr>
              <w:spacing w:after="20" w:line="252" w:lineRule="auto"/>
            </w:pPr>
            <w:r>
              <w:rPr>
                <w:b w:val="0"/>
                <w:i w:val="0"/>
                <w:sz w:val="16"/>
              </w:rPr>
              <w:t>Active Directory / Lightweight Directory Access Protocol, used for single sign-on</w:t>
            </w:r>
          </w:p>
        </w:tc>
      </w:tr>
      <w:tr>
        <w:trPr>
          <w:cantSplit/>
        </w:trPr>
        <w:tc>
          <w:tcPr>
            <w:tcW w:type="dxa" w:w="2041"/>
            <w:vAlign w:val="top"/>
            <w:shd w:val="clear" w:color="auto" w:fill="FDF0F7"/>
          </w:tcPr>
          <w:p>
            <w:pPr>
              <w:spacing w:after="20" w:line="252" w:lineRule="auto"/>
            </w:pPr>
            <w:r>
              <w:rPr>
                <w:b/>
                <w:i w:val="0"/>
                <w:sz w:val="16"/>
              </w:rPr>
              <w:t>AMBD</w:t>
            </w:r>
          </w:p>
        </w:tc>
        <w:tc>
          <w:tcPr>
            <w:tcW w:type="dxa" w:w="7597"/>
            <w:vAlign w:val="top"/>
            <w:shd w:val="clear" w:color="auto" w:fill="FDF0F7"/>
          </w:tcPr>
          <w:p>
            <w:pPr>
              <w:spacing w:after="20" w:line="252" w:lineRule="auto"/>
            </w:pPr>
            <w:r>
              <w:rPr>
                <w:b w:val="0"/>
                <w:i w:val="0"/>
                <w:sz w:val="16"/>
              </w:rPr>
              <w:t>Autoriti Monetari Brunei Darussalam, the central bank and financial regulator of Brunei Darussalam</w:t>
            </w:r>
          </w:p>
        </w:tc>
      </w:tr>
      <w:tr>
        <w:trPr>
          <w:cantSplit/>
        </w:trPr>
        <w:tc>
          <w:tcPr>
            <w:tcW w:type="dxa" w:w="2041"/>
            <w:vAlign w:val="top"/>
          </w:tcPr>
          <w:p>
            <w:pPr>
              <w:spacing w:after="20" w:line="252" w:lineRule="auto"/>
            </w:pPr>
            <w:r>
              <w:rPr>
                <w:b/>
                <w:i w:val="0"/>
                <w:sz w:val="16"/>
              </w:rPr>
              <w:t>AMC</w:t>
            </w:r>
          </w:p>
        </w:tc>
        <w:tc>
          <w:tcPr>
            <w:tcW w:type="dxa" w:w="7597"/>
            <w:vAlign w:val="top"/>
          </w:tcPr>
          <w:p>
            <w:pPr>
              <w:spacing w:after="20" w:line="252" w:lineRule="auto"/>
            </w:pPr>
            <w:r>
              <w:rPr>
                <w:b w:val="0"/>
                <w:i w:val="0"/>
                <w:sz w:val="16"/>
              </w:rPr>
              <w:t>Annual maintenance charge</w:t>
            </w:r>
          </w:p>
        </w:tc>
      </w:tr>
      <w:tr>
        <w:trPr>
          <w:cantSplit/>
        </w:trPr>
        <w:tc>
          <w:tcPr>
            <w:tcW w:type="dxa" w:w="2041"/>
            <w:vAlign w:val="top"/>
            <w:shd w:val="clear" w:color="auto" w:fill="FDF0F7"/>
          </w:tcPr>
          <w:p>
            <w:pPr>
              <w:spacing w:after="20" w:line="252" w:lineRule="auto"/>
            </w:pPr>
            <w:r>
              <w:rPr>
                <w:b/>
                <w:i w:val="0"/>
                <w:sz w:val="16"/>
              </w:rPr>
              <w:t>AML / KYC</w:t>
            </w:r>
          </w:p>
        </w:tc>
        <w:tc>
          <w:tcPr>
            <w:tcW w:type="dxa" w:w="7597"/>
            <w:vAlign w:val="top"/>
            <w:shd w:val="clear" w:color="auto" w:fill="FDF0F7"/>
          </w:tcPr>
          <w:p>
            <w:pPr>
              <w:spacing w:after="20" w:line="252" w:lineRule="auto"/>
            </w:pPr>
            <w:r>
              <w:rPr>
                <w:b w:val="0"/>
                <w:i w:val="0"/>
                <w:sz w:val="16"/>
              </w:rPr>
              <w:t>Anti-Money Laundering / Know Your Customer screening and due diligence</w:t>
            </w:r>
          </w:p>
        </w:tc>
      </w:tr>
      <w:tr>
        <w:trPr>
          <w:cantSplit/>
        </w:trPr>
        <w:tc>
          <w:tcPr>
            <w:tcW w:type="dxa" w:w="2041"/>
            <w:vAlign w:val="top"/>
          </w:tcPr>
          <w:p>
            <w:pPr>
              <w:spacing w:after="20" w:line="252" w:lineRule="auto"/>
            </w:pPr>
            <w:r>
              <w:rPr>
                <w:b/>
                <w:i w:val="0"/>
                <w:sz w:val="16"/>
              </w:rPr>
              <w:t>API</w:t>
            </w:r>
          </w:p>
        </w:tc>
        <w:tc>
          <w:tcPr>
            <w:tcW w:type="dxa" w:w="7597"/>
            <w:vAlign w:val="top"/>
          </w:tcPr>
          <w:p>
            <w:pPr>
              <w:spacing w:after="20" w:line="252" w:lineRule="auto"/>
            </w:pPr>
            <w:r>
              <w:rPr>
                <w:b w:val="0"/>
                <w:i w:val="0"/>
                <w:sz w:val="16"/>
              </w:rPr>
              <w:t>Application Programming Interface</w:t>
            </w:r>
          </w:p>
        </w:tc>
      </w:tr>
      <w:tr>
        <w:trPr>
          <w:cantSplit/>
        </w:trPr>
        <w:tc>
          <w:tcPr>
            <w:tcW w:type="dxa" w:w="2041"/>
            <w:vAlign w:val="top"/>
            <w:shd w:val="clear" w:color="auto" w:fill="FDF0F7"/>
          </w:tcPr>
          <w:p>
            <w:pPr>
              <w:spacing w:after="20" w:line="252" w:lineRule="auto"/>
            </w:pPr>
            <w:r>
              <w:rPr>
                <w:b/>
                <w:i w:val="0"/>
                <w:sz w:val="16"/>
              </w:rPr>
              <w:t>ASVS</w:t>
            </w:r>
          </w:p>
        </w:tc>
        <w:tc>
          <w:tcPr>
            <w:tcW w:type="dxa" w:w="7597"/>
            <w:vAlign w:val="top"/>
            <w:shd w:val="clear" w:color="auto" w:fill="FDF0F7"/>
          </w:tcPr>
          <w:p>
            <w:pPr>
              <w:spacing w:after="20" w:line="252" w:lineRule="auto"/>
            </w:pPr>
            <w:r>
              <w:rPr>
                <w:b w:val="0"/>
                <w:i w:val="0"/>
                <w:sz w:val="16"/>
              </w:rPr>
              <w:t>OWASP Application Security Verification Standard</w:t>
            </w:r>
          </w:p>
        </w:tc>
      </w:tr>
      <w:tr>
        <w:trPr>
          <w:cantSplit/>
        </w:trPr>
        <w:tc>
          <w:tcPr>
            <w:tcW w:type="dxa" w:w="2041"/>
            <w:vAlign w:val="top"/>
          </w:tcPr>
          <w:p>
            <w:pPr>
              <w:spacing w:after="20" w:line="252" w:lineRule="auto"/>
            </w:pPr>
            <w:r>
              <w:rPr>
                <w:b/>
                <w:i w:val="0"/>
                <w:sz w:val="16"/>
              </w:rPr>
              <w:t>BRR</w:t>
            </w:r>
          </w:p>
        </w:tc>
        <w:tc>
          <w:tcPr>
            <w:tcW w:type="dxa" w:w="7597"/>
            <w:vAlign w:val="top"/>
          </w:tcPr>
          <w:p>
            <w:pPr>
              <w:spacing w:after="20" w:line="252" w:lineRule="auto"/>
            </w:pPr>
            <w:r>
              <w:rPr>
                <w:b w:val="0"/>
                <w:i w:val="0"/>
                <w:sz w:val="16"/>
              </w:rPr>
              <w:t>The issuance register / report referenced in RFP Appendix 3 against which daily issuance and FIN postings are tallied</w:t>
            </w:r>
          </w:p>
        </w:tc>
      </w:tr>
      <w:tr>
        <w:trPr>
          <w:cantSplit/>
        </w:trPr>
        <w:tc>
          <w:tcPr>
            <w:tcW w:type="dxa" w:w="2041"/>
            <w:vAlign w:val="top"/>
            <w:shd w:val="clear" w:color="auto" w:fill="FDF0F7"/>
          </w:tcPr>
          <w:p>
            <w:pPr>
              <w:spacing w:after="20" w:line="252" w:lineRule="auto"/>
            </w:pPr>
            <w:r>
              <w:rPr>
                <w:b/>
                <w:i w:val="0"/>
                <w:sz w:val="16"/>
              </w:rPr>
              <w:t>BOM / SBOM</w:t>
            </w:r>
          </w:p>
        </w:tc>
        <w:tc>
          <w:tcPr>
            <w:tcW w:type="dxa" w:w="7597"/>
            <w:vAlign w:val="top"/>
            <w:shd w:val="clear" w:color="auto" w:fill="FDF0F7"/>
          </w:tcPr>
          <w:p>
            <w:pPr>
              <w:spacing w:after="20" w:line="252" w:lineRule="auto"/>
            </w:pPr>
            <w:r>
              <w:rPr>
                <w:b w:val="0"/>
                <w:i w:val="0"/>
                <w:sz w:val="16"/>
              </w:rPr>
              <w:t>Bill of materials / software bill of materials (open-source components and licences)</w:t>
            </w:r>
          </w:p>
        </w:tc>
      </w:tr>
      <w:tr>
        <w:trPr>
          <w:cantSplit/>
        </w:trPr>
        <w:tc>
          <w:tcPr>
            <w:tcW w:type="dxa" w:w="2041"/>
            <w:vAlign w:val="top"/>
          </w:tcPr>
          <w:p>
            <w:pPr>
              <w:spacing w:after="20" w:line="252" w:lineRule="auto"/>
            </w:pPr>
            <w:r>
              <w:rPr>
                <w:b/>
                <w:i w:val="0"/>
                <w:sz w:val="16"/>
              </w:rPr>
              <w:t>BRS / FRS</w:t>
            </w:r>
          </w:p>
        </w:tc>
        <w:tc>
          <w:tcPr>
            <w:tcW w:type="dxa" w:w="7597"/>
            <w:vAlign w:val="top"/>
          </w:tcPr>
          <w:p>
            <w:pPr>
              <w:spacing w:after="20" w:line="252" w:lineRule="auto"/>
            </w:pPr>
            <w:r>
              <w:rPr>
                <w:b w:val="0"/>
                <w:i w:val="0"/>
                <w:sz w:val="16"/>
              </w:rPr>
              <w:t>Business Requirement Specification / Functional Requirement Specification</w:t>
            </w:r>
          </w:p>
        </w:tc>
      </w:tr>
      <w:tr>
        <w:trPr>
          <w:cantSplit/>
        </w:trPr>
        <w:tc>
          <w:tcPr>
            <w:tcW w:type="dxa" w:w="2041"/>
            <w:vAlign w:val="top"/>
            <w:shd w:val="clear" w:color="auto" w:fill="FDF0F7"/>
          </w:tcPr>
          <w:p>
            <w:pPr>
              <w:spacing w:after="20" w:line="252" w:lineRule="auto"/>
            </w:pPr>
            <w:r>
              <w:rPr>
                <w:b/>
                <w:i w:val="0"/>
                <w:sz w:val="16"/>
              </w:rPr>
              <w:t>B$ / BND</w:t>
            </w:r>
          </w:p>
        </w:tc>
        <w:tc>
          <w:tcPr>
            <w:tcW w:type="dxa" w:w="7597"/>
            <w:vAlign w:val="top"/>
            <w:shd w:val="clear" w:color="auto" w:fill="FDF0F7"/>
          </w:tcPr>
          <w:p>
            <w:pPr>
              <w:spacing w:after="20" w:line="252" w:lineRule="auto"/>
            </w:pPr>
            <w:r>
              <w:rPr>
                <w:b w:val="0"/>
                <w:i w:val="0"/>
                <w:sz w:val="16"/>
              </w:rPr>
              <w:t>Brunei Dollar</w:t>
            </w:r>
          </w:p>
        </w:tc>
      </w:tr>
      <w:tr>
        <w:trPr>
          <w:cantSplit/>
        </w:trPr>
        <w:tc>
          <w:tcPr>
            <w:tcW w:type="dxa" w:w="2041"/>
            <w:vAlign w:val="top"/>
          </w:tcPr>
          <w:p>
            <w:pPr>
              <w:spacing w:after="20" w:line="252" w:lineRule="auto"/>
            </w:pPr>
            <w:r>
              <w:rPr>
                <w:b/>
                <w:i w:val="0"/>
                <w:sz w:val="16"/>
              </w:rPr>
              <w:t>CI/CD</w:t>
            </w:r>
          </w:p>
        </w:tc>
        <w:tc>
          <w:tcPr>
            <w:tcW w:type="dxa" w:w="7597"/>
            <w:vAlign w:val="top"/>
          </w:tcPr>
          <w:p>
            <w:pPr>
              <w:spacing w:after="20" w:line="252" w:lineRule="auto"/>
            </w:pPr>
            <w:r>
              <w:rPr>
                <w:b w:val="0"/>
                <w:i w:val="0"/>
                <w:sz w:val="16"/>
              </w:rPr>
              <w:t>Continuous Integration / Continuous Delivery</w:t>
            </w:r>
          </w:p>
        </w:tc>
      </w:tr>
      <w:tr>
        <w:trPr>
          <w:cantSplit/>
        </w:trPr>
        <w:tc>
          <w:tcPr>
            <w:tcW w:type="dxa" w:w="2041"/>
            <w:vAlign w:val="top"/>
            <w:shd w:val="clear" w:color="auto" w:fill="FDF0F7"/>
          </w:tcPr>
          <w:p>
            <w:pPr>
              <w:spacing w:after="20" w:line="252" w:lineRule="auto"/>
            </w:pPr>
            <w:r>
              <w:rPr>
                <w:b/>
                <w:i w:val="0"/>
                <w:sz w:val="16"/>
              </w:rPr>
              <w:t>CR</w:t>
            </w:r>
          </w:p>
        </w:tc>
        <w:tc>
          <w:tcPr>
            <w:tcW w:type="dxa" w:w="7597"/>
            <w:vAlign w:val="top"/>
            <w:shd w:val="clear" w:color="auto" w:fill="FDF0F7"/>
          </w:tcPr>
          <w:p>
            <w:pPr>
              <w:spacing w:after="20" w:line="252" w:lineRule="auto"/>
            </w:pPr>
            <w:r>
              <w:rPr>
                <w:b w:val="0"/>
                <w:i w:val="0"/>
                <w:sz w:val="16"/>
              </w:rPr>
              <w:t>Change Request</w:t>
            </w:r>
          </w:p>
        </w:tc>
      </w:tr>
      <w:tr>
        <w:trPr>
          <w:cantSplit/>
        </w:trPr>
        <w:tc>
          <w:tcPr>
            <w:tcW w:type="dxa" w:w="2041"/>
            <w:vAlign w:val="top"/>
          </w:tcPr>
          <w:p>
            <w:pPr>
              <w:spacing w:after="20" w:line="252" w:lineRule="auto"/>
            </w:pPr>
            <w:r>
              <w:rPr>
                <w:b/>
                <w:i w:val="0"/>
                <w:sz w:val="16"/>
              </w:rPr>
              <w:t>DR</w:t>
            </w:r>
          </w:p>
        </w:tc>
        <w:tc>
          <w:tcPr>
            <w:tcW w:type="dxa" w:w="7597"/>
            <w:vAlign w:val="top"/>
          </w:tcPr>
          <w:p>
            <w:pPr>
              <w:spacing w:after="20" w:line="252" w:lineRule="auto"/>
            </w:pPr>
            <w:r>
              <w:rPr>
                <w:b w:val="0"/>
                <w:i w:val="0"/>
                <w:sz w:val="16"/>
              </w:rPr>
              <w:t>Disaster Recovery</w:t>
            </w:r>
          </w:p>
        </w:tc>
      </w:tr>
      <w:tr>
        <w:trPr>
          <w:cantSplit/>
        </w:trPr>
        <w:tc>
          <w:tcPr>
            <w:tcW w:type="dxa" w:w="2041"/>
            <w:vAlign w:val="top"/>
            <w:shd w:val="clear" w:color="auto" w:fill="FDF0F7"/>
          </w:tcPr>
          <w:p>
            <w:pPr>
              <w:spacing w:after="20" w:line="252" w:lineRule="auto"/>
            </w:pPr>
            <w:r>
              <w:rPr>
                <w:b/>
                <w:i w:val="0"/>
                <w:sz w:val="16"/>
              </w:rPr>
              <w:t>EOD</w:t>
            </w:r>
          </w:p>
        </w:tc>
        <w:tc>
          <w:tcPr>
            <w:tcW w:type="dxa" w:w="7597"/>
            <w:vAlign w:val="top"/>
            <w:shd w:val="clear" w:color="auto" w:fill="FDF0F7"/>
          </w:tcPr>
          <w:p>
            <w:pPr>
              <w:spacing w:after="20" w:line="252" w:lineRule="auto"/>
            </w:pPr>
            <w:r>
              <w:rPr>
                <w:b w:val="0"/>
                <w:i w:val="0"/>
                <w:sz w:val="16"/>
              </w:rPr>
              <w:t>End-of-Day processing</w:t>
            </w:r>
          </w:p>
        </w:tc>
      </w:tr>
      <w:tr>
        <w:trPr>
          <w:cantSplit/>
        </w:trPr>
        <w:tc>
          <w:tcPr>
            <w:tcW w:type="dxa" w:w="2041"/>
            <w:vAlign w:val="top"/>
          </w:tcPr>
          <w:p>
            <w:pPr>
              <w:spacing w:after="20" w:line="252" w:lineRule="auto"/>
            </w:pPr>
            <w:r>
              <w:rPr>
                <w:b/>
                <w:i w:val="0"/>
                <w:sz w:val="16"/>
              </w:rPr>
              <w:t>FIN</w:t>
            </w:r>
          </w:p>
        </w:tc>
        <w:tc>
          <w:tcPr>
            <w:tcW w:type="dxa" w:w="7597"/>
            <w:vAlign w:val="top"/>
          </w:tcPr>
          <w:p>
            <w:pPr>
              <w:spacing w:after="20" w:line="252" w:lineRule="auto"/>
            </w:pPr>
            <w:r>
              <w:rPr>
                <w:b w:val="0"/>
                <w:i w:val="0"/>
                <w:sz w:val="16"/>
              </w:rPr>
              <w:t>IIFT financial / accounting system referenced in the RFP</w:t>
            </w:r>
          </w:p>
        </w:tc>
      </w:tr>
      <w:tr>
        <w:trPr>
          <w:cantSplit/>
        </w:trPr>
        <w:tc>
          <w:tcPr>
            <w:tcW w:type="dxa" w:w="2041"/>
            <w:vAlign w:val="top"/>
            <w:shd w:val="clear" w:color="auto" w:fill="FDF0F7"/>
          </w:tcPr>
          <w:p>
            <w:pPr>
              <w:spacing w:after="20" w:line="252" w:lineRule="auto"/>
            </w:pPr>
            <w:r>
              <w:rPr>
                <w:b/>
                <w:i w:val="0"/>
                <w:sz w:val="16"/>
              </w:rPr>
              <w:t>FFR</w:t>
            </w:r>
          </w:p>
        </w:tc>
        <w:tc>
          <w:tcPr>
            <w:tcW w:type="dxa" w:w="7597"/>
            <w:vAlign w:val="top"/>
            <w:shd w:val="clear" w:color="auto" w:fill="FDF0F7"/>
          </w:tcPr>
          <w:p>
            <w:pPr>
              <w:spacing w:after="20" w:line="252" w:lineRule="auto"/>
            </w:pPr>
            <w:r>
              <w:rPr>
                <w:b w:val="0"/>
                <w:i w:val="0"/>
                <w:sz w:val="16"/>
              </w:rPr>
              <w:t>Functional Flow and Requirements (RFP Appendix 3)</w:t>
            </w:r>
          </w:p>
        </w:tc>
      </w:tr>
      <w:tr>
        <w:trPr>
          <w:cantSplit/>
        </w:trPr>
        <w:tc>
          <w:tcPr>
            <w:tcW w:type="dxa" w:w="2041"/>
            <w:vAlign w:val="top"/>
          </w:tcPr>
          <w:p>
            <w:pPr>
              <w:spacing w:after="20" w:line="252" w:lineRule="auto"/>
            </w:pPr>
            <w:r>
              <w:rPr>
                <w:b/>
                <w:i w:val="0"/>
                <w:sz w:val="16"/>
              </w:rPr>
              <w:t>HA</w:t>
            </w:r>
          </w:p>
        </w:tc>
        <w:tc>
          <w:tcPr>
            <w:tcW w:type="dxa" w:w="7597"/>
            <w:vAlign w:val="top"/>
          </w:tcPr>
          <w:p>
            <w:pPr>
              <w:spacing w:after="20" w:line="252" w:lineRule="auto"/>
            </w:pPr>
            <w:r>
              <w:rPr>
                <w:b w:val="0"/>
                <w:i w:val="0"/>
                <w:sz w:val="16"/>
              </w:rPr>
              <w:t>High Availability</w:t>
            </w:r>
          </w:p>
        </w:tc>
      </w:tr>
      <w:tr>
        <w:trPr>
          <w:cantSplit/>
        </w:trPr>
        <w:tc>
          <w:tcPr>
            <w:tcW w:type="dxa" w:w="2041"/>
            <w:vAlign w:val="top"/>
            <w:shd w:val="clear" w:color="auto" w:fill="FDF0F7"/>
          </w:tcPr>
          <w:p>
            <w:pPr>
              <w:spacing w:after="20" w:line="252" w:lineRule="auto"/>
            </w:pPr>
            <w:r>
              <w:rPr>
                <w:b/>
                <w:i w:val="0"/>
                <w:sz w:val="16"/>
              </w:rPr>
              <w:t>IC</w:t>
            </w:r>
          </w:p>
        </w:tc>
        <w:tc>
          <w:tcPr>
            <w:tcW w:type="dxa" w:w="7597"/>
            <w:vAlign w:val="top"/>
            <w:shd w:val="clear" w:color="auto" w:fill="FDF0F7"/>
          </w:tcPr>
          <w:p>
            <w:pPr>
              <w:spacing w:after="20" w:line="252" w:lineRule="auto"/>
            </w:pPr>
            <w:r>
              <w:rPr>
                <w:b w:val="0"/>
                <w:i w:val="0"/>
                <w:sz w:val="16"/>
              </w:rPr>
              <w:t>Identity Card (Brunei national identity card)</w:t>
            </w:r>
          </w:p>
        </w:tc>
      </w:tr>
      <w:tr>
        <w:trPr>
          <w:cantSplit/>
        </w:trPr>
        <w:tc>
          <w:tcPr>
            <w:tcW w:type="dxa" w:w="2041"/>
            <w:vAlign w:val="top"/>
          </w:tcPr>
          <w:p>
            <w:pPr>
              <w:spacing w:after="20" w:line="252" w:lineRule="auto"/>
            </w:pPr>
            <w:r>
              <w:rPr>
                <w:b/>
                <w:i w:val="0"/>
                <w:sz w:val="16"/>
              </w:rPr>
              <w:t>IIFT</w:t>
            </w:r>
          </w:p>
        </w:tc>
        <w:tc>
          <w:tcPr>
            <w:tcW w:type="dxa" w:w="7597"/>
            <w:vAlign w:val="top"/>
          </w:tcPr>
          <w:p>
            <w:pPr>
              <w:spacing w:after="20" w:line="252" w:lineRule="auto"/>
            </w:pPr>
            <w:r>
              <w:rPr>
                <w:b w:val="0"/>
                <w:i w:val="0"/>
                <w:sz w:val="16"/>
              </w:rPr>
              <w:t>Insurans Islam Family Takaful Sendirian Berhad</w:t>
            </w:r>
          </w:p>
        </w:tc>
      </w:tr>
      <w:tr>
        <w:trPr>
          <w:cantSplit/>
        </w:trPr>
        <w:tc>
          <w:tcPr>
            <w:tcW w:type="dxa" w:w="2041"/>
            <w:vAlign w:val="top"/>
            <w:shd w:val="clear" w:color="auto" w:fill="FDF0F7"/>
          </w:tcPr>
          <w:p>
            <w:pPr>
              <w:spacing w:after="20" w:line="252" w:lineRule="auto"/>
            </w:pPr>
            <w:r>
              <w:rPr>
                <w:b/>
                <w:i w:val="0"/>
                <w:sz w:val="16"/>
              </w:rPr>
              <w:t>IIGT</w:t>
            </w:r>
          </w:p>
        </w:tc>
        <w:tc>
          <w:tcPr>
            <w:tcW w:type="dxa" w:w="7597"/>
            <w:vAlign w:val="top"/>
            <w:shd w:val="clear" w:color="auto" w:fill="FDF0F7"/>
          </w:tcPr>
          <w:p>
            <w:pPr>
              <w:spacing w:after="20" w:line="252" w:lineRule="auto"/>
            </w:pPr>
            <w:r>
              <w:rPr>
                <w:b w:val="0"/>
                <w:i w:val="0"/>
                <w:sz w:val="16"/>
              </w:rPr>
              <w:t>Insurans Islam General Takaful, the sister company that operates the IIGT Agent Portal</w:t>
            </w:r>
          </w:p>
        </w:tc>
      </w:tr>
      <w:tr>
        <w:trPr>
          <w:cantSplit/>
        </w:trPr>
        <w:tc>
          <w:tcPr>
            <w:tcW w:type="dxa" w:w="2041"/>
            <w:vAlign w:val="top"/>
          </w:tcPr>
          <w:p>
            <w:pPr>
              <w:spacing w:after="20" w:line="252" w:lineRule="auto"/>
            </w:pPr>
            <w:r>
              <w:rPr>
                <w:b/>
                <w:i w:val="0"/>
                <w:sz w:val="16"/>
              </w:rPr>
              <w:t>IITH</w:t>
            </w:r>
          </w:p>
        </w:tc>
        <w:tc>
          <w:tcPr>
            <w:tcW w:type="dxa" w:w="7597"/>
            <w:vAlign w:val="top"/>
          </w:tcPr>
          <w:p>
            <w:pPr>
              <w:spacing w:after="20" w:line="252" w:lineRule="auto"/>
            </w:pPr>
            <w:r>
              <w:rPr>
                <w:b w:val="0"/>
                <w:i w:val="0"/>
                <w:sz w:val="16"/>
              </w:rPr>
              <w:t>Insurans Islam TAIB Holding, the group holding company</w:t>
            </w:r>
          </w:p>
        </w:tc>
      </w:tr>
      <w:tr>
        <w:trPr>
          <w:cantSplit/>
        </w:trPr>
        <w:tc>
          <w:tcPr>
            <w:tcW w:type="dxa" w:w="2041"/>
            <w:vAlign w:val="top"/>
            <w:shd w:val="clear" w:color="auto" w:fill="FDF0F7"/>
          </w:tcPr>
          <w:p>
            <w:pPr>
              <w:spacing w:after="20" w:line="252" w:lineRule="auto"/>
            </w:pPr>
            <w:r>
              <w:rPr>
                <w:b/>
                <w:i w:val="0"/>
                <w:sz w:val="16"/>
              </w:rPr>
              <w:t>KT</w:t>
            </w:r>
          </w:p>
        </w:tc>
        <w:tc>
          <w:tcPr>
            <w:tcW w:type="dxa" w:w="7597"/>
            <w:vAlign w:val="top"/>
            <w:shd w:val="clear" w:color="auto" w:fill="FDF0F7"/>
          </w:tcPr>
          <w:p>
            <w:pPr>
              <w:spacing w:after="20" w:line="252" w:lineRule="auto"/>
            </w:pPr>
            <w:r>
              <w:rPr>
                <w:b w:val="0"/>
                <w:i w:val="0"/>
                <w:sz w:val="16"/>
              </w:rPr>
              <w:t>Knowledge transfer</w:t>
            </w:r>
          </w:p>
        </w:tc>
      </w:tr>
      <w:tr>
        <w:trPr>
          <w:cantSplit/>
        </w:trPr>
        <w:tc>
          <w:tcPr>
            <w:tcW w:type="dxa" w:w="2041"/>
            <w:vAlign w:val="top"/>
          </w:tcPr>
          <w:p>
            <w:pPr>
              <w:spacing w:after="20" w:line="252" w:lineRule="auto"/>
            </w:pPr>
            <w:r>
              <w:rPr>
                <w:b/>
                <w:i w:val="0"/>
                <w:sz w:val="16"/>
              </w:rPr>
              <w:t>L1 / L2 / L3</w:t>
            </w:r>
          </w:p>
        </w:tc>
        <w:tc>
          <w:tcPr>
            <w:tcW w:type="dxa" w:w="7597"/>
            <w:vAlign w:val="top"/>
          </w:tcPr>
          <w:p>
            <w:pPr>
              <w:spacing w:after="20" w:line="252" w:lineRule="auto"/>
            </w:pPr>
            <w:r>
              <w:rPr>
                <w:b w:val="0"/>
                <w:i w:val="0"/>
                <w:sz w:val="16"/>
              </w:rPr>
              <w:t>First-, second- and third-line support</w:t>
            </w:r>
          </w:p>
        </w:tc>
      </w:tr>
      <w:tr>
        <w:trPr>
          <w:cantSplit/>
        </w:trPr>
        <w:tc>
          <w:tcPr>
            <w:tcW w:type="dxa" w:w="2041"/>
            <w:vAlign w:val="top"/>
            <w:shd w:val="clear" w:color="auto" w:fill="FDF0F7"/>
          </w:tcPr>
          <w:p>
            <w:pPr>
              <w:spacing w:after="20" w:line="252" w:lineRule="auto"/>
            </w:pPr>
            <w:r>
              <w:rPr>
                <w:b/>
                <w:i w:val="0"/>
                <w:sz w:val="16"/>
              </w:rPr>
              <w:t>MFA / OTP / TOTP</w:t>
            </w:r>
          </w:p>
        </w:tc>
        <w:tc>
          <w:tcPr>
            <w:tcW w:type="dxa" w:w="7597"/>
            <w:vAlign w:val="top"/>
            <w:shd w:val="clear" w:color="auto" w:fill="FDF0F7"/>
          </w:tcPr>
          <w:p>
            <w:pPr>
              <w:spacing w:after="20" w:line="252" w:lineRule="auto"/>
            </w:pPr>
            <w:r>
              <w:rPr>
                <w:b w:val="0"/>
                <w:i w:val="0"/>
                <w:sz w:val="16"/>
              </w:rPr>
              <w:t>Multi-Factor Authentication / One-Time Password / Time-based One-Time Password</w:t>
            </w:r>
          </w:p>
        </w:tc>
      </w:tr>
      <w:tr>
        <w:trPr>
          <w:cantSplit/>
        </w:trPr>
        <w:tc>
          <w:tcPr>
            <w:tcW w:type="dxa" w:w="2041"/>
            <w:vAlign w:val="top"/>
          </w:tcPr>
          <w:p>
            <w:pPr>
              <w:spacing w:after="20" w:line="252" w:lineRule="auto"/>
            </w:pPr>
            <w:r>
              <w:rPr>
                <w:b/>
                <w:i w:val="0"/>
                <w:sz w:val="16"/>
              </w:rPr>
              <w:t>OPE</w:t>
            </w:r>
          </w:p>
        </w:tc>
        <w:tc>
          <w:tcPr>
            <w:tcW w:type="dxa" w:w="7597"/>
            <w:vAlign w:val="top"/>
          </w:tcPr>
          <w:p>
            <w:pPr>
              <w:spacing w:after="20" w:line="252" w:lineRule="auto"/>
            </w:pPr>
            <w:r>
              <w:rPr>
                <w:b w:val="0"/>
                <w:i w:val="0"/>
                <w:sz w:val="16"/>
              </w:rPr>
              <w:t>Out-of-Pocket Expenses (travel, accommodation, per diem, insurance, transfers, visas)</w:t>
            </w:r>
          </w:p>
        </w:tc>
      </w:tr>
      <w:tr>
        <w:trPr>
          <w:cantSplit/>
        </w:trPr>
        <w:tc>
          <w:tcPr>
            <w:tcW w:type="dxa" w:w="2041"/>
            <w:vAlign w:val="top"/>
            <w:shd w:val="clear" w:color="auto" w:fill="FDF0F7"/>
          </w:tcPr>
          <w:p>
            <w:pPr>
              <w:spacing w:after="20" w:line="252" w:lineRule="auto"/>
            </w:pPr>
            <w:r>
              <w:rPr>
                <w:b/>
                <w:i w:val="0"/>
                <w:sz w:val="16"/>
              </w:rPr>
              <w:t>OWASP</w:t>
            </w:r>
          </w:p>
        </w:tc>
        <w:tc>
          <w:tcPr>
            <w:tcW w:type="dxa" w:w="7597"/>
            <w:vAlign w:val="top"/>
            <w:shd w:val="clear" w:color="auto" w:fill="FDF0F7"/>
          </w:tcPr>
          <w:p>
            <w:pPr>
              <w:spacing w:after="20" w:line="252" w:lineRule="auto"/>
            </w:pPr>
            <w:r>
              <w:rPr>
                <w:b w:val="0"/>
                <w:i w:val="0"/>
                <w:sz w:val="16"/>
              </w:rPr>
              <w:t>Open Worldwide Application Security Project</w:t>
            </w:r>
          </w:p>
        </w:tc>
      </w:tr>
      <w:tr>
        <w:trPr>
          <w:cantSplit/>
        </w:trPr>
        <w:tc>
          <w:tcPr>
            <w:tcW w:type="dxa" w:w="2041"/>
            <w:vAlign w:val="top"/>
          </w:tcPr>
          <w:p>
            <w:pPr>
              <w:spacing w:after="20" w:line="252" w:lineRule="auto"/>
            </w:pPr>
            <w:r>
              <w:rPr>
                <w:b/>
                <w:i w:val="0"/>
                <w:sz w:val="16"/>
              </w:rPr>
              <w:t>PDPO</w:t>
            </w:r>
          </w:p>
        </w:tc>
        <w:tc>
          <w:tcPr>
            <w:tcW w:type="dxa" w:w="7597"/>
            <w:vAlign w:val="top"/>
          </w:tcPr>
          <w:p>
            <w:pPr>
              <w:spacing w:after="20" w:line="252" w:lineRule="auto"/>
            </w:pPr>
            <w:r>
              <w:rPr>
                <w:b w:val="0"/>
                <w:i w:val="0"/>
                <w:sz w:val="16"/>
              </w:rPr>
              <w:t>Personal Data Protection Order 2025 (Brunei Darussalam)</w:t>
            </w:r>
          </w:p>
        </w:tc>
      </w:tr>
      <w:tr>
        <w:trPr>
          <w:cantSplit/>
        </w:trPr>
        <w:tc>
          <w:tcPr>
            <w:tcW w:type="dxa" w:w="2041"/>
            <w:vAlign w:val="top"/>
            <w:shd w:val="clear" w:color="auto" w:fill="FDF0F7"/>
          </w:tcPr>
          <w:p>
            <w:pPr>
              <w:spacing w:after="20" w:line="252" w:lineRule="auto"/>
            </w:pPr>
            <w:r>
              <w:rPr>
                <w:b/>
                <w:i w:val="0"/>
                <w:sz w:val="16"/>
              </w:rPr>
              <w:t>PITR</w:t>
            </w:r>
          </w:p>
        </w:tc>
        <w:tc>
          <w:tcPr>
            <w:tcW w:type="dxa" w:w="7597"/>
            <w:vAlign w:val="top"/>
            <w:shd w:val="clear" w:color="auto" w:fill="FDF0F7"/>
          </w:tcPr>
          <w:p>
            <w:pPr>
              <w:spacing w:after="20" w:line="252" w:lineRule="auto"/>
            </w:pPr>
            <w:r>
              <w:rPr>
                <w:b w:val="0"/>
                <w:i w:val="0"/>
                <w:sz w:val="16"/>
              </w:rPr>
              <w:t>Point-in-Time Recovery</w:t>
            </w:r>
          </w:p>
        </w:tc>
      </w:tr>
      <w:tr>
        <w:trPr>
          <w:cantSplit/>
        </w:trPr>
        <w:tc>
          <w:tcPr>
            <w:tcW w:type="dxa" w:w="2041"/>
            <w:vAlign w:val="top"/>
          </w:tcPr>
          <w:p>
            <w:pPr>
              <w:spacing w:after="20" w:line="252" w:lineRule="auto"/>
            </w:pPr>
            <w:r>
              <w:rPr>
                <w:b/>
                <w:i w:val="0"/>
                <w:sz w:val="16"/>
              </w:rPr>
              <w:t>PMO</w:t>
            </w:r>
          </w:p>
        </w:tc>
        <w:tc>
          <w:tcPr>
            <w:tcW w:type="dxa" w:w="7597"/>
            <w:vAlign w:val="top"/>
          </w:tcPr>
          <w:p>
            <w:pPr>
              <w:spacing w:after="20" w:line="252" w:lineRule="auto"/>
            </w:pPr>
            <w:r>
              <w:rPr>
                <w:b w:val="0"/>
                <w:i w:val="0"/>
                <w:sz w:val="16"/>
              </w:rPr>
              <w:t>Project Management Office</w:t>
            </w:r>
          </w:p>
        </w:tc>
      </w:tr>
      <w:tr>
        <w:trPr>
          <w:cantSplit/>
        </w:trPr>
        <w:tc>
          <w:tcPr>
            <w:tcW w:type="dxa" w:w="2041"/>
            <w:vAlign w:val="top"/>
            <w:shd w:val="clear" w:color="auto" w:fill="FDF0F7"/>
          </w:tcPr>
          <w:p>
            <w:pPr>
              <w:spacing w:after="20" w:line="252" w:lineRule="auto"/>
            </w:pPr>
            <w:r>
              <w:rPr>
                <w:b/>
                <w:i w:val="0"/>
                <w:sz w:val="16"/>
              </w:rPr>
              <w:t>QC</w:t>
            </w:r>
          </w:p>
        </w:tc>
        <w:tc>
          <w:tcPr>
            <w:tcW w:type="dxa" w:w="7597"/>
            <w:vAlign w:val="top"/>
            <w:shd w:val="clear" w:color="auto" w:fill="FDF0F7"/>
          </w:tcPr>
          <w:p>
            <w:pPr>
              <w:spacing w:after="20" w:line="252" w:lineRule="auto"/>
            </w:pPr>
            <w:r>
              <w:rPr>
                <w:b w:val="0"/>
                <w:i w:val="0"/>
                <w:sz w:val="16"/>
              </w:rPr>
              <w:t>Quality Check</w:t>
            </w:r>
          </w:p>
        </w:tc>
      </w:tr>
      <w:tr>
        <w:trPr>
          <w:cantSplit/>
        </w:trPr>
        <w:tc>
          <w:tcPr>
            <w:tcW w:type="dxa" w:w="2041"/>
            <w:vAlign w:val="top"/>
          </w:tcPr>
          <w:p>
            <w:pPr>
              <w:spacing w:after="20" w:line="252" w:lineRule="auto"/>
            </w:pPr>
            <w:r>
              <w:rPr>
                <w:b/>
                <w:i w:val="0"/>
                <w:sz w:val="16"/>
              </w:rPr>
              <w:t>RACI</w:t>
            </w:r>
          </w:p>
        </w:tc>
        <w:tc>
          <w:tcPr>
            <w:tcW w:type="dxa" w:w="7597"/>
            <w:vAlign w:val="top"/>
          </w:tcPr>
          <w:p>
            <w:pPr>
              <w:spacing w:after="20" w:line="252" w:lineRule="auto"/>
            </w:pPr>
            <w:r>
              <w:rPr>
                <w:b w:val="0"/>
                <w:i w:val="0"/>
                <w:sz w:val="16"/>
              </w:rPr>
              <w:t>Responsible, Accountable, Consulted, Informed</w:t>
            </w:r>
          </w:p>
        </w:tc>
      </w:tr>
      <w:tr>
        <w:trPr>
          <w:cantSplit/>
        </w:trPr>
        <w:tc>
          <w:tcPr>
            <w:tcW w:type="dxa" w:w="2041"/>
            <w:vAlign w:val="top"/>
            <w:shd w:val="clear" w:color="auto" w:fill="FDF0F7"/>
          </w:tcPr>
          <w:p>
            <w:pPr>
              <w:spacing w:after="20" w:line="252" w:lineRule="auto"/>
            </w:pPr>
            <w:r>
              <w:rPr>
                <w:b/>
                <w:i w:val="0"/>
                <w:sz w:val="16"/>
              </w:rPr>
              <w:t>RBAC</w:t>
            </w:r>
          </w:p>
        </w:tc>
        <w:tc>
          <w:tcPr>
            <w:tcW w:type="dxa" w:w="7597"/>
            <w:vAlign w:val="top"/>
            <w:shd w:val="clear" w:color="auto" w:fill="FDF0F7"/>
          </w:tcPr>
          <w:p>
            <w:pPr>
              <w:spacing w:after="20" w:line="252" w:lineRule="auto"/>
            </w:pPr>
            <w:r>
              <w:rPr>
                <w:b w:val="0"/>
                <w:i w:val="0"/>
                <w:sz w:val="16"/>
              </w:rPr>
              <w:t>Role-Based Access Control</w:t>
            </w:r>
          </w:p>
        </w:tc>
      </w:tr>
      <w:tr>
        <w:trPr>
          <w:cantSplit/>
        </w:trPr>
        <w:tc>
          <w:tcPr>
            <w:tcW w:type="dxa" w:w="2041"/>
            <w:vAlign w:val="top"/>
          </w:tcPr>
          <w:p>
            <w:pPr>
              <w:spacing w:after="20" w:line="252" w:lineRule="auto"/>
            </w:pPr>
            <w:r>
              <w:rPr>
                <w:b/>
                <w:i w:val="0"/>
                <w:sz w:val="16"/>
              </w:rPr>
              <w:t>RPO / RTO</w:t>
            </w:r>
          </w:p>
        </w:tc>
        <w:tc>
          <w:tcPr>
            <w:tcW w:type="dxa" w:w="7597"/>
            <w:vAlign w:val="top"/>
          </w:tcPr>
          <w:p>
            <w:pPr>
              <w:spacing w:after="20" w:line="252" w:lineRule="auto"/>
            </w:pPr>
            <w:r>
              <w:rPr>
                <w:b w:val="0"/>
                <w:i w:val="0"/>
                <w:sz w:val="16"/>
              </w:rPr>
              <w:t>Recovery Point Objective (maximum data loss) / Recovery Time Objective (maximum downtime)</w:t>
            </w:r>
          </w:p>
        </w:tc>
      </w:tr>
      <w:tr>
        <w:trPr>
          <w:cantSplit/>
        </w:trPr>
        <w:tc>
          <w:tcPr>
            <w:tcW w:type="dxa" w:w="2041"/>
            <w:vAlign w:val="top"/>
            <w:shd w:val="clear" w:color="auto" w:fill="FDF0F7"/>
          </w:tcPr>
          <w:p>
            <w:pPr>
              <w:spacing w:after="20" w:line="252" w:lineRule="auto"/>
            </w:pPr>
            <w:r>
              <w:rPr>
                <w:b/>
                <w:i w:val="0"/>
                <w:sz w:val="16"/>
              </w:rPr>
              <w:t>RTM</w:t>
            </w:r>
          </w:p>
        </w:tc>
        <w:tc>
          <w:tcPr>
            <w:tcW w:type="dxa" w:w="7597"/>
            <w:vAlign w:val="top"/>
            <w:shd w:val="clear" w:color="auto" w:fill="FDF0F7"/>
          </w:tcPr>
          <w:p>
            <w:pPr>
              <w:spacing w:after="20" w:line="252" w:lineRule="auto"/>
            </w:pPr>
            <w:r>
              <w:rPr>
                <w:b w:val="0"/>
                <w:i w:val="0"/>
                <w:sz w:val="16"/>
              </w:rPr>
              <w:t>Requirements Traceability Matrix</w:t>
            </w:r>
          </w:p>
        </w:tc>
      </w:tr>
      <w:tr>
        <w:trPr>
          <w:cantSplit/>
        </w:trPr>
        <w:tc>
          <w:tcPr>
            <w:tcW w:type="dxa" w:w="2041"/>
            <w:vAlign w:val="top"/>
          </w:tcPr>
          <w:p>
            <w:pPr>
              <w:spacing w:after="20" w:line="252" w:lineRule="auto"/>
            </w:pPr>
            <w:r>
              <w:rPr>
                <w:b/>
                <w:i w:val="0"/>
                <w:sz w:val="16"/>
              </w:rPr>
              <w:t>SAD / TDD</w:t>
            </w:r>
          </w:p>
        </w:tc>
        <w:tc>
          <w:tcPr>
            <w:tcW w:type="dxa" w:w="7597"/>
            <w:vAlign w:val="top"/>
          </w:tcPr>
          <w:p>
            <w:pPr>
              <w:spacing w:after="20" w:line="252" w:lineRule="auto"/>
            </w:pPr>
            <w:r>
              <w:rPr>
                <w:b w:val="0"/>
                <w:i w:val="0"/>
                <w:sz w:val="16"/>
              </w:rPr>
              <w:t>Solution Architecture Document / Technical Design Document</w:t>
            </w:r>
          </w:p>
        </w:tc>
      </w:tr>
      <w:tr>
        <w:trPr>
          <w:cantSplit/>
        </w:trPr>
        <w:tc>
          <w:tcPr>
            <w:tcW w:type="dxa" w:w="2041"/>
            <w:vAlign w:val="top"/>
            <w:shd w:val="clear" w:color="auto" w:fill="FDF0F7"/>
          </w:tcPr>
          <w:p>
            <w:pPr>
              <w:spacing w:after="20" w:line="252" w:lineRule="auto"/>
            </w:pPr>
            <w:r>
              <w:rPr>
                <w:b/>
                <w:i w:val="0"/>
                <w:sz w:val="16"/>
              </w:rPr>
              <w:t>SAST / SCA</w:t>
            </w:r>
          </w:p>
        </w:tc>
        <w:tc>
          <w:tcPr>
            <w:tcW w:type="dxa" w:w="7597"/>
            <w:vAlign w:val="top"/>
            <w:shd w:val="clear" w:color="auto" w:fill="FDF0F7"/>
          </w:tcPr>
          <w:p>
            <w:pPr>
              <w:spacing w:after="20" w:line="252" w:lineRule="auto"/>
            </w:pPr>
            <w:r>
              <w:rPr>
                <w:b w:val="0"/>
                <w:i w:val="0"/>
                <w:sz w:val="16"/>
              </w:rPr>
              <w:t>Static Application Security Testing / Software Composition Analysis</w:t>
            </w:r>
          </w:p>
        </w:tc>
      </w:tr>
      <w:tr>
        <w:trPr>
          <w:cantSplit/>
        </w:trPr>
        <w:tc>
          <w:tcPr>
            <w:tcW w:type="dxa" w:w="2041"/>
            <w:vAlign w:val="top"/>
          </w:tcPr>
          <w:p>
            <w:pPr>
              <w:spacing w:after="20" w:line="252" w:lineRule="auto"/>
            </w:pPr>
            <w:r>
              <w:rPr>
                <w:b/>
                <w:i w:val="0"/>
                <w:sz w:val="16"/>
              </w:rPr>
              <w:t>SIT / UAT</w:t>
            </w:r>
          </w:p>
        </w:tc>
        <w:tc>
          <w:tcPr>
            <w:tcW w:type="dxa" w:w="7597"/>
            <w:vAlign w:val="top"/>
          </w:tcPr>
          <w:p>
            <w:pPr>
              <w:spacing w:after="20" w:line="252" w:lineRule="auto"/>
            </w:pPr>
            <w:r>
              <w:rPr>
                <w:b w:val="0"/>
                <w:i w:val="0"/>
                <w:sz w:val="16"/>
              </w:rPr>
              <w:t>System Integration Testing / User Acceptance Testing</w:t>
            </w:r>
          </w:p>
        </w:tc>
      </w:tr>
      <w:tr>
        <w:trPr>
          <w:cantSplit/>
        </w:trPr>
        <w:tc>
          <w:tcPr>
            <w:tcW w:type="dxa" w:w="2041"/>
            <w:vAlign w:val="top"/>
            <w:shd w:val="clear" w:color="auto" w:fill="FDF0F7"/>
          </w:tcPr>
          <w:p>
            <w:pPr>
              <w:spacing w:after="20" w:line="252" w:lineRule="auto"/>
            </w:pPr>
            <w:r>
              <w:rPr>
                <w:b/>
                <w:i w:val="0"/>
                <w:sz w:val="16"/>
              </w:rPr>
              <w:t>SLA</w:t>
            </w:r>
          </w:p>
        </w:tc>
        <w:tc>
          <w:tcPr>
            <w:tcW w:type="dxa" w:w="7597"/>
            <w:vAlign w:val="top"/>
            <w:shd w:val="clear" w:color="auto" w:fill="FDF0F7"/>
          </w:tcPr>
          <w:p>
            <w:pPr>
              <w:spacing w:after="20" w:line="252" w:lineRule="auto"/>
            </w:pPr>
            <w:r>
              <w:rPr>
                <w:b w:val="0"/>
                <w:i w:val="0"/>
                <w:sz w:val="16"/>
              </w:rPr>
              <w:t>Service Level Agreement</w:t>
            </w:r>
          </w:p>
        </w:tc>
      </w:tr>
      <w:tr>
        <w:trPr>
          <w:cantSplit/>
        </w:trPr>
        <w:tc>
          <w:tcPr>
            <w:tcW w:type="dxa" w:w="2041"/>
            <w:vAlign w:val="top"/>
          </w:tcPr>
          <w:p>
            <w:pPr>
              <w:spacing w:after="20" w:line="252" w:lineRule="auto"/>
            </w:pPr>
            <w:r>
              <w:rPr>
                <w:b/>
                <w:i w:val="0"/>
                <w:sz w:val="16"/>
              </w:rPr>
              <w:t>SSO</w:t>
            </w:r>
          </w:p>
        </w:tc>
        <w:tc>
          <w:tcPr>
            <w:tcW w:type="dxa" w:w="7597"/>
            <w:vAlign w:val="top"/>
          </w:tcPr>
          <w:p>
            <w:pPr>
              <w:spacing w:after="20" w:line="252" w:lineRule="auto"/>
            </w:pPr>
            <w:r>
              <w:rPr>
                <w:b w:val="0"/>
                <w:i w:val="0"/>
                <w:sz w:val="16"/>
              </w:rPr>
              <w:t>Single Sign-On</w:t>
            </w:r>
          </w:p>
        </w:tc>
      </w:tr>
      <w:tr>
        <w:trPr>
          <w:cantSplit/>
        </w:trPr>
        <w:tc>
          <w:tcPr>
            <w:tcW w:type="dxa" w:w="2041"/>
            <w:vAlign w:val="top"/>
            <w:shd w:val="clear" w:color="auto" w:fill="FDF0F7"/>
          </w:tcPr>
          <w:p>
            <w:pPr>
              <w:spacing w:after="20" w:line="252" w:lineRule="auto"/>
            </w:pPr>
            <w:r>
              <w:rPr>
                <w:b/>
                <w:i w:val="0"/>
                <w:sz w:val="16"/>
              </w:rPr>
              <w:t>TCO</w:t>
            </w:r>
          </w:p>
        </w:tc>
        <w:tc>
          <w:tcPr>
            <w:tcW w:type="dxa" w:w="7597"/>
            <w:vAlign w:val="top"/>
            <w:shd w:val="clear" w:color="auto" w:fill="FDF0F7"/>
          </w:tcPr>
          <w:p>
            <w:pPr>
              <w:spacing w:after="20" w:line="252" w:lineRule="auto"/>
            </w:pPr>
            <w:r>
              <w:rPr>
                <w:b w:val="0"/>
                <w:i w:val="0"/>
                <w:sz w:val="16"/>
              </w:rPr>
              <w:t>Total Cost of Ownership</w:t>
            </w:r>
          </w:p>
        </w:tc>
      </w:tr>
      <w:tr>
        <w:trPr>
          <w:cantSplit/>
        </w:trPr>
        <w:tc>
          <w:tcPr>
            <w:tcW w:type="dxa" w:w="2041"/>
            <w:vAlign w:val="top"/>
          </w:tcPr>
          <w:p>
            <w:pPr>
              <w:spacing w:after="20" w:line="252" w:lineRule="auto"/>
            </w:pPr>
            <w:r>
              <w:rPr>
                <w:b/>
                <w:i w:val="0"/>
                <w:sz w:val="16"/>
              </w:rPr>
              <w:t>VAPT</w:t>
            </w:r>
          </w:p>
        </w:tc>
        <w:tc>
          <w:tcPr>
            <w:tcW w:type="dxa" w:w="7597"/>
            <w:vAlign w:val="top"/>
          </w:tcPr>
          <w:p>
            <w:pPr>
              <w:spacing w:after="20" w:line="252" w:lineRule="auto"/>
            </w:pPr>
            <w:r>
              <w:rPr>
                <w:b w:val="0"/>
                <w:i w:val="0"/>
                <w:sz w:val="16"/>
              </w:rPr>
              <w:t>Vulnerability Assessment and Penetration Testing</w:t>
            </w:r>
          </w:p>
        </w:tc>
      </w:tr>
      <w:tr>
        <w:trPr>
          <w:cantSplit/>
        </w:trPr>
        <w:tc>
          <w:tcPr>
            <w:tcW w:type="dxa" w:w="2041"/>
            <w:vAlign w:val="top"/>
            <w:shd w:val="clear" w:color="auto" w:fill="FDF0F7"/>
          </w:tcPr>
          <w:p>
            <w:pPr>
              <w:spacing w:after="20" w:line="252" w:lineRule="auto"/>
            </w:pPr>
            <w:r>
              <w:rPr>
                <w:b/>
                <w:i w:val="0"/>
                <w:sz w:val="16"/>
              </w:rPr>
              <w:t>WAF</w:t>
            </w:r>
          </w:p>
        </w:tc>
        <w:tc>
          <w:tcPr>
            <w:tcW w:type="dxa" w:w="7597"/>
            <w:vAlign w:val="top"/>
            <w:shd w:val="clear" w:color="auto" w:fill="FDF0F7"/>
          </w:tcPr>
          <w:p>
            <w:pPr>
              <w:spacing w:after="20" w:line="252" w:lineRule="auto"/>
            </w:pPr>
            <w:r>
              <w:rPr>
                <w:b w:val="0"/>
                <w:i w:val="0"/>
                <w:sz w:val="16"/>
              </w:rPr>
              <w:t>Web Application Firewall</w:t>
            </w:r>
          </w:p>
        </w:tc>
      </w:tr>
      <w:tr>
        <w:trPr>
          <w:cantSplit/>
        </w:trPr>
        <w:tc>
          <w:tcPr>
            <w:tcW w:type="dxa" w:w="2041"/>
            <w:vAlign w:val="top"/>
          </w:tcPr>
          <w:p>
            <w:pPr>
              <w:spacing w:after="20" w:line="252" w:lineRule="auto"/>
            </w:pPr>
            <w:r>
              <w:rPr>
                <w:b/>
                <w:i w:val="0"/>
                <w:sz w:val="16"/>
              </w:rPr>
              <w:t>WHT</w:t>
            </w:r>
          </w:p>
        </w:tc>
        <w:tc>
          <w:tcPr>
            <w:tcW w:type="dxa" w:w="7597"/>
            <w:vAlign w:val="top"/>
          </w:tcPr>
          <w:p>
            <w:pPr>
              <w:spacing w:after="20" w:line="252" w:lineRule="auto"/>
            </w:pPr>
            <w:r>
              <w:rPr>
                <w:b w:val="0"/>
                <w:i w:val="0"/>
                <w:sz w:val="16"/>
              </w:rPr>
              <w:t>Withholding Tax</w:t>
            </w:r>
          </w:p>
        </w:tc>
      </w:tr>
    </w:tbl>
    <w:p>
      <w:pPr>
        <w:spacing w:after="0" w:before="0"/>
      </w:pPr>
      <w:r>
        <w:rPr>
          <w:sz w:val="8"/>
        </w:rPr>
      </w:r>
    </w:p>
    <w:p>
      <w:pPr>
        <w:pStyle w:val="Heading1"/>
        <w:pageBreakBefore/>
        <w:pBdr>
          <w:bottom w:val="single" w:sz="12" w:space="4" w:color="F58220"/>
        </w:pBdr>
      </w:pPr>
      <w:r>
        <w:t>1. Executive Summary</w:t>
      </w:r>
    </w:p>
    <w:p>
      <w:pPr>
        <w:keepNext w:val="0"/>
      </w:pPr>
      <w:r>
        <w:rPr>
          <w:b w:val="0"/>
          <w:i w:val="0"/>
        </w:rPr>
        <w:t>IIFT will receive SalesVerse 2.0, configured as the IIFT Agent/Banca Portal &amp; Back-office, live in 24 weeks at a fixed implementation price. Banca submissions, approvals, payments and reporting move from paper and e-mail to one controlled system. We recommend Option A, an on-premise perpetual licence in the IITH data centre, which keeps data in Brunei and has the lowest five-year cost.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rPr>
        <w:tc>
          <w:tcPr>
            <w:tcW w:type="dxa" w:w="2041"/>
            <w:shd w:val="clear" w:color="auto" w:fill="FDF0F7"/>
          </w:tcPr>
          <w:p>
            <w:pPr>
              <w:spacing w:after="20"/>
            </w:pPr>
            <w:r>
              <w:rPr>
                <w:b/>
                <w:i w:val="0"/>
                <w:sz w:val="18"/>
              </w:rPr>
              <w:t>Solution</w:t>
            </w:r>
          </w:p>
        </w:tc>
        <w:tc>
          <w:tcPr>
            <w:tcW w:type="dxa" w:w="7597"/>
          </w:tcPr>
          <w:p>
            <w:pPr>
              <w:spacing w:after="20"/>
            </w:pPr>
            <w:r>
              <w:rPr>
                <w:b w:val="0"/>
                <w:i w:val="0"/>
                <w:sz w:val="18"/>
              </w:rPr>
              <w:t>SalesVerse 2.0, configured as the IIFT Agent/Banca Portal &amp; Back-office: a portal for agents and bank officers and a back-office for IIFT and IITH staff.</w:t>
            </w:r>
          </w:p>
        </w:tc>
      </w:tr>
      <w:tr>
        <w:trPr>
          <w:cantSplit/>
        </w:trPr>
        <w:tc>
          <w:tcPr>
            <w:tcW w:type="dxa" w:w="2041"/>
            <w:shd w:val="clear" w:color="auto" w:fill="FDF0F7"/>
          </w:tcPr>
          <w:p>
            <w:pPr>
              <w:spacing w:after="20"/>
            </w:pPr>
            <w:r>
              <w:rPr>
                <w:b/>
                <w:i w:val="0"/>
                <w:sz w:val="18"/>
              </w:rPr>
              <w:t>Scope</w:t>
            </w:r>
          </w:p>
        </w:tc>
        <w:tc>
          <w:tcPr>
            <w:tcW w:type="dxa" w:w="7597"/>
          </w:tcPr>
          <w:p>
            <w:pPr>
              <w:spacing w:after="20"/>
            </w:pPr>
            <w:r>
              <w:rPr>
                <w:b w:val="0"/>
                <w:i w:val="0"/>
                <w:sz w:val="18"/>
              </w:rPr>
              <w:t>All 29 in-scope components of RFP section 3.1, the seven Appendix 3 products, and integration with IIFT's core system, FIN, AML provider, Active Directory, SMS gateway and e-mail.</w:t>
            </w:r>
          </w:p>
        </w:tc>
      </w:tr>
      <w:tr>
        <w:trPr>
          <w:cantSplit/>
        </w:trPr>
        <w:tc>
          <w:tcPr>
            <w:tcW w:type="dxa" w:w="2041"/>
            <w:shd w:val="clear" w:color="auto" w:fill="FDF0F7"/>
          </w:tcPr>
          <w:p>
            <w:pPr>
              <w:spacing w:after="20"/>
            </w:pPr>
            <w:r>
              <w:rPr>
                <w:b/>
                <w:i w:val="0"/>
                <w:sz w:val="18"/>
              </w:rPr>
              <w:t>Timeline</w:t>
            </w:r>
          </w:p>
        </w:tc>
        <w:tc>
          <w:tcPr>
            <w:tcW w:type="dxa" w:w="7597"/>
          </w:tcPr>
          <w:p>
            <w:pPr>
              <w:spacing w:after="20"/>
            </w:pPr>
            <w:r>
              <w:rPr>
                <w:b w:val="0"/>
                <w:i w:val="0"/>
                <w:sz w:val="18"/>
              </w:rPr>
              <w:t>Go-live in week 24. Hypercare in weeks 25 to 28. Warranty for six months from go-live.</w:t>
            </w:r>
          </w:p>
        </w:tc>
      </w:tr>
      <w:tr>
        <w:trPr>
          <w:cantSplit/>
        </w:trPr>
        <w:tc>
          <w:tcPr>
            <w:tcW w:type="dxa" w:w="2041"/>
            <w:shd w:val="clear" w:color="auto" w:fill="FDF0F7"/>
          </w:tcPr>
          <w:p>
            <w:pPr>
              <w:spacing w:after="20"/>
            </w:pPr>
            <w:r>
              <w:rPr>
                <w:b/>
                <w:i w:val="0"/>
                <w:sz w:val="18"/>
              </w:rPr>
              <w:t>Option A (recommended)</w:t>
            </w:r>
          </w:p>
        </w:tc>
        <w:tc>
          <w:tcPr>
            <w:tcW w:type="dxa" w:w="7597"/>
          </w:tcPr>
          <w:p>
            <w:pPr>
              <w:spacing w:after="20"/>
            </w:pPr>
            <w:r>
              <w:rPr>
                <w:b w:val="0"/>
                <w:i w:val="0"/>
                <w:sz w:val="18"/>
              </w:rPr>
              <w:t>On-premise perpetual licence: B$ 178,000 (USD 136,923) one-time; AMC B$ 31,350 in Year 1 (22% of licence and customisation), +5% a year.</w:t>
            </w:r>
          </w:p>
        </w:tc>
      </w:tr>
      <w:tr>
        <w:trPr>
          <w:cantSplit/>
        </w:trPr>
        <w:tc>
          <w:tcPr>
            <w:tcW w:type="dxa" w:w="2041"/>
            <w:shd w:val="clear" w:color="auto" w:fill="FDF0F7"/>
          </w:tcPr>
          <w:p>
            <w:pPr>
              <w:spacing w:after="20"/>
            </w:pPr>
            <w:r>
              <w:rPr>
                <w:b/>
                <w:i w:val="0"/>
                <w:sz w:val="18"/>
              </w:rPr>
              <w:t>Option B</w:t>
            </w:r>
          </w:p>
        </w:tc>
        <w:tc>
          <w:tcPr>
            <w:tcW w:type="dxa" w:w="7597"/>
          </w:tcPr>
          <w:p>
            <w:pPr>
              <w:spacing w:after="20"/>
            </w:pPr>
            <w:r>
              <w:rPr>
                <w:b w:val="0"/>
                <w:i w:val="0"/>
                <w:sz w:val="18"/>
              </w:rPr>
              <w:t>Subscription on iorta-managed cloud: B$ 145,000 (USD 111,538) one-time (including cloud set-up B$ 15,000); B$ 3,400 a month in Year 1, +5% a year, minimum 60 months; managed services B$ 1,100 a month; cloud recharged at cost.</w:t>
            </w:r>
          </w:p>
        </w:tc>
      </w:tr>
      <w:tr>
        <w:trPr>
          <w:cantSplit/>
        </w:trPr>
        <w:tc>
          <w:tcPr>
            <w:tcW w:type="dxa" w:w="2041"/>
            <w:shd w:val="clear" w:color="auto" w:fill="FDF0F7"/>
          </w:tcPr>
          <w:p>
            <w:pPr>
              <w:spacing w:after="20"/>
            </w:pPr>
            <w:r>
              <w:rPr>
                <w:b/>
                <w:i w:val="0"/>
                <w:sz w:val="18"/>
              </w:rPr>
              <w:t>Option C (add-on)</w:t>
            </w:r>
          </w:p>
        </w:tc>
        <w:tc>
          <w:tcPr>
            <w:tcW w:type="dxa" w:w="7597"/>
          </w:tcPr>
          <w:p>
            <w:pPr>
              <w:spacing w:after="20"/>
            </w:pPr>
            <w:r>
              <w:rPr>
                <w:b w:val="0"/>
                <w:i w:val="0"/>
                <w:sz w:val="18"/>
              </w:rPr>
              <w:t>Core source code handover with 8 weeks of knowledge transfer after hypercare: B$ 88,000.</w:t>
            </w:r>
          </w:p>
        </w:tc>
      </w:tr>
      <w:tr>
        <w:trPr>
          <w:cantSplit/>
        </w:trPr>
        <w:tc>
          <w:tcPr>
            <w:tcW w:type="dxa" w:w="2041"/>
            <w:shd w:val="clear" w:color="auto" w:fill="FDF0F7"/>
          </w:tcPr>
          <w:p>
            <w:pPr>
              <w:spacing w:after="20"/>
            </w:pPr>
            <w:r>
              <w:rPr>
                <w:b/>
                <w:i w:val="0"/>
                <w:sz w:val="18"/>
              </w:rPr>
              <w:t>Five-year cost</w:t>
            </w:r>
          </w:p>
        </w:tc>
        <w:tc>
          <w:tcPr>
            <w:tcW w:type="dxa" w:w="7597"/>
          </w:tcPr>
          <w:p>
            <w:pPr>
              <w:spacing w:after="20"/>
            </w:pPr>
            <w:r>
              <w:rPr>
                <w:b w:val="0"/>
                <w:i w:val="0"/>
                <w:sz w:val="18"/>
              </w:rPr>
              <w:t>Option A B$ 382,670 (USD 294,362); Option B B$ 556,144 (USD 427,803), including estimated OPE and cloud charges.</w:t>
            </w:r>
          </w:p>
        </w:tc>
      </w:tr>
      <w:tr>
        <w:trPr>
          <w:cantSplit/>
        </w:trPr>
        <w:tc>
          <w:tcPr>
            <w:tcW w:type="dxa" w:w="2041"/>
            <w:shd w:val="clear" w:color="auto" w:fill="FDF0F7"/>
          </w:tcPr>
          <w:p>
            <w:pPr>
              <w:spacing w:after="20"/>
            </w:pPr>
            <w:r>
              <w:rPr>
                <w:b/>
                <w:i w:val="0"/>
                <w:sz w:val="18"/>
              </w:rPr>
              <w:t>Fee basis</w:t>
            </w:r>
          </w:p>
        </w:tc>
        <w:tc>
          <w:tcPr>
            <w:tcW w:type="dxa" w:w="7597"/>
          </w:tcPr>
          <w:p>
            <w:pPr>
              <w:spacing w:after="20"/>
            </w:pPr>
            <w:r>
              <w:rPr>
                <w:b w:val="0"/>
                <w:i w:val="0"/>
                <w:sz w:val="18"/>
              </w:rPr>
              <w:t>Inclusive of WHT. OPE and cloud infrastructure recharged at cost as disbursements. Third-party and infrastructure charges excluded (Bill of Materials).</w:t>
            </w:r>
          </w:p>
        </w:tc>
      </w:tr>
      <w:tr>
        <w:trPr>
          <w:cantSplit/>
        </w:trPr>
        <w:tc>
          <w:tcPr>
            <w:tcW w:type="dxa" w:w="2041"/>
            <w:shd w:val="clear" w:color="auto" w:fill="FDF0F7"/>
          </w:tcPr>
          <w:p>
            <w:pPr>
              <w:spacing w:after="20"/>
            </w:pPr>
            <w:r>
              <w:rPr>
                <w:b/>
                <w:i w:val="0"/>
                <w:sz w:val="18"/>
              </w:rPr>
              <w:t>Licence and users</w:t>
            </w:r>
          </w:p>
        </w:tc>
        <w:tc>
          <w:tcPr>
            <w:tcW w:type="dxa" w:w="7597"/>
          </w:tcPr>
          <w:p>
            <w:pPr>
              <w:spacing w:after="20"/>
            </w:pPr>
            <w:r>
              <w:rPr>
                <w:b w:val="0"/>
                <w:i w:val="0"/>
                <w:sz w:val="18"/>
              </w:rPr>
              <w:t>Unlimited named users for IIFT under both options; no per-user or per-policy fees.</w:t>
            </w:r>
          </w:p>
        </w:tc>
      </w:tr>
      <w:tr>
        <w:trPr>
          <w:cantSplit/>
        </w:trPr>
        <w:tc>
          <w:tcPr>
            <w:tcW w:type="dxa" w:w="2041"/>
            <w:shd w:val="clear" w:color="auto" w:fill="FDF0F7"/>
          </w:tcPr>
          <w:p>
            <w:pPr>
              <w:spacing w:after="20"/>
            </w:pPr>
            <w:r>
              <w:rPr>
                <w:b/>
                <w:i w:val="0"/>
                <w:sz w:val="18"/>
              </w:rPr>
              <w:t>Source code</w:t>
            </w:r>
          </w:p>
        </w:tc>
        <w:tc>
          <w:tcPr>
            <w:tcW w:type="dxa" w:w="7597"/>
          </w:tcPr>
          <w:p>
            <w:pPr>
              <w:spacing w:after="20"/>
            </w:pPr>
            <w:r>
              <w:rPr>
                <w:b w:val="0"/>
                <w:i w:val="0"/>
                <w:sz w:val="18"/>
              </w:rPr>
              <w:t>IIFT-specific source code at go-live and every release under every option; core platform source through Option C or escrow.</w:t>
            </w:r>
          </w:p>
        </w:tc>
      </w:tr>
      <w:tr>
        <w:trPr>
          <w:cantSplit/>
        </w:trPr>
        <w:tc>
          <w:tcPr>
            <w:tcW w:type="dxa" w:w="2041"/>
            <w:shd w:val="clear" w:color="auto" w:fill="FDF0F7"/>
          </w:tcPr>
          <w:p>
            <w:pPr>
              <w:spacing w:after="20"/>
            </w:pPr>
            <w:r>
              <w:rPr>
                <w:b/>
                <w:i w:val="0"/>
                <w:sz w:val="18"/>
              </w:rPr>
              <w:t>Compliance</w:t>
            </w:r>
          </w:p>
        </w:tc>
        <w:tc>
          <w:tcPr>
            <w:tcW w:type="dxa" w:w="7597"/>
          </w:tcPr>
          <w:p>
            <w:pPr>
              <w:spacing w:after="20"/>
            </w:pPr>
            <w:r>
              <w:rPr>
                <w:b w:val="0"/>
                <w:i w:val="0"/>
                <w:sz w:val="18"/>
              </w:rPr>
              <w:t>234 of 234 RFP requirement IDs addressed (Annex A); fitment in Section 6.</w:t>
            </w:r>
          </w:p>
        </w:tc>
      </w:tr>
    </w:tbl>
    <w:p>
      <w:pPr>
        <w:pStyle w:val="Caption"/>
        <w:jc w:val="center"/>
      </w:pPr>
      <w:r>
        <w:rPr>
          <w:b w:val="0"/>
          <w:i w:val="0"/>
        </w:rPr>
        <w:t>Table 1: What IIFT receives</w:t>
      </w:r>
    </w:p>
    <w:p>
      <w:pPr>
        <w:pStyle w:val="Heading2"/>
      </w:pPr>
      <w:r>
        <w:t>1.1 Why iorta TechNXT</w:t>
      </w:r>
    </w:p>
    <w:p>
      <w:pPr>
        <w:keepNext w:val="0"/>
      </w:pPr>
      <w:r>
        <w:rPr>
          <w:b/>
          <w:i w:val="0"/>
        </w:rPr>
        <w:t>The platform already works.</w:t>
      </w:r>
      <w:r>
        <w:rPr>
          <w:b w:val="0"/>
          <w:i w:val="0"/>
        </w:rPr>
        <w:t xml:space="preserve"> IIFT's seven products, the B$150,000 referral, the seven-day agency block, maker-checker with amount thresholds, watch-list screening, e-signature, e-Policy and e-Receipt PDFs, the EOD report and FIN interface file all run today. Discovery workshops start from working screens, which is why requirements and design take five weeks.</w:t>
      </w:r>
    </w:p>
    <w:p>
      <w:pPr>
        <w:keepNext w:val="0"/>
      </w:pPr>
      <w:r>
        <w:rPr>
          <w:b/>
          <w:i w:val="0"/>
        </w:rPr>
        <w:t>The price follows IIFT's scale.</w:t>
      </w:r>
      <w:r>
        <w:rPr>
          <w:b w:val="0"/>
          <w:i w:val="0"/>
        </w:rPr>
        <w:t xml:space="preserve"> The RFP describes 26 named users and about 600 policies a year. There is no per-user or per-policy fee, so more bank branches or agents do not change the price.</w:t>
      </w:r>
    </w:p>
    <w:p>
      <w:pPr>
        <w:keepNext w:val="0"/>
      </w:pPr>
      <w:r>
        <w:rPr>
          <w:b/>
          <w:i w:val="0"/>
        </w:rPr>
        <w:t>Controls sit in the data layer.</w:t>
      </w:r>
      <w:r>
        <w:rPr>
          <w:b w:val="0"/>
          <w:i w:val="0"/>
        </w:rPr>
        <w:t xml:space="preserve"> The API enforces maker-checker, a database trigger makes the audit table append-only, and IC and passport numbers are encrypted field by field with AES-256-GCM. These controls cannot be bypassed from a screen.</w:t>
      </w:r>
    </w:p>
    <w:p>
      <w:pPr>
        <w:keepNext w:val="0"/>
      </w:pPr>
      <w:r>
        <w:rPr>
          <w:b/>
          <w:i w:val="0"/>
        </w:rPr>
        <w:t>IIFT keeps its options open.</w:t>
      </w:r>
      <w:r>
        <w:rPr>
          <w:b w:val="0"/>
          <w:i w:val="0"/>
        </w:rPr>
        <w:t xml:space="preserve"> It can own a perpetual licence or subscribe, convert from subscription to licence, and take the platform source code with a structured handover once the solution is stable.</w:t>
      </w:r>
    </w:p>
    <w:p>
      <w:pPr>
        <w:keepNext w:val="0"/>
      </w:pPr>
      <w:r>
        <w:rPr>
          <w:b/>
          <w:i w:val="0"/>
        </w:rPr>
        <w:t>Delivery risk is shared.</w:t>
      </w:r>
      <w:r>
        <w:rPr>
          <w:b w:val="0"/>
          <w:i w:val="0"/>
        </w:rPr>
        <w:t xml:space="preserve"> Implementation is a fixed price, 85% of the services fee is paid against signed deliverables, and yearly increases are capped at 5%.</w:t>
      </w:r>
    </w:p>
    <w:p>
      <w:pPr>
        <w:pStyle w:val="Heading2"/>
      </w:pPr>
      <w:r>
        <w:t>1.2 About iorta TechNXT and SalesVerse 2.0</w:t>
      </w:r>
    </w:p>
    <w:p>
      <w:pPr>
        <w:keepNext w:val="0"/>
      </w:pPr>
      <w:r>
        <w:rPr>
          <w:b w:val="0"/>
          <w:i w:val="0"/>
        </w:rPr>
        <w:t>iorta TechNXT builds and supports software for insurance and Takaful distribution. SalesVerse 2.0 is its platform for agency and bancassurance portals, back-office administration and the integrations that connect them to core, finance and compliance systems. The corporate profile and relevant experience are in Enclosure B.</w:t>
      </w:r>
    </w:p>
    <w:p>
      <w:pPr>
        <w:pStyle w:val="Heading1"/>
        <w:pageBreakBefore/>
        <w:pBdr>
          <w:bottom w:val="single" w:sz="12" w:space="4" w:color="F58220"/>
        </w:pBdr>
      </w:pPr>
      <w:r>
        <w:t>2. Understanding of IIFT's Requirements</w:t>
      </w:r>
    </w:p>
    <w:p>
      <w:pPr>
        <w:pStyle w:val="Heading2"/>
      </w:pPr>
      <w:r>
        <w:t>2.1 Background</w:t>
      </w:r>
    </w:p>
    <w:p>
      <w:pPr>
        <w:keepNext w:val="0"/>
      </w:pPr>
      <w:r>
        <w:rPr>
          <w:b w:val="0"/>
          <w:i w:val="0"/>
        </w:rPr>
        <w:t>IIFT sells Mortgage Takaful and Annual (Individual) Family Takaful plans through agents and bank partners. Banca work today relies on paper or e-mailed submissions and manual follow-up with the back-office. Status is hard to track and management has little real-time visibility.</w:t>
      </w:r>
    </w:p>
    <w:p>
      <w:pPr>
        <w:keepNext w:val="0"/>
      </w:pPr>
      <w:r>
        <w:rPr>
          <w:b w:val="0"/>
          <w:i w:val="0"/>
        </w:rPr>
        <w:t>The IIGT Agent Portal went live on 17 July 2026 for Motor Takaful. It covers agent onboarding, e-quotation, e-Cover Notes, AML screening, documents, e-signature, payment proof verification, audit and reporting. IIFT needs the same kind of capability for Family Takaful products and the Banca channel, plus a back-office in which IIFT staff review, approve and report on every Banca transaction.</w:t>
      </w:r>
    </w:p>
    <w:p>
      <w:pPr>
        <w:pStyle w:val="Heading2"/>
      </w:pPr>
      <w:r>
        <w:t>2.2 Project objectives and our response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
        <w:gridCol w:w="2664"/>
        <w:gridCol w:w="6520"/>
      </w:tblGrid>
      <w:tr>
        <w:trPr>
          <w:cantSplit/>
          <w:tblHeader/>
        </w:trPr>
        <w:tc>
          <w:tcPr>
            <w:tcW w:type="dxa" w:w="454"/>
            <w:shd w:val="clear" w:color="auto" w:fill="E1058C"/>
            <w:vAlign w:val="center"/>
          </w:tcPr>
          <w:p>
            <w:pPr>
              <w:spacing w:after="0"/>
            </w:pPr>
            <w:r>
              <w:rPr>
                <w:b/>
                <w:i w:val="0"/>
                <w:color w:val="FFFFFF"/>
                <w:sz w:val="16"/>
              </w:rPr>
              <w:t>#</w:t>
            </w:r>
          </w:p>
        </w:tc>
        <w:tc>
          <w:tcPr>
            <w:tcW w:type="dxa" w:w="2665"/>
            <w:shd w:val="clear" w:color="auto" w:fill="E1058C"/>
            <w:vAlign w:val="center"/>
          </w:tcPr>
          <w:p>
            <w:pPr>
              <w:spacing w:after="0"/>
            </w:pPr>
            <w:r>
              <w:rPr>
                <w:b/>
                <w:i w:val="0"/>
                <w:color w:val="FFFFFF"/>
                <w:sz w:val="16"/>
              </w:rPr>
              <w:t>RFP objective</w:t>
            </w:r>
          </w:p>
        </w:tc>
        <w:tc>
          <w:tcPr>
            <w:tcW w:type="dxa" w:w="6520"/>
            <w:shd w:val="clear" w:color="auto" w:fill="E1058C"/>
            <w:vAlign w:val="center"/>
          </w:tcPr>
          <w:p>
            <w:pPr>
              <w:spacing w:after="0"/>
            </w:pPr>
            <w:r>
              <w:rPr>
                <w:b/>
                <w:i w:val="0"/>
                <w:color w:val="FFFFFF"/>
                <w:sz w:val="16"/>
              </w:rPr>
              <w:t>How the solution meets it</w:t>
            </w:r>
          </w:p>
        </w:tc>
      </w:tr>
      <w:tr>
        <w:trPr>
          <w:cantSplit/>
        </w:trPr>
        <w:tc>
          <w:tcPr>
            <w:tcW w:type="dxa" w:w="454"/>
            <w:vAlign w:val="top"/>
          </w:tcPr>
          <w:p>
            <w:pPr>
              <w:spacing w:after="20" w:line="252" w:lineRule="auto"/>
              <w:jc w:val="center"/>
            </w:pPr>
            <w:r>
              <w:rPr>
                <w:b w:val="0"/>
                <w:i w:val="0"/>
                <w:sz w:val="16"/>
              </w:rPr>
              <w:t>1</w:t>
            </w:r>
          </w:p>
        </w:tc>
        <w:tc>
          <w:tcPr>
            <w:tcW w:type="dxa" w:w="2665"/>
            <w:vAlign w:val="top"/>
          </w:tcPr>
          <w:p>
            <w:pPr>
              <w:spacing w:after="20" w:line="252" w:lineRule="auto"/>
            </w:pPr>
            <w:r>
              <w:rPr>
                <w:b w:val="0"/>
                <w:i w:val="0"/>
                <w:sz w:val="16"/>
              </w:rPr>
              <w:t>Digitalise Agent/Banca operations</w:t>
            </w:r>
          </w:p>
        </w:tc>
        <w:tc>
          <w:tcPr>
            <w:tcW w:type="dxa" w:w="6520"/>
            <w:vAlign w:val="top"/>
          </w:tcPr>
          <w:p>
            <w:pPr>
              <w:spacing w:after="20" w:line="252" w:lineRule="auto"/>
            </w:pPr>
            <w:r>
              <w:rPr>
                <w:b w:val="0"/>
                <w:i w:val="0"/>
                <w:sz w:val="16"/>
              </w:rPr>
              <w:t>Agent/Banca Portal for onboarding, quotation, issuance, servicing, payments, claims notification and issues.</w:t>
            </w:r>
          </w:p>
        </w:tc>
      </w:tr>
      <w:tr>
        <w:trPr>
          <w:cantSplit/>
        </w:trPr>
        <w:tc>
          <w:tcPr>
            <w:tcW w:type="dxa" w:w="454"/>
            <w:vAlign w:val="top"/>
            <w:shd w:val="clear" w:color="auto" w:fill="FDF0F7"/>
          </w:tcPr>
          <w:p>
            <w:pPr>
              <w:spacing w:after="20" w:line="252" w:lineRule="auto"/>
              <w:jc w:val="center"/>
            </w:pPr>
            <w:r>
              <w:rPr>
                <w:b w:val="0"/>
                <w:i w:val="0"/>
                <w:sz w:val="16"/>
              </w:rPr>
              <w:t>2</w:t>
            </w:r>
          </w:p>
        </w:tc>
        <w:tc>
          <w:tcPr>
            <w:tcW w:type="dxa" w:w="2665"/>
            <w:vAlign w:val="top"/>
            <w:shd w:val="clear" w:color="auto" w:fill="FDF0F7"/>
          </w:tcPr>
          <w:p>
            <w:pPr>
              <w:spacing w:after="20" w:line="252" w:lineRule="auto"/>
            </w:pPr>
            <w:r>
              <w:rPr>
                <w:b w:val="0"/>
                <w:i w:val="0"/>
                <w:sz w:val="16"/>
              </w:rPr>
              <w:t>Improve operational efficiency</w:t>
            </w:r>
          </w:p>
        </w:tc>
        <w:tc>
          <w:tcPr>
            <w:tcW w:type="dxa" w:w="6520"/>
            <w:vAlign w:val="top"/>
            <w:shd w:val="clear" w:color="auto" w:fill="FDF0F7"/>
          </w:tcPr>
          <w:p>
            <w:pPr>
              <w:spacing w:after="20" w:line="252" w:lineRule="auto"/>
            </w:pPr>
            <w:r>
              <w:rPr>
                <w:b w:val="0"/>
                <w:i w:val="0"/>
                <w:sz w:val="16"/>
              </w:rPr>
              <w:t>Data captured once at source; contribution calculated by the system; e-Policy, e-Receipt and EOD files produced automatically.</w:t>
            </w:r>
          </w:p>
        </w:tc>
      </w:tr>
      <w:tr>
        <w:trPr>
          <w:cantSplit/>
        </w:trPr>
        <w:tc>
          <w:tcPr>
            <w:tcW w:type="dxa" w:w="454"/>
            <w:vAlign w:val="top"/>
          </w:tcPr>
          <w:p>
            <w:pPr>
              <w:spacing w:after="20" w:line="252" w:lineRule="auto"/>
              <w:jc w:val="center"/>
            </w:pPr>
            <w:r>
              <w:rPr>
                <w:b w:val="0"/>
                <w:i w:val="0"/>
                <w:sz w:val="16"/>
              </w:rPr>
              <w:t>3</w:t>
            </w:r>
          </w:p>
        </w:tc>
        <w:tc>
          <w:tcPr>
            <w:tcW w:type="dxa" w:w="2665"/>
            <w:vAlign w:val="top"/>
          </w:tcPr>
          <w:p>
            <w:pPr>
              <w:spacing w:after="20" w:line="252" w:lineRule="auto"/>
            </w:pPr>
            <w:r>
              <w:rPr>
                <w:b w:val="0"/>
                <w:i w:val="0"/>
                <w:sz w:val="16"/>
              </w:rPr>
              <w:t>Strengthen Agent/Banca management</w:t>
            </w:r>
          </w:p>
        </w:tc>
        <w:tc>
          <w:tcPr>
            <w:tcW w:type="dxa" w:w="6520"/>
            <w:vAlign w:val="top"/>
          </w:tcPr>
          <w:p>
            <w:pPr>
              <w:spacing w:after="20" w:line="252" w:lineRule="auto"/>
            </w:pPr>
            <w:r>
              <w:rPr>
                <w:b w:val="0"/>
                <w:i w:val="0"/>
                <w:sz w:val="16"/>
              </w:rPr>
              <w:t>Agency and bank hierarchy, main/sub-agent links, five agent statuses and document expiry tracking.</w:t>
            </w:r>
          </w:p>
        </w:tc>
      </w:tr>
      <w:tr>
        <w:trPr>
          <w:cantSplit/>
        </w:trPr>
        <w:tc>
          <w:tcPr>
            <w:tcW w:type="dxa" w:w="454"/>
            <w:vAlign w:val="top"/>
            <w:shd w:val="clear" w:color="auto" w:fill="FDF0F7"/>
          </w:tcPr>
          <w:p>
            <w:pPr>
              <w:spacing w:after="20" w:line="252" w:lineRule="auto"/>
              <w:jc w:val="center"/>
            </w:pPr>
            <w:r>
              <w:rPr>
                <w:b w:val="0"/>
                <w:i w:val="0"/>
                <w:sz w:val="16"/>
              </w:rPr>
              <w:t>4</w:t>
            </w:r>
          </w:p>
        </w:tc>
        <w:tc>
          <w:tcPr>
            <w:tcW w:type="dxa" w:w="2665"/>
            <w:vAlign w:val="top"/>
            <w:shd w:val="clear" w:color="auto" w:fill="FDF0F7"/>
          </w:tcPr>
          <w:p>
            <w:pPr>
              <w:spacing w:after="20" w:line="252" w:lineRule="auto"/>
            </w:pPr>
            <w:r>
              <w:rPr>
                <w:b w:val="0"/>
                <w:i w:val="0"/>
                <w:sz w:val="16"/>
              </w:rPr>
              <w:t>Strengthen governance and controls</w:t>
            </w:r>
          </w:p>
        </w:tc>
        <w:tc>
          <w:tcPr>
            <w:tcW w:type="dxa" w:w="6520"/>
            <w:vAlign w:val="top"/>
            <w:shd w:val="clear" w:color="auto" w:fill="FDF0F7"/>
          </w:tcPr>
          <w:p>
            <w:pPr>
              <w:spacing w:after="20" w:line="252" w:lineRule="auto"/>
            </w:pPr>
            <w:r>
              <w:rPr>
                <w:b w:val="0"/>
                <w:i w:val="0"/>
                <w:sz w:val="16"/>
              </w:rPr>
              <w:t>Role-based access with data scoping, maker-checker with configurable levels and thresholds, append-only audit trail.</w:t>
            </w:r>
          </w:p>
        </w:tc>
      </w:tr>
      <w:tr>
        <w:trPr>
          <w:cantSplit/>
        </w:trPr>
        <w:tc>
          <w:tcPr>
            <w:tcW w:type="dxa" w:w="454"/>
            <w:vAlign w:val="top"/>
          </w:tcPr>
          <w:p>
            <w:pPr>
              <w:spacing w:after="20" w:line="252" w:lineRule="auto"/>
              <w:jc w:val="center"/>
            </w:pPr>
            <w:r>
              <w:rPr>
                <w:b w:val="0"/>
                <w:i w:val="0"/>
                <w:sz w:val="16"/>
              </w:rPr>
              <w:t>5</w:t>
            </w:r>
          </w:p>
        </w:tc>
        <w:tc>
          <w:tcPr>
            <w:tcW w:type="dxa" w:w="2665"/>
            <w:vAlign w:val="top"/>
          </w:tcPr>
          <w:p>
            <w:pPr>
              <w:spacing w:after="20" w:line="252" w:lineRule="auto"/>
            </w:pPr>
            <w:r>
              <w:rPr>
                <w:b w:val="0"/>
                <w:i w:val="0"/>
                <w:sz w:val="16"/>
              </w:rPr>
              <w:t>AML/KYC management</w:t>
            </w:r>
          </w:p>
        </w:tc>
        <w:tc>
          <w:tcPr>
            <w:tcW w:type="dxa" w:w="6520"/>
            <w:vAlign w:val="top"/>
          </w:tcPr>
          <w:p>
            <w:pPr>
              <w:spacing w:after="20" w:line="252" w:lineRule="auto"/>
            </w:pPr>
            <w:r>
              <w:rPr>
                <w:b w:val="0"/>
                <w:i w:val="0"/>
                <w:sz w:val="16"/>
              </w:rPr>
              <w:t>Watch-list screening with fuzzy name matching at onboarding and on change; Compliance review queue.</w:t>
            </w:r>
          </w:p>
        </w:tc>
      </w:tr>
      <w:tr>
        <w:trPr>
          <w:cantSplit/>
        </w:trPr>
        <w:tc>
          <w:tcPr>
            <w:tcW w:type="dxa" w:w="454"/>
            <w:vAlign w:val="top"/>
            <w:shd w:val="clear" w:color="auto" w:fill="FDF0F7"/>
          </w:tcPr>
          <w:p>
            <w:pPr>
              <w:spacing w:after="20" w:line="252" w:lineRule="auto"/>
              <w:jc w:val="center"/>
            </w:pPr>
            <w:r>
              <w:rPr>
                <w:b w:val="0"/>
                <w:i w:val="0"/>
                <w:sz w:val="16"/>
              </w:rPr>
              <w:t>6</w:t>
            </w:r>
          </w:p>
        </w:tc>
        <w:tc>
          <w:tcPr>
            <w:tcW w:type="dxa" w:w="2665"/>
            <w:vAlign w:val="top"/>
            <w:shd w:val="clear" w:color="auto" w:fill="FDF0F7"/>
          </w:tcPr>
          <w:p>
            <w:pPr>
              <w:spacing w:after="20" w:line="252" w:lineRule="auto"/>
            </w:pPr>
            <w:r>
              <w:rPr>
                <w:b w:val="0"/>
                <w:i w:val="0"/>
                <w:sz w:val="16"/>
              </w:rPr>
              <w:t>Improve data quality</w:t>
            </w:r>
          </w:p>
        </w:tc>
        <w:tc>
          <w:tcPr>
            <w:tcW w:type="dxa" w:w="6520"/>
            <w:vAlign w:val="top"/>
            <w:shd w:val="clear" w:color="auto" w:fill="FDF0F7"/>
          </w:tcPr>
          <w:p>
            <w:pPr>
              <w:spacing w:after="20" w:line="252" w:lineRule="auto"/>
            </w:pPr>
            <w:r>
              <w:rPr>
                <w:b w:val="0"/>
                <w:i w:val="0"/>
                <w:sz w:val="16"/>
              </w:rPr>
              <w:t>Field validation, controlled master data, duplicate checks on IC and registration numbers, daily reconciliation.</w:t>
            </w:r>
          </w:p>
        </w:tc>
      </w:tr>
      <w:tr>
        <w:trPr>
          <w:cantSplit/>
        </w:trPr>
        <w:tc>
          <w:tcPr>
            <w:tcW w:type="dxa" w:w="454"/>
            <w:vAlign w:val="top"/>
          </w:tcPr>
          <w:p>
            <w:pPr>
              <w:spacing w:after="20" w:line="252" w:lineRule="auto"/>
              <w:jc w:val="center"/>
            </w:pPr>
            <w:r>
              <w:rPr>
                <w:b w:val="0"/>
                <w:i w:val="0"/>
                <w:sz w:val="16"/>
              </w:rPr>
              <w:t>7</w:t>
            </w:r>
          </w:p>
        </w:tc>
        <w:tc>
          <w:tcPr>
            <w:tcW w:type="dxa" w:w="2665"/>
            <w:vAlign w:val="top"/>
          </w:tcPr>
          <w:p>
            <w:pPr>
              <w:spacing w:after="20" w:line="252" w:lineRule="auto"/>
            </w:pPr>
            <w:r>
              <w:rPr>
                <w:b w:val="0"/>
                <w:i w:val="0"/>
                <w:sz w:val="16"/>
              </w:rPr>
              <w:t>Improve integration</w:t>
            </w:r>
          </w:p>
        </w:tc>
        <w:tc>
          <w:tcPr>
            <w:tcW w:type="dxa" w:w="6520"/>
            <w:vAlign w:val="top"/>
          </w:tcPr>
          <w:p>
            <w:pPr>
              <w:spacing w:after="20" w:line="252" w:lineRule="auto"/>
            </w:pPr>
            <w:r>
              <w:rPr>
                <w:b w:val="0"/>
                <w:i w:val="0"/>
                <w:sz w:val="16"/>
              </w:rPr>
              <w:t>Transactional outbox with retry and dead-letter; adapters for Core, FIN, AML, Active Directory, SMS and e-mail.</w:t>
            </w:r>
          </w:p>
        </w:tc>
      </w:tr>
      <w:tr>
        <w:trPr>
          <w:cantSplit/>
        </w:trPr>
        <w:tc>
          <w:tcPr>
            <w:tcW w:type="dxa" w:w="454"/>
            <w:vAlign w:val="top"/>
            <w:shd w:val="clear" w:color="auto" w:fill="FDF0F7"/>
          </w:tcPr>
          <w:p>
            <w:pPr>
              <w:spacing w:after="20" w:line="252" w:lineRule="auto"/>
              <w:jc w:val="center"/>
            </w:pPr>
            <w:r>
              <w:rPr>
                <w:b w:val="0"/>
                <w:i w:val="0"/>
                <w:sz w:val="16"/>
              </w:rPr>
              <w:t>8</w:t>
            </w:r>
          </w:p>
        </w:tc>
        <w:tc>
          <w:tcPr>
            <w:tcW w:type="dxa" w:w="2665"/>
            <w:vAlign w:val="top"/>
            <w:shd w:val="clear" w:color="auto" w:fill="FDF0F7"/>
          </w:tcPr>
          <w:p>
            <w:pPr>
              <w:spacing w:after="20" w:line="252" w:lineRule="auto"/>
            </w:pPr>
            <w:r>
              <w:rPr>
                <w:b w:val="0"/>
                <w:i w:val="0"/>
                <w:sz w:val="16"/>
              </w:rPr>
              <w:t>Improve reporting</w:t>
            </w:r>
          </w:p>
        </w:tc>
        <w:tc>
          <w:tcPr>
            <w:tcW w:type="dxa" w:w="6520"/>
            <w:vAlign w:val="top"/>
            <w:shd w:val="clear" w:color="auto" w:fill="FDF0F7"/>
          </w:tcPr>
          <w:p>
            <w:pPr>
              <w:spacing w:after="20" w:line="252" w:lineRule="auto"/>
            </w:pPr>
            <w:r>
              <w:rPr>
                <w:b w:val="0"/>
                <w:i w:val="0"/>
                <w:sz w:val="16"/>
              </w:rPr>
              <w:t>Dashboards and standard reports with Excel, CSV and PDF export and scheduled distribution.</w:t>
            </w:r>
          </w:p>
        </w:tc>
      </w:tr>
      <w:tr>
        <w:trPr>
          <w:cantSplit/>
        </w:trPr>
        <w:tc>
          <w:tcPr>
            <w:tcW w:type="dxa" w:w="454"/>
            <w:vAlign w:val="top"/>
          </w:tcPr>
          <w:p>
            <w:pPr>
              <w:spacing w:after="20" w:line="252" w:lineRule="auto"/>
              <w:jc w:val="center"/>
            </w:pPr>
            <w:r>
              <w:rPr>
                <w:b w:val="0"/>
                <w:i w:val="0"/>
                <w:sz w:val="16"/>
              </w:rPr>
              <w:t>9</w:t>
            </w:r>
          </w:p>
        </w:tc>
        <w:tc>
          <w:tcPr>
            <w:tcW w:type="dxa" w:w="2665"/>
            <w:vAlign w:val="top"/>
          </w:tcPr>
          <w:p>
            <w:pPr>
              <w:spacing w:after="20" w:line="252" w:lineRule="auto"/>
            </w:pPr>
            <w:r>
              <w:rPr>
                <w:b w:val="0"/>
                <w:i w:val="0"/>
                <w:sz w:val="16"/>
              </w:rPr>
              <w:t>Improve user experience</w:t>
            </w:r>
          </w:p>
        </w:tc>
        <w:tc>
          <w:tcPr>
            <w:tcW w:type="dxa" w:w="6520"/>
            <w:vAlign w:val="top"/>
          </w:tcPr>
          <w:p>
            <w:pPr>
              <w:spacing w:after="20" w:line="252" w:lineRule="auto"/>
            </w:pPr>
            <w:r>
              <w:rPr>
                <w:b w:val="0"/>
                <w:i w:val="0"/>
                <w:sz w:val="16"/>
              </w:rPr>
              <w:t>Step-by-step quotation wizards, one design system themed to Insurans Islam TAIB colours, WCAG 2.1 AA target.</w:t>
            </w:r>
          </w:p>
        </w:tc>
      </w:tr>
      <w:tr>
        <w:trPr>
          <w:cantSplit/>
        </w:trPr>
        <w:tc>
          <w:tcPr>
            <w:tcW w:type="dxa" w:w="454"/>
            <w:vAlign w:val="top"/>
            <w:shd w:val="clear" w:color="auto" w:fill="FDF0F7"/>
          </w:tcPr>
          <w:p>
            <w:pPr>
              <w:spacing w:after="20" w:line="252" w:lineRule="auto"/>
              <w:jc w:val="center"/>
            </w:pPr>
            <w:r>
              <w:rPr>
                <w:b w:val="0"/>
                <w:i w:val="0"/>
                <w:sz w:val="16"/>
              </w:rPr>
              <w:t>10</w:t>
            </w:r>
          </w:p>
        </w:tc>
        <w:tc>
          <w:tcPr>
            <w:tcW w:type="dxa" w:w="2665"/>
            <w:vAlign w:val="top"/>
            <w:shd w:val="clear" w:color="auto" w:fill="FDF0F7"/>
          </w:tcPr>
          <w:p>
            <w:pPr>
              <w:spacing w:after="20" w:line="252" w:lineRule="auto"/>
            </w:pPr>
            <w:r>
              <w:rPr>
                <w:b w:val="0"/>
                <w:i w:val="0"/>
                <w:sz w:val="16"/>
              </w:rPr>
              <w:t>Strengthen security</w:t>
            </w:r>
          </w:p>
        </w:tc>
        <w:tc>
          <w:tcPr>
            <w:tcW w:type="dxa" w:w="6520"/>
            <w:vAlign w:val="top"/>
            <w:shd w:val="clear" w:color="auto" w:fill="FDF0F7"/>
          </w:tcPr>
          <w:p>
            <w:pPr>
              <w:spacing w:after="20" w:line="252" w:lineRule="auto"/>
            </w:pPr>
            <w:r>
              <w:rPr>
                <w:b w:val="0"/>
                <w:i w:val="0"/>
                <w:sz w:val="16"/>
              </w:rPr>
              <w:t>Controls aligned with OWASP ASVS Level 2 and an independent VAPT before go-live.</w:t>
            </w:r>
          </w:p>
        </w:tc>
      </w:tr>
      <w:tr>
        <w:trPr>
          <w:cantSplit/>
        </w:trPr>
        <w:tc>
          <w:tcPr>
            <w:tcW w:type="dxa" w:w="454"/>
            <w:vAlign w:val="top"/>
          </w:tcPr>
          <w:p>
            <w:pPr>
              <w:spacing w:after="20" w:line="252" w:lineRule="auto"/>
              <w:jc w:val="center"/>
            </w:pPr>
            <w:r>
              <w:rPr>
                <w:b w:val="0"/>
                <w:i w:val="0"/>
                <w:sz w:val="16"/>
              </w:rPr>
              <w:t>11</w:t>
            </w:r>
          </w:p>
        </w:tc>
        <w:tc>
          <w:tcPr>
            <w:tcW w:type="dxa" w:w="2665"/>
            <w:vAlign w:val="top"/>
          </w:tcPr>
          <w:p>
            <w:pPr>
              <w:spacing w:after="20" w:line="252" w:lineRule="auto"/>
            </w:pPr>
            <w:r>
              <w:rPr>
                <w:b w:val="0"/>
                <w:i w:val="0"/>
                <w:sz w:val="16"/>
              </w:rPr>
              <w:t>Ensure scalability</w:t>
            </w:r>
          </w:p>
        </w:tc>
        <w:tc>
          <w:tcPr>
            <w:tcW w:type="dxa" w:w="6520"/>
            <w:vAlign w:val="top"/>
          </w:tcPr>
          <w:p>
            <w:pPr>
              <w:spacing w:after="20" w:line="252" w:lineRule="auto"/>
            </w:pPr>
            <w:r>
              <w:rPr>
                <w:b w:val="0"/>
                <w:i w:val="0"/>
                <w:sz w:val="16"/>
              </w:rPr>
              <w:t>Sized for 100 concurrent and 500 named users, more than ten times the projected policy volume.</w:t>
            </w:r>
          </w:p>
        </w:tc>
      </w:tr>
      <w:tr>
        <w:trPr>
          <w:cantSplit/>
        </w:trPr>
        <w:tc>
          <w:tcPr>
            <w:tcW w:type="dxa" w:w="454"/>
            <w:vAlign w:val="top"/>
            <w:shd w:val="clear" w:color="auto" w:fill="FDF0F7"/>
          </w:tcPr>
          <w:p>
            <w:pPr>
              <w:spacing w:after="20" w:line="252" w:lineRule="auto"/>
              <w:jc w:val="center"/>
            </w:pPr>
            <w:r>
              <w:rPr>
                <w:b w:val="0"/>
                <w:i w:val="0"/>
                <w:sz w:val="16"/>
              </w:rPr>
              <w:t>12</w:t>
            </w:r>
          </w:p>
        </w:tc>
        <w:tc>
          <w:tcPr>
            <w:tcW w:type="dxa" w:w="2665"/>
            <w:vAlign w:val="top"/>
            <w:shd w:val="clear" w:color="auto" w:fill="FDF0F7"/>
          </w:tcPr>
          <w:p>
            <w:pPr>
              <w:spacing w:after="20" w:line="252" w:lineRule="auto"/>
            </w:pPr>
            <w:r>
              <w:rPr>
                <w:b w:val="0"/>
                <w:i w:val="0"/>
                <w:sz w:val="16"/>
              </w:rPr>
              <w:t>Long-term sustainability</w:t>
            </w:r>
          </w:p>
        </w:tc>
        <w:tc>
          <w:tcPr>
            <w:tcW w:type="dxa" w:w="6520"/>
            <w:vAlign w:val="top"/>
            <w:shd w:val="clear" w:color="auto" w:fill="FDF0F7"/>
          </w:tcPr>
          <w:p>
            <w:pPr>
              <w:spacing w:after="20" w:line="252" w:lineRule="auto"/>
            </w:pPr>
            <w:r>
              <w:rPr>
                <w:b w:val="0"/>
                <w:i w:val="0"/>
                <w:sz w:val="16"/>
              </w:rPr>
              <w:t>Five years of support with yearly increases capped at 5%, maintained documentation, IIFT-specific source code with every release and an option to take the platform source code.</w:t>
            </w:r>
          </w:p>
        </w:tc>
      </w:tr>
    </w:tbl>
    <w:p>
      <w:pPr>
        <w:spacing w:after="0" w:before="0"/>
      </w:pPr>
      <w:r>
        <w:rPr>
          <w:sz w:val="8"/>
        </w:rPr>
      </w:r>
    </w:p>
    <w:p>
      <w:pPr>
        <w:pStyle w:val="Heading2"/>
      </w:pPr>
      <w:r>
        <w:t>2.3 Users and volumes</w:t>
      </w:r>
    </w:p>
    <w:p>
      <w:pPr>
        <w:keepNext w:val="0"/>
      </w:pPr>
      <w:r>
        <w:rPr>
          <w:b w:val="0"/>
          <w:i w:val="0"/>
        </w:rPr>
        <w:t>Appendix 1 lists 26 named users and Appendix 2 projects 628 policies a year within five years. These volumes are small for a relational database and two application servers, so we size for 100 concurrent and 500 named users and ten times the projected volume (NFR-02, NFR-03, NFR-06, NFR-07).</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3969"/>
        <w:gridCol w:w="2835"/>
      </w:tblGrid>
      <w:tr>
        <w:trPr>
          <w:cantSplit/>
          <w:tblHeader/>
        </w:trPr>
        <w:tc>
          <w:tcPr>
            <w:tcW w:type="dxa" w:w="2835"/>
            <w:shd w:val="clear" w:color="auto" w:fill="E1058C"/>
            <w:vAlign w:val="center"/>
          </w:tcPr>
          <w:p>
            <w:pPr>
              <w:spacing w:after="0"/>
            </w:pPr>
            <w:r>
              <w:rPr>
                <w:b/>
                <w:i w:val="0"/>
                <w:color w:val="FFFFFF"/>
                <w:sz w:val="17"/>
              </w:rPr>
              <w:t>Company</w:t>
            </w:r>
          </w:p>
        </w:tc>
        <w:tc>
          <w:tcPr>
            <w:tcW w:type="dxa" w:w="3969"/>
            <w:shd w:val="clear" w:color="auto" w:fill="E1058C"/>
            <w:vAlign w:val="center"/>
          </w:tcPr>
          <w:p>
            <w:pPr>
              <w:spacing w:after="0"/>
            </w:pPr>
            <w:r>
              <w:rPr>
                <w:b/>
                <w:i w:val="0"/>
                <w:color w:val="FFFFFF"/>
                <w:sz w:val="17"/>
              </w:rPr>
              <w:t>Application</w:t>
            </w:r>
          </w:p>
        </w:tc>
        <w:tc>
          <w:tcPr>
            <w:tcW w:type="dxa" w:w="2835"/>
            <w:shd w:val="clear" w:color="auto" w:fill="E1058C"/>
            <w:vAlign w:val="center"/>
          </w:tcPr>
          <w:p>
            <w:pPr>
              <w:spacing w:after="0"/>
            </w:pPr>
            <w:r>
              <w:rPr>
                <w:b/>
                <w:i w:val="0"/>
                <w:color w:val="FFFFFF"/>
                <w:sz w:val="17"/>
              </w:rPr>
              <w:t>Expected users</w:t>
            </w:r>
          </w:p>
        </w:tc>
      </w:tr>
      <w:tr>
        <w:trPr>
          <w:cantSplit/>
        </w:trPr>
        <w:tc>
          <w:tcPr>
            <w:tcW w:type="dxa" w:w="2835"/>
            <w:vAlign w:val="top"/>
          </w:tcPr>
          <w:p>
            <w:pPr>
              <w:spacing w:after="20" w:line="252" w:lineRule="auto"/>
            </w:pPr>
            <w:r>
              <w:rPr>
                <w:b w:val="0"/>
                <w:i w:val="0"/>
                <w:sz w:val="17"/>
              </w:rPr>
              <w:t>Bank</w:t>
            </w:r>
          </w:p>
        </w:tc>
        <w:tc>
          <w:tcPr>
            <w:tcW w:type="dxa" w:w="3969"/>
            <w:vAlign w:val="top"/>
          </w:tcPr>
          <w:p>
            <w:pPr>
              <w:spacing w:after="20" w:line="252" w:lineRule="auto"/>
            </w:pPr>
            <w:r>
              <w:rPr>
                <w:b w:val="0"/>
                <w:i w:val="0"/>
                <w:sz w:val="17"/>
              </w:rPr>
              <w:t>Portal</w:t>
            </w:r>
          </w:p>
        </w:tc>
        <w:tc>
          <w:tcPr>
            <w:tcW w:type="dxa" w:w="2835"/>
            <w:vAlign w:val="top"/>
          </w:tcPr>
          <w:p>
            <w:pPr>
              <w:spacing w:after="20" w:line="252" w:lineRule="auto"/>
              <w:jc w:val="center"/>
            </w:pPr>
            <w:r>
              <w:rPr>
                <w:b w:val="0"/>
                <w:i w:val="0"/>
                <w:sz w:val="17"/>
              </w:rPr>
              <w:t>12</w:t>
            </w:r>
          </w:p>
        </w:tc>
      </w:tr>
      <w:tr>
        <w:trPr>
          <w:cantSplit/>
        </w:trPr>
        <w:tc>
          <w:tcPr>
            <w:tcW w:type="dxa" w:w="2835"/>
            <w:vAlign w:val="top"/>
            <w:shd w:val="clear" w:color="auto" w:fill="FDF0F7"/>
          </w:tcPr>
          <w:p>
            <w:pPr>
              <w:spacing w:after="20" w:line="252" w:lineRule="auto"/>
            </w:pPr>
            <w:r>
              <w:rPr>
                <w:b w:val="0"/>
                <w:i w:val="0"/>
                <w:sz w:val="17"/>
              </w:rPr>
              <w:t>IIFT</w:t>
            </w:r>
          </w:p>
        </w:tc>
        <w:tc>
          <w:tcPr>
            <w:tcW w:type="dxa" w:w="3969"/>
            <w:vAlign w:val="top"/>
            <w:shd w:val="clear" w:color="auto" w:fill="FDF0F7"/>
          </w:tcPr>
          <w:p>
            <w:pPr>
              <w:spacing w:after="20" w:line="252" w:lineRule="auto"/>
            </w:pPr>
            <w:r>
              <w:rPr>
                <w:b w:val="0"/>
                <w:i w:val="0"/>
                <w:sz w:val="17"/>
              </w:rPr>
              <w:t>Back-office (Admin)</w:t>
            </w:r>
          </w:p>
        </w:tc>
        <w:tc>
          <w:tcPr>
            <w:tcW w:type="dxa" w:w="2835"/>
            <w:vAlign w:val="top"/>
            <w:shd w:val="clear" w:color="auto" w:fill="FDF0F7"/>
          </w:tcPr>
          <w:p>
            <w:pPr>
              <w:spacing w:after="20" w:line="252" w:lineRule="auto"/>
              <w:jc w:val="center"/>
            </w:pPr>
            <w:r>
              <w:rPr>
                <w:b w:val="0"/>
                <w:i w:val="0"/>
                <w:sz w:val="17"/>
              </w:rPr>
              <w:t>5</w:t>
            </w:r>
          </w:p>
        </w:tc>
      </w:tr>
      <w:tr>
        <w:trPr>
          <w:cantSplit/>
        </w:trPr>
        <w:tc>
          <w:tcPr>
            <w:tcW w:type="dxa" w:w="2835"/>
            <w:vAlign w:val="top"/>
          </w:tcPr>
          <w:p>
            <w:pPr>
              <w:spacing w:after="20" w:line="252" w:lineRule="auto"/>
            </w:pPr>
            <w:r>
              <w:rPr>
                <w:b w:val="0"/>
                <w:i w:val="0"/>
                <w:sz w:val="17"/>
              </w:rPr>
              <w:t>IIFT</w:t>
            </w:r>
          </w:p>
        </w:tc>
        <w:tc>
          <w:tcPr>
            <w:tcW w:type="dxa" w:w="3969"/>
            <w:vAlign w:val="top"/>
          </w:tcPr>
          <w:p>
            <w:pPr>
              <w:spacing w:after="20" w:line="252" w:lineRule="auto"/>
            </w:pPr>
            <w:r>
              <w:rPr>
                <w:b w:val="0"/>
                <w:i w:val="0"/>
                <w:sz w:val="17"/>
              </w:rPr>
              <w:t>Portal</w:t>
            </w:r>
          </w:p>
        </w:tc>
        <w:tc>
          <w:tcPr>
            <w:tcW w:type="dxa" w:w="2835"/>
            <w:vAlign w:val="top"/>
          </w:tcPr>
          <w:p>
            <w:pPr>
              <w:spacing w:after="20" w:line="252" w:lineRule="auto"/>
              <w:jc w:val="center"/>
            </w:pPr>
            <w:r>
              <w:rPr>
                <w:b w:val="0"/>
                <w:i w:val="0"/>
                <w:sz w:val="17"/>
              </w:rPr>
              <w:t>5</w:t>
            </w:r>
          </w:p>
        </w:tc>
      </w:tr>
      <w:tr>
        <w:trPr>
          <w:cantSplit/>
        </w:trPr>
        <w:tc>
          <w:tcPr>
            <w:tcW w:type="dxa" w:w="2835"/>
            <w:vAlign w:val="top"/>
            <w:shd w:val="clear" w:color="auto" w:fill="FDF0F7"/>
          </w:tcPr>
          <w:p>
            <w:pPr>
              <w:spacing w:after="20" w:line="252" w:lineRule="auto"/>
            </w:pPr>
            <w:r>
              <w:rPr>
                <w:b w:val="0"/>
                <w:i w:val="0"/>
                <w:sz w:val="17"/>
              </w:rPr>
              <w:t>Agent</w:t>
            </w:r>
          </w:p>
        </w:tc>
        <w:tc>
          <w:tcPr>
            <w:tcW w:type="dxa" w:w="3969"/>
            <w:vAlign w:val="top"/>
            <w:shd w:val="clear" w:color="auto" w:fill="FDF0F7"/>
          </w:tcPr>
          <w:p>
            <w:pPr>
              <w:spacing w:after="20" w:line="252" w:lineRule="auto"/>
            </w:pPr>
            <w:r>
              <w:rPr>
                <w:b w:val="0"/>
                <w:i w:val="0"/>
                <w:sz w:val="17"/>
              </w:rPr>
              <w:t>Portal</w:t>
            </w:r>
          </w:p>
        </w:tc>
        <w:tc>
          <w:tcPr>
            <w:tcW w:type="dxa" w:w="2835"/>
            <w:vAlign w:val="top"/>
            <w:shd w:val="clear" w:color="auto" w:fill="FDF0F7"/>
          </w:tcPr>
          <w:p>
            <w:pPr>
              <w:spacing w:after="20" w:line="252" w:lineRule="auto"/>
              <w:jc w:val="center"/>
            </w:pPr>
            <w:r>
              <w:rPr>
                <w:b w:val="0"/>
                <w:i w:val="0"/>
                <w:sz w:val="17"/>
              </w:rPr>
              <w:t>4</w:t>
            </w:r>
          </w:p>
        </w:tc>
      </w:tr>
      <w:tr>
        <w:trPr>
          <w:cantSplit/>
        </w:trPr>
        <w:tc>
          <w:tcPr>
            <w:tcW w:type="dxa" w:w="2835"/>
            <w:vAlign w:val="top"/>
            <w:shd w:val="clear" w:color="auto" w:fill="FEEBDD"/>
          </w:tcPr>
          <w:p>
            <w:pPr>
              <w:spacing w:after="20" w:line="252" w:lineRule="auto"/>
            </w:pPr>
            <w:r>
              <w:rPr>
                <w:b/>
                <w:i w:val="0"/>
                <w:sz w:val="17"/>
              </w:rPr>
              <w:t>Total</w:t>
            </w:r>
          </w:p>
        </w:tc>
        <w:tc>
          <w:tcPr>
            <w:tcW w:type="dxa" w:w="3969"/>
            <w:vAlign w:val="top"/>
            <w:shd w:val="clear" w:color="auto" w:fill="FEEBDD"/>
          </w:tcPr>
          <w:p>
            <w:pPr>
              <w:spacing w:after="20" w:line="252" w:lineRule="auto"/>
            </w:pPr>
          </w:p>
        </w:tc>
        <w:tc>
          <w:tcPr>
            <w:tcW w:type="dxa" w:w="2835"/>
            <w:vAlign w:val="top"/>
            <w:shd w:val="clear" w:color="auto" w:fill="FEEBDD"/>
          </w:tcPr>
          <w:p>
            <w:pPr>
              <w:spacing w:after="20" w:line="252" w:lineRule="auto"/>
              <w:jc w:val="center"/>
            </w:pPr>
            <w:r>
              <w:rPr>
                <w:b/>
                <w:i w:val="0"/>
                <w:sz w:val="17"/>
              </w:rPr>
              <w:t>26</w:t>
            </w:r>
          </w:p>
        </w:tc>
      </w:tr>
    </w:tbl>
    <w:p>
      <w:pPr>
        <w:pStyle w:val="Caption"/>
        <w:jc w:val="center"/>
      </w:pPr>
      <w:r>
        <w:rPr>
          <w:b w:val="0"/>
          <w:i w:val="0"/>
        </w:rPr>
        <w:t>Table 2: Expected users (RFP Appendix 1)</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84"/>
        <w:gridCol w:w="3685"/>
        <w:gridCol w:w="1134"/>
        <w:gridCol w:w="1417"/>
        <w:gridCol w:w="1417"/>
      </w:tblGrid>
      <w:tr>
        <w:trPr>
          <w:cantSplit/>
          <w:tblHeader/>
        </w:trPr>
        <w:tc>
          <w:tcPr>
            <w:tcW w:type="dxa" w:w="1984"/>
            <w:shd w:val="clear" w:color="auto" w:fill="E1058C"/>
            <w:vAlign w:val="center"/>
          </w:tcPr>
          <w:p>
            <w:pPr>
              <w:spacing w:after="0"/>
            </w:pPr>
            <w:r>
              <w:rPr>
                <w:b/>
                <w:i w:val="0"/>
                <w:color w:val="FFFFFF"/>
                <w:sz w:val="16"/>
              </w:rPr>
              <w:t>Line of business</w:t>
            </w:r>
          </w:p>
        </w:tc>
        <w:tc>
          <w:tcPr>
            <w:tcW w:type="dxa" w:w="3685"/>
            <w:shd w:val="clear" w:color="auto" w:fill="E1058C"/>
            <w:vAlign w:val="center"/>
          </w:tcPr>
          <w:p>
            <w:pPr>
              <w:spacing w:after="0"/>
            </w:pPr>
            <w:r>
              <w:rPr>
                <w:b/>
                <w:i w:val="0"/>
                <w:color w:val="FFFFFF"/>
                <w:sz w:val="16"/>
              </w:rPr>
              <w:t>Product</w:t>
            </w:r>
          </w:p>
        </w:tc>
        <w:tc>
          <w:tcPr>
            <w:tcW w:type="dxa" w:w="1134"/>
            <w:shd w:val="clear" w:color="auto" w:fill="E1058C"/>
            <w:vAlign w:val="center"/>
          </w:tcPr>
          <w:p>
            <w:pPr>
              <w:spacing w:after="0"/>
            </w:pPr>
            <w:r>
              <w:rPr>
                <w:b/>
                <w:i w:val="0"/>
                <w:color w:val="FFFFFF"/>
                <w:sz w:val="16"/>
              </w:rPr>
              <w:t>2025</w:t>
            </w:r>
          </w:p>
        </w:tc>
        <w:tc>
          <w:tcPr>
            <w:tcW w:type="dxa" w:w="1417"/>
            <w:shd w:val="clear" w:color="auto" w:fill="E1058C"/>
            <w:vAlign w:val="center"/>
          </w:tcPr>
          <w:p>
            <w:pPr>
              <w:spacing w:after="0"/>
            </w:pPr>
            <w:r>
              <w:rPr>
                <w:b/>
                <w:i w:val="0"/>
                <w:color w:val="FFFFFF"/>
                <w:sz w:val="16"/>
              </w:rPr>
              <w:t>2026 (to July)</w:t>
            </w:r>
          </w:p>
        </w:tc>
        <w:tc>
          <w:tcPr>
            <w:tcW w:type="dxa" w:w="1417"/>
            <w:shd w:val="clear" w:color="auto" w:fill="E1058C"/>
            <w:vAlign w:val="center"/>
          </w:tcPr>
          <w:p>
            <w:pPr>
              <w:spacing w:after="0"/>
            </w:pPr>
            <w:r>
              <w:rPr>
                <w:b/>
                <w:i w:val="0"/>
                <w:color w:val="FFFFFF"/>
                <w:sz w:val="16"/>
              </w:rPr>
              <w:t>Projected in 5 years</w:t>
            </w:r>
          </w:p>
        </w:tc>
      </w:tr>
      <w:tr>
        <w:trPr>
          <w:cantSplit/>
        </w:trPr>
        <w:tc>
          <w:tcPr>
            <w:tcW w:type="dxa" w:w="1984"/>
            <w:vAlign w:val="top"/>
          </w:tcPr>
          <w:p>
            <w:pPr>
              <w:spacing w:after="20" w:line="252" w:lineRule="auto"/>
            </w:pPr>
            <w:r>
              <w:rPr>
                <w:b w:val="0"/>
                <w:i w:val="0"/>
                <w:sz w:val="16"/>
              </w:rPr>
              <w:t>Mortgage Takaful</w:t>
            </w:r>
          </w:p>
        </w:tc>
        <w:tc>
          <w:tcPr>
            <w:tcW w:type="dxa" w:w="3685"/>
            <w:vAlign w:val="top"/>
          </w:tcPr>
          <w:p>
            <w:pPr>
              <w:spacing w:after="20" w:line="252" w:lineRule="auto"/>
            </w:pPr>
            <w:r>
              <w:rPr>
                <w:b w:val="0"/>
                <w:i w:val="0"/>
                <w:sz w:val="16"/>
              </w:rPr>
              <w:t>Financing Takaful Plan – Hire Purchaser</w:t>
            </w:r>
          </w:p>
        </w:tc>
        <w:tc>
          <w:tcPr>
            <w:tcW w:type="dxa" w:w="1134"/>
            <w:vAlign w:val="top"/>
          </w:tcPr>
          <w:p>
            <w:pPr>
              <w:spacing w:after="20" w:line="252" w:lineRule="auto"/>
              <w:jc w:val="center"/>
            </w:pPr>
            <w:r>
              <w:rPr>
                <w:b w:val="0"/>
                <w:i w:val="0"/>
                <w:sz w:val="16"/>
              </w:rPr>
              <w:t>59</w:t>
            </w:r>
          </w:p>
        </w:tc>
        <w:tc>
          <w:tcPr>
            <w:tcW w:type="dxa" w:w="1417"/>
            <w:vAlign w:val="top"/>
          </w:tcPr>
          <w:p>
            <w:pPr>
              <w:spacing w:after="20" w:line="252" w:lineRule="auto"/>
              <w:jc w:val="center"/>
            </w:pPr>
            <w:r>
              <w:rPr>
                <w:b w:val="0"/>
                <w:i w:val="0"/>
                <w:sz w:val="16"/>
              </w:rPr>
              <w:t>16</w:t>
            </w:r>
          </w:p>
        </w:tc>
        <w:tc>
          <w:tcPr>
            <w:tcW w:type="dxa" w:w="1417"/>
            <w:vAlign w:val="top"/>
          </w:tcPr>
          <w:p>
            <w:pPr>
              <w:spacing w:after="20" w:line="252" w:lineRule="auto"/>
              <w:jc w:val="center"/>
            </w:pPr>
            <w:r>
              <w:rPr>
                <w:b w:val="0"/>
                <w:i w:val="0"/>
                <w:sz w:val="16"/>
              </w:rPr>
              <w:t>75</w:t>
            </w:r>
          </w:p>
        </w:tc>
      </w:tr>
      <w:tr>
        <w:trPr>
          <w:cantSplit/>
        </w:trPr>
        <w:tc>
          <w:tcPr>
            <w:tcW w:type="dxa" w:w="1984"/>
            <w:vAlign w:val="top"/>
            <w:shd w:val="clear" w:color="auto" w:fill="FDF0F7"/>
          </w:tcPr>
          <w:p>
            <w:pPr>
              <w:spacing w:after="20" w:line="252" w:lineRule="auto"/>
            </w:pPr>
            <w:r>
              <w:rPr>
                <w:b w:val="0"/>
                <w:i w:val="0"/>
                <w:sz w:val="16"/>
              </w:rPr>
              <w:t>Mortgage Takaful</w:t>
            </w:r>
          </w:p>
        </w:tc>
        <w:tc>
          <w:tcPr>
            <w:tcW w:type="dxa" w:w="3685"/>
            <w:vAlign w:val="top"/>
            <w:shd w:val="clear" w:color="auto" w:fill="FDF0F7"/>
          </w:tcPr>
          <w:p>
            <w:pPr>
              <w:spacing w:after="20" w:line="252" w:lineRule="auto"/>
            </w:pPr>
            <w:r>
              <w:rPr>
                <w:b w:val="0"/>
                <w:i w:val="0"/>
                <w:sz w:val="16"/>
              </w:rPr>
              <w:t>Financing Takaful Plan – Non-Participating</w:t>
            </w:r>
          </w:p>
        </w:tc>
        <w:tc>
          <w:tcPr>
            <w:tcW w:type="dxa" w:w="1134"/>
            <w:vAlign w:val="top"/>
            <w:shd w:val="clear" w:color="auto" w:fill="FDF0F7"/>
          </w:tcPr>
          <w:p>
            <w:pPr>
              <w:spacing w:after="20" w:line="252" w:lineRule="auto"/>
              <w:jc w:val="center"/>
            </w:pPr>
            <w:r>
              <w:rPr>
                <w:b w:val="0"/>
                <w:i w:val="0"/>
                <w:sz w:val="16"/>
              </w:rPr>
              <w:t>158</w:t>
            </w:r>
          </w:p>
        </w:tc>
        <w:tc>
          <w:tcPr>
            <w:tcW w:type="dxa" w:w="1417"/>
            <w:vAlign w:val="top"/>
            <w:shd w:val="clear" w:color="auto" w:fill="FDF0F7"/>
          </w:tcPr>
          <w:p>
            <w:pPr>
              <w:spacing w:after="20" w:line="252" w:lineRule="auto"/>
              <w:jc w:val="center"/>
            </w:pPr>
            <w:r>
              <w:rPr>
                <w:b w:val="0"/>
                <w:i w:val="0"/>
                <w:sz w:val="16"/>
              </w:rPr>
              <w:t>65</w:t>
            </w:r>
          </w:p>
        </w:tc>
        <w:tc>
          <w:tcPr>
            <w:tcW w:type="dxa" w:w="1417"/>
            <w:vAlign w:val="top"/>
            <w:shd w:val="clear" w:color="auto" w:fill="FDF0F7"/>
          </w:tcPr>
          <w:p>
            <w:pPr>
              <w:spacing w:after="20" w:line="252" w:lineRule="auto"/>
              <w:jc w:val="center"/>
            </w:pPr>
            <w:r>
              <w:rPr>
                <w:b w:val="0"/>
                <w:i w:val="0"/>
                <w:sz w:val="16"/>
              </w:rPr>
              <w:t>205</w:t>
            </w:r>
          </w:p>
        </w:tc>
      </w:tr>
      <w:tr>
        <w:trPr>
          <w:cantSplit/>
        </w:trPr>
        <w:tc>
          <w:tcPr>
            <w:tcW w:type="dxa" w:w="1984"/>
            <w:vAlign w:val="top"/>
          </w:tcPr>
          <w:p>
            <w:pPr>
              <w:spacing w:after="20" w:line="252" w:lineRule="auto"/>
            </w:pPr>
            <w:r>
              <w:rPr>
                <w:b w:val="0"/>
                <w:i w:val="0"/>
                <w:sz w:val="16"/>
              </w:rPr>
              <w:t>Mortgage Takaful</w:t>
            </w:r>
          </w:p>
        </w:tc>
        <w:tc>
          <w:tcPr>
            <w:tcW w:type="dxa" w:w="3685"/>
            <w:vAlign w:val="top"/>
          </w:tcPr>
          <w:p>
            <w:pPr>
              <w:spacing w:after="20" w:line="252" w:lineRule="auto"/>
            </w:pPr>
            <w:r>
              <w:rPr>
                <w:b w:val="0"/>
                <w:i w:val="0"/>
                <w:sz w:val="16"/>
              </w:rPr>
              <w:t>Property Financing Takaful Plan</w:t>
            </w:r>
          </w:p>
        </w:tc>
        <w:tc>
          <w:tcPr>
            <w:tcW w:type="dxa" w:w="1134"/>
            <w:vAlign w:val="top"/>
          </w:tcPr>
          <w:p>
            <w:pPr>
              <w:spacing w:after="20" w:line="252" w:lineRule="auto"/>
              <w:jc w:val="center"/>
            </w:pPr>
            <w:r>
              <w:rPr>
                <w:b w:val="0"/>
                <w:i w:val="0"/>
                <w:sz w:val="16"/>
              </w:rPr>
              <w:t>88</w:t>
            </w:r>
          </w:p>
        </w:tc>
        <w:tc>
          <w:tcPr>
            <w:tcW w:type="dxa" w:w="1417"/>
            <w:vAlign w:val="top"/>
          </w:tcPr>
          <w:p>
            <w:pPr>
              <w:spacing w:after="20" w:line="252" w:lineRule="auto"/>
              <w:jc w:val="center"/>
            </w:pPr>
            <w:r>
              <w:rPr>
                <w:b w:val="0"/>
                <w:i w:val="0"/>
                <w:sz w:val="16"/>
              </w:rPr>
              <w:t>60</w:t>
            </w:r>
          </w:p>
        </w:tc>
        <w:tc>
          <w:tcPr>
            <w:tcW w:type="dxa" w:w="1417"/>
            <w:vAlign w:val="top"/>
          </w:tcPr>
          <w:p>
            <w:pPr>
              <w:spacing w:after="20" w:line="252" w:lineRule="auto"/>
              <w:jc w:val="center"/>
            </w:pPr>
            <w:r>
              <w:rPr>
                <w:b w:val="0"/>
                <w:i w:val="0"/>
                <w:sz w:val="16"/>
              </w:rPr>
              <w:t>115</w:t>
            </w:r>
          </w:p>
        </w:tc>
      </w:tr>
      <w:tr>
        <w:trPr>
          <w:cantSplit/>
        </w:trPr>
        <w:tc>
          <w:tcPr>
            <w:tcW w:type="dxa" w:w="1984"/>
            <w:vAlign w:val="top"/>
            <w:shd w:val="clear" w:color="auto" w:fill="FDF0F7"/>
          </w:tcPr>
          <w:p>
            <w:pPr>
              <w:spacing w:after="20" w:line="252" w:lineRule="auto"/>
            </w:pPr>
            <w:r>
              <w:rPr>
                <w:b w:val="0"/>
                <w:i w:val="0"/>
                <w:sz w:val="16"/>
              </w:rPr>
              <w:t>Annual (Individual)</w:t>
            </w:r>
          </w:p>
        </w:tc>
        <w:tc>
          <w:tcPr>
            <w:tcW w:type="dxa" w:w="3685"/>
            <w:vAlign w:val="top"/>
            <w:shd w:val="clear" w:color="auto" w:fill="FDF0F7"/>
          </w:tcPr>
          <w:p>
            <w:pPr>
              <w:spacing w:after="20" w:line="252" w:lineRule="auto"/>
            </w:pPr>
            <w:r>
              <w:rPr>
                <w:b w:val="0"/>
                <w:i w:val="0"/>
                <w:sz w:val="16"/>
              </w:rPr>
              <w:t>Personal Home Assistant Takaful Plan</w:t>
            </w:r>
          </w:p>
        </w:tc>
        <w:tc>
          <w:tcPr>
            <w:tcW w:type="dxa" w:w="1134"/>
            <w:vAlign w:val="top"/>
            <w:shd w:val="clear" w:color="auto" w:fill="FDF0F7"/>
          </w:tcPr>
          <w:p>
            <w:pPr>
              <w:spacing w:after="20" w:line="252" w:lineRule="auto"/>
              <w:jc w:val="center"/>
            </w:pPr>
            <w:r>
              <w:rPr>
                <w:b w:val="0"/>
                <w:i w:val="0"/>
                <w:sz w:val="16"/>
              </w:rPr>
              <w:t>102</w:t>
            </w:r>
          </w:p>
        </w:tc>
        <w:tc>
          <w:tcPr>
            <w:tcW w:type="dxa" w:w="1417"/>
            <w:vAlign w:val="top"/>
            <w:shd w:val="clear" w:color="auto" w:fill="FDF0F7"/>
          </w:tcPr>
          <w:p>
            <w:pPr>
              <w:spacing w:after="20" w:line="252" w:lineRule="auto"/>
              <w:jc w:val="center"/>
            </w:pPr>
            <w:r>
              <w:rPr>
                <w:b w:val="0"/>
                <w:i w:val="0"/>
                <w:sz w:val="16"/>
              </w:rPr>
              <w:t>41</w:t>
            </w:r>
          </w:p>
        </w:tc>
        <w:tc>
          <w:tcPr>
            <w:tcW w:type="dxa" w:w="1417"/>
            <w:vAlign w:val="top"/>
            <w:shd w:val="clear" w:color="auto" w:fill="FDF0F7"/>
          </w:tcPr>
          <w:p>
            <w:pPr>
              <w:spacing w:after="20" w:line="252" w:lineRule="auto"/>
              <w:jc w:val="center"/>
            </w:pPr>
            <w:r>
              <w:rPr>
                <w:b w:val="0"/>
                <w:i w:val="0"/>
                <w:sz w:val="16"/>
              </w:rPr>
              <w:t>132</w:t>
            </w:r>
          </w:p>
        </w:tc>
      </w:tr>
      <w:tr>
        <w:trPr>
          <w:cantSplit/>
        </w:trPr>
        <w:tc>
          <w:tcPr>
            <w:tcW w:type="dxa" w:w="1984"/>
            <w:vAlign w:val="top"/>
          </w:tcPr>
          <w:p>
            <w:pPr>
              <w:spacing w:after="20" w:line="252" w:lineRule="auto"/>
            </w:pPr>
            <w:r>
              <w:rPr>
                <w:b w:val="0"/>
                <w:i w:val="0"/>
                <w:sz w:val="16"/>
              </w:rPr>
              <w:t>Annual (Individual)</w:t>
            </w:r>
          </w:p>
        </w:tc>
        <w:tc>
          <w:tcPr>
            <w:tcW w:type="dxa" w:w="3685"/>
            <w:vAlign w:val="top"/>
          </w:tcPr>
          <w:p>
            <w:pPr>
              <w:spacing w:after="20" w:line="252" w:lineRule="auto"/>
            </w:pPr>
            <w:r>
              <w:rPr>
                <w:b w:val="0"/>
                <w:i w:val="0"/>
                <w:sz w:val="16"/>
              </w:rPr>
              <w:t>Professional Takaful Plan</w:t>
            </w:r>
          </w:p>
        </w:tc>
        <w:tc>
          <w:tcPr>
            <w:tcW w:type="dxa" w:w="1134"/>
            <w:vAlign w:val="top"/>
          </w:tcPr>
          <w:p>
            <w:pPr>
              <w:spacing w:after="20" w:line="252" w:lineRule="auto"/>
              <w:jc w:val="center"/>
            </w:pPr>
            <w:r>
              <w:rPr>
                <w:b w:val="0"/>
                <w:i w:val="0"/>
                <w:sz w:val="16"/>
              </w:rPr>
              <w:t>40</w:t>
            </w:r>
          </w:p>
        </w:tc>
        <w:tc>
          <w:tcPr>
            <w:tcW w:type="dxa" w:w="1417"/>
            <w:vAlign w:val="top"/>
          </w:tcPr>
          <w:p>
            <w:pPr>
              <w:spacing w:after="20" w:line="252" w:lineRule="auto"/>
              <w:jc w:val="center"/>
            </w:pPr>
            <w:r>
              <w:rPr>
                <w:b w:val="0"/>
                <w:i w:val="0"/>
                <w:sz w:val="16"/>
              </w:rPr>
              <w:t>19</w:t>
            </w:r>
          </w:p>
        </w:tc>
        <w:tc>
          <w:tcPr>
            <w:tcW w:type="dxa" w:w="1417"/>
            <w:vAlign w:val="top"/>
          </w:tcPr>
          <w:p>
            <w:pPr>
              <w:spacing w:after="20" w:line="252" w:lineRule="auto"/>
              <w:jc w:val="center"/>
            </w:pPr>
            <w:r>
              <w:rPr>
                <w:b w:val="0"/>
                <w:i w:val="0"/>
                <w:sz w:val="16"/>
              </w:rPr>
              <w:t>52</w:t>
            </w:r>
          </w:p>
        </w:tc>
      </w:tr>
      <w:tr>
        <w:trPr>
          <w:cantSplit/>
        </w:trPr>
        <w:tc>
          <w:tcPr>
            <w:tcW w:type="dxa" w:w="1984"/>
            <w:vAlign w:val="top"/>
            <w:shd w:val="clear" w:color="auto" w:fill="FDF0F7"/>
          </w:tcPr>
          <w:p>
            <w:pPr>
              <w:spacing w:after="20" w:line="252" w:lineRule="auto"/>
            </w:pPr>
            <w:r>
              <w:rPr>
                <w:b w:val="0"/>
                <w:i w:val="0"/>
                <w:sz w:val="16"/>
              </w:rPr>
              <w:t>Annual (Individual)</w:t>
            </w:r>
          </w:p>
        </w:tc>
        <w:tc>
          <w:tcPr>
            <w:tcW w:type="dxa" w:w="3685"/>
            <w:vAlign w:val="top"/>
            <w:shd w:val="clear" w:color="auto" w:fill="FDF0F7"/>
          </w:tcPr>
          <w:p>
            <w:pPr>
              <w:spacing w:after="20" w:line="252" w:lineRule="auto"/>
            </w:pPr>
            <w:r>
              <w:rPr>
                <w:b w:val="0"/>
                <w:i w:val="0"/>
                <w:sz w:val="16"/>
              </w:rPr>
              <w:t>Khairat Takaful Plan</w:t>
            </w:r>
          </w:p>
        </w:tc>
        <w:tc>
          <w:tcPr>
            <w:tcW w:type="dxa" w:w="1134"/>
            <w:vAlign w:val="top"/>
            <w:shd w:val="clear" w:color="auto" w:fill="FDF0F7"/>
          </w:tcPr>
          <w:p>
            <w:pPr>
              <w:spacing w:after="20" w:line="252" w:lineRule="auto"/>
              <w:jc w:val="center"/>
            </w:pPr>
            <w:r>
              <w:rPr>
                <w:b w:val="0"/>
                <w:i w:val="0"/>
                <w:sz w:val="16"/>
              </w:rPr>
              <w:t>31</w:t>
            </w:r>
          </w:p>
        </w:tc>
        <w:tc>
          <w:tcPr>
            <w:tcW w:type="dxa" w:w="1417"/>
            <w:vAlign w:val="top"/>
            <w:shd w:val="clear" w:color="auto" w:fill="FDF0F7"/>
          </w:tcPr>
          <w:p>
            <w:pPr>
              <w:spacing w:after="20" w:line="252" w:lineRule="auto"/>
              <w:jc w:val="center"/>
            </w:pPr>
            <w:r>
              <w:rPr>
                <w:b w:val="0"/>
                <w:i w:val="0"/>
                <w:sz w:val="16"/>
              </w:rPr>
              <w:t>16</w:t>
            </w:r>
          </w:p>
        </w:tc>
        <w:tc>
          <w:tcPr>
            <w:tcW w:type="dxa" w:w="1417"/>
            <w:vAlign w:val="top"/>
            <w:shd w:val="clear" w:color="auto" w:fill="FDF0F7"/>
          </w:tcPr>
          <w:p>
            <w:pPr>
              <w:spacing w:after="20" w:line="252" w:lineRule="auto"/>
              <w:jc w:val="center"/>
            </w:pPr>
            <w:r>
              <w:rPr>
                <w:b w:val="0"/>
                <w:i w:val="0"/>
                <w:sz w:val="16"/>
              </w:rPr>
              <w:t>40</w:t>
            </w:r>
          </w:p>
        </w:tc>
      </w:tr>
      <w:tr>
        <w:trPr>
          <w:cantSplit/>
        </w:trPr>
        <w:tc>
          <w:tcPr>
            <w:tcW w:type="dxa" w:w="1984"/>
            <w:vAlign w:val="top"/>
          </w:tcPr>
          <w:p>
            <w:pPr>
              <w:spacing w:after="20" w:line="252" w:lineRule="auto"/>
            </w:pPr>
            <w:r>
              <w:rPr>
                <w:b w:val="0"/>
                <w:i w:val="0"/>
                <w:sz w:val="16"/>
              </w:rPr>
              <w:t>Annual (Individual)</w:t>
            </w:r>
          </w:p>
        </w:tc>
        <w:tc>
          <w:tcPr>
            <w:tcW w:type="dxa" w:w="3685"/>
            <w:vAlign w:val="top"/>
          </w:tcPr>
          <w:p>
            <w:pPr>
              <w:spacing w:after="20" w:line="252" w:lineRule="auto"/>
            </w:pPr>
            <w:r>
              <w:rPr>
                <w:b w:val="0"/>
                <w:i w:val="0"/>
                <w:sz w:val="16"/>
              </w:rPr>
              <w:t>Overseas Student Assist Takaful Plan</w:t>
            </w:r>
          </w:p>
        </w:tc>
        <w:tc>
          <w:tcPr>
            <w:tcW w:type="dxa" w:w="1134"/>
            <w:vAlign w:val="top"/>
          </w:tcPr>
          <w:p>
            <w:pPr>
              <w:spacing w:after="20" w:line="252" w:lineRule="auto"/>
              <w:jc w:val="center"/>
            </w:pPr>
            <w:r>
              <w:rPr>
                <w:b w:val="0"/>
                <w:i w:val="0"/>
                <w:sz w:val="16"/>
              </w:rPr>
              <w:t>7</w:t>
            </w:r>
          </w:p>
        </w:tc>
        <w:tc>
          <w:tcPr>
            <w:tcW w:type="dxa" w:w="1417"/>
            <w:vAlign w:val="top"/>
          </w:tcPr>
          <w:p>
            <w:pPr>
              <w:spacing w:after="20" w:line="252" w:lineRule="auto"/>
              <w:jc w:val="center"/>
            </w:pPr>
            <w:r>
              <w:rPr>
                <w:b w:val="0"/>
                <w:i w:val="0"/>
                <w:sz w:val="16"/>
              </w:rPr>
              <w:t>2</w:t>
            </w:r>
          </w:p>
        </w:tc>
        <w:tc>
          <w:tcPr>
            <w:tcW w:type="dxa" w:w="1417"/>
            <w:vAlign w:val="top"/>
          </w:tcPr>
          <w:p>
            <w:pPr>
              <w:spacing w:after="20" w:line="252" w:lineRule="auto"/>
              <w:jc w:val="center"/>
            </w:pPr>
            <w:r>
              <w:rPr>
                <w:b w:val="0"/>
                <w:i w:val="0"/>
                <w:sz w:val="16"/>
              </w:rPr>
              <w:t>9</w:t>
            </w:r>
          </w:p>
        </w:tc>
      </w:tr>
      <w:tr>
        <w:trPr>
          <w:cantSplit/>
        </w:trPr>
        <w:tc>
          <w:tcPr>
            <w:tcW w:type="dxa" w:w="1984"/>
            <w:vAlign w:val="top"/>
            <w:shd w:val="clear" w:color="auto" w:fill="FEEBDD"/>
          </w:tcPr>
          <w:p>
            <w:pPr>
              <w:spacing w:after="20" w:line="252" w:lineRule="auto"/>
            </w:pPr>
            <w:r>
              <w:rPr>
                <w:b/>
                <w:i w:val="0"/>
                <w:sz w:val="16"/>
              </w:rPr>
              <w:t>Total</w:t>
            </w:r>
          </w:p>
        </w:tc>
        <w:tc>
          <w:tcPr>
            <w:tcW w:type="dxa" w:w="3685"/>
            <w:vAlign w:val="top"/>
            <w:shd w:val="clear" w:color="auto" w:fill="FEEBDD"/>
          </w:tcPr>
          <w:p>
            <w:pPr>
              <w:spacing w:after="20" w:line="252" w:lineRule="auto"/>
            </w:pPr>
          </w:p>
        </w:tc>
        <w:tc>
          <w:tcPr>
            <w:tcW w:type="dxa" w:w="1134"/>
            <w:vAlign w:val="top"/>
            <w:shd w:val="clear" w:color="auto" w:fill="FEEBDD"/>
          </w:tcPr>
          <w:p>
            <w:pPr>
              <w:spacing w:after="20" w:line="252" w:lineRule="auto"/>
              <w:jc w:val="center"/>
            </w:pPr>
            <w:r>
              <w:rPr>
                <w:b/>
                <w:i w:val="0"/>
                <w:sz w:val="16"/>
              </w:rPr>
              <w:t>485</w:t>
            </w:r>
          </w:p>
        </w:tc>
        <w:tc>
          <w:tcPr>
            <w:tcW w:type="dxa" w:w="1417"/>
            <w:vAlign w:val="top"/>
            <w:shd w:val="clear" w:color="auto" w:fill="FEEBDD"/>
          </w:tcPr>
          <w:p>
            <w:pPr>
              <w:spacing w:after="20" w:line="252" w:lineRule="auto"/>
              <w:jc w:val="center"/>
            </w:pPr>
            <w:r>
              <w:rPr>
                <w:b/>
                <w:i w:val="0"/>
                <w:sz w:val="16"/>
              </w:rPr>
              <w:t>219</w:t>
            </w:r>
          </w:p>
        </w:tc>
        <w:tc>
          <w:tcPr>
            <w:tcW w:type="dxa" w:w="1417"/>
            <w:vAlign w:val="top"/>
            <w:shd w:val="clear" w:color="auto" w:fill="FEEBDD"/>
          </w:tcPr>
          <w:p>
            <w:pPr>
              <w:spacing w:after="20" w:line="252" w:lineRule="auto"/>
              <w:jc w:val="center"/>
            </w:pPr>
            <w:r>
              <w:rPr>
                <w:b/>
                <w:i w:val="0"/>
                <w:sz w:val="16"/>
              </w:rPr>
              <w:t>628</w:t>
            </w:r>
          </w:p>
        </w:tc>
      </w:tr>
    </w:tbl>
    <w:p>
      <w:pPr>
        <w:pStyle w:val="Caption"/>
        <w:jc w:val="center"/>
      </w:pPr>
      <w:r>
        <w:rPr>
          <w:b w:val="0"/>
          <w:i w:val="0"/>
        </w:rPr>
        <w:t>Table 3: Policy volumes (RFP Appendix 2)</w:t>
      </w:r>
    </w:p>
    <w:p>
      <w:pPr>
        <w:pStyle w:val="Heading2"/>
      </w:pPr>
      <w:r>
        <w:t>2.4 Business rules that shape the design</w:t>
      </w:r>
    </w:p>
    <w:p>
      <w:pPr>
        <w:pStyle w:val="ListBullet"/>
      </w:pPr>
      <w:r>
        <w:rPr>
          <w:b w:val="0"/>
          <w:i w:val="0"/>
        </w:rPr>
        <w:t xml:space="preserve">Financing above </w:t>
      </w:r>
      <w:r>
        <w:rPr>
          <w:b/>
          <w:i w:val="0"/>
        </w:rPr>
        <w:t>B$150,000</w:t>
      </w:r>
      <w:r>
        <w:rPr>
          <w:b w:val="0"/>
          <w:i w:val="0"/>
        </w:rPr>
        <w:t xml:space="preserve"> is the high-risk limit. The agent or banker cannot complete it; the case is referred to IIFT Sales (FFR01, AP-60).</w:t>
      </w:r>
    </w:p>
    <w:p>
      <w:pPr>
        <w:pStyle w:val="ListBullet"/>
      </w:pPr>
      <w:r>
        <w:rPr>
          <w:b w:val="0"/>
          <w:i w:val="0"/>
        </w:rPr>
        <w:t xml:space="preserve">A </w:t>
      </w:r>
      <w:r>
        <w:rPr>
          <w:b/>
          <w:i w:val="0"/>
        </w:rPr>
        <w:t>seven-day payment grace period</w:t>
      </w:r>
      <w:r>
        <w:rPr>
          <w:b w:val="0"/>
          <w:i w:val="0"/>
        </w:rPr>
        <w:t xml:space="preserve"> applies to issued policies. If payment is not submitted in time, every agent in that agency is blocked from issuing until it is settled (AP-42).</w:t>
      </w:r>
    </w:p>
    <w:p>
      <w:pPr>
        <w:pStyle w:val="ListBullet"/>
      </w:pPr>
      <w:r>
        <w:rPr>
          <w:b/>
          <w:i w:val="0"/>
        </w:rPr>
        <w:t>Maker-checker</w:t>
      </w:r>
      <w:r>
        <w:rPr>
          <w:b w:val="0"/>
          <w:i w:val="0"/>
        </w:rPr>
        <w:t xml:space="preserve"> covers agent registration and profile changes, participant updates, endorsements, cancellations, payment verification and AML review (BO-10, BO-17).</w:t>
      </w:r>
    </w:p>
    <w:p>
      <w:pPr>
        <w:pStyle w:val="ListBullet"/>
      </w:pPr>
      <w:r>
        <w:rPr>
          <w:b/>
          <w:i w:val="0"/>
        </w:rPr>
        <w:t>End-of-day processing</w:t>
      </w:r>
      <w:r>
        <w:rPr>
          <w:b w:val="0"/>
          <w:i w:val="0"/>
        </w:rPr>
        <w:t xml:space="preserve"> produces the daily issuance report and FIN entries, and issuance is reconciled with BRR for every product (FFR01 to FFR05).</w:t>
      </w:r>
    </w:p>
    <w:p>
      <w:pPr>
        <w:pStyle w:val="ListBullet"/>
      </w:pPr>
      <w:r>
        <w:rPr>
          <w:b w:val="0"/>
          <w:i w:val="0"/>
        </w:rPr>
        <w:t>Product eligibility differs by plan: Professional is limited to Occupational Class I, Khairat has no renewal, and Overseas Student Assist requires a Brunei citizen registered as a student and aged 65 or under.</w:t>
      </w:r>
    </w:p>
    <w:p>
      <w:pPr>
        <w:pStyle w:val="Heading1"/>
        <w:pageBreakBefore/>
        <w:pBdr>
          <w:bottom w:val="single" w:sz="12" w:space="4" w:color="F58220"/>
        </w:pBdr>
      </w:pPr>
      <w:r>
        <w:t>3. Enclosure B – Corporate Profile and Relevant Experience</w:t>
      </w:r>
    </w:p>
    <w:p>
      <w:pPr>
        <w:keepNext w:val="0"/>
      </w:pPr>
      <w:r>
        <w:rPr>
          <w:b/>
          <w:i w:val="0"/>
        </w:rPr>
        <w:t>Attached separately.</w:t>
      </w:r>
      <w:r>
        <w:rPr>
          <w:b w:val="0"/>
          <w:i w:val="0"/>
        </w:rPr>
        <w:t xml:space="preserve"> iorta TechNXT's latest corporate profile and relevant experience (invitation item b) are submitted as a separate document with this proposal.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w:t>
            </w:r>
          </w:p>
        </w:tc>
        <w:tc>
          <w:tcPr>
            <w:tcW w:type="dxa" w:w="6803"/>
          </w:tcPr>
          <w:p>
            <w:pPr>
              <w:spacing w:after="20"/>
            </w:pPr>
            <w:r>
              <w:rPr>
                <w:b w:val="0"/>
                <w:i w:val="0"/>
                <w:sz w:val="18"/>
                <w:highlight w:val="yellow"/>
              </w:rPr>
              <w:t>[File name of the corporate profile]</w:t>
            </w:r>
          </w:p>
        </w:tc>
      </w:tr>
      <w:tr>
        <w:trPr>
          <w:cantSplit/>
        </w:trPr>
        <w:tc>
          <w:tcPr>
            <w:tcW w:type="dxa" w:w="2835"/>
            <w:shd w:val="clear" w:color="auto" w:fill="FDF0F7"/>
          </w:tcPr>
          <w:p>
            <w:pPr>
              <w:spacing w:after="20"/>
            </w:pPr>
            <w:r>
              <w:rPr>
                <w:b/>
                <w:i w:val="0"/>
                <w:sz w:val="18"/>
              </w:rPr>
              <w:t>Contents</w:t>
            </w:r>
          </w:p>
        </w:tc>
        <w:tc>
          <w:tcPr>
            <w:tcW w:type="dxa" w:w="6803"/>
          </w:tcPr>
          <w:p>
            <w:pPr>
              <w:spacing w:after="20"/>
            </w:pPr>
            <w:r>
              <w:rPr>
                <w:b w:val="0"/>
                <w:i w:val="0"/>
                <w:sz w:val="18"/>
              </w:rPr>
              <w:t>Company overview, leadership, delivery capability and relevant reference projects</w:t>
            </w:r>
          </w:p>
        </w:tc>
      </w:tr>
      <w:tr>
        <w:trPr>
          <w:cantSplit/>
        </w:trPr>
        <w:tc>
          <w:tcPr>
            <w:tcW w:type="dxa" w:w="2835"/>
            <w:shd w:val="clear" w:color="auto" w:fill="FDF0F7"/>
          </w:tcPr>
          <w:p>
            <w:pPr>
              <w:spacing w:after="20"/>
            </w:pPr>
            <w:r>
              <w:rPr>
                <w:b/>
                <w:i w:val="0"/>
                <w:sz w:val="18"/>
              </w:rPr>
              <w:t>Contact</w:t>
            </w:r>
          </w:p>
        </w:tc>
        <w:tc>
          <w:tcPr>
            <w:tcW w:type="dxa" w:w="6803"/>
          </w:tcPr>
          <w:p>
            <w:pPr>
              <w:spacing w:after="20"/>
            </w:pPr>
            <w:r>
              <w:rPr>
                <w:b w:val="0"/>
                <w:i w:val="0"/>
                <w:sz w:val="18"/>
                <w:highlight w:val="yellow"/>
              </w:rPr>
              <w:t>[Name, designation, e-mail, telephone]</w:t>
            </w:r>
          </w:p>
        </w:tc>
      </w:tr>
    </w:tbl>
    <w:p>
      <w:pPr>
        <w:pStyle w:val="Caption"/>
        <w:jc w:val="center"/>
      </w:pPr>
      <w:r>
        <w:rPr>
          <w:b w:val="0"/>
          <w:i w:val="0"/>
        </w:rPr>
        <w:t>Table 4: Enclosure B</w:t>
      </w:r>
    </w:p>
    <w:p>
      <w:pPr>
        <w:pStyle w:val="Heading1"/>
        <w:pageBreakBefore w:val="0"/>
        <w:pBdr>
          <w:bottom w:val="single" w:sz="12" w:space="4" w:color="F58220"/>
        </w:pBdr>
      </w:pPr>
      <w:r>
        <w:t>4. Enclosure C – Business Registration Certificate</w:t>
      </w:r>
    </w:p>
    <w:p>
      <w:pPr>
        <w:keepNext w:val="0"/>
      </w:pPr>
      <w:r>
        <w:rPr>
          <w:b/>
          <w:i w:val="0"/>
        </w:rPr>
        <w:t>Attached separately.</w:t>
      </w:r>
      <w:r>
        <w:rPr>
          <w:b w:val="0"/>
          <w:i w:val="0"/>
        </w:rPr>
        <w:t xml:space="preserve"> A certified copy of iorta TechNXT's business registration certificate (invitation item c) is submitted with this proposal.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w:t>
            </w:r>
          </w:p>
        </w:tc>
        <w:tc>
          <w:tcPr>
            <w:tcW w:type="dxa" w:w="6803"/>
          </w:tcPr>
          <w:p>
            <w:pPr>
              <w:spacing w:after="20"/>
            </w:pPr>
            <w:r>
              <w:rPr>
                <w:b w:val="0"/>
                <w:i w:val="0"/>
                <w:sz w:val="18"/>
                <w:highlight w:val="yellow"/>
              </w:rPr>
              <w:t>[File name of the certificate]</w:t>
            </w:r>
          </w:p>
        </w:tc>
      </w:tr>
      <w:tr>
        <w:trPr>
          <w:cantSplit/>
        </w:trPr>
        <w:tc>
          <w:tcPr>
            <w:tcW w:type="dxa" w:w="2835"/>
            <w:shd w:val="clear" w:color="auto" w:fill="FDF0F7"/>
          </w:tcPr>
          <w:p>
            <w:pPr>
              <w:spacing w:after="20"/>
            </w:pPr>
            <w:r>
              <w:rPr>
                <w:b/>
                <w:i w:val="0"/>
                <w:sz w:val="18"/>
              </w:rPr>
              <w:t>Business registration no.</w:t>
            </w:r>
          </w:p>
        </w:tc>
        <w:tc>
          <w:tcPr>
            <w:tcW w:type="dxa" w:w="6803"/>
          </w:tcPr>
          <w:p>
            <w:pPr>
              <w:spacing w:after="20"/>
            </w:pPr>
            <w:r>
              <w:rPr>
                <w:b w:val="0"/>
                <w:i w:val="0"/>
                <w:sz w:val="18"/>
                <w:highlight w:val="yellow"/>
              </w:rPr>
              <w:t>[Business registration no.]</w:t>
            </w:r>
          </w:p>
        </w:tc>
      </w:tr>
    </w:tbl>
    <w:p>
      <w:pPr>
        <w:pStyle w:val="Caption"/>
        <w:jc w:val="center"/>
      </w:pPr>
      <w:r>
        <w:rPr>
          <w:b w:val="0"/>
          <w:i w:val="0"/>
        </w:rPr>
        <w:t>Table 5: Enclosure C</w:t>
      </w:r>
    </w:p>
    <w:p>
      <w:pPr>
        <w:pStyle w:val="Heading1"/>
        <w:pageBreakBefore/>
        <w:pBdr>
          <w:bottom w:val="single" w:sz="12" w:space="4" w:color="F58220"/>
        </w:pBdr>
      </w:pPr>
      <w:r>
        <w:t>5. Scope of Work</w:t>
      </w:r>
    </w:p>
    <w:p>
      <w:pPr>
        <w:keepNext w:val="0"/>
      </w:pPr>
      <w:r>
        <w:rPr>
          <w:b w:val="0"/>
          <w:i w:val="0"/>
        </w:rPr>
        <w:t>We will configure, integrate, test, deploy and support SalesVerse 2.0 as the IIFT Agent/Banca Portal &amp; Back-office, with training, documentation, a six-month warranty and five years of maintenance. This chapter follows the RFP structure. For each item it states what we deliver, how, and the evidence IIFT uses to accept it. Fitment against the working platform is in Section 6; the per-ID matrix is in Annex A.</w:t>
      </w:r>
    </w:p>
    <w:p>
      <w:pPr>
        <w:pStyle w:val="Heading2"/>
      </w:pPr>
      <w:r>
        <w:t>5.1 In-scope components (RFP 3.1)</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396"/>
        <w:gridCol w:w="1644"/>
        <w:gridCol w:w="2835"/>
        <w:gridCol w:w="2835"/>
        <w:gridCol w:w="1927"/>
      </w:tblGrid>
      <w:tr>
        <w:trPr>
          <w:cantSplit/>
          <w:tblHeader/>
        </w:trPr>
        <w:tc>
          <w:tcPr>
            <w:tcW w:type="dxa" w:w="397"/>
            <w:shd w:val="clear" w:color="auto" w:fill="E1058C"/>
            <w:vAlign w:val="center"/>
          </w:tcPr>
          <w:p>
            <w:pPr>
              <w:spacing w:after="0"/>
            </w:pPr>
            <w:r>
              <w:rPr>
                <w:b/>
                <w:i w:val="0"/>
                <w:color w:val="FFFFFF"/>
                <w:sz w:val="15"/>
              </w:rPr>
              <w:t>#</w:t>
            </w:r>
          </w:p>
        </w:tc>
        <w:tc>
          <w:tcPr>
            <w:tcW w:type="dxa" w:w="1644"/>
            <w:shd w:val="clear" w:color="auto" w:fill="E1058C"/>
            <w:vAlign w:val="center"/>
          </w:tcPr>
          <w:p>
            <w:pPr>
              <w:spacing w:after="0"/>
            </w:pPr>
            <w:r>
              <w:rPr>
                <w:b/>
                <w:i w:val="0"/>
                <w:color w:val="FFFFFF"/>
                <w:sz w:val="15"/>
              </w:rPr>
              <w:t>Component</w:t>
            </w:r>
          </w:p>
        </w:tc>
        <w:tc>
          <w:tcPr>
            <w:tcW w:type="dxa" w:w="2835"/>
            <w:shd w:val="clear" w:color="auto" w:fill="E1058C"/>
            <w:vAlign w:val="center"/>
          </w:tcPr>
          <w:p>
            <w:pPr>
              <w:spacing w:after="0"/>
            </w:pPr>
            <w:r>
              <w:rPr>
                <w:b/>
                <w:i w:val="0"/>
                <w:color w:val="FFFFFF"/>
                <w:sz w:val="15"/>
              </w:rPr>
              <w:t>What we deliver</w:t>
            </w:r>
          </w:p>
        </w:tc>
        <w:tc>
          <w:tcPr>
            <w:tcW w:type="dxa" w:w="2835"/>
            <w:shd w:val="clear" w:color="auto" w:fill="E1058C"/>
            <w:vAlign w:val="center"/>
          </w:tcPr>
          <w:p>
            <w:pPr>
              <w:spacing w:after="0"/>
            </w:pPr>
            <w:r>
              <w:rPr>
                <w:b/>
                <w:i w:val="0"/>
                <w:color w:val="FFFFFF"/>
                <w:sz w:val="15"/>
              </w:rPr>
              <w:t>How</w:t>
            </w:r>
          </w:p>
        </w:tc>
        <w:tc>
          <w:tcPr>
            <w:tcW w:type="dxa" w:w="1928"/>
            <w:shd w:val="clear" w:color="auto" w:fill="E1058C"/>
            <w:vAlign w:val="center"/>
          </w:tcPr>
          <w:p>
            <w:pPr>
              <w:spacing w:after="0"/>
            </w:pPr>
            <w:r>
              <w:rPr>
                <w:b/>
                <w:i w:val="0"/>
                <w:color w:val="FFFFFF"/>
                <w:sz w:val="15"/>
              </w:rPr>
              <w:t>Acceptance evidence</w:t>
            </w:r>
          </w:p>
        </w:tc>
      </w:tr>
      <w:tr>
        <w:trPr>
          <w:cantSplit/>
        </w:trPr>
        <w:tc>
          <w:tcPr>
            <w:tcW w:type="dxa" w:w="397"/>
            <w:vAlign w:val="top"/>
          </w:tcPr>
          <w:p>
            <w:pPr>
              <w:spacing w:after="20" w:line="252" w:lineRule="auto"/>
              <w:jc w:val="center"/>
            </w:pPr>
            <w:r>
              <w:rPr>
                <w:b w:val="0"/>
                <w:i w:val="0"/>
                <w:sz w:val="15"/>
              </w:rPr>
              <w:t>1</w:t>
            </w:r>
          </w:p>
        </w:tc>
        <w:tc>
          <w:tcPr>
            <w:tcW w:type="dxa" w:w="1644"/>
            <w:vAlign w:val="top"/>
          </w:tcPr>
          <w:p>
            <w:pPr>
              <w:spacing w:after="20" w:line="252" w:lineRule="auto"/>
            </w:pPr>
            <w:r>
              <w:rPr>
                <w:b w:val="0"/>
                <w:i w:val="0"/>
                <w:sz w:val="15"/>
              </w:rPr>
              <w:t>Agent/Banca Portal</w:t>
            </w:r>
          </w:p>
        </w:tc>
        <w:tc>
          <w:tcPr>
            <w:tcW w:type="dxa" w:w="2835"/>
            <w:vAlign w:val="top"/>
          </w:tcPr>
          <w:p>
            <w:pPr>
              <w:spacing w:after="20" w:line="252" w:lineRule="auto"/>
            </w:pPr>
            <w:r>
              <w:rPr>
                <w:b w:val="0"/>
                <w:i w:val="0"/>
                <w:sz w:val="15"/>
              </w:rPr>
              <w:t>Web portal (/portal) for agents, main/sub-agents and bank officers</w:t>
            </w:r>
          </w:p>
        </w:tc>
        <w:tc>
          <w:tcPr>
            <w:tcW w:type="dxa" w:w="2835"/>
            <w:vAlign w:val="top"/>
          </w:tcPr>
          <w:p>
            <w:pPr>
              <w:spacing w:after="20" w:line="252" w:lineRule="auto"/>
            </w:pPr>
            <w:r>
              <w:rPr>
                <w:b w:val="0"/>
                <w:i w:val="0"/>
                <w:sz w:val="15"/>
              </w:rPr>
              <w:t>Configure the SalesVerse 2.0 portal for IIFT roles, products and branding</w:t>
            </w:r>
          </w:p>
        </w:tc>
        <w:tc>
          <w:tcPr>
            <w:tcW w:type="dxa" w:w="1928"/>
            <w:vAlign w:val="top"/>
          </w:tcPr>
          <w:p>
            <w:pPr>
              <w:spacing w:after="20" w:line="252" w:lineRule="auto"/>
            </w:pPr>
            <w:r>
              <w:rPr>
                <w:b w:val="0"/>
                <w:i w:val="0"/>
                <w:sz w:val="15"/>
              </w:rPr>
              <w:t>UAT sign-off of portal scenarios</w:t>
            </w:r>
          </w:p>
        </w:tc>
      </w:tr>
      <w:tr>
        <w:trPr>
          <w:cantSplit/>
        </w:trPr>
        <w:tc>
          <w:tcPr>
            <w:tcW w:type="dxa" w:w="397"/>
            <w:vAlign w:val="top"/>
            <w:shd w:val="clear" w:color="auto" w:fill="FDF0F7"/>
          </w:tcPr>
          <w:p>
            <w:pPr>
              <w:spacing w:after="20" w:line="252" w:lineRule="auto"/>
              <w:jc w:val="center"/>
            </w:pPr>
            <w:r>
              <w:rPr>
                <w:b w:val="0"/>
                <w:i w:val="0"/>
                <w:sz w:val="15"/>
              </w:rPr>
              <w:t>2</w:t>
            </w:r>
          </w:p>
        </w:tc>
        <w:tc>
          <w:tcPr>
            <w:tcW w:type="dxa" w:w="1644"/>
            <w:vAlign w:val="top"/>
            <w:shd w:val="clear" w:color="auto" w:fill="FDF0F7"/>
          </w:tcPr>
          <w:p>
            <w:pPr>
              <w:spacing w:after="20" w:line="252" w:lineRule="auto"/>
            </w:pPr>
            <w:r>
              <w:rPr>
                <w:b w:val="0"/>
                <w:i w:val="0"/>
                <w:sz w:val="15"/>
              </w:rPr>
              <w:t>Back-office (Admin)</w:t>
            </w:r>
          </w:p>
        </w:tc>
        <w:tc>
          <w:tcPr>
            <w:tcW w:type="dxa" w:w="2835"/>
            <w:vAlign w:val="top"/>
            <w:shd w:val="clear" w:color="auto" w:fill="FDF0F7"/>
          </w:tcPr>
          <w:p>
            <w:pPr>
              <w:spacing w:after="20" w:line="252" w:lineRule="auto"/>
            </w:pPr>
            <w:r>
              <w:rPr>
                <w:b w:val="0"/>
                <w:i w:val="0"/>
                <w:sz w:val="15"/>
              </w:rPr>
              <w:t>Internal application (/backoffice) for IIFT and IITH staff</w:t>
            </w:r>
          </w:p>
        </w:tc>
        <w:tc>
          <w:tcPr>
            <w:tcW w:type="dxa" w:w="2835"/>
            <w:vAlign w:val="top"/>
            <w:shd w:val="clear" w:color="auto" w:fill="FDF0F7"/>
          </w:tcPr>
          <w:p>
            <w:pPr>
              <w:spacing w:after="20" w:line="252" w:lineRule="auto"/>
            </w:pPr>
            <w:r>
              <w:rPr>
                <w:b w:val="0"/>
                <w:i w:val="0"/>
                <w:sz w:val="15"/>
              </w:rPr>
              <w:t>Configure back-office roles, queues and dashboards; publish only on the internal network</w:t>
            </w:r>
          </w:p>
        </w:tc>
        <w:tc>
          <w:tcPr>
            <w:tcW w:type="dxa" w:w="1928"/>
            <w:vAlign w:val="top"/>
            <w:shd w:val="clear" w:color="auto" w:fill="FDF0F7"/>
          </w:tcPr>
          <w:p>
            <w:pPr>
              <w:spacing w:after="20" w:line="252" w:lineRule="auto"/>
            </w:pPr>
            <w:r>
              <w:rPr>
                <w:b w:val="0"/>
                <w:i w:val="0"/>
                <w:sz w:val="15"/>
              </w:rPr>
              <w:t>UAT sign-off; network test showing no internet exposure</w:t>
            </w:r>
          </w:p>
        </w:tc>
      </w:tr>
      <w:tr>
        <w:trPr>
          <w:cantSplit/>
        </w:trPr>
        <w:tc>
          <w:tcPr>
            <w:tcW w:type="dxa" w:w="397"/>
            <w:vAlign w:val="top"/>
          </w:tcPr>
          <w:p>
            <w:pPr>
              <w:spacing w:after="20" w:line="252" w:lineRule="auto"/>
              <w:jc w:val="center"/>
            </w:pPr>
            <w:r>
              <w:rPr>
                <w:b w:val="0"/>
                <w:i w:val="0"/>
                <w:sz w:val="15"/>
              </w:rPr>
              <w:t>3</w:t>
            </w:r>
          </w:p>
        </w:tc>
        <w:tc>
          <w:tcPr>
            <w:tcW w:type="dxa" w:w="1644"/>
            <w:vAlign w:val="top"/>
          </w:tcPr>
          <w:p>
            <w:pPr>
              <w:spacing w:after="20" w:line="252" w:lineRule="auto"/>
            </w:pPr>
            <w:r>
              <w:rPr>
                <w:b w:val="0"/>
                <w:i w:val="0"/>
                <w:sz w:val="15"/>
              </w:rPr>
              <w:t>Agent/Banca management</w:t>
            </w:r>
          </w:p>
        </w:tc>
        <w:tc>
          <w:tcPr>
            <w:tcW w:type="dxa" w:w="2835"/>
            <w:vAlign w:val="top"/>
          </w:tcPr>
          <w:p>
            <w:pPr>
              <w:spacing w:after="20" w:line="252" w:lineRule="auto"/>
            </w:pPr>
            <w:r>
              <w:rPr>
                <w:b w:val="0"/>
                <w:i w:val="0"/>
                <w:sz w:val="15"/>
              </w:rPr>
              <w:t>Registration, profile, status, agent code, hierarchy</w:t>
            </w:r>
          </w:p>
        </w:tc>
        <w:tc>
          <w:tcPr>
            <w:tcW w:type="dxa" w:w="2835"/>
            <w:vAlign w:val="top"/>
          </w:tcPr>
          <w:p>
            <w:pPr>
              <w:spacing w:after="20" w:line="252" w:lineRule="auto"/>
            </w:pPr>
            <w:r>
              <w:rPr>
                <w:b w:val="0"/>
                <w:i w:val="0"/>
                <w:sz w:val="15"/>
              </w:rPr>
              <w:t>Load agent master data; set numbering pattern and status rules</w:t>
            </w:r>
          </w:p>
        </w:tc>
        <w:tc>
          <w:tcPr>
            <w:tcW w:type="dxa" w:w="1928"/>
            <w:vAlign w:val="top"/>
          </w:tcPr>
          <w:p>
            <w:pPr>
              <w:spacing w:after="20" w:line="252" w:lineRule="auto"/>
            </w:pPr>
            <w:r>
              <w:rPr>
                <w:b w:val="0"/>
                <w:i w:val="0"/>
                <w:sz w:val="15"/>
              </w:rPr>
              <w:t>SIT cases; migrated agent reconciliation</w:t>
            </w:r>
          </w:p>
        </w:tc>
      </w:tr>
      <w:tr>
        <w:trPr>
          <w:cantSplit/>
        </w:trPr>
        <w:tc>
          <w:tcPr>
            <w:tcW w:type="dxa" w:w="397"/>
            <w:vAlign w:val="top"/>
            <w:shd w:val="clear" w:color="auto" w:fill="FDF0F7"/>
          </w:tcPr>
          <w:p>
            <w:pPr>
              <w:spacing w:after="20" w:line="252" w:lineRule="auto"/>
              <w:jc w:val="center"/>
            </w:pPr>
            <w:r>
              <w:rPr>
                <w:b w:val="0"/>
                <w:i w:val="0"/>
                <w:sz w:val="15"/>
              </w:rPr>
              <w:t>4</w:t>
            </w:r>
          </w:p>
        </w:tc>
        <w:tc>
          <w:tcPr>
            <w:tcW w:type="dxa" w:w="1644"/>
            <w:vAlign w:val="top"/>
            <w:shd w:val="clear" w:color="auto" w:fill="FDF0F7"/>
          </w:tcPr>
          <w:p>
            <w:pPr>
              <w:spacing w:after="20" w:line="252" w:lineRule="auto"/>
            </w:pPr>
            <w:r>
              <w:rPr>
                <w:b w:val="0"/>
                <w:i w:val="0"/>
                <w:sz w:val="15"/>
              </w:rPr>
              <w:t>Agency/Banca management</w:t>
            </w:r>
          </w:p>
        </w:tc>
        <w:tc>
          <w:tcPr>
            <w:tcW w:type="dxa" w:w="2835"/>
            <w:vAlign w:val="top"/>
            <w:shd w:val="clear" w:color="auto" w:fill="FDF0F7"/>
          </w:tcPr>
          <w:p>
            <w:pPr>
              <w:spacing w:after="20" w:line="252" w:lineRule="auto"/>
            </w:pPr>
            <w:r>
              <w:rPr>
                <w:b w:val="0"/>
                <w:i w:val="0"/>
                <w:sz w:val="15"/>
              </w:rPr>
              <w:t>Agencies, banks, branches and their relationships</w:t>
            </w:r>
          </w:p>
        </w:tc>
        <w:tc>
          <w:tcPr>
            <w:tcW w:type="dxa" w:w="2835"/>
            <w:vAlign w:val="top"/>
            <w:shd w:val="clear" w:color="auto" w:fill="FDF0F7"/>
          </w:tcPr>
          <w:p>
            <w:pPr>
              <w:spacing w:after="20" w:line="252" w:lineRule="auto"/>
            </w:pPr>
            <w:r>
              <w:rPr>
                <w:b w:val="0"/>
                <w:i w:val="0"/>
                <w:sz w:val="15"/>
              </w:rPr>
              <w:t>Load agency and bank structure; map hierarchy to data scopes</w:t>
            </w:r>
          </w:p>
        </w:tc>
        <w:tc>
          <w:tcPr>
            <w:tcW w:type="dxa" w:w="1928"/>
            <w:vAlign w:val="top"/>
            <w:shd w:val="clear" w:color="auto" w:fill="FDF0F7"/>
          </w:tcPr>
          <w:p>
            <w:pPr>
              <w:spacing w:after="20" w:line="252" w:lineRule="auto"/>
            </w:pPr>
            <w:r>
              <w:rPr>
                <w:b w:val="0"/>
                <w:i w:val="0"/>
                <w:sz w:val="15"/>
              </w:rPr>
              <w:t>Hierarchy review signed by Banca/Sales</w:t>
            </w:r>
          </w:p>
        </w:tc>
      </w:tr>
      <w:tr>
        <w:trPr>
          <w:cantSplit/>
        </w:trPr>
        <w:tc>
          <w:tcPr>
            <w:tcW w:type="dxa" w:w="397"/>
            <w:vAlign w:val="top"/>
          </w:tcPr>
          <w:p>
            <w:pPr>
              <w:spacing w:after="20" w:line="252" w:lineRule="auto"/>
              <w:jc w:val="center"/>
            </w:pPr>
            <w:r>
              <w:rPr>
                <w:b w:val="0"/>
                <w:i w:val="0"/>
                <w:sz w:val="15"/>
              </w:rPr>
              <w:t>5</w:t>
            </w:r>
          </w:p>
        </w:tc>
        <w:tc>
          <w:tcPr>
            <w:tcW w:type="dxa" w:w="1644"/>
            <w:vAlign w:val="top"/>
          </w:tcPr>
          <w:p>
            <w:pPr>
              <w:spacing w:after="20" w:line="252" w:lineRule="auto"/>
            </w:pPr>
            <w:r>
              <w:rPr>
                <w:b w:val="0"/>
                <w:i w:val="0"/>
                <w:sz w:val="15"/>
              </w:rPr>
              <w:t>Agent/Banca onboarding</w:t>
            </w:r>
          </w:p>
        </w:tc>
        <w:tc>
          <w:tcPr>
            <w:tcW w:type="dxa" w:w="2835"/>
            <w:vAlign w:val="top"/>
          </w:tcPr>
          <w:p>
            <w:pPr>
              <w:spacing w:after="20" w:line="252" w:lineRule="auto"/>
            </w:pPr>
            <w:r>
              <w:rPr>
                <w:b w:val="0"/>
                <w:i w:val="0"/>
                <w:sz w:val="15"/>
              </w:rPr>
              <w:t>Online application, KYC data, documents, AML, approval</w:t>
            </w:r>
          </w:p>
        </w:tc>
        <w:tc>
          <w:tcPr>
            <w:tcW w:type="dxa" w:w="2835"/>
            <w:vAlign w:val="top"/>
          </w:tcPr>
          <w:p>
            <w:pPr>
              <w:spacing w:after="20" w:line="252" w:lineRule="auto"/>
            </w:pPr>
            <w:r>
              <w:rPr>
                <w:b w:val="0"/>
                <w:i w:val="0"/>
                <w:sz w:val="15"/>
              </w:rPr>
              <w:t>Configure document checklist and approval levels</w:t>
            </w:r>
          </w:p>
        </w:tc>
        <w:tc>
          <w:tcPr>
            <w:tcW w:type="dxa" w:w="1928"/>
            <w:vAlign w:val="top"/>
          </w:tcPr>
          <w:p>
            <w:pPr>
              <w:spacing w:after="20" w:line="252" w:lineRule="auto"/>
            </w:pPr>
            <w:r>
              <w:rPr>
                <w:b w:val="0"/>
                <w:i w:val="0"/>
                <w:sz w:val="15"/>
              </w:rPr>
              <w:t>Journey 1 executed in UAT</w:t>
            </w:r>
          </w:p>
        </w:tc>
      </w:tr>
      <w:tr>
        <w:trPr>
          <w:cantSplit/>
        </w:trPr>
        <w:tc>
          <w:tcPr>
            <w:tcW w:type="dxa" w:w="397"/>
            <w:vAlign w:val="top"/>
            <w:shd w:val="clear" w:color="auto" w:fill="FDF0F7"/>
          </w:tcPr>
          <w:p>
            <w:pPr>
              <w:spacing w:after="20" w:line="252" w:lineRule="auto"/>
              <w:jc w:val="center"/>
            </w:pPr>
            <w:r>
              <w:rPr>
                <w:b w:val="0"/>
                <w:i w:val="0"/>
                <w:sz w:val="15"/>
              </w:rPr>
              <w:t>6</w:t>
            </w:r>
          </w:p>
        </w:tc>
        <w:tc>
          <w:tcPr>
            <w:tcW w:type="dxa" w:w="1644"/>
            <w:vAlign w:val="top"/>
            <w:shd w:val="clear" w:color="auto" w:fill="FDF0F7"/>
          </w:tcPr>
          <w:p>
            <w:pPr>
              <w:spacing w:after="20" w:line="252" w:lineRule="auto"/>
            </w:pPr>
            <w:r>
              <w:rPr>
                <w:b w:val="0"/>
                <w:i w:val="0"/>
                <w:sz w:val="15"/>
              </w:rPr>
              <w:t>Participant management</w:t>
            </w:r>
          </w:p>
        </w:tc>
        <w:tc>
          <w:tcPr>
            <w:tcW w:type="dxa" w:w="2835"/>
            <w:vAlign w:val="top"/>
            <w:shd w:val="clear" w:color="auto" w:fill="FDF0F7"/>
          </w:tcPr>
          <w:p>
            <w:pPr>
              <w:spacing w:after="20" w:line="252" w:lineRule="auto"/>
            </w:pPr>
            <w:r>
              <w:rPr>
                <w:b w:val="0"/>
                <w:i w:val="0"/>
                <w:sz w:val="15"/>
              </w:rPr>
              <w:t>Shared participant record, search, updates with approval, AML</w:t>
            </w:r>
          </w:p>
        </w:tc>
        <w:tc>
          <w:tcPr>
            <w:tcW w:type="dxa" w:w="2835"/>
            <w:vAlign w:val="top"/>
            <w:shd w:val="clear" w:color="auto" w:fill="FDF0F7"/>
          </w:tcPr>
          <w:p>
            <w:pPr>
              <w:spacing w:after="20" w:line="252" w:lineRule="auto"/>
            </w:pPr>
            <w:r>
              <w:rPr>
                <w:b w:val="0"/>
                <w:i w:val="0"/>
                <w:sz w:val="15"/>
              </w:rPr>
              <w:t>Set search criteria, duplicate rules and update workflow</w:t>
            </w:r>
          </w:p>
        </w:tc>
        <w:tc>
          <w:tcPr>
            <w:tcW w:type="dxa" w:w="1928"/>
            <w:vAlign w:val="top"/>
            <w:shd w:val="clear" w:color="auto" w:fill="FDF0F7"/>
          </w:tcPr>
          <w:p>
            <w:pPr>
              <w:spacing w:after="20" w:line="252" w:lineRule="auto"/>
            </w:pPr>
            <w:r>
              <w:rPr>
                <w:b w:val="0"/>
                <w:i w:val="0"/>
                <w:sz w:val="15"/>
              </w:rPr>
              <w:t>SIT and UAT cases for AP-11 to AP-16</w:t>
            </w:r>
          </w:p>
        </w:tc>
      </w:tr>
      <w:tr>
        <w:trPr>
          <w:cantSplit/>
        </w:trPr>
        <w:tc>
          <w:tcPr>
            <w:tcW w:type="dxa" w:w="397"/>
            <w:vAlign w:val="top"/>
          </w:tcPr>
          <w:p>
            <w:pPr>
              <w:spacing w:after="20" w:line="252" w:lineRule="auto"/>
              <w:jc w:val="center"/>
            </w:pPr>
            <w:r>
              <w:rPr>
                <w:b w:val="0"/>
                <w:i w:val="0"/>
                <w:sz w:val="15"/>
              </w:rPr>
              <w:t>7</w:t>
            </w:r>
          </w:p>
        </w:tc>
        <w:tc>
          <w:tcPr>
            <w:tcW w:type="dxa" w:w="1644"/>
            <w:vAlign w:val="top"/>
          </w:tcPr>
          <w:p>
            <w:pPr>
              <w:spacing w:after="20" w:line="252" w:lineRule="auto"/>
            </w:pPr>
            <w:r>
              <w:rPr>
                <w:b w:val="0"/>
                <w:i w:val="0"/>
                <w:sz w:val="15"/>
              </w:rPr>
              <w:t>Policy management</w:t>
            </w:r>
          </w:p>
        </w:tc>
        <w:tc>
          <w:tcPr>
            <w:tcW w:type="dxa" w:w="2835"/>
            <w:vAlign w:val="top"/>
          </w:tcPr>
          <w:p>
            <w:pPr>
              <w:spacing w:after="20" w:line="252" w:lineRule="auto"/>
            </w:pPr>
            <w:r>
              <w:rPr>
                <w:b w:val="0"/>
                <w:i w:val="0"/>
                <w:sz w:val="15"/>
              </w:rPr>
              <w:t>Seven products, quotation, drafts, issuance, statuses, servicing</w:t>
            </w:r>
          </w:p>
        </w:tc>
        <w:tc>
          <w:tcPr>
            <w:tcW w:type="dxa" w:w="2835"/>
            <w:vAlign w:val="top"/>
          </w:tcPr>
          <w:p>
            <w:pPr>
              <w:spacing w:after="20" w:line="252" w:lineRule="auto"/>
            </w:pPr>
            <w:r>
              <w:rPr>
                <w:b w:val="0"/>
                <w:i w:val="0"/>
                <w:sz w:val="15"/>
              </w:rPr>
              <w:t>Load IIFT rates, questionnaires and templates for all seven products</w:t>
            </w:r>
          </w:p>
        </w:tc>
        <w:tc>
          <w:tcPr>
            <w:tcW w:type="dxa" w:w="1928"/>
            <w:vAlign w:val="top"/>
          </w:tcPr>
          <w:p>
            <w:pPr>
              <w:spacing w:after="20" w:line="252" w:lineRule="auto"/>
            </w:pPr>
            <w:r>
              <w:rPr>
                <w:b w:val="0"/>
                <w:i w:val="0"/>
                <w:sz w:val="15"/>
              </w:rPr>
              <w:t>Rate verification sheet signed by IIFT actuarial; UAT</w:t>
            </w:r>
          </w:p>
        </w:tc>
      </w:tr>
      <w:tr>
        <w:trPr>
          <w:cantSplit/>
        </w:trPr>
        <w:tc>
          <w:tcPr>
            <w:tcW w:type="dxa" w:w="397"/>
            <w:vAlign w:val="top"/>
            <w:shd w:val="clear" w:color="auto" w:fill="FDF0F7"/>
          </w:tcPr>
          <w:p>
            <w:pPr>
              <w:spacing w:after="20" w:line="252" w:lineRule="auto"/>
              <w:jc w:val="center"/>
            </w:pPr>
            <w:r>
              <w:rPr>
                <w:b w:val="0"/>
                <w:i w:val="0"/>
                <w:sz w:val="15"/>
              </w:rPr>
              <w:t>8</w:t>
            </w:r>
          </w:p>
        </w:tc>
        <w:tc>
          <w:tcPr>
            <w:tcW w:type="dxa" w:w="1644"/>
            <w:vAlign w:val="top"/>
            <w:shd w:val="clear" w:color="auto" w:fill="FDF0F7"/>
          </w:tcPr>
          <w:p>
            <w:pPr>
              <w:spacing w:after="20" w:line="252" w:lineRule="auto"/>
            </w:pPr>
            <w:r>
              <w:rPr>
                <w:b w:val="0"/>
                <w:i w:val="0"/>
                <w:sz w:val="15"/>
              </w:rPr>
              <w:t>Billing management</w:t>
            </w:r>
          </w:p>
        </w:tc>
        <w:tc>
          <w:tcPr>
            <w:tcW w:type="dxa" w:w="2835"/>
            <w:vAlign w:val="top"/>
            <w:shd w:val="clear" w:color="auto" w:fill="FDF0F7"/>
          </w:tcPr>
          <w:p>
            <w:pPr>
              <w:spacing w:after="20" w:line="252" w:lineRule="auto"/>
            </w:pPr>
            <w:r>
              <w:rPr>
                <w:b w:val="0"/>
                <w:i w:val="0"/>
                <w:sz w:val="15"/>
              </w:rPr>
              <w:t>Payment dashboard, single and bulk payment, verification, e-Receipt, 7-day block</w:t>
            </w:r>
          </w:p>
        </w:tc>
        <w:tc>
          <w:tcPr>
            <w:tcW w:type="dxa" w:w="2835"/>
            <w:vAlign w:val="top"/>
            <w:shd w:val="clear" w:color="auto" w:fill="FDF0F7"/>
          </w:tcPr>
          <w:p>
            <w:pPr>
              <w:spacing w:after="20" w:line="252" w:lineRule="auto"/>
            </w:pPr>
            <w:r>
              <w:rPr>
                <w:b w:val="0"/>
                <w:i w:val="0"/>
                <w:sz w:val="15"/>
              </w:rPr>
              <w:t>Configure payment rules, thresholds and receipt numbering</w:t>
            </w:r>
          </w:p>
        </w:tc>
        <w:tc>
          <w:tcPr>
            <w:tcW w:type="dxa" w:w="1928"/>
            <w:vAlign w:val="top"/>
            <w:shd w:val="clear" w:color="auto" w:fill="FDF0F7"/>
          </w:tcPr>
          <w:p>
            <w:pPr>
              <w:spacing w:after="20" w:line="252" w:lineRule="auto"/>
            </w:pPr>
            <w:r>
              <w:rPr>
                <w:b w:val="0"/>
                <w:i w:val="0"/>
                <w:sz w:val="15"/>
              </w:rPr>
              <w:t>Journey 4 in UAT; grace-period test evidence</w:t>
            </w:r>
          </w:p>
        </w:tc>
      </w:tr>
      <w:tr>
        <w:trPr>
          <w:cantSplit/>
        </w:trPr>
        <w:tc>
          <w:tcPr>
            <w:tcW w:type="dxa" w:w="397"/>
            <w:vAlign w:val="top"/>
          </w:tcPr>
          <w:p>
            <w:pPr>
              <w:spacing w:after="20" w:line="252" w:lineRule="auto"/>
              <w:jc w:val="center"/>
            </w:pPr>
            <w:r>
              <w:rPr>
                <w:b w:val="0"/>
                <w:i w:val="0"/>
                <w:sz w:val="15"/>
              </w:rPr>
              <w:t>9</w:t>
            </w:r>
          </w:p>
        </w:tc>
        <w:tc>
          <w:tcPr>
            <w:tcW w:type="dxa" w:w="1644"/>
            <w:vAlign w:val="top"/>
          </w:tcPr>
          <w:p>
            <w:pPr>
              <w:spacing w:after="20" w:line="252" w:lineRule="auto"/>
            </w:pPr>
            <w:r>
              <w:rPr>
                <w:b w:val="0"/>
                <w:i w:val="0"/>
                <w:sz w:val="15"/>
              </w:rPr>
              <w:t>Claims management</w:t>
            </w:r>
          </w:p>
        </w:tc>
        <w:tc>
          <w:tcPr>
            <w:tcW w:type="dxa" w:w="2835"/>
            <w:vAlign w:val="top"/>
          </w:tcPr>
          <w:p>
            <w:pPr>
              <w:spacing w:after="20" w:line="252" w:lineRule="auto"/>
            </w:pPr>
            <w:r>
              <w:rPr>
                <w:b w:val="0"/>
                <w:i w:val="0"/>
                <w:sz w:val="15"/>
              </w:rPr>
              <w:t>Claim notification with policy validation and documents</w:t>
            </w:r>
          </w:p>
        </w:tc>
        <w:tc>
          <w:tcPr>
            <w:tcW w:type="dxa" w:w="2835"/>
            <w:vAlign w:val="top"/>
          </w:tcPr>
          <w:p>
            <w:pPr>
              <w:spacing w:after="20" w:line="252" w:lineRule="auto"/>
            </w:pPr>
            <w:r>
              <w:rPr>
                <w:b w:val="0"/>
                <w:i w:val="0"/>
                <w:sz w:val="15"/>
              </w:rPr>
              <w:t>Configure claim types and document lists</w:t>
            </w:r>
          </w:p>
        </w:tc>
        <w:tc>
          <w:tcPr>
            <w:tcW w:type="dxa" w:w="1928"/>
            <w:vAlign w:val="top"/>
          </w:tcPr>
          <w:p>
            <w:pPr>
              <w:spacing w:after="20" w:line="252" w:lineRule="auto"/>
            </w:pPr>
            <w:r>
              <w:rPr>
                <w:b w:val="0"/>
                <w:i w:val="0"/>
                <w:sz w:val="15"/>
              </w:rPr>
              <w:t>UAT cases for AP-43</w:t>
            </w:r>
          </w:p>
        </w:tc>
      </w:tr>
      <w:tr>
        <w:trPr>
          <w:cantSplit/>
        </w:trPr>
        <w:tc>
          <w:tcPr>
            <w:tcW w:type="dxa" w:w="397"/>
            <w:vAlign w:val="top"/>
            <w:shd w:val="clear" w:color="auto" w:fill="FDF0F7"/>
          </w:tcPr>
          <w:p>
            <w:pPr>
              <w:spacing w:after="20" w:line="252" w:lineRule="auto"/>
              <w:jc w:val="center"/>
            </w:pPr>
            <w:r>
              <w:rPr>
                <w:b w:val="0"/>
                <w:i w:val="0"/>
                <w:sz w:val="15"/>
              </w:rPr>
              <w:t>10</w:t>
            </w:r>
          </w:p>
        </w:tc>
        <w:tc>
          <w:tcPr>
            <w:tcW w:type="dxa" w:w="1644"/>
            <w:vAlign w:val="top"/>
            <w:shd w:val="clear" w:color="auto" w:fill="FDF0F7"/>
          </w:tcPr>
          <w:p>
            <w:pPr>
              <w:spacing w:after="20" w:line="252" w:lineRule="auto"/>
            </w:pPr>
            <w:r>
              <w:rPr>
                <w:b w:val="0"/>
                <w:i w:val="0"/>
                <w:sz w:val="15"/>
              </w:rPr>
              <w:t>AML/KYC</w:t>
            </w:r>
          </w:p>
        </w:tc>
        <w:tc>
          <w:tcPr>
            <w:tcW w:type="dxa" w:w="2835"/>
            <w:vAlign w:val="top"/>
            <w:shd w:val="clear" w:color="auto" w:fill="FDF0F7"/>
          </w:tcPr>
          <w:p>
            <w:pPr>
              <w:spacing w:after="20" w:line="252" w:lineRule="auto"/>
            </w:pPr>
            <w:r>
              <w:rPr>
                <w:b w:val="0"/>
                <w:i w:val="0"/>
                <w:sz w:val="15"/>
              </w:rPr>
              <w:t>Watch-list screening with fuzzy matching, Compliance review</w:t>
            </w:r>
          </w:p>
        </w:tc>
        <w:tc>
          <w:tcPr>
            <w:tcW w:type="dxa" w:w="2835"/>
            <w:vAlign w:val="top"/>
            <w:shd w:val="clear" w:color="auto" w:fill="FDF0F7"/>
          </w:tcPr>
          <w:p>
            <w:pPr>
              <w:spacing w:after="20" w:line="252" w:lineRule="auto"/>
            </w:pPr>
            <w:r>
              <w:rPr>
                <w:b w:val="0"/>
                <w:i w:val="0"/>
                <w:sz w:val="15"/>
              </w:rPr>
              <w:t>Connect to IIFT's AML provider or lists; set match threshold</w:t>
            </w:r>
          </w:p>
        </w:tc>
        <w:tc>
          <w:tcPr>
            <w:tcW w:type="dxa" w:w="1928"/>
            <w:vAlign w:val="top"/>
            <w:shd w:val="clear" w:color="auto" w:fill="FDF0F7"/>
          </w:tcPr>
          <w:p>
            <w:pPr>
              <w:spacing w:after="20" w:line="252" w:lineRule="auto"/>
            </w:pPr>
            <w:r>
              <w:rPr>
                <w:b w:val="0"/>
                <w:i w:val="0"/>
                <w:sz w:val="15"/>
              </w:rPr>
              <w:t>Screening test pack agreed with Compliance</w:t>
            </w:r>
          </w:p>
        </w:tc>
      </w:tr>
      <w:tr>
        <w:trPr>
          <w:cantSplit/>
        </w:trPr>
        <w:tc>
          <w:tcPr>
            <w:tcW w:type="dxa" w:w="397"/>
            <w:vAlign w:val="top"/>
          </w:tcPr>
          <w:p>
            <w:pPr>
              <w:spacing w:after="20" w:line="252" w:lineRule="auto"/>
              <w:jc w:val="center"/>
            </w:pPr>
            <w:r>
              <w:rPr>
                <w:b w:val="0"/>
                <w:i w:val="0"/>
                <w:sz w:val="15"/>
              </w:rPr>
              <w:t>11</w:t>
            </w:r>
          </w:p>
        </w:tc>
        <w:tc>
          <w:tcPr>
            <w:tcW w:type="dxa" w:w="1644"/>
            <w:vAlign w:val="top"/>
          </w:tcPr>
          <w:p>
            <w:pPr>
              <w:spacing w:after="20" w:line="252" w:lineRule="auto"/>
            </w:pPr>
            <w:r>
              <w:rPr>
                <w:b w:val="0"/>
                <w:i w:val="0"/>
                <w:sz w:val="15"/>
              </w:rPr>
              <w:t>Workflow management</w:t>
            </w:r>
          </w:p>
        </w:tc>
        <w:tc>
          <w:tcPr>
            <w:tcW w:type="dxa" w:w="2835"/>
            <w:vAlign w:val="top"/>
          </w:tcPr>
          <w:p>
            <w:pPr>
              <w:spacing w:after="20" w:line="252" w:lineRule="auto"/>
            </w:pPr>
            <w:r>
              <w:rPr>
                <w:b w:val="0"/>
                <w:i w:val="0"/>
                <w:sz w:val="15"/>
              </w:rPr>
              <w:t>Configurable workflows for all approval transactions</w:t>
            </w:r>
          </w:p>
        </w:tc>
        <w:tc>
          <w:tcPr>
            <w:tcW w:type="dxa" w:w="2835"/>
            <w:vAlign w:val="top"/>
          </w:tcPr>
          <w:p>
            <w:pPr>
              <w:spacing w:after="20" w:line="252" w:lineRule="auto"/>
            </w:pPr>
            <w:r>
              <w:rPr>
                <w:b w:val="0"/>
                <w:i w:val="0"/>
                <w:sz w:val="15"/>
              </w:rPr>
              <w:t>Load IIFT approval matrix as workflow definitions</w:t>
            </w:r>
          </w:p>
        </w:tc>
        <w:tc>
          <w:tcPr>
            <w:tcW w:type="dxa" w:w="1928"/>
            <w:vAlign w:val="top"/>
          </w:tcPr>
          <w:p>
            <w:pPr>
              <w:spacing w:after="20" w:line="252" w:lineRule="auto"/>
            </w:pPr>
            <w:r>
              <w:rPr>
                <w:b w:val="0"/>
                <w:i w:val="0"/>
                <w:sz w:val="15"/>
              </w:rPr>
              <w:t>Approval matrix sign-off; SIT cases</w:t>
            </w:r>
          </w:p>
        </w:tc>
      </w:tr>
      <w:tr>
        <w:trPr>
          <w:cantSplit/>
        </w:trPr>
        <w:tc>
          <w:tcPr>
            <w:tcW w:type="dxa" w:w="397"/>
            <w:vAlign w:val="top"/>
            <w:shd w:val="clear" w:color="auto" w:fill="FDF0F7"/>
          </w:tcPr>
          <w:p>
            <w:pPr>
              <w:spacing w:after="20" w:line="252" w:lineRule="auto"/>
              <w:jc w:val="center"/>
            </w:pPr>
            <w:r>
              <w:rPr>
                <w:b w:val="0"/>
                <w:i w:val="0"/>
                <w:sz w:val="15"/>
              </w:rPr>
              <w:t>12</w:t>
            </w:r>
          </w:p>
        </w:tc>
        <w:tc>
          <w:tcPr>
            <w:tcW w:type="dxa" w:w="1644"/>
            <w:vAlign w:val="top"/>
            <w:shd w:val="clear" w:color="auto" w:fill="FDF0F7"/>
          </w:tcPr>
          <w:p>
            <w:pPr>
              <w:spacing w:after="20" w:line="252" w:lineRule="auto"/>
            </w:pPr>
            <w:r>
              <w:rPr>
                <w:b w:val="0"/>
                <w:i w:val="0"/>
                <w:sz w:val="15"/>
              </w:rPr>
              <w:t>Maker-checker</w:t>
            </w:r>
          </w:p>
        </w:tc>
        <w:tc>
          <w:tcPr>
            <w:tcW w:type="dxa" w:w="2835"/>
            <w:vAlign w:val="top"/>
            <w:shd w:val="clear" w:color="auto" w:fill="FDF0F7"/>
          </w:tcPr>
          <w:p>
            <w:pPr>
              <w:spacing w:after="20" w:line="252" w:lineRule="auto"/>
            </w:pPr>
            <w:r>
              <w:rPr>
                <w:b w:val="0"/>
                <w:i w:val="0"/>
                <w:sz w:val="15"/>
              </w:rPr>
              <w:t>Segregation of duties on every configured transaction</w:t>
            </w:r>
          </w:p>
        </w:tc>
        <w:tc>
          <w:tcPr>
            <w:tcW w:type="dxa" w:w="2835"/>
            <w:vAlign w:val="top"/>
            <w:shd w:val="clear" w:color="auto" w:fill="FDF0F7"/>
          </w:tcPr>
          <w:p>
            <w:pPr>
              <w:spacing w:after="20" w:line="252" w:lineRule="auto"/>
            </w:pPr>
            <w:r>
              <w:rPr>
                <w:b w:val="0"/>
                <w:i w:val="0"/>
                <w:sz w:val="15"/>
              </w:rPr>
              <w:t>Assign maker and checker permissions per role</w:t>
            </w:r>
          </w:p>
        </w:tc>
        <w:tc>
          <w:tcPr>
            <w:tcW w:type="dxa" w:w="1928"/>
            <w:vAlign w:val="top"/>
            <w:shd w:val="clear" w:color="auto" w:fill="FDF0F7"/>
          </w:tcPr>
          <w:p>
            <w:pPr>
              <w:spacing w:after="20" w:line="252" w:lineRule="auto"/>
            </w:pPr>
            <w:r>
              <w:rPr>
                <w:b w:val="0"/>
                <w:i w:val="0"/>
                <w:sz w:val="15"/>
              </w:rPr>
              <w:t>Negative tests: maker cannot approve own request</w:t>
            </w:r>
          </w:p>
        </w:tc>
      </w:tr>
      <w:tr>
        <w:trPr>
          <w:cantSplit/>
        </w:trPr>
        <w:tc>
          <w:tcPr>
            <w:tcW w:type="dxa" w:w="397"/>
            <w:vAlign w:val="top"/>
          </w:tcPr>
          <w:p>
            <w:pPr>
              <w:spacing w:after="20" w:line="252" w:lineRule="auto"/>
              <w:jc w:val="center"/>
            </w:pPr>
            <w:r>
              <w:rPr>
                <w:b w:val="0"/>
                <w:i w:val="0"/>
                <w:sz w:val="15"/>
              </w:rPr>
              <w:t>13</w:t>
            </w:r>
          </w:p>
        </w:tc>
        <w:tc>
          <w:tcPr>
            <w:tcW w:type="dxa" w:w="1644"/>
            <w:vAlign w:val="top"/>
          </w:tcPr>
          <w:p>
            <w:pPr>
              <w:spacing w:after="20" w:line="252" w:lineRule="auto"/>
            </w:pPr>
            <w:r>
              <w:rPr>
                <w:b w:val="0"/>
                <w:i w:val="0"/>
                <w:sz w:val="15"/>
              </w:rPr>
              <w:t>Document management</w:t>
            </w:r>
          </w:p>
        </w:tc>
        <w:tc>
          <w:tcPr>
            <w:tcW w:type="dxa" w:w="2835"/>
            <w:vAlign w:val="top"/>
          </w:tcPr>
          <w:p>
            <w:pPr>
              <w:spacing w:after="20" w:line="252" w:lineRule="auto"/>
            </w:pPr>
            <w:r>
              <w:rPr>
                <w:b w:val="0"/>
                <w:i w:val="0"/>
                <w:sz w:val="15"/>
              </w:rPr>
              <w:t>Encrypted document store; e-Policy, schedule and e-Receipt PDFs</w:t>
            </w:r>
          </w:p>
        </w:tc>
        <w:tc>
          <w:tcPr>
            <w:tcW w:type="dxa" w:w="2835"/>
            <w:vAlign w:val="top"/>
          </w:tcPr>
          <w:p>
            <w:pPr>
              <w:spacing w:after="20" w:line="252" w:lineRule="auto"/>
            </w:pPr>
            <w:r>
              <w:rPr>
                <w:b w:val="0"/>
                <w:i w:val="0"/>
                <w:sz w:val="15"/>
              </w:rPr>
              <w:t>Load IIFT templates and wording; deploy ClamAV in each environment</w:t>
            </w:r>
          </w:p>
        </w:tc>
        <w:tc>
          <w:tcPr>
            <w:tcW w:type="dxa" w:w="1928"/>
            <w:vAlign w:val="top"/>
          </w:tcPr>
          <w:p>
            <w:pPr>
              <w:spacing w:after="20" w:line="252" w:lineRule="auto"/>
            </w:pPr>
            <w:r>
              <w:rPr>
                <w:b w:val="0"/>
                <w:i w:val="0"/>
                <w:sz w:val="15"/>
              </w:rPr>
              <w:t>Template sign-off; upload security tests</w:t>
            </w:r>
          </w:p>
        </w:tc>
      </w:tr>
      <w:tr>
        <w:trPr>
          <w:cantSplit/>
        </w:trPr>
        <w:tc>
          <w:tcPr>
            <w:tcW w:type="dxa" w:w="397"/>
            <w:vAlign w:val="top"/>
            <w:shd w:val="clear" w:color="auto" w:fill="FDF0F7"/>
          </w:tcPr>
          <w:p>
            <w:pPr>
              <w:spacing w:after="20" w:line="252" w:lineRule="auto"/>
              <w:jc w:val="center"/>
            </w:pPr>
            <w:r>
              <w:rPr>
                <w:b w:val="0"/>
                <w:i w:val="0"/>
                <w:sz w:val="15"/>
              </w:rPr>
              <w:t>14</w:t>
            </w:r>
          </w:p>
        </w:tc>
        <w:tc>
          <w:tcPr>
            <w:tcW w:type="dxa" w:w="1644"/>
            <w:vAlign w:val="top"/>
            <w:shd w:val="clear" w:color="auto" w:fill="FDF0F7"/>
          </w:tcPr>
          <w:p>
            <w:pPr>
              <w:spacing w:after="20" w:line="252" w:lineRule="auto"/>
            </w:pPr>
            <w:r>
              <w:rPr>
                <w:b w:val="0"/>
                <w:i w:val="0"/>
                <w:sz w:val="15"/>
              </w:rPr>
              <w:t>Dashboard</w:t>
            </w:r>
          </w:p>
        </w:tc>
        <w:tc>
          <w:tcPr>
            <w:tcW w:type="dxa" w:w="2835"/>
            <w:vAlign w:val="top"/>
            <w:shd w:val="clear" w:color="auto" w:fill="FDF0F7"/>
          </w:tcPr>
          <w:p>
            <w:pPr>
              <w:spacing w:after="20" w:line="252" w:lineRule="auto"/>
            </w:pPr>
            <w:r>
              <w:rPr>
                <w:b w:val="0"/>
                <w:i w:val="0"/>
                <w:sz w:val="15"/>
              </w:rPr>
              <w:t>Agent, bank, back-office and management dashboards</w:t>
            </w:r>
          </w:p>
        </w:tc>
        <w:tc>
          <w:tcPr>
            <w:tcW w:type="dxa" w:w="2835"/>
            <w:vAlign w:val="top"/>
            <w:shd w:val="clear" w:color="auto" w:fill="FDF0F7"/>
          </w:tcPr>
          <w:p>
            <w:pPr>
              <w:spacing w:after="20" w:line="252" w:lineRule="auto"/>
            </w:pPr>
            <w:r>
              <w:rPr>
                <w:b w:val="0"/>
                <w:i w:val="0"/>
                <w:sz w:val="15"/>
              </w:rPr>
              <w:t>Agree KPI definitions and targets</w:t>
            </w:r>
          </w:p>
        </w:tc>
        <w:tc>
          <w:tcPr>
            <w:tcW w:type="dxa" w:w="1928"/>
            <w:vAlign w:val="top"/>
            <w:shd w:val="clear" w:color="auto" w:fill="FDF0F7"/>
          </w:tcPr>
          <w:p>
            <w:pPr>
              <w:spacing w:after="20" w:line="252" w:lineRule="auto"/>
            </w:pPr>
            <w:r>
              <w:rPr>
                <w:b w:val="0"/>
                <w:i w:val="0"/>
                <w:sz w:val="15"/>
              </w:rPr>
              <w:t>Dashboard review in UAT</w:t>
            </w:r>
          </w:p>
        </w:tc>
      </w:tr>
      <w:tr>
        <w:trPr>
          <w:cantSplit/>
        </w:trPr>
        <w:tc>
          <w:tcPr>
            <w:tcW w:type="dxa" w:w="397"/>
            <w:vAlign w:val="top"/>
          </w:tcPr>
          <w:p>
            <w:pPr>
              <w:spacing w:after="20" w:line="252" w:lineRule="auto"/>
              <w:jc w:val="center"/>
            </w:pPr>
            <w:r>
              <w:rPr>
                <w:b w:val="0"/>
                <w:i w:val="0"/>
                <w:sz w:val="15"/>
              </w:rPr>
              <w:t>15</w:t>
            </w:r>
          </w:p>
        </w:tc>
        <w:tc>
          <w:tcPr>
            <w:tcW w:type="dxa" w:w="1644"/>
            <w:vAlign w:val="top"/>
          </w:tcPr>
          <w:p>
            <w:pPr>
              <w:spacing w:after="20" w:line="252" w:lineRule="auto"/>
            </w:pPr>
            <w:r>
              <w:rPr>
                <w:b w:val="0"/>
                <w:i w:val="0"/>
                <w:sz w:val="15"/>
              </w:rPr>
              <w:t>Reporting</w:t>
            </w:r>
          </w:p>
        </w:tc>
        <w:tc>
          <w:tcPr>
            <w:tcW w:type="dxa" w:w="2835"/>
            <w:vAlign w:val="top"/>
          </w:tcPr>
          <w:p>
            <w:pPr>
              <w:spacing w:after="20" w:line="252" w:lineRule="auto"/>
            </w:pPr>
            <w:r>
              <w:rPr>
                <w:b w:val="0"/>
                <w:i w:val="0"/>
                <w:sz w:val="15"/>
              </w:rPr>
              <w:t>Report catalogue with filters, schedules, Excel/CSV/PDF export</w:t>
            </w:r>
          </w:p>
        </w:tc>
        <w:tc>
          <w:tcPr>
            <w:tcW w:type="dxa" w:w="2835"/>
            <w:vAlign w:val="top"/>
          </w:tcPr>
          <w:p>
            <w:pPr>
              <w:spacing w:after="20" w:line="252" w:lineRule="auto"/>
            </w:pPr>
            <w:r>
              <w:rPr>
                <w:b w:val="0"/>
                <w:i w:val="0"/>
                <w:sz w:val="15"/>
              </w:rPr>
              <w:t>Configure the 12 existing reports; build the remaining catalogue items</w:t>
            </w:r>
          </w:p>
        </w:tc>
        <w:tc>
          <w:tcPr>
            <w:tcW w:type="dxa" w:w="1928"/>
            <w:vAlign w:val="top"/>
          </w:tcPr>
          <w:p>
            <w:pPr>
              <w:spacing w:after="20" w:line="252" w:lineRule="auto"/>
            </w:pPr>
            <w:r>
              <w:rPr>
                <w:b w:val="0"/>
                <w:i w:val="0"/>
                <w:sz w:val="15"/>
              </w:rPr>
              <w:t>Report sign-off against sample data</w:t>
            </w:r>
          </w:p>
        </w:tc>
      </w:tr>
      <w:tr>
        <w:trPr>
          <w:cantSplit/>
        </w:trPr>
        <w:tc>
          <w:tcPr>
            <w:tcW w:type="dxa" w:w="397"/>
            <w:vAlign w:val="top"/>
            <w:shd w:val="clear" w:color="auto" w:fill="FDF0F7"/>
          </w:tcPr>
          <w:p>
            <w:pPr>
              <w:spacing w:after="20" w:line="252" w:lineRule="auto"/>
              <w:jc w:val="center"/>
            </w:pPr>
            <w:r>
              <w:rPr>
                <w:b w:val="0"/>
                <w:i w:val="0"/>
                <w:sz w:val="15"/>
              </w:rPr>
              <w:t>16</w:t>
            </w:r>
          </w:p>
        </w:tc>
        <w:tc>
          <w:tcPr>
            <w:tcW w:type="dxa" w:w="1644"/>
            <w:vAlign w:val="top"/>
            <w:shd w:val="clear" w:color="auto" w:fill="FDF0F7"/>
          </w:tcPr>
          <w:p>
            <w:pPr>
              <w:spacing w:after="20" w:line="252" w:lineRule="auto"/>
            </w:pPr>
            <w:r>
              <w:rPr>
                <w:b w:val="0"/>
                <w:i w:val="0"/>
                <w:sz w:val="15"/>
              </w:rPr>
              <w:t>Issue management</w:t>
            </w:r>
          </w:p>
        </w:tc>
        <w:tc>
          <w:tcPr>
            <w:tcW w:type="dxa" w:w="2835"/>
            <w:vAlign w:val="top"/>
            <w:shd w:val="clear" w:color="auto" w:fill="FDF0F7"/>
          </w:tcPr>
          <w:p>
            <w:pPr>
              <w:spacing w:after="20" w:line="252" w:lineRule="auto"/>
            </w:pPr>
            <w:r>
              <w:rPr>
                <w:b w:val="0"/>
                <w:i w:val="0"/>
                <w:sz w:val="15"/>
              </w:rPr>
              <w:t>Issue reporting, assignment, priorities, SLA timers</w:t>
            </w:r>
          </w:p>
        </w:tc>
        <w:tc>
          <w:tcPr>
            <w:tcW w:type="dxa" w:w="2835"/>
            <w:vAlign w:val="top"/>
            <w:shd w:val="clear" w:color="auto" w:fill="FDF0F7"/>
          </w:tcPr>
          <w:p>
            <w:pPr>
              <w:spacing w:after="20" w:line="252" w:lineRule="auto"/>
            </w:pPr>
            <w:r>
              <w:rPr>
                <w:b w:val="0"/>
                <w:i w:val="0"/>
                <w:sz w:val="15"/>
              </w:rPr>
              <w:t>Set categories, assignment rules and SLA targets</w:t>
            </w:r>
          </w:p>
        </w:tc>
        <w:tc>
          <w:tcPr>
            <w:tcW w:type="dxa" w:w="1928"/>
            <w:vAlign w:val="top"/>
            <w:shd w:val="clear" w:color="auto" w:fill="FDF0F7"/>
          </w:tcPr>
          <w:p>
            <w:pPr>
              <w:spacing w:after="20" w:line="252" w:lineRule="auto"/>
            </w:pPr>
            <w:r>
              <w:rPr>
                <w:b w:val="0"/>
                <w:i w:val="0"/>
                <w:sz w:val="15"/>
              </w:rPr>
              <w:t>Journey 7 in UAT</w:t>
            </w:r>
          </w:p>
        </w:tc>
      </w:tr>
      <w:tr>
        <w:trPr>
          <w:cantSplit/>
        </w:trPr>
        <w:tc>
          <w:tcPr>
            <w:tcW w:type="dxa" w:w="397"/>
            <w:vAlign w:val="top"/>
          </w:tcPr>
          <w:p>
            <w:pPr>
              <w:spacing w:after="20" w:line="252" w:lineRule="auto"/>
              <w:jc w:val="center"/>
            </w:pPr>
            <w:r>
              <w:rPr>
                <w:b w:val="0"/>
                <w:i w:val="0"/>
                <w:sz w:val="15"/>
              </w:rPr>
              <w:t>17</w:t>
            </w:r>
          </w:p>
        </w:tc>
        <w:tc>
          <w:tcPr>
            <w:tcW w:type="dxa" w:w="1644"/>
            <w:vAlign w:val="top"/>
          </w:tcPr>
          <w:p>
            <w:pPr>
              <w:spacing w:after="20" w:line="252" w:lineRule="auto"/>
            </w:pPr>
            <w:r>
              <w:rPr>
                <w:b w:val="0"/>
                <w:i w:val="0"/>
                <w:sz w:val="15"/>
              </w:rPr>
              <w:t>Notification</w:t>
            </w:r>
          </w:p>
        </w:tc>
        <w:tc>
          <w:tcPr>
            <w:tcW w:type="dxa" w:w="2835"/>
            <w:vAlign w:val="top"/>
          </w:tcPr>
          <w:p>
            <w:pPr>
              <w:spacing w:after="20" w:line="252" w:lineRule="auto"/>
            </w:pPr>
            <w:r>
              <w:rPr>
                <w:b w:val="0"/>
                <w:i w:val="0"/>
                <w:sz w:val="15"/>
              </w:rPr>
              <w:t>E-mail, SMS and in-portal notifications</w:t>
            </w:r>
          </w:p>
        </w:tc>
        <w:tc>
          <w:tcPr>
            <w:tcW w:type="dxa" w:w="2835"/>
            <w:vAlign w:val="top"/>
          </w:tcPr>
          <w:p>
            <w:pPr>
              <w:spacing w:after="20" w:line="252" w:lineRule="auto"/>
            </w:pPr>
            <w:r>
              <w:rPr>
                <w:b w:val="0"/>
                <w:i w:val="0"/>
                <w:sz w:val="15"/>
              </w:rPr>
              <w:t>Connect SMTP and SMS gateway; agree templates</w:t>
            </w:r>
          </w:p>
        </w:tc>
        <w:tc>
          <w:tcPr>
            <w:tcW w:type="dxa" w:w="1928"/>
            <w:vAlign w:val="top"/>
          </w:tcPr>
          <w:p>
            <w:pPr>
              <w:spacing w:after="20" w:line="252" w:lineRule="auto"/>
            </w:pPr>
            <w:r>
              <w:rPr>
                <w:b w:val="0"/>
                <w:i w:val="0"/>
                <w:sz w:val="15"/>
              </w:rPr>
              <w:t>Notification test log</w:t>
            </w:r>
          </w:p>
        </w:tc>
      </w:tr>
      <w:tr>
        <w:trPr>
          <w:cantSplit/>
        </w:trPr>
        <w:tc>
          <w:tcPr>
            <w:tcW w:type="dxa" w:w="397"/>
            <w:vAlign w:val="top"/>
            <w:shd w:val="clear" w:color="auto" w:fill="FDF0F7"/>
          </w:tcPr>
          <w:p>
            <w:pPr>
              <w:spacing w:after="20" w:line="252" w:lineRule="auto"/>
              <w:jc w:val="center"/>
            </w:pPr>
            <w:r>
              <w:rPr>
                <w:b w:val="0"/>
                <w:i w:val="0"/>
                <w:sz w:val="15"/>
              </w:rPr>
              <w:t>18</w:t>
            </w:r>
          </w:p>
        </w:tc>
        <w:tc>
          <w:tcPr>
            <w:tcW w:type="dxa" w:w="1644"/>
            <w:vAlign w:val="top"/>
            <w:shd w:val="clear" w:color="auto" w:fill="FDF0F7"/>
          </w:tcPr>
          <w:p>
            <w:pPr>
              <w:spacing w:after="20" w:line="252" w:lineRule="auto"/>
            </w:pPr>
            <w:r>
              <w:rPr>
                <w:b w:val="0"/>
                <w:i w:val="0"/>
                <w:sz w:val="15"/>
              </w:rPr>
              <w:t>Audit trail</w:t>
            </w:r>
          </w:p>
        </w:tc>
        <w:tc>
          <w:tcPr>
            <w:tcW w:type="dxa" w:w="2835"/>
            <w:vAlign w:val="top"/>
            <w:shd w:val="clear" w:color="auto" w:fill="FDF0F7"/>
          </w:tcPr>
          <w:p>
            <w:pPr>
              <w:spacing w:after="20" w:line="252" w:lineRule="auto"/>
            </w:pPr>
            <w:r>
              <w:rPr>
                <w:b w:val="0"/>
                <w:i w:val="0"/>
                <w:sz w:val="15"/>
              </w:rPr>
              <w:t>Append-only audit with search and export</w:t>
            </w:r>
          </w:p>
        </w:tc>
        <w:tc>
          <w:tcPr>
            <w:tcW w:type="dxa" w:w="2835"/>
            <w:vAlign w:val="top"/>
            <w:shd w:val="clear" w:color="auto" w:fill="FDF0F7"/>
          </w:tcPr>
          <w:p>
            <w:pPr>
              <w:spacing w:after="20" w:line="252" w:lineRule="auto"/>
            </w:pPr>
            <w:r>
              <w:rPr>
                <w:b w:val="0"/>
                <w:i w:val="0"/>
                <w:sz w:val="15"/>
              </w:rPr>
              <w:t>Set retention; optional SIEM export</w:t>
            </w:r>
          </w:p>
        </w:tc>
        <w:tc>
          <w:tcPr>
            <w:tcW w:type="dxa" w:w="1928"/>
            <w:vAlign w:val="top"/>
            <w:shd w:val="clear" w:color="auto" w:fill="FDF0F7"/>
          </w:tcPr>
          <w:p>
            <w:pPr>
              <w:spacing w:after="20" w:line="252" w:lineRule="auto"/>
            </w:pPr>
            <w:r>
              <w:rPr>
                <w:b w:val="0"/>
                <w:i w:val="0"/>
                <w:sz w:val="15"/>
              </w:rPr>
              <w:t>Audit tamper test (UPDATE/DELETE rejected)</w:t>
            </w:r>
          </w:p>
        </w:tc>
      </w:tr>
      <w:tr>
        <w:trPr>
          <w:cantSplit/>
        </w:trPr>
        <w:tc>
          <w:tcPr>
            <w:tcW w:type="dxa" w:w="397"/>
            <w:vAlign w:val="top"/>
          </w:tcPr>
          <w:p>
            <w:pPr>
              <w:spacing w:after="20" w:line="252" w:lineRule="auto"/>
              <w:jc w:val="center"/>
            </w:pPr>
            <w:r>
              <w:rPr>
                <w:b w:val="0"/>
                <w:i w:val="0"/>
                <w:sz w:val="15"/>
              </w:rPr>
              <w:t>19</w:t>
            </w:r>
          </w:p>
        </w:tc>
        <w:tc>
          <w:tcPr>
            <w:tcW w:type="dxa" w:w="1644"/>
            <w:vAlign w:val="top"/>
          </w:tcPr>
          <w:p>
            <w:pPr>
              <w:spacing w:after="20" w:line="252" w:lineRule="auto"/>
            </w:pPr>
            <w:r>
              <w:rPr>
                <w:b w:val="0"/>
                <w:i w:val="0"/>
                <w:sz w:val="15"/>
              </w:rPr>
              <w:t>Administration</w:t>
            </w:r>
          </w:p>
        </w:tc>
        <w:tc>
          <w:tcPr>
            <w:tcW w:type="dxa" w:w="2835"/>
            <w:vAlign w:val="top"/>
          </w:tcPr>
          <w:p>
            <w:pPr>
              <w:spacing w:after="20" w:line="252" w:lineRule="auto"/>
            </w:pPr>
            <w:r>
              <w:rPr>
                <w:b w:val="0"/>
                <w:i w:val="0"/>
                <w:sz w:val="15"/>
              </w:rPr>
              <w:t>Users, roles, permissions, master data, parameters</w:t>
            </w:r>
          </w:p>
        </w:tc>
        <w:tc>
          <w:tcPr>
            <w:tcW w:type="dxa" w:w="2835"/>
            <w:vAlign w:val="top"/>
          </w:tcPr>
          <w:p>
            <w:pPr>
              <w:spacing w:after="20" w:line="252" w:lineRule="auto"/>
            </w:pPr>
            <w:r>
              <w:rPr>
                <w:b w:val="0"/>
                <w:i w:val="0"/>
                <w:sz w:val="15"/>
              </w:rPr>
              <w:t>Load IIFT roles and parameter values</w:t>
            </w:r>
          </w:p>
        </w:tc>
        <w:tc>
          <w:tcPr>
            <w:tcW w:type="dxa" w:w="1928"/>
            <w:vAlign w:val="top"/>
          </w:tcPr>
          <w:p>
            <w:pPr>
              <w:spacing w:after="20" w:line="252" w:lineRule="auto"/>
            </w:pPr>
            <w:r>
              <w:rPr>
                <w:b w:val="0"/>
                <w:i w:val="0"/>
                <w:sz w:val="15"/>
              </w:rPr>
              <w:t>Role matrix sign-off</w:t>
            </w:r>
          </w:p>
        </w:tc>
      </w:tr>
      <w:tr>
        <w:trPr>
          <w:cantSplit/>
        </w:trPr>
        <w:tc>
          <w:tcPr>
            <w:tcW w:type="dxa" w:w="397"/>
            <w:vAlign w:val="top"/>
            <w:shd w:val="clear" w:color="auto" w:fill="FDF0F7"/>
          </w:tcPr>
          <w:p>
            <w:pPr>
              <w:spacing w:after="20" w:line="252" w:lineRule="auto"/>
              <w:jc w:val="center"/>
            </w:pPr>
            <w:r>
              <w:rPr>
                <w:b w:val="0"/>
                <w:i w:val="0"/>
                <w:sz w:val="15"/>
              </w:rPr>
              <w:t>20</w:t>
            </w:r>
          </w:p>
        </w:tc>
        <w:tc>
          <w:tcPr>
            <w:tcW w:type="dxa" w:w="1644"/>
            <w:vAlign w:val="top"/>
            <w:shd w:val="clear" w:color="auto" w:fill="FDF0F7"/>
          </w:tcPr>
          <w:p>
            <w:pPr>
              <w:spacing w:after="20" w:line="252" w:lineRule="auto"/>
            </w:pPr>
            <w:r>
              <w:rPr>
                <w:b w:val="0"/>
                <w:i w:val="0"/>
                <w:sz w:val="15"/>
              </w:rPr>
              <w:t>Integration</w:t>
            </w:r>
          </w:p>
        </w:tc>
        <w:tc>
          <w:tcPr>
            <w:tcW w:type="dxa" w:w="2835"/>
            <w:vAlign w:val="top"/>
            <w:shd w:val="clear" w:color="auto" w:fill="FDF0F7"/>
          </w:tcPr>
          <w:p>
            <w:pPr>
              <w:spacing w:after="20" w:line="252" w:lineRule="auto"/>
            </w:pPr>
            <w:r>
              <w:rPr>
                <w:b w:val="0"/>
                <w:i w:val="0"/>
                <w:sz w:val="15"/>
              </w:rPr>
              <w:t>Core, FIN, AML, AD, SMS, e-mail adapters with monitoring and reconciliation</w:t>
            </w:r>
          </w:p>
        </w:tc>
        <w:tc>
          <w:tcPr>
            <w:tcW w:type="dxa" w:w="2835"/>
            <w:vAlign w:val="top"/>
            <w:shd w:val="clear" w:color="auto" w:fill="FDF0F7"/>
          </w:tcPr>
          <w:p>
            <w:pPr>
              <w:spacing w:after="20" w:line="252" w:lineRule="auto"/>
            </w:pPr>
            <w:r>
              <w:rPr>
                <w:b w:val="0"/>
                <w:i w:val="0"/>
                <w:sz w:val="15"/>
              </w:rPr>
              <w:t>Build adapters against agreed interface specifications</w:t>
            </w:r>
          </w:p>
        </w:tc>
        <w:tc>
          <w:tcPr>
            <w:tcW w:type="dxa" w:w="1928"/>
            <w:vAlign w:val="top"/>
            <w:shd w:val="clear" w:color="auto" w:fill="FDF0F7"/>
          </w:tcPr>
          <w:p>
            <w:pPr>
              <w:spacing w:after="20" w:line="252" w:lineRule="auto"/>
            </w:pPr>
            <w:r>
              <w:rPr>
                <w:b w:val="0"/>
                <w:i w:val="0"/>
                <w:sz w:val="15"/>
              </w:rPr>
              <w:t>End-to-end interface tests with each system owner</w:t>
            </w:r>
          </w:p>
        </w:tc>
      </w:tr>
      <w:tr>
        <w:trPr>
          <w:cantSplit/>
        </w:trPr>
        <w:tc>
          <w:tcPr>
            <w:tcW w:type="dxa" w:w="397"/>
            <w:vAlign w:val="top"/>
          </w:tcPr>
          <w:p>
            <w:pPr>
              <w:spacing w:after="20" w:line="252" w:lineRule="auto"/>
              <w:jc w:val="center"/>
            </w:pPr>
            <w:r>
              <w:rPr>
                <w:b w:val="0"/>
                <w:i w:val="0"/>
                <w:sz w:val="15"/>
              </w:rPr>
              <w:t>21</w:t>
            </w:r>
          </w:p>
        </w:tc>
        <w:tc>
          <w:tcPr>
            <w:tcW w:type="dxa" w:w="1644"/>
            <w:vAlign w:val="top"/>
          </w:tcPr>
          <w:p>
            <w:pPr>
              <w:spacing w:after="20" w:line="252" w:lineRule="auto"/>
            </w:pPr>
            <w:r>
              <w:rPr>
                <w:b w:val="0"/>
                <w:i w:val="0"/>
                <w:sz w:val="15"/>
              </w:rPr>
              <w:t>Security</w:t>
            </w:r>
          </w:p>
        </w:tc>
        <w:tc>
          <w:tcPr>
            <w:tcW w:type="dxa" w:w="2835"/>
            <w:vAlign w:val="top"/>
          </w:tcPr>
          <w:p>
            <w:pPr>
              <w:spacing w:after="20" w:line="252" w:lineRule="auto"/>
            </w:pPr>
            <w:r>
              <w:rPr>
                <w:b w:val="0"/>
                <w:i w:val="0"/>
                <w:sz w:val="15"/>
              </w:rPr>
              <w:t>Controls in Section 13; MFA; independent VAPT</w:t>
            </w:r>
          </w:p>
        </w:tc>
        <w:tc>
          <w:tcPr>
            <w:tcW w:type="dxa" w:w="2835"/>
            <w:vAlign w:val="top"/>
          </w:tcPr>
          <w:p>
            <w:pPr>
              <w:spacing w:after="20" w:line="252" w:lineRule="auto"/>
            </w:pPr>
            <w:r>
              <w:rPr>
                <w:b w:val="0"/>
                <w:i w:val="0"/>
                <w:sz w:val="15"/>
              </w:rPr>
              <w:t>Apply IITH policy values; remediate VAPT findings</w:t>
            </w:r>
          </w:p>
        </w:tc>
        <w:tc>
          <w:tcPr>
            <w:tcW w:type="dxa" w:w="1928"/>
            <w:vAlign w:val="top"/>
          </w:tcPr>
          <w:p>
            <w:pPr>
              <w:spacing w:after="20" w:line="252" w:lineRule="auto"/>
            </w:pPr>
            <w:r>
              <w:rPr>
                <w:b w:val="0"/>
                <w:i w:val="0"/>
                <w:sz w:val="15"/>
              </w:rPr>
              <w:t>VAPT and re-test report (DEL-17)</w:t>
            </w:r>
          </w:p>
        </w:tc>
      </w:tr>
      <w:tr>
        <w:trPr>
          <w:cantSplit/>
        </w:trPr>
        <w:tc>
          <w:tcPr>
            <w:tcW w:type="dxa" w:w="397"/>
            <w:vAlign w:val="top"/>
            <w:shd w:val="clear" w:color="auto" w:fill="FDF0F7"/>
          </w:tcPr>
          <w:p>
            <w:pPr>
              <w:spacing w:after="20" w:line="252" w:lineRule="auto"/>
              <w:jc w:val="center"/>
            </w:pPr>
            <w:r>
              <w:rPr>
                <w:b w:val="0"/>
                <w:i w:val="0"/>
                <w:sz w:val="15"/>
              </w:rPr>
              <w:t>22</w:t>
            </w:r>
          </w:p>
        </w:tc>
        <w:tc>
          <w:tcPr>
            <w:tcW w:type="dxa" w:w="1644"/>
            <w:vAlign w:val="top"/>
            <w:shd w:val="clear" w:color="auto" w:fill="FDF0F7"/>
          </w:tcPr>
          <w:p>
            <w:pPr>
              <w:spacing w:after="20" w:line="252" w:lineRule="auto"/>
            </w:pPr>
            <w:r>
              <w:rPr>
                <w:b w:val="0"/>
                <w:i w:val="0"/>
                <w:sz w:val="15"/>
              </w:rPr>
              <w:t>Data migration</w:t>
            </w:r>
          </w:p>
        </w:tc>
        <w:tc>
          <w:tcPr>
            <w:tcW w:type="dxa" w:w="2835"/>
            <w:vAlign w:val="top"/>
            <w:shd w:val="clear" w:color="auto" w:fill="FDF0F7"/>
          </w:tcPr>
          <w:p>
            <w:pPr>
              <w:spacing w:after="20" w:line="252" w:lineRule="auto"/>
            </w:pPr>
            <w:r>
              <w:rPr>
                <w:b w:val="0"/>
                <w:i w:val="0"/>
                <w:sz w:val="15"/>
              </w:rPr>
              <w:t>Agent, agency, bank, participant and reference data</w:t>
            </w:r>
          </w:p>
        </w:tc>
        <w:tc>
          <w:tcPr>
            <w:tcW w:type="dxa" w:w="2835"/>
            <w:vAlign w:val="top"/>
            <w:shd w:val="clear" w:color="auto" w:fill="FDF0F7"/>
          </w:tcPr>
          <w:p>
            <w:pPr>
              <w:spacing w:after="20" w:line="252" w:lineRule="auto"/>
            </w:pPr>
            <w:r>
              <w:rPr>
                <w:b w:val="0"/>
                <w:i w:val="0"/>
                <w:sz w:val="15"/>
              </w:rPr>
              <w:t>Scripted extract, cleanse, load, reconcile; two rehearsals</w:t>
            </w:r>
          </w:p>
        </w:tc>
        <w:tc>
          <w:tcPr>
            <w:tcW w:type="dxa" w:w="1928"/>
            <w:vAlign w:val="top"/>
            <w:shd w:val="clear" w:color="auto" w:fill="FDF0F7"/>
          </w:tcPr>
          <w:p>
            <w:pPr>
              <w:spacing w:after="20" w:line="252" w:lineRule="auto"/>
            </w:pPr>
            <w:r>
              <w:rPr>
                <w:b w:val="0"/>
                <w:i w:val="0"/>
                <w:sz w:val="15"/>
              </w:rPr>
              <w:t>Signed reconciliation report</w:t>
            </w:r>
          </w:p>
        </w:tc>
      </w:tr>
      <w:tr>
        <w:trPr>
          <w:cantSplit/>
        </w:trPr>
        <w:tc>
          <w:tcPr>
            <w:tcW w:type="dxa" w:w="397"/>
            <w:vAlign w:val="top"/>
          </w:tcPr>
          <w:p>
            <w:pPr>
              <w:spacing w:after="20" w:line="252" w:lineRule="auto"/>
              <w:jc w:val="center"/>
            </w:pPr>
            <w:r>
              <w:rPr>
                <w:b w:val="0"/>
                <w:i w:val="0"/>
                <w:sz w:val="15"/>
              </w:rPr>
              <w:t>23</w:t>
            </w:r>
          </w:p>
        </w:tc>
        <w:tc>
          <w:tcPr>
            <w:tcW w:type="dxa" w:w="1644"/>
            <w:vAlign w:val="top"/>
          </w:tcPr>
          <w:p>
            <w:pPr>
              <w:spacing w:after="20" w:line="252" w:lineRule="auto"/>
            </w:pPr>
            <w:r>
              <w:rPr>
                <w:b w:val="0"/>
                <w:i w:val="0"/>
                <w:sz w:val="15"/>
              </w:rPr>
              <w:t>Testing</w:t>
            </w:r>
          </w:p>
        </w:tc>
        <w:tc>
          <w:tcPr>
            <w:tcW w:type="dxa" w:w="2835"/>
            <w:vAlign w:val="top"/>
          </w:tcPr>
          <w:p>
            <w:pPr>
              <w:spacing w:after="20" w:line="252" w:lineRule="auto"/>
            </w:pPr>
            <w:r>
              <w:rPr>
                <w:b w:val="0"/>
                <w:i w:val="0"/>
                <w:sz w:val="15"/>
              </w:rPr>
              <w:t>Unit, API, SIT, regression, performance, security; UAT support</w:t>
            </w:r>
          </w:p>
        </w:tc>
        <w:tc>
          <w:tcPr>
            <w:tcW w:type="dxa" w:w="2835"/>
            <w:vAlign w:val="top"/>
          </w:tcPr>
          <w:p>
            <w:pPr>
              <w:spacing w:after="20" w:line="252" w:lineRule="auto"/>
            </w:pPr>
            <w:r>
              <w:rPr>
                <w:b w:val="0"/>
                <w:i w:val="0"/>
                <w:sz w:val="15"/>
              </w:rPr>
              <w:t>Automated suites in CI; SIT and UAT plans</w:t>
            </w:r>
          </w:p>
        </w:tc>
        <w:tc>
          <w:tcPr>
            <w:tcW w:type="dxa" w:w="1928"/>
            <w:vAlign w:val="top"/>
          </w:tcPr>
          <w:p>
            <w:pPr>
              <w:spacing w:after="20" w:line="252" w:lineRule="auto"/>
            </w:pPr>
            <w:r>
              <w:rPr>
                <w:b w:val="0"/>
                <w:i w:val="0"/>
                <w:sz w:val="15"/>
              </w:rPr>
              <w:t>SIT and UAT results (DEL-14, DEL-16)</w:t>
            </w:r>
          </w:p>
        </w:tc>
      </w:tr>
      <w:tr>
        <w:trPr>
          <w:cantSplit/>
        </w:trPr>
        <w:tc>
          <w:tcPr>
            <w:tcW w:type="dxa" w:w="397"/>
            <w:vAlign w:val="top"/>
            <w:shd w:val="clear" w:color="auto" w:fill="FDF0F7"/>
          </w:tcPr>
          <w:p>
            <w:pPr>
              <w:spacing w:after="20" w:line="252" w:lineRule="auto"/>
              <w:jc w:val="center"/>
            </w:pPr>
            <w:r>
              <w:rPr>
                <w:b w:val="0"/>
                <w:i w:val="0"/>
                <w:sz w:val="15"/>
              </w:rPr>
              <w:t>24</w:t>
            </w:r>
          </w:p>
        </w:tc>
        <w:tc>
          <w:tcPr>
            <w:tcW w:type="dxa" w:w="1644"/>
            <w:vAlign w:val="top"/>
            <w:shd w:val="clear" w:color="auto" w:fill="FDF0F7"/>
          </w:tcPr>
          <w:p>
            <w:pPr>
              <w:spacing w:after="20" w:line="252" w:lineRule="auto"/>
            </w:pPr>
            <w:r>
              <w:rPr>
                <w:b w:val="0"/>
                <w:i w:val="0"/>
                <w:sz w:val="15"/>
              </w:rPr>
              <w:t>Deployment</w:t>
            </w:r>
          </w:p>
        </w:tc>
        <w:tc>
          <w:tcPr>
            <w:tcW w:type="dxa" w:w="2835"/>
            <w:vAlign w:val="top"/>
            <w:shd w:val="clear" w:color="auto" w:fill="FDF0F7"/>
          </w:tcPr>
          <w:p>
            <w:pPr>
              <w:spacing w:after="20" w:line="252" w:lineRule="auto"/>
            </w:pPr>
            <w:r>
              <w:rPr>
                <w:b w:val="0"/>
                <w:i w:val="0"/>
                <w:sz w:val="15"/>
              </w:rPr>
              <w:t>DEV, SIT, UAT, PROD and DR environments; CI/CD; cut-over</w:t>
            </w:r>
          </w:p>
        </w:tc>
        <w:tc>
          <w:tcPr>
            <w:tcW w:type="dxa" w:w="2835"/>
            <w:vAlign w:val="top"/>
            <w:shd w:val="clear" w:color="auto" w:fill="FDF0F7"/>
          </w:tcPr>
          <w:p>
            <w:pPr>
              <w:spacing w:after="20" w:line="252" w:lineRule="auto"/>
            </w:pPr>
            <w:r>
              <w:rPr>
                <w:b w:val="0"/>
                <w:i w:val="0"/>
                <w:sz w:val="15"/>
              </w:rPr>
              <w:t>Container deployment on IIFT infrastructure (Option A) or iorta-managed cloud (Option B)</w:t>
            </w:r>
          </w:p>
        </w:tc>
        <w:tc>
          <w:tcPr>
            <w:tcW w:type="dxa" w:w="1928"/>
            <w:vAlign w:val="top"/>
            <w:shd w:val="clear" w:color="auto" w:fill="FDF0F7"/>
          </w:tcPr>
          <w:p>
            <w:pPr>
              <w:spacing w:after="20" w:line="252" w:lineRule="auto"/>
            </w:pPr>
            <w:r>
              <w:rPr>
                <w:b w:val="0"/>
                <w:i w:val="0"/>
                <w:sz w:val="15"/>
              </w:rPr>
              <w:t>Deployment plan and go-live checklist signed</w:t>
            </w:r>
          </w:p>
        </w:tc>
      </w:tr>
      <w:tr>
        <w:trPr>
          <w:cantSplit/>
        </w:trPr>
        <w:tc>
          <w:tcPr>
            <w:tcW w:type="dxa" w:w="397"/>
            <w:vAlign w:val="top"/>
          </w:tcPr>
          <w:p>
            <w:pPr>
              <w:spacing w:after="20" w:line="252" w:lineRule="auto"/>
              <w:jc w:val="center"/>
            </w:pPr>
            <w:r>
              <w:rPr>
                <w:b w:val="0"/>
                <w:i w:val="0"/>
                <w:sz w:val="15"/>
              </w:rPr>
              <w:t>25</w:t>
            </w:r>
          </w:p>
        </w:tc>
        <w:tc>
          <w:tcPr>
            <w:tcW w:type="dxa" w:w="1644"/>
            <w:vAlign w:val="top"/>
          </w:tcPr>
          <w:p>
            <w:pPr>
              <w:spacing w:after="20" w:line="252" w:lineRule="auto"/>
            </w:pPr>
            <w:r>
              <w:rPr>
                <w:b w:val="0"/>
                <w:i w:val="0"/>
                <w:sz w:val="15"/>
              </w:rPr>
              <w:t>Training</w:t>
            </w:r>
          </w:p>
        </w:tc>
        <w:tc>
          <w:tcPr>
            <w:tcW w:type="dxa" w:w="2835"/>
            <w:vAlign w:val="top"/>
          </w:tcPr>
          <w:p>
            <w:pPr>
              <w:spacing w:after="20" w:line="252" w:lineRule="auto"/>
            </w:pPr>
            <w:r>
              <w:rPr>
                <w:b w:val="0"/>
                <w:i w:val="0"/>
                <w:sz w:val="15"/>
              </w:rPr>
              <w:t>Agents, bank officers, back-office, administrators, IT</w:t>
            </w:r>
          </w:p>
        </w:tc>
        <w:tc>
          <w:tcPr>
            <w:tcW w:type="dxa" w:w="2835"/>
            <w:vAlign w:val="top"/>
          </w:tcPr>
          <w:p>
            <w:pPr>
              <w:spacing w:after="20" w:line="252" w:lineRule="auto"/>
            </w:pPr>
            <w:r>
              <w:rPr>
                <w:b w:val="0"/>
                <w:i w:val="0"/>
                <w:sz w:val="15"/>
              </w:rPr>
              <w:t>Train-the-trainer, hands-on sessions, manuals</w:t>
            </w:r>
          </w:p>
        </w:tc>
        <w:tc>
          <w:tcPr>
            <w:tcW w:type="dxa" w:w="1928"/>
            <w:vAlign w:val="top"/>
          </w:tcPr>
          <w:p>
            <w:pPr>
              <w:spacing w:after="20" w:line="252" w:lineRule="auto"/>
            </w:pPr>
            <w:r>
              <w:rPr>
                <w:b w:val="0"/>
                <w:i w:val="0"/>
                <w:sz w:val="15"/>
              </w:rPr>
              <w:t>Attendance records and feedback</w:t>
            </w:r>
          </w:p>
        </w:tc>
      </w:tr>
      <w:tr>
        <w:trPr>
          <w:cantSplit/>
        </w:trPr>
        <w:tc>
          <w:tcPr>
            <w:tcW w:type="dxa" w:w="397"/>
            <w:vAlign w:val="top"/>
            <w:shd w:val="clear" w:color="auto" w:fill="FDF0F7"/>
          </w:tcPr>
          <w:p>
            <w:pPr>
              <w:spacing w:after="20" w:line="252" w:lineRule="auto"/>
              <w:jc w:val="center"/>
            </w:pPr>
            <w:r>
              <w:rPr>
                <w:b w:val="0"/>
                <w:i w:val="0"/>
                <w:sz w:val="15"/>
              </w:rPr>
              <w:t>26</w:t>
            </w:r>
          </w:p>
        </w:tc>
        <w:tc>
          <w:tcPr>
            <w:tcW w:type="dxa" w:w="1644"/>
            <w:vAlign w:val="top"/>
            <w:shd w:val="clear" w:color="auto" w:fill="FDF0F7"/>
          </w:tcPr>
          <w:p>
            <w:pPr>
              <w:spacing w:after="20" w:line="252" w:lineRule="auto"/>
            </w:pPr>
            <w:r>
              <w:rPr>
                <w:b w:val="0"/>
                <w:i w:val="0"/>
                <w:sz w:val="15"/>
              </w:rPr>
              <w:t>Documentation</w:t>
            </w:r>
          </w:p>
        </w:tc>
        <w:tc>
          <w:tcPr>
            <w:tcW w:type="dxa" w:w="2835"/>
            <w:vAlign w:val="top"/>
            <w:shd w:val="clear" w:color="auto" w:fill="FDF0F7"/>
          </w:tcPr>
          <w:p>
            <w:pPr>
              <w:spacing w:after="20" w:line="252" w:lineRule="auto"/>
            </w:pPr>
            <w:r>
              <w:rPr>
                <w:b w:val="0"/>
                <w:i w:val="0"/>
                <w:sz w:val="15"/>
              </w:rPr>
              <w:t>User, administrator, technical and operations manuals</w:t>
            </w:r>
          </w:p>
        </w:tc>
        <w:tc>
          <w:tcPr>
            <w:tcW w:type="dxa" w:w="2835"/>
            <w:vAlign w:val="top"/>
            <w:shd w:val="clear" w:color="auto" w:fill="FDF0F7"/>
          </w:tcPr>
          <w:p>
            <w:pPr>
              <w:spacing w:after="20" w:line="252" w:lineRule="auto"/>
            </w:pPr>
            <w:r>
              <w:rPr>
                <w:b w:val="0"/>
                <w:i w:val="0"/>
                <w:sz w:val="15"/>
              </w:rPr>
              <w:t>Update the SalesVerse 2.0 document pack for IIFT</w:t>
            </w:r>
          </w:p>
        </w:tc>
        <w:tc>
          <w:tcPr>
            <w:tcW w:type="dxa" w:w="1928"/>
            <w:vAlign w:val="top"/>
            <w:shd w:val="clear" w:color="auto" w:fill="FDF0F7"/>
          </w:tcPr>
          <w:p>
            <w:pPr>
              <w:spacing w:after="20" w:line="252" w:lineRule="auto"/>
            </w:pPr>
            <w:r>
              <w:rPr>
                <w:b w:val="0"/>
                <w:i w:val="0"/>
                <w:sz w:val="15"/>
              </w:rPr>
              <w:t>Document acceptance by IIFT</w:t>
            </w:r>
          </w:p>
        </w:tc>
      </w:tr>
      <w:tr>
        <w:trPr>
          <w:cantSplit/>
        </w:trPr>
        <w:tc>
          <w:tcPr>
            <w:tcW w:type="dxa" w:w="397"/>
            <w:vAlign w:val="top"/>
          </w:tcPr>
          <w:p>
            <w:pPr>
              <w:spacing w:after="20" w:line="252" w:lineRule="auto"/>
              <w:jc w:val="center"/>
            </w:pPr>
            <w:r>
              <w:rPr>
                <w:b w:val="0"/>
                <w:i w:val="0"/>
                <w:sz w:val="15"/>
              </w:rPr>
              <w:t>27</w:t>
            </w:r>
          </w:p>
        </w:tc>
        <w:tc>
          <w:tcPr>
            <w:tcW w:type="dxa" w:w="1644"/>
            <w:vAlign w:val="top"/>
          </w:tcPr>
          <w:p>
            <w:pPr>
              <w:spacing w:after="20" w:line="252" w:lineRule="auto"/>
            </w:pPr>
            <w:r>
              <w:rPr>
                <w:b w:val="0"/>
                <w:i w:val="0"/>
                <w:sz w:val="15"/>
              </w:rPr>
              <w:t>Warranty</w:t>
            </w:r>
          </w:p>
        </w:tc>
        <w:tc>
          <w:tcPr>
            <w:tcW w:type="dxa" w:w="2835"/>
            <w:vAlign w:val="top"/>
          </w:tcPr>
          <w:p>
            <w:pPr>
              <w:spacing w:after="20" w:line="252" w:lineRule="auto"/>
            </w:pPr>
            <w:r>
              <w:rPr>
                <w:b w:val="0"/>
                <w:i w:val="0"/>
                <w:sz w:val="15"/>
              </w:rPr>
              <w:t>Six months of defect correction from go-live</w:t>
            </w:r>
          </w:p>
        </w:tc>
        <w:tc>
          <w:tcPr>
            <w:tcW w:type="dxa" w:w="2835"/>
            <w:vAlign w:val="top"/>
          </w:tcPr>
          <w:p>
            <w:pPr>
              <w:spacing w:after="20" w:line="252" w:lineRule="auto"/>
            </w:pPr>
            <w:r>
              <w:rPr>
                <w:b w:val="0"/>
                <w:i w:val="0"/>
                <w:sz w:val="15"/>
              </w:rPr>
              <w:t>Fixes under the SLA at no charge</w:t>
            </w:r>
          </w:p>
        </w:tc>
        <w:tc>
          <w:tcPr>
            <w:tcW w:type="dxa" w:w="1928"/>
            <w:vAlign w:val="top"/>
          </w:tcPr>
          <w:p>
            <w:pPr>
              <w:spacing w:after="20" w:line="252" w:lineRule="auto"/>
            </w:pPr>
            <w:r>
              <w:rPr>
                <w:b w:val="0"/>
                <w:i w:val="0"/>
                <w:sz w:val="15"/>
              </w:rPr>
              <w:t>Monthly service report</w:t>
            </w:r>
          </w:p>
        </w:tc>
      </w:tr>
      <w:tr>
        <w:trPr>
          <w:cantSplit/>
        </w:trPr>
        <w:tc>
          <w:tcPr>
            <w:tcW w:type="dxa" w:w="397"/>
            <w:vAlign w:val="top"/>
            <w:shd w:val="clear" w:color="auto" w:fill="FDF0F7"/>
          </w:tcPr>
          <w:p>
            <w:pPr>
              <w:spacing w:after="20" w:line="252" w:lineRule="auto"/>
              <w:jc w:val="center"/>
            </w:pPr>
            <w:r>
              <w:rPr>
                <w:b w:val="0"/>
                <w:i w:val="0"/>
                <w:sz w:val="15"/>
              </w:rPr>
              <w:t>28</w:t>
            </w:r>
          </w:p>
        </w:tc>
        <w:tc>
          <w:tcPr>
            <w:tcW w:type="dxa" w:w="1644"/>
            <w:vAlign w:val="top"/>
            <w:shd w:val="clear" w:color="auto" w:fill="FDF0F7"/>
          </w:tcPr>
          <w:p>
            <w:pPr>
              <w:spacing w:after="20" w:line="252" w:lineRule="auto"/>
            </w:pPr>
            <w:r>
              <w:rPr>
                <w:b w:val="0"/>
                <w:i w:val="0"/>
                <w:sz w:val="15"/>
              </w:rPr>
              <w:t>Maintenance</w:t>
            </w:r>
          </w:p>
        </w:tc>
        <w:tc>
          <w:tcPr>
            <w:tcW w:type="dxa" w:w="2835"/>
            <w:vAlign w:val="top"/>
            <w:shd w:val="clear" w:color="auto" w:fill="FDF0F7"/>
          </w:tcPr>
          <w:p>
            <w:pPr>
              <w:spacing w:after="20" w:line="252" w:lineRule="auto"/>
            </w:pPr>
            <w:r>
              <w:rPr>
                <w:b w:val="0"/>
                <w:i w:val="0"/>
                <w:sz w:val="15"/>
              </w:rPr>
              <w:t>Five years of support, patches and upgrades</w:t>
            </w:r>
          </w:p>
        </w:tc>
        <w:tc>
          <w:tcPr>
            <w:tcW w:type="dxa" w:w="2835"/>
            <w:vAlign w:val="top"/>
            <w:shd w:val="clear" w:color="auto" w:fill="FDF0F7"/>
          </w:tcPr>
          <w:p>
            <w:pPr>
              <w:spacing w:after="20" w:line="252" w:lineRule="auto"/>
            </w:pPr>
            <w:r>
              <w:rPr>
                <w:b w:val="0"/>
                <w:i w:val="0"/>
                <w:sz w:val="15"/>
              </w:rPr>
              <w:t>Service desk, monthly patch cycle, releases</w:t>
            </w:r>
          </w:p>
        </w:tc>
        <w:tc>
          <w:tcPr>
            <w:tcW w:type="dxa" w:w="1928"/>
            <w:vAlign w:val="top"/>
            <w:shd w:val="clear" w:color="auto" w:fill="FDF0F7"/>
          </w:tcPr>
          <w:p>
            <w:pPr>
              <w:spacing w:after="20" w:line="252" w:lineRule="auto"/>
            </w:pPr>
            <w:r>
              <w:rPr>
                <w:b w:val="0"/>
                <w:i w:val="0"/>
                <w:sz w:val="15"/>
              </w:rPr>
              <w:t>Monthly service report; quarterly review</w:t>
            </w:r>
          </w:p>
        </w:tc>
      </w:tr>
      <w:tr>
        <w:trPr>
          <w:cantSplit/>
        </w:trPr>
        <w:tc>
          <w:tcPr>
            <w:tcW w:type="dxa" w:w="397"/>
            <w:vAlign w:val="top"/>
          </w:tcPr>
          <w:p>
            <w:pPr>
              <w:spacing w:after="20" w:line="252" w:lineRule="auto"/>
              <w:jc w:val="center"/>
            </w:pPr>
            <w:r>
              <w:rPr>
                <w:b w:val="0"/>
                <w:i w:val="0"/>
                <w:sz w:val="15"/>
              </w:rPr>
              <w:t>29</w:t>
            </w:r>
          </w:p>
        </w:tc>
        <w:tc>
          <w:tcPr>
            <w:tcW w:type="dxa" w:w="1644"/>
            <w:vAlign w:val="top"/>
          </w:tcPr>
          <w:p>
            <w:pPr>
              <w:spacing w:after="20" w:line="252" w:lineRule="auto"/>
            </w:pPr>
            <w:r>
              <w:rPr>
                <w:b w:val="0"/>
                <w:i w:val="0"/>
                <w:sz w:val="15"/>
              </w:rPr>
              <w:t>Transition</w:t>
            </w:r>
          </w:p>
        </w:tc>
        <w:tc>
          <w:tcPr>
            <w:tcW w:type="dxa" w:w="2835"/>
            <w:vAlign w:val="top"/>
          </w:tcPr>
          <w:p>
            <w:pPr>
              <w:spacing w:after="20" w:line="252" w:lineRule="auto"/>
            </w:pPr>
            <w:r>
              <w:rPr>
                <w:b w:val="0"/>
                <w:i w:val="0"/>
                <w:sz w:val="15"/>
              </w:rPr>
              <w:t>Knowledge transfer, handover and exit support</w:t>
            </w:r>
          </w:p>
        </w:tc>
        <w:tc>
          <w:tcPr>
            <w:tcW w:type="dxa" w:w="2835"/>
            <w:vAlign w:val="top"/>
          </w:tcPr>
          <w:p>
            <w:pPr>
              <w:spacing w:after="20" w:line="252" w:lineRule="auto"/>
            </w:pPr>
            <w:r>
              <w:rPr>
                <w:b w:val="0"/>
                <w:i w:val="0"/>
                <w:sz w:val="15"/>
              </w:rPr>
              <w:t>Year 5 exit plan and shadow support</w:t>
            </w:r>
          </w:p>
        </w:tc>
        <w:tc>
          <w:tcPr>
            <w:tcW w:type="dxa" w:w="1928"/>
            <w:vAlign w:val="top"/>
          </w:tcPr>
          <w:p>
            <w:pPr>
              <w:spacing w:after="20" w:line="252" w:lineRule="auto"/>
            </w:pPr>
            <w:r>
              <w:rPr>
                <w:b w:val="0"/>
                <w:i w:val="0"/>
                <w:sz w:val="15"/>
              </w:rPr>
              <w:t>Signed transition acceptance</w:t>
            </w:r>
          </w:p>
        </w:tc>
      </w:tr>
    </w:tbl>
    <w:p>
      <w:pPr>
        <w:pStyle w:val="Caption"/>
        <w:jc w:val="center"/>
      </w:pPr>
      <w:r>
        <w:rPr>
          <w:b w:val="0"/>
          <w:i w:val="0"/>
        </w:rPr>
        <w:t>Table 6: In-scope components 1 to 29</w:t>
      </w:r>
    </w:p>
    <w:p>
      <w:pPr>
        <w:pStyle w:val="Heading2"/>
      </w:pPr>
      <w:r>
        <w:t>5.2 Agent/Banca Portal functions (RFP 4.1)</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3175"/>
        <w:gridCol w:w="2608"/>
        <w:gridCol w:w="1814"/>
      </w:tblGrid>
      <w:tr>
        <w:trPr>
          <w:cantSplit/>
          <w:tblHeader/>
        </w:trPr>
        <w:tc>
          <w:tcPr>
            <w:tcW w:type="dxa" w:w="2041"/>
            <w:shd w:val="clear" w:color="auto" w:fill="E1058C"/>
            <w:vAlign w:val="center"/>
          </w:tcPr>
          <w:p>
            <w:pPr>
              <w:spacing w:after="0"/>
            </w:pPr>
            <w:r>
              <w:rPr>
                <w:b/>
                <w:i w:val="0"/>
                <w:color w:val="FFFFFF"/>
                <w:sz w:val="15"/>
              </w:rPr>
              <w:t>RFP area and IDs</w:t>
            </w:r>
          </w:p>
        </w:tc>
        <w:tc>
          <w:tcPr>
            <w:tcW w:type="dxa" w:w="3175"/>
            <w:shd w:val="clear" w:color="auto" w:fill="E1058C"/>
            <w:vAlign w:val="center"/>
          </w:tcPr>
          <w:p>
            <w:pPr>
              <w:spacing w:after="0"/>
            </w:pPr>
            <w:r>
              <w:rPr>
                <w:b/>
                <w:i w:val="0"/>
                <w:color w:val="FFFFFF"/>
                <w:sz w:val="15"/>
              </w:rPr>
              <w:t>What we deliver</w:t>
            </w:r>
          </w:p>
        </w:tc>
        <w:tc>
          <w:tcPr>
            <w:tcW w:type="dxa" w:w="2608"/>
            <w:shd w:val="clear" w:color="auto" w:fill="E1058C"/>
            <w:vAlign w:val="center"/>
          </w:tcPr>
          <w:p>
            <w:pPr>
              <w:spacing w:after="0"/>
            </w:pPr>
            <w:r>
              <w:rPr>
                <w:b/>
                <w:i w:val="0"/>
                <w:color w:val="FFFFFF"/>
                <w:sz w:val="15"/>
              </w:rPr>
              <w:t>How</w:t>
            </w:r>
          </w:p>
        </w:tc>
        <w:tc>
          <w:tcPr>
            <w:tcW w:type="dxa" w:w="1814"/>
            <w:shd w:val="clear" w:color="auto" w:fill="E1058C"/>
            <w:vAlign w:val="center"/>
          </w:tcPr>
          <w:p>
            <w:pPr>
              <w:spacing w:after="0"/>
            </w:pPr>
            <w:r>
              <w:rPr>
                <w:b/>
                <w:i w:val="0"/>
                <w:color w:val="FFFFFF"/>
                <w:sz w:val="15"/>
              </w:rPr>
              <w:t>Acceptance evidence</w:t>
            </w:r>
          </w:p>
        </w:tc>
      </w:tr>
      <w:tr>
        <w:trPr>
          <w:cantSplit/>
        </w:trPr>
        <w:tc>
          <w:tcPr>
            <w:tcW w:type="dxa" w:w="2041"/>
            <w:vAlign w:val="top"/>
          </w:tcPr>
          <w:p>
            <w:pPr>
              <w:spacing w:after="20" w:line="252" w:lineRule="auto"/>
            </w:pPr>
            <w:r>
              <w:rPr>
                <w:b/>
                <w:i w:val="0"/>
                <w:sz w:val="15"/>
              </w:rPr>
              <w:t>Authentication (AP-01–04)</w:t>
            </w:r>
          </w:p>
        </w:tc>
        <w:tc>
          <w:tcPr>
            <w:tcW w:type="dxa" w:w="3175"/>
            <w:vAlign w:val="top"/>
          </w:tcPr>
          <w:p>
            <w:pPr>
              <w:spacing w:after="20" w:line="252" w:lineRule="auto"/>
            </w:pPr>
            <w:r>
              <w:rPr>
                <w:b w:val="0"/>
                <w:i w:val="0"/>
                <w:sz w:val="15"/>
              </w:rPr>
              <w:t>Secure login, password change and reset, session control, lockout</w:t>
            </w:r>
          </w:p>
        </w:tc>
        <w:tc>
          <w:tcPr>
            <w:tcW w:type="dxa" w:w="2608"/>
            <w:vAlign w:val="top"/>
          </w:tcPr>
          <w:p>
            <w:pPr>
              <w:spacing w:after="20" w:line="252" w:lineRule="auto"/>
            </w:pPr>
            <w:r>
              <w:rPr>
                <w:b w:val="0"/>
                <w:i w:val="0"/>
                <w:sz w:val="15"/>
              </w:rPr>
              <w:t>Server-side sessions; policy values set to IITH standards</w:t>
            </w:r>
          </w:p>
        </w:tc>
        <w:tc>
          <w:tcPr>
            <w:tcW w:type="dxa" w:w="1814"/>
            <w:vAlign w:val="top"/>
          </w:tcPr>
          <w:p>
            <w:pPr>
              <w:spacing w:after="20" w:line="252" w:lineRule="auto"/>
            </w:pPr>
            <w:r>
              <w:rPr>
                <w:b w:val="0"/>
                <w:i w:val="0"/>
                <w:sz w:val="15"/>
              </w:rPr>
              <w:t>Security test cases; VAPT</w:t>
            </w:r>
          </w:p>
        </w:tc>
      </w:tr>
      <w:tr>
        <w:trPr>
          <w:cantSplit/>
        </w:trPr>
        <w:tc>
          <w:tcPr>
            <w:tcW w:type="dxa" w:w="2041"/>
            <w:vAlign w:val="top"/>
            <w:shd w:val="clear" w:color="auto" w:fill="FDF0F7"/>
          </w:tcPr>
          <w:p>
            <w:pPr>
              <w:spacing w:after="20" w:line="252" w:lineRule="auto"/>
            </w:pPr>
            <w:r>
              <w:rPr>
                <w:b/>
                <w:i w:val="0"/>
                <w:sz w:val="15"/>
              </w:rPr>
              <w:t>Agent/Banca profile (AP-05–06)</w:t>
            </w:r>
          </w:p>
        </w:tc>
        <w:tc>
          <w:tcPr>
            <w:tcW w:type="dxa" w:w="3175"/>
            <w:vAlign w:val="top"/>
            <w:shd w:val="clear" w:color="auto" w:fill="FDF0F7"/>
          </w:tcPr>
          <w:p>
            <w:pPr>
              <w:spacing w:after="20" w:line="252" w:lineRule="auto"/>
            </w:pPr>
            <w:r>
              <w:rPr>
                <w:b w:val="0"/>
                <w:i w:val="0"/>
                <w:sz w:val="15"/>
              </w:rPr>
              <w:t>Profile view and change requests with approval</w:t>
            </w:r>
          </w:p>
        </w:tc>
        <w:tc>
          <w:tcPr>
            <w:tcW w:type="dxa" w:w="2608"/>
            <w:vAlign w:val="top"/>
            <w:shd w:val="clear" w:color="auto" w:fill="FDF0F7"/>
          </w:tcPr>
          <w:p>
            <w:pPr>
              <w:spacing w:after="20" w:line="252" w:lineRule="auto"/>
            </w:pPr>
            <w:r>
              <w:rPr>
                <w:b w:val="0"/>
                <w:i w:val="0"/>
                <w:sz w:val="15"/>
              </w:rPr>
              <w:t>Profile change workflow with before and after values</w:t>
            </w:r>
          </w:p>
        </w:tc>
        <w:tc>
          <w:tcPr>
            <w:tcW w:type="dxa" w:w="1814"/>
            <w:vAlign w:val="top"/>
            <w:shd w:val="clear" w:color="auto" w:fill="FDF0F7"/>
          </w:tcPr>
          <w:p>
            <w:pPr>
              <w:spacing w:after="20" w:line="252" w:lineRule="auto"/>
            </w:pPr>
            <w:r>
              <w:rPr>
                <w:b w:val="0"/>
                <w:i w:val="0"/>
                <w:sz w:val="15"/>
              </w:rPr>
              <w:t>UAT case; audit record of approved change</w:t>
            </w:r>
          </w:p>
        </w:tc>
      </w:tr>
      <w:tr>
        <w:trPr>
          <w:cantSplit/>
        </w:trPr>
        <w:tc>
          <w:tcPr>
            <w:tcW w:type="dxa" w:w="2041"/>
            <w:vAlign w:val="top"/>
          </w:tcPr>
          <w:p>
            <w:pPr>
              <w:spacing w:after="20" w:line="252" w:lineRule="auto"/>
            </w:pPr>
            <w:r>
              <w:rPr>
                <w:b/>
                <w:i w:val="0"/>
                <w:sz w:val="15"/>
              </w:rPr>
              <w:t>Agent/Banca management (AP-07–12)</w:t>
            </w:r>
          </w:p>
        </w:tc>
        <w:tc>
          <w:tcPr>
            <w:tcW w:type="dxa" w:w="3175"/>
            <w:vAlign w:val="top"/>
          </w:tcPr>
          <w:p>
            <w:pPr>
              <w:spacing w:after="20" w:line="252" w:lineRule="auto"/>
            </w:pPr>
            <w:r>
              <w:rPr>
                <w:b w:val="0"/>
                <w:i w:val="0"/>
                <w:sz w:val="15"/>
              </w:rPr>
              <w:t>Online registration, agent code, hierarchy, agency information, shared participants</w:t>
            </w:r>
          </w:p>
        </w:tc>
        <w:tc>
          <w:tcPr>
            <w:tcW w:type="dxa" w:w="2608"/>
            <w:vAlign w:val="top"/>
          </w:tcPr>
          <w:p>
            <w:pPr>
              <w:spacing w:after="20" w:line="252" w:lineRule="auto"/>
            </w:pPr>
            <w:r>
              <w:rPr>
                <w:b w:val="0"/>
                <w:i w:val="0"/>
                <w:sz w:val="15"/>
              </w:rPr>
              <w:t>Registration journey; data scoping by agency and bank</w:t>
            </w:r>
          </w:p>
        </w:tc>
        <w:tc>
          <w:tcPr>
            <w:tcW w:type="dxa" w:w="1814"/>
            <w:vAlign w:val="top"/>
          </w:tcPr>
          <w:p>
            <w:pPr>
              <w:spacing w:after="20" w:line="252" w:lineRule="auto"/>
            </w:pPr>
            <w:r>
              <w:rPr>
                <w:b w:val="0"/>
                <w:i w:val="0"/>
                <w:sz w:val="15"/>
              </w:rPr>
              <w:t>Journey 1 in UAT</w:t>
            </w:r>
          </w:p>
        </w:tc>
      </w:tr>
      <w:tr>
        <w:trPr>
          <w:cantSplit/>
        </w:trPr>
        <w:tc>
          <w:tcPr>
            <w:tcW w:type="dxa" w:w="2041"/>
            <w:vAlign w:val="top"/>
            <w:shd w:val="clear" w:color="auto" w:fill="FDF0F7"/>
          </w:tcPr>
          <w:p>
            <w:pPr>
              <w:spacing w:after="20" w:line="252" w:lineRule="auto"/>
            </w:pPr>
            <w:r>
              <w:rPr>
                <w:b/>
                <w:i w:val="0"/>
                <w:sz w:val="15"/>
              </w:rPr>
              <w:t>Participant management (AP-13–16)</w:t>
            </w:r>
          </w:p>
        </w:tc>
        <w:tc>
          <w:tcPr>
            <w:tcW w:type="dxa" w:w="3175"/>
            <w:vAlign w:val="top"/>
            <w:shd w:val="clear" w:color="auto" w:fill="FDF0F7"/>
          </w:tcPr>
          <w:p>
            <w:pPr>
              <w:spacing w:after="20" w:line="252" w:lineRule="auto"/>
            </w:pPr>
            <w:r>
              <w:rPr>
                <w:b w:val="0"/>
                <w:i w:val="0"/>
                <w:sz w:val="15"/>
              </w:rPr>
              <w:t>Individual and corporate registration, search, approved updates, AML screening</w:t>
            </w:r>
          </w:p>
        </w:tc>
        <w:tc>
          <w:tcPr>
            <w:tcW w:type="dxa" w:w="2608"/>
            <w:vAlign w:val="top"/>
            <w:shd w:val="clear" w:color="auto" w:fill="FDF0F7"/>
          </w:tcPr>
          <w:p>
            <w:pPr>
              <w:spacing w:after="20" w:line="252" w:lineRule="auto"/>
            </w:pPr>
            <w:r>
              <w:rPr>
                <w:b w:val="0"/>
                <w:i w:val="0"/>
                <w:sz w:val="15"/>
              </w:rPr>
              <w:t>Duplicate checks on encrypted IC numbers via blind index</w:t>
            </w:r>
          </w:p>
        </w:tc>
        <w:tc>
          <w:tcPr>
            <w:tcW w:type="dxa" w:w="1814"/>
            <w:vAlign w:val="top"/>
            <w:shd w:val="clear" w:color="auto" w:fill="FDF0F7"/>
          </w:tcPr>
          <w:p>
            <w:pPr>
              <w:spacing w:after="20" w:line="252" w:lineRule="auto"/>
            </w:pPr>
            <w:r>
              <w:rPr>
                <w:b w:val="0"/>
                <w:i w:val="0"/>
                <w:sz w:val="15"/>
              </w:rPr>
              <w:t>SIT cases; AML test pack</w:t>
            </w:r>
          </w:p>
        </w:tc>
      </w:tr>
      <w:tr>
        <w:trPr>
          <w:cantSplit/>
        </w:trPr>
        <w:tc>
          <w:tcPr>
            <w:tcW w:type="dxa" w:w="2041"/>
            <w:vAlign w:val="top"/>
          </w:tcPr>
          <w:p>
            <w:pPr>
              <w:spacing w:after="20" w:line="252" w:lineRule="auto"/>
            </w:pPr>
            <w:r>
              <w:rPr>
                <w:b/>
                <w:i w:val="0"/>
                <w:sz w:val="15"/>
              </w:rPr>
              <w:t>Quotation (AP-17–20)</w:t>
            </w:r>
          </w:p>
        </w:tc>
        <w:tc>
          <w:tcPr>
            <w:tcW w:type="dxa" w:w="3175"/>
            <w:vAlign w:val="top"/>
          </w:tcPr>
          <w:p>
            <w:pPr>
              <w:spacing w:after="20" w:line="252" w:lineRule="auto"/>
            </w:pPr>
            <w:r>
              <w:rPr>
                <w:b w:val="0"/>
                <w:i w:val="0"/>
                <w:sz w:val="15"/>
              </w:rPr>
              <w:t>Authorised product list, product wizards, automatic contribution, drafts</w:t>
            </w:r>
          </w:p>
        </w:tc>
        <w:tc>
          <w:tcPr>
            <w:tcW w:type="dxa" w:w="2608"/>
            <w:vAlign w:val="top"/>
          </w:tcPr>
          <w:p>
            <w:pPr>
              <w:spacing w:after="20" w:line="252" w:lineRule="auto"/>
            </w:pPr>
            <w:r>
              <w:rPr>
                <w:b w:val="0"/>
                <w:i w:val="0"/>
                <w:sz w:val="15"/>
              </w:rPr>
              <w:t>Seven configured products with IIFT rate tables</w:t>
            </w:r>
          </w:p>
        </w:tc>
        <w:tc>
          <w:tcPr>
            <w:tcW w:type="dxa" w:w="1814"/>
            <w:vAlign w:val="top"/>
          </w:tcPr>
          <w:p>
            <w:pPr>
              <w:spacing w:after="20" w:line="252" w:lineRule="auto"/>
            </w:pPr>
            <w:r>
              <w:rPr>
                <w:b w:val="0"/>
                <w:i w:val="0"/>
                <w:sz w:val="15"/>
              </w:rPr>
              <w:t>Rate verification sheet; UAT</w:t>
            </w:r>
          </w:p>
        </w:tc>
      </w:tr>
      <w:tr>
        <w:trPr>
          <w:cantSplit/>
        </w:trPr>
        <w:tc>
          <w:tcPr>
            <w:tcW w:type="dxa" w:w="2041"/>
            <w:vAlign w:val="top"/>
            <w:shd w:val="clear" w:color="auto" w:fill="FDF0F7"/>
          </w:tcPr>
          <w:p>
            <w:pPr>
              <w:spacing w:after="20" w:line="252" w:lineRule="auto"/>
            </w:pPr>
            <w:r>
              <w:rPr>
                <w:b/>
                <w:i w:val="0"/>
                <w:sz w:val="15"/>
              </w:rPr>
              <w:t>Issuance and status (AP-21–25, AP-32–36)</w:t>
            </w:r>
          </w:p>
        </w:tc>
        <w:tc>
          <w:tcPr>
            <w:tcW w:type="dxa" w:w="3175"/>
            <w:vAlign w:val="top"/>
            <w:shd w:val="clear" w:color="auto" w:fill="FDF0F7"/>
          </w:tcPr>
          <w:p>
            <w:pPr>
              <w:spacing w:after="20" w:line="252" w:lineRule="auto"/>
            </w:pPr>
            <w:r>
              <w:rPr>
                <w:b w:val="0"/>
                <w:i w:val="0"/>
                <w:sz w:val="15"/>
              </w:rPr>
              <w:t>Policy list, search, details, issuance, validation, routing, restrictions, notifications, audit</w:t>
            </w:r>
          </w:p>
        </w:tc>
        <w:tc>
          <w:tcPr>
            <w:tcW w:type="dxa" w:w="2608"/>
            <w:vAlign w:val="top"/>
            <w:shd w:val="clear" w:color="auto" w:fill="FDF0F7"/>
          </w:tcPr>
          <w:p>
            <w:pPr>
              <w:spacing w:after="20" w:line="252" w:lineRule="auto"/>
            </w:pPr>
            <w:r>
              <w:rPr>
                <w:b w:val="0"/>
                <w:i w:val="0"/>
                <w:sz w:val="15"/>
              </w:rPr>
              <w:t>Server-side validation and workflow routing</w:t>
            </w:r>
          </w:p>
        </w:tc>
        <w:tc>
          <w:tcPr>
            <w:tcW w:type="dxa" w:w="1814"/>
            <w:vAlign w:val="top"/>
            <w:shd w:val="clear" w:color="auto" w:fill="FDF0F7"/>
          </w:tcPr>
          <w:p>
            <w:pPr>
              <w:spacing w:after="20" w:line="252" w:lineRule="auto"/>
            </w:pPr>
            <w:r>
              <w:rPr>
                <w:b w:val="0"/>
                <w:i w:val="0"/>
                <w:sz w:val="15"/>
              </w:rPr>
              <w:t>Journeys 2 and 3 in UAT</w:t>
            </w:r>
          </w:p>
        </w:tc>
      </w:tr>
      <w:tr>
        <w:trPr>
          <w:cantSplit/>
        </w:trPr>
        <w:tc>
          <w:tcPr>
            <w:tcW w:type="dxa" w:w="2041"/>
            <w:vAlign w:val="top"/>
          </w:tcPr>
          <w:p>
            <w:pPr>
              <w:spacing w:after="20" w:line="252" w:lineRule="auto"/>
            </w:pPr>
            <w:r>
              <w:rPr>
                <w:b/>
                <w:i w:val="0"/>
                <w:sz w:val="15"/>
              </w:rPr>
              <w:t>Policy servicing (AP-26–31)</w:t>
            </w:r>
          </w:p>
        </w:tc>
        <w:tc>
          <w:tcPr>
            <w:tcW w:type="dxa" w:w="3175"/>
            <w:vAlign w:val="top"/>
          </w:tcPr>
          <w:p>
            <w:pPr>
              <w:spacing w:after="20" w:line="252" w:lineRule="auto"/>
            </w:pPr>
            <w:r>
              <w:rPr>
                <w:b w:val="0"/>
                <w:i w:val="0"/>
                <w:sz w:val="15"/>
              </w:rPr>
              <w:t>Renewal, endorsement, cancellation, documents, payment status, history</w:t>
            </w:r>
          </w:p>
        </w:tc>
        <w:tc>
          <w:tcPr>
            <w:tcW w:type="dxa" w:w="2608"/>
            <w:vAlign w:val="top"/>
          </w:tcPr>
          <w:p>
            <w:pPr>
              <w:spacing w:after="20" w:line="252" w:lineRule="auto"/>
            </w:pPr>
            <w:r>
              <w:rPr>
                <w:b w:val="0"/>
                <w:i w:val="0"/>
                <w:sz w:val="15"/>
              </w:rPr>
              <w:t>Servicing requests through maker-checker</w:t>
            </w:r>
          </w:p>
        </w:tc>
        <w:tc>
          <w:tcPr>
            <w:tcW w:type="dxa" w:w="1814"/>
            <w:vAlign w:val="top"/>
          </w:tcPr>
          <w:p>
            <w:pPr>
              <w:spacing w:after="20" w:line="252" w:lineRule="auto"/>
            </w:pPr>
            <w:r>
              <w:rPr>
                <w:b w:val="0"/>
                <w:i w:val="0"/>
                <w:sz w:val="15"/>
              </w:rPr>
              <w:t>Journey 5 in UAT</w:t>
            </w:r>
          </w:p>
        </w:tc>
      </w:tr>
      <w:tr>
        <w:trPr>
          <w:cantSplit/>
        </w:trPr>
        <w:tc>
          <w:tcPr>
            <w:tcW w:type="dxa" w:w="2041"/>
            <w:vAlign w:val="top"/>
            <w:shd w:val="clear" w:color="auto" w:fill="FDF0F7"/>
          </w:tcPr>
          <w:p>
            <w:pPr>
              <w:spacing w:after="20" w:line="252" w:lineRule="auto"/>
            </w:pPr>
            <w:r>
              <w:rPr>
                <w:b/>
                <w:i w:val="0"/>
                <w:sz w:val="15"/>
              </w:rPr>
              <w:t>Billing (AP-37–42)</w:t>
            </w:r>
          </w:p>
        </w:tc>
        <w:tc>
          <w:tcPr>
            <w:tcW w:type="dxa" w:w="3175"/>
            <w:vAlign w:val="top"/>
            <w:shd w:val="clear" w:color="auto" w:fill="FDF0F7"/>
          </w:tcPr>
          <w:p>
            <w:pPr>
              <w:spacing w:after="20" w:line="252" w:lineRule="auto"/>
            </w:pPr>
            <w:r>
              <w:rPr>
                <w:b w:val="0"/>
                <w:i w:val="0"/>
                <w:sz w:val="15"/>
              </w:rPr>
              <w:t>Payment dashboard, bulk payment per policy, proof upload, verification, e-Receipt, 7-day block</w:t>
            </w:r>
          </w:p>
        </w:tc>
        <w:tc>
          <w:tcPr>
            <w:tcW w:type="dxa" w:w="2608"/>
            <w:vAlign w:val="top"/>
            <w:shd w:val="clear" w:color="auto" w:fill="FDF0F7"/>
          </w:tcPr>
          <w:p>
            <w:pPr>
              <w:spacing w:after="20" w:line="252" w:lineRule="auto"/>
            </w:pPr>
            <w:r>
              <w:rPr>
                <w:b w:val="0"/>
                <w:i w:val="0"/>
                <w:sz w:val="15"/>
              </w:rPr>
              <w:t>Billing module and nightly grace-period job</w:t>
            </w:r>
          </w:p>
        </w:tc>
        <w:tc>
          <w:tcPr>
            <w:tcW w:type="dxa" w:w="1814"/>
            <w:vAlign w:val="top"/>
            <w:shd w:val="clear" w:color="auto" w:fill="FDF0F7"/>
          </w:tcPr>
          <w:p>
            <w:pPr>
              <w:spacing w:after="20" w:line="252" w:lineRule="auto"/>
            </w:pPr>
            <w:r>
              <w:rPr>
                <w:b w:val="0"/>
                <w:i w:val="0"/>
                <w:sz w:val="15"/>
              </w:rPr>
              <w:t>Journey 4; grace-period test evidence</w:t>
            </w:r>
          </w:p>
        </w:tc>
      </w:tr>
      <w:tr>
        <w:trPr>
          <w:cantSplit/>
        </w:trPr>
        <w:tc>
          <w:tcPr>
            <w:tcW w:type="dxa" w:w="2041"/>
            <w:vAlign w:val="top"/>
          </w:tcPr>
          <w:p>
            <w:pPr>
              <w:spacing w:after="20" w:line="252" w:lineRule="auto"/>
            </w:pPr>
            <w:r>
              <w:rPr>
                <w:b/>
                <w:i w:val="0"/>
                <w:sz w:val="15"/>
              </w:rPr>
              <w:t>Claims (AP-43)</w:t>
            </w:r>
          </w:p>
        </w:tc>
        <w:tc>
          <w:tcPr>
            <w:tcW w:type="dxa" w:w="3175"/>
            <w:vAlign w:val="top"/>
          </w:tcPr>
          <w:p>
            <w:pPr>
              <w:spacing w:after="20" w:line="252" w:lineRule="auto"/>
            </w:pPr>
            <w:r>
              <w:rPr>
                <w:b w:val="0"/>
                <w:i w:val="0"/>
                <w:sz w:val="15"/>
              </w:rPr>
              <w:t>Claim notification with policy validation and documents</w:t>
            </w:r>
          </w:p>
        </w:tc>
        <w:tc>
          <w:tcPr>
            <w:tcW w:type="dxa" w:w="2608"/>
            <w:vAlign w:val="top"/>
          </w:tcPr>
          <w:p>
            <w:pPr>
              <w:spacing w:after="20" w:line="252" w:lineRule="auto"/>
            </w:pPr>
            <w:r>
              <w:rPr>
                <w:b w:val="0"/>
                <w:i w:val="0"/>
                <w:sz w:val="15"/>
              </w:rPr>
              <w:t>Claims module</w:t>
            </w:r>
          </w:p>
        </w:tc>
        <w:tc>
          <w:tcPr>
            <w:tcW w:type="dxa" w:w="1814"/>
            <w:vAlign w:val="top"/>
          </w:tcPr>
          <w:p>
            <w:pPr>
              <w:spacing w:after="20" w:line="252" w:lineRule="auto"/>
            </w:pPr>
            <w:r>
              <w:rPr>
                <w:b w:val="0"/>
                <w:i w:val="0"/>
                <w:sz w:val="15"/>
              </w:rPr>
              <w:t>Journey 6 in UAT</w:t>
            </w:r>
          </w:p>
        </w:tc>
      </w:tr>
      <w:tr>
        <w:trPr>
          <w:cantSplit/>
        </w:trPr>
        <w:tc>
          <w:tcPr>
            <w:tcW w:type="dxa" w:w="2041"/>
            <w:vAlign w:val="top"/>
            <w:shd w:val="clear" w:color="auto" w:fill="FDF0F7"/>
          </w:tcPr>
          <w:p>
            <w:pPr>
              <w:spacing w:after="20" w:line="252" w:lineRule="auto"/>
            </w:pPr>
            <w:r>
              <w:rPr>
                <w:b/>
                <w:i w:val="0"/>
                <w:sz w:val="15"/>
              </w:rPr>
              <w:t>Documents (AP-44–47)</w:t>
            </w:r>
          </w:p>
        </w:tc>
        <w:tc>
          <w:tcPr>
            <w:tcW w:type="dxa" w:w="3175"/>
            <w:vAlign w:val="top"/>
            <w:shd w:val="clear" w:color="auto" w:fill="FDF0F7"/>
          </w:tcPr>
          <w:p>
            <w:pPr>
              <w:spacing w:after="20" w:line="252" w:lineRule="auto"/>
            </w:pPr>
            <w:r>
              <w:rPr>
                <w:b w:val="0"/>
                <w:i w:val="0"/>
                <w:sz w:val="15"/>
              </w:rPr>
              <w:t>Policy schedule, e-Policy and e-Receipt PDFs; download, e-mail, upload, status and expiry</w:t>
            </w:r>
          </w:p>
        </w:tc>
        <w:tc>
          <w:tcPr>
            <w:tcW w:type="dxa" w:w="2608"/>
            <w:vAlign w:val="top"/>
            <w:shd w:val="clear" w:color="auto" w:fill="FDF0F7"/>
          </w:tcPr>
          <w:p>
            <w:pPr>
              <w:spacing w:after="20" w:line="252" w:lineRule="auto"/>
            </w:pPr>
            <w:r>
              <w:rPr>
                <w:b w:val="0"/>
                <w:i w:val="0"/>
                <w:sz w:val="15"/>
              </w:rPr>
              <w:t>IIFT templates; encrypted store; ClamAV scan</w:t>
            </w:r>
          </w:p>
        </w:tc>
        <w:tc>
          <w:tcPr>
            <w:tcW w:type="dxa" w:w="1814"/>
            <w:vAlign w:val="top"/>
            <w:shd w:val="clear" w:color="auto" w:fill="FDF0F7"/>
          </w:tcPr>
          <w:p>
            <w:pPr>
              <w:spacing w:after="20" w:line="252" w:lineRule="auto"/>
            </w:pPr>
            <w:r>
              <w:rPr>
                <w:b w:val="0"/>
                <w:i w:val="0"/>
                <w:sz w:val="15"/>
              </w:rPr>
              <w:t>Template sign-off; upload tests</w:t>
            </w:r>
          </w:p>
        </w:tc>
      </w:tr>
      <w:tr>
        <w:trPr>
          <w:cantSplit/>
        </w:trPr>
        <w:tc>
          <w:tcPr>
            <w:tcW w:type="dxa" w:w="2041"/>
            <w:vAlign w:val="top"/>
          </w:tcPr>
          <w:p>
            <w:pPr>
              <w:spacing w:after="20" w:line="252" w:lineRule="auto"/>
            </w:pPr>
            <w:r>
              <w:rPr>
                <w:b/>
                <w:i w:val="0"/>
                <w:sz w:val="15"/>
              </w:rPr>
              <w:t>AML information (AP-48)</w:t>
            </w:r>
          </w:p>
        </w:tc>
        <w:tc>
          <w:tcPr>
            <w:tcW w:type="dxa" w:w="3175"/>
            <w:vAlign w:val="top"/>
          </w:tcPr>
          <w:p>
            <w:pPr>
              <w:spacing w:after="20" w:line="252" w:lineRule="auto"/>
            </w:pPr>
            <w:r>
              <w:rPr>
                <w:b w:val="0"/>
                <w:i w:val="0"/>
                <w:sz w:val="15"/>
              </w:rPr>
              <w:t>AML/KYC data captured at onboarding</w:t>
            </w:r>
          </w:p>
        </w:tc>
        <w:tc>
          <w:tcPr>
            <w:tcW w:type="dxa" w:w="2608"/>
            <w:vAlign w:val="top"/>
          </w:tcPr>
          <w:p>
            <w:pPr>
              <w:spacing w:after="20" w:line="252" w:lineRule="auto"/>
            </w:pPr>
            <w:r>
              <w:rPr>
                <w:b w:val="0"/>
                <w:i w:val="0"/>
                <w:sz w:val="15"/>
              </w:rPr>
              <w:t>Configurable KYC fields</w:t>
            </w:r>
          </w:p>
        </w:tc>
        <w:tc>
          <w:tcPr>
            <w:tcW w:type="dxa" w:w="1814"/>
            <w:vAlign w:val="top"/>
          </w:tcPr>
          <w:p>
            <w:pPr>
              <w:spacing w:after="20" w:line="252" w:lineRule="auto"/>
            </w:pPr>
            <w:r>
              <w:rPr>
                <w:b w:val="0"/>
                <w:i w:val="0"/>
                <w:sz w:val="15"/>
              </w:rPr>
              <w:t>Compliance review of form</w:t>
            </w:r>
          </w:p>
        </w:tc>
      </w:tr>
      <w:tr>
        <w:trPr>
          <w:cantSplit/>
        </w:trPr>
        <w:tc>
          <w:tcPr>
            <w:tcW w:type="dxa" w:w="2041"/>
            <w:vAlign w:val="top"/>
            <w:shd w:val="clear" w:color="auto" w:fill="FDF0F7"/>
          </w:tcPr>
          <w:p>
            <w:pPr>
              <w:spacing w:after="20" w:line="252" w:lineRule="auto"/>
            </w:pPr>
            <w:r>
              <w:rPr>
                <w:b/>
                <w:i w:val="0"/>
                <w:sz w:val="15"/>
              </w:rPr>
              <w:t>Workflow (AP-49–51)</w:t>
            </w:r>
          </w:p>
        </w:tc>
        <w:tc>
          <w:tcPr>
            <w:tcW w:type="dxa" w:w="3175"/>
            <w:vAlign w:val="top"/>
            <w:shd w:val="clear" w:color="auto" w:fill="FDF0F7"/>
          </w:tcPr>
          <w:p>
            <w:pPr>
              <w:spacing w:after="20" w:line="252" w:lineRule="auto"/>
            </w:pPr>
            <w:r>
              <w:rPr>
                <w:b w:val="0"/>
                <w:i w:val="0"/>
                <w:sz w:val="15"/>
              </w:rPr>
              <w:t>Save, submit, track; status list; rejection remarks and resubmission</w:t>
            </w:r>
          </w:p>
        </w:tc>
        <w:tc>
          <w:tcPr>
            <w:tcW w:type="dxa" w:w="2608"/>
            <w:vAlign w:val="top"/>
            <w:shd w:val="clear" w:color="auto" w:fill="FDF0F7"/>
          </w:tcPr>
          <w:p>
            <w:pPr>
              <w:spacing w:after="20" w:line="252" w:lineRule="auto"/>
            </w:pPr>
            <w:r>
              <w:rPr>
                <w:b w:val="0"/>
                <w:i w:val="0"/>
                <w:sz w:val="15"/>
              </w:rPr>
              <w:t>My requests screen over the workflow engine</w:t>
            </w:r>
          </w:p>
        </w:tc>
        <w:tc>
          <w:tcPr>
            <w:tcW w:type="dxa" w:w="1814"/>
            <w:vAlign w:val="top"/>
            <w:shd w:val="clear" w:color="auto" w:fill="FDF0F7"/>
          </w:tcPr>
          <w:p>
            <w:pPr>
              <w:spacing w:after="20" w:line="252" w:lineRule="auto"/>
            </w:pPr>
            <w:r>
              <w:rPr>
                <w:b w:val="0"/>
                <w:i w:val="0"/>
                <w:sz w:val="15"/>
              </w:rPr>
              <w:t>Journey 9 in UAT</w:t>
            </w:r>
          </w:p>
        </w:tc>
      </w:tr>
      <w:tr>
        <w:trPr>
          <w:cantSplit/>
        </w:trPr>
        <w:tc>
          <w:tcPr>
            <w:tcW w:type="dxa" w:w="2041"/>
            <w:vAlign w:val="top"/>
          </w:tcPr>
          <w:p>
            <w:pPr>
              <w:spacing w:after="20" w:line="252" w:lineRule="auto"/>
            </w:pPr>
            <w:r>
              <w:rPr>
                <w:b/>
                <w:i w:val="0"/>
                <w:sz w:val="15"/>
              </w:rPr>
              <w:t>Dashboard (AP-52–53)</w:t>
            </w:r>
          </w:p>
        </w:tc>
        <w:tc>
          <w:tcPr>
            <w:tcW w:type="dxa" w:w="3175"/>
            <w:vAlign w:val="top"/>
          </w:tcPr>
          <w:p>
            <w:pPr>
              <w:spacing w:after="20" w:line="252" w:lineRule="auto"/>
            </w:pPr>
            <w:r>
              <w:rPr>
                <w:b w:val="0"/>
                <w:i w:val="0"/>
                <w:sz w:val="15"/>
              </w:rPr>
              <w:t>Agent dashboard and pending actions</w:t>
            </w:r>
          </w:p>
        </w:tc>
        <w:tc>
          <w:tcPr>
            <w:tcW w:type="dxa" w:w="2608"/>
            <w:vAlign w:val="top"/>
          </w:tcPr>
          <w:p>
            <w:pPr>
              <w:spacing w:after="20" w:line="252" w:lineRule="auto"/>
            </w:pPr>
            <w:r>
              <w:rPr>
                <w:b w:val="0"/>
                <w:i w:val="0"/>
                <w:sz w:val="15"/>
              </w:rPr>
              <w:t>Role-based dashboard widgets</w:t>
            </w:r>
          </w:p>
        </w:tc>
        <w:tc>
          <w:tcPr>
            <w:tcW w:type="dxa" w:w="1814"/>
            <w:vAlign w:val="top"/>
          </w:tcPr>
          <w:p>
            <w:pPr>
              <w:spacing w:after="20" w:line="252" w:lineRule="auto"/>
            </w:pPr>
            <w:r>
              <w:rPr>
                <w:b w:val="0"/>
                <w:i w:val="0"/>
                <w:sz w:val="15"/>
              </w:rPr>
              <w:t>UAT review</w:t>
            </w:r>
          </w:p>
        </w:tc>
      </w:tr>
      <w:tr>
        <w:trPr>
          <w:cantSplit/>
        </w:trPr>
        <w:tc>
          <w:tcPr>
            <w:tcW w:type="dxa" w:w="2041"/>
            <w:vAlign w:val="top"/>
            <w:shd w:val="clear" w:color="auto" w:fill="FDF0F7"/>
          </w:tcPr>
          <w:p>
            <w:pPr>
              <w:spacing w:after="20" w:line="252" w:lineRule="auto"/>
            </w:pPr>
            <w:r>
              <w:rPr>
                <w:b/>
                <w:i w:val="0"/>
                <w:sz w:val="15"/>
              </w:rPr>
              <w:t>Notifications (AP-54)</w:t>
            </w:r>
          </w:p>
        </w:tc>
        <w:tc>
          <w:tcPr>
            <w:tcW w:type="dxa" w:w="3175"/>
            <w:vAlign w:val="top"/>
            <w:shd w:val="clear" w:color="auto" w:fill="FDF0F7"/>
          </w:tcPr>
          <w:p>
            <w:pPr>
              <w:spacing w:after="20" w:line="252" w:lineRule="auto"/>
            </w:pPr>
            <w:r>
              <w:rPr>
                <w:b w:val="0"/>
                <w:i w:val="0"/>
                <w:sz w:val="15"/>
              </w:rPr>
              <w:t>Alerts on status changes, approvals, rejections, actions</w:t>
            </w:r>
          </w:p>
        </w:tc>
        <w:tc>
          <w:tcPr>
            <w:tcW w:type="dxa" w:w="2608"/>
            <w:vAlign w:val="top"/>
            <w:shd w:val="clear" w:color="auto" w:fill="FDF0F7"/>
          </w:tcPr>
          <w:p>
            <w:pPr>
              <w:spacing w:after="20" w:line="252" w:lineRule="auto"/>
            </w:pPr>
            <w:r>
              <w:rPr>
                <w:b w:val="0"/>
                <w:i w:val="0"/>
                <w:sz w:val="15"/>
              </w:rPr>
              <w:t>Notification templates per event</w:t>
            </w:r>
          </w:p>
        </w:tc>
        <w:tc>
          <w:tcPr>
            <w:tcW w:type="dxa" w:w="1814"/>
            <w:vAlign w:val="top"/>
            <w:shd w:val="clear" w:color="auto" w:fill="FDF0F7"/>
          </w:tcPr>
          <w:p>
            <w:pPr>
              <w:spacing w:after="20" w:line="252" w:lineRule="auto"/>
            </w:pPr>
            <w:r>
              <w:rPr>
                <w:b w:val="0"/>
                <w:i w:val="0"/>
                <w:sz w:val="15"/>
              </w:rPr>
              <w:t>Notification test log</w:t>
            </w:r>
          </w:p>
        </w:tc>
      </w:tr>
      <w:tr>
        <w:trPr>
          <w:cantSplit/>
        </w:trPr>
        <w:tc>
          <w:tcPr>
            <w:tcW w:type="dxa" w:w="2041"/>
            <w:vAlign w:val="top"/>
          </w:tcPr>
          <w:p>
            <w:pPr>
              <w:spacing w:after="20" w:line="252" w:lineRule="auto"/>
            </w:pPr>
            <w:r>
              <w:rPr>
                <w:b/>
                <w:i w:val="0"/>
                <w:sz w:val="15"/>
              </w:rPr>
              <w:t>Issue management (AP-55–57)</w:t>
            </w:r>
          </w:p>
        </w:tc>
        <w:tc>
          <w:tcPr>
            <w:tcW w:type="dxa" w:w="3175"/>
            <w:vAlign w:val="top"/>
          </w:tcPr>
          <w:p>
            <w:pPr>
              <w:spacing w:after="20" w:line="252" w:lineRule="auto"/>
            </w:pPr>
            <w:r>
              <w:rPr>
                <w:b w:val="0"/>
                <w:i w:val="0"/>
                <w:sz w:val="15"/>
              </w:rPr>
              <w:t>Report issues with reference number, tracking and attachments</w:t>
            </w:r>
          </w:p>
        </w:tc>
        <w:tc>
          <w:tcPr>
            <w:tcW w:type="dxa" w:w="2608"/>
            <w:vAlign w:val="top"/>
          </w:tcPr>
          <w:p>
            <w:pPr>
              <w:spacing w:after="20" w:line="252" w:lineRule="auto"/>
            </w:pPr>
            <w:r>
              <w:rPr>
                <w:b w:val="0"/>
                <w:i w:val="0"/>
                <w:sz w:val="15"/>
              </w:rPr>
              <w:t>Issues module with SLA timers</w:t>
            </w:r>
          </w:p>
        </w:tc>
        <w:tc>
          <w:tcPr>
            <w:tcW w:type="dxa" w:w="1814"/>
            <w:vAlign w:val="top"/>
          </w:tcPr>
          <w:p>
            <w:pPr>
              <w:spacing w:after="20" w:line="252" w:lineRule="auto"/>
            </w:pPr>
            <w:r>
              <w:rPr>
                <w:b w:val="0"/>
                <w:i w:val="0"/>
                <w:sz w:val="15"/>
              </w:rPr>
              <w:t>Journey 7 in UAT</w:t>
            </w:r>
          </w:p>
        </w:tc>
      </w:tr>
      <w:tr>
        <w:trPr>
          <w:cantSplit/>
        </w:trPr>
        <w:tc>
          <w:tcPr>
            <w:tcW w:type="dxa" w:w="2041"/>
            <w:vAlign w:val="top"/>
            <w:shd w:val="clear" w:color="auto" w:fill="FDF0F7"/>
          </w:tcPr>
          <w:p>
            <w:pPr>
              <w:spacing w:after="20" w:line="252" w:lineRule="auto"/>
            </w:pPr>
            <w:r>
              <w:rPr>
                <w:b/>
                <w:i w:val="0"/>
                <w:sz w:val="15"/>
              </w:rPr>
              <w:t>Reporting (AP-58)</w:t>
            </w:r>
          </w:p>
        </w:tc>
        <w:tc>
          <w:tcPr>
            <w:tcW w:type="dxa" w:w="3175"/>
            <w:vAlign w:val="top"/>
            <w:shd w:val="clear" w:color="auto" w:fill="FDF0F7"/>
          </w:tcPr>
          <w:p>
            <w:pPr>
              <w:spacing w:after="20" w:line="252" w:lineRule="auto"/>
            </w:pPr>
            <w:r>
              <w:rPr>
                <w:b w:val="0"/>
                <w:i w:val="0"/>
                <w:sz w:val="15"/>
              </w:rPr>
              <w:t>Role-scoped reports for agency, agent and bank</w:t>
            </w:r>
          </w:p>
        </w:tc>
        <w:tc>
          <w:tcPr>
            <w:tcW w:type="dxa" w:w="2608"/>
            <w:vAlign w:val="top"/>
            <w:shd w:val="clear" w:color="auto" w:fill="FDF0F7"/>
          </w:tcPr>
          <w:p>
            <w:pPr>
              <w:spacing w:after="20" w:line="252" w:lineRule="auto"/>
            </w:pPr>
            <w:r>
              <w:rPr>
                <w:b w:val="0"/>
                <w:i w:val="0"/>
                <w:sz w:val="15"/>
              </w:rPr>
              <w:t>Report catalogue with data scoping</w:t>
            </w:r>
          </w:p>
        </w:tc>
        <w:tc>
          <w:tcPr>
            <w:tcW w:type="dxa" w:w="1814"/>
            <w:vAlign w:val="top"/>
            <w:shd w:val="clear" w:color="auto" w:fill="FDF0F7"/>
          </w:tcPr>
          <w:p>
            <w:pPr>
              <w:spacing w:after="20" w:line="252" w:lineRule="auto"/>
            </w:pPr>
            <w:r>
              <w:rPr>
                <w:b w:val="0"/>
                <w:i w:val="0"/>
                <w:sz w:val="15"/>
              </w:rPr>
              <w:t>Report sign-off</w:t>
            </w:r>
          </w:p>
        </w:tc>
      </w:tr>
      <w:tr>
        <w:trPr>
          <w:cantSplit/>
        </w:trPr>
        <w:tc>
          <w:tcPr>
            <w:tcW w:type="dxa" w:w="2041"/>
            <w:vAlign w:val="top"/>
          </w:tcPr>
          <w:p>
            <w:pPr>
              <w:spacing w:after="20" w:line="252" w:lineRule="auto"/>
            </w:pPr>
            <w:r>
              <w:rPr>
                <w:b/>
                <w:i w:val="0"/>
                <w:sz w:val="15"/>
              </w:rPr>
              <w:t>Security and approvals (AP-59–61)</w:t>
            </w:r>
          </w:p>
        </w:tc>
        <w:tc>
          <w:tcPr>
            <w:tcW w:type="dxa" w:w="3175"/>
            <w:vAlign w:val="top"/>
          </w:tcPr>
          <w:p>
            <w:pPr>
              <w:spacing w:after="20" w:line="252" w:lineRule="auto"/>
            </w:pPr>
            <w:r>
              <w:rPr>
                <w:b w:val="0"/>
                <w:i w:val="0"/>
                <w:sz w:val="15"/>
              </w:rPr>
              <w:t>Role-based access, authority limits, approval history</w:t>
            </w:r>
          </w:p>
        </w:tc>
        <w:tc>
          <w:tcPr>
            <w:tcW w:type="dxa" w:w="2608"/>
            <w:vAlign w:val="top"/>
          </w:tcPr>
          <w:p>
            <w:pPr>
              <w:spacing w:after="20" w:line="252" w:lineRule="auto"/>
            </w:pPr>
            <w:r>
              <w:rPr>
                <w:b w:val="0"/>
                <w:i w:val="0"/>
                <w:sz w:val="15"/>
              </w:rPr>
              <w:t>Permissions and data scopes; amount thresholds</w:t>
            </w:r>
          </w:p>
        </w:tc>
        <w:tc>
          <w:tcPr>
            <w:tcW w:type="dxa" w:w="1814"/>
            <w:vAlign w:val="top"/>
          </w:tcPr>
          <w:p>
            <w:pPr>
              <w:spacing w:after="20" w:line="252" w:lineRule="auto"/>
            </w:pPr>
            <w:r>
              <w:rPr>
                <w:b w:val="0"/>
                <w:i w:val="0"/>
                <w:sz w:val="15"/>
              </w:rPr>
              <w:t>Role matrix sign-off; negative tests</w:t>
            </w:r>
          </w:p>
        </w:tc>
      </w:tr>
      <w:tr>
        <w:trPr>
          <w:cantSplit/>
        </w:trPr>
        <w:tc>
          <w:tcPr>
            <w:tcW w:type="dxa" w:w="2041"/>
            <w:vAlign w:val="top"/>
            <w:shd w:val="clear" w:color="auto" w:fill="FDF0F7"/>
          </w:tcPr>
          <w:p>
            <w:pPr>
              <w:spacing w:after="20" w:line="252" w:lineRule="auto"/>
            </w:pPr>
            <w:r>
              <w:rPr>
                <w:b/>
                <w:i w:val="0"/>
                <w:sz w:val="15"/>
              </w:rPr>
              <w:t>Digital signature (AP-62)</w:t>
            </w:r>
          </w:p>
        </w:tc>
        <w:tc>
          <w:tcPr>
            <w:tcW w:type="dxa" w:w="3175"/>
            <w:vAlign w:val="top"/>
            <w:shd w:val="clear" w:color="auto" w:fill="FDF0F7"/>
          </w:tcPr>
          <w:p>
            <w:pPr>
              <w:spacing w:after="20" w:line="252" w:lineRule="auto"/>
            </w:pPr>
            <w:r>
              <w:rPr>
                <w:b w:val="0"/>
                <w:i w:val="0"/>
                <w:sz w:val="15"/>
              </w:rPr>
              <w:t>On-screen signature, single-use e-mail link, upload of signed documents</w:t>
            </w:r>
          </w:p>
        </w:tc>
        <w:tc>
          <w:tcPr>
            <w:tcW w:type="dxa" w:w="2608"/>
            <w:vAlign w:val="top"/>
            <w:shd w:val="clear" w:color="auto" w:fill="FDF0F7"/>
          </w:tcPr>
          <w:p>
            <w:pPr>
              <w:spacing w:after="20" w:line="252" w:lineRule="auto"/>
            </w:pPr>
            <w:r>
              <w:rPr>
                <w:b w:val="0"/>
                <w:i w:val="0"/>
                <w:sz w:val="15"/>
              </w:rPr>
              <w:t>e-Signature module with evidence record</w:t>
            </w:r>
          </w:p>
        </w:tc>
        <w:tc>
          <w:tcPr>
            <w:tcW w:type="dxa" w:w="1814"/>
            <w:vAlign w:val="top"/>
            <w:shd w:val="clear" w:color="auto" w:fill="FDF0F7"/>
          </w:tcPr>
          <w:p>
            <w:pPr>
              <w:spacing w:after="20" w:line="252" w:lineRule="auto"/>
            </w:pPr>
            <w:r>
              <w:rPr>
                <w:b w:val="0"/>
                <w:i w:val="0"/>
                <w:sz w:val="15"/>
              </w:rPr>
              <w:t>UAT case; evidence sample reviewed by IIFT Legal</w:t>
            </w:r>
          </w:p>
        </w:tc>
      </w:tr>
    </w:tbl>
    <w:p>
      <w:pPr>
        <w:spacing w:after="0" w:before="0"/>
      </w:pPr>
      <w:r>
        <w:rPr>
          <w:sz w:val="8"/>
        </w:rPr>
      </w:r>
    </w:p>
    <w:p>
      <w:pPr>
        <w:pStyle w:val="Heading2"/>
      </w:pPr>
      <w:r>
        <w:t>5.3 Back-office functions (RFP 4.2)</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3175"/>
        <w:gridCol w:w="2608"/>
        <w:gridCol w:w="1814"/>
      </w:tblGrid>
      <w:tr>
        <w:trPr>
          <w:cantSplit/>
          <w:tblHeader/>
        </w:trPr>
        <w:tc>
          <w:tcPr>
            <w:tcW w:type="dxa" w:w="2041"/>
            <w:shd w:val="clear" w:color="auto" w:fill="E1058C"/>
            <w:vAlign w:val="center"/>
          </w:tcPr>
          <w:p>
            <w:pPr>
              <w:spacing w:after="0"/>
            </w:pPr>
            <w:r>
              <w:rPr>
                <w:b/>
                <w:i w:val="0"/>
                <w:color w:val="FFFFFF"/>
                <w:sz w:val="15"/>
              </w:rPr>
              <w:t>RFP area and IDs</w:t>
            </w:r>
          </w:p>
        </w:tc>
        <w:tc>
          <w:tcPr>
            <w:tcW w:type="dxa" w:w="3175"/>
            <w:shd w:val="clear" w:color="auto" w:fill="E1058C"/>
            <w:vAlign w:val="center"/>
          </w:tcPr>
          <w:p>
            <w:pPr>
              <w:spacing w:after="0"/>
            </w:pPr>
            <w:r>
              <w:rPr>
                <w:b/>
                <w:i w:val="0"/>
                <w:color w:val="FFFFFF"/>
                <w:sz w:val="15"/>
              </w:rPr>
              <w:t>What we deliver</w:t>
            </w:r>
          </w:p>
        </w:tc>
        <w:tc>
          <w:tcPr>
            <w:tcW w:type="dxa" w:w="2608"/>
            <w:shd w:val="clear" w:color="auto" w:fill="E1058C"/>
            <w:vAlign w:val="center"/>
          </w:tcPr>
          <w:p>
            <w:pPr>
              <w:spacing w:after="0"/>
            </w:pPr>
            <w:r>
              <w:rPr>
                <w:b/>
                <w:i w:val="0"/>
                <w:color w:val="FFFFFF"/>
                <w:sz w:val="15"/>
              </w:rPr>
              <w:t>How</w:t>
            </w:r>
          </w:p>
        </w:tc>
        <w:tc>
          <w:tcPr>
            <w:tcW w:type="dxa" w:w="1814"/>
            <w:shd w:val="clear" w:color="auto" w:fill="E1058C"/>
            <w:vAlign w:val="center"/>
          </w:tcPr>
          <w:p>
            <w:pPr>
              <w:spacing w:after="0"/>
            </w:pPr>
            <w:r>
              <w:rPr>
                <w:b/>
                <w:i w:val="0"/>
                <w:color w:val="FFFFFF"/>
                <w:sz w:val="15"/>
              </w:rPr>
              <w:t>Acceptance evidence</w:t>
            </w:r>
          </w:p>
        </w:tc>
      </w:tr>
      <w:tr>
        <w:trPr>
          <w:cantSplit/>
        </w:trPr>
        <w:tc>
          <w:tcPr>
            <w:tcW w:type="dxa" w:w="2041"/>
            <w:vAlign w:val="top"/>
          </w:tcPr>
          <w:p>
            <w:pPr>
              <w:spacing w:after="20" w:line="252" w:lineRule="auto"/>
            </w:pPr>
            <w:r>
              <w:rPr>
                <w:b/>
                <w:i w:val="0"/>
                <w:sz w:val="15"/>
              </w:rPr>
              <w:t>Authentication and access (BO-01–02)</w:t>
            </w:r>
          </w:p>
        </w:tc>
        <w:tc>
          <w:tcPr>
            <w:tcW w:type="dxa" w:w="3175"/>
            <w:vAlign w:val="top"/>
          </w:tcPr>
          <w:p>
            <w:pPr>
              <w:spacing w:after="20" w:line="252" w:lineRule="auto"/>
            </w:pPr>
            <w:r>
              <w:rPr>
                <w:b w:val="0"/>
                <w:i w:val="0"/>
                <w:sz w:val="15"/>
              </w:rPr>
              <w:t>Internal login, MFA, Active Directory sign-on, role-based access</w:t>
            </w:r>
          </w:p>
        </w:tc>
        <w:tc>
          <w:tcPr>
            <w:tcW w:type="dxa" w:w="2608"/>
            <w:vAlign w:val="top"/>
          </w:tcPr>
          <w:p>
            <w:pPr>
              <w:spacing w:after="20" w:line="252" w:lineRule="auto"/>
            </w:pPr>
            <w:r>
              <w:rPr>
                <w:b w:val="0"/>
                <w:i w:val="0"/>
                <w:sz w:val="15"/>
              </w:rPr>
              <w:t>MFA and AD adapter built during implementation</w:t>
            </w:r>
          </w:p>
        </w:tc>
        <w:tc>
          <w:tcPr>
            <w:tcW w:type="dxa" w:w="1814"/>
            <w:vAlign w:val="top"/>
          </w:tcPr>
          <w:p>
            <w:pPr>
              <w:spacing w:after="20" w:line="252" w:lineRule="auto"/>
            </w:pPr>
            <w:r>
              <w:rPr>
                <w:b w:val="0"/>
                <w:i w:val="0"/>
                <w:sz w:val="15"/>
              </w:rPr>
              <w:t>Security tests; VAPT</w:t>
            </w:r>
          </w:p>
        </w:tc>
      </w:tr>
      <w:tr>
        <w:trPr>
          <w:cantSplit/>
        </w:trPr>
        <w:tc>
          <w:tcPr>
            <w:tcW w:type="dxa" w:w="2041"/>
            <w:vAlign w:val="top"/>
            <w:shd w:val="clear" w:color="auto" w:fill="FDF0F7"/>
          </w:tcPr>
          <w:p>
            <w:pPr>
              <w:spacing w:after="20" w:line="252" w:lineRule="auto"/>
            </w:pPr>
            <w:r>
              <w:rPr>
                <w:b/>
                <w:i w:val="0"/>
                <w:sz w:val="15"/>
              </w:rPr>
              <w:t>User management (BO-03–04)</w:t>
            </w:r>
          </w:p>
        </w:tc>
        <w:tc>
          <w:tcPr>
            <w:tcW w:type="dxa" w:w="3175"/>
            <w:vAlign w:val="top"/>
            <w:shd w:val="clear" w:color="auto" w:fill="FDF0F7"/>
          </w:tcPr>
          <w:p>
            <w:pPr>
              <w:spacing w:after="20" w:line="252" w:lineRule="auto"/>
            </w:pPr>
            <w:r>
              <w:rPr>
                <w:b w:val="0"/>
                <w:i w:val="0"/>
                <w:sz w:val="15"/>
              </w:rPr>
              <w:t>User administration, roles and permissions</w:t>
            </w:r>
          </w:p>
        </w:tc>
        <w:tc>
          <w:tcPr>
            <w:tcW w:type="dxa" w:w="2608"/>
            <w:vAlign w:val="top"/>
            <w:shd w:val="clear" w:color="auto" w:fill="FDF0F7"/>
          </w:tcPr>
          <w:p>
            <w:pPr>
              <w:spacing w:after="20" w:line="252" w:lineRule="auto"/>
            </w:pPr>
            <w:r>
              <w:rPr>
                <w:b w:val="0"/>
                <w:i w:val="0"/>
                <w:sz w:val="15"/>
              </w:rPr>
              <w:t>Role builder; IIFT role matrix loaded</w:t>
            </w:r>
          </w:p>
        </w:tc>
        <w:tc>
          <w:tcPr>
            <w:tcW w:type="dxa" w:w="1814"/>
            <w:vAlign w:val="top"/>
            <w:shd w:val="clear" w:color="auto" w:fill="FDF0F7"/>
          </w:tcPr>
          <w:p>
            <w:pPr>
              <w:spacing w:after="20" w:line="252" w:lineRule="auto"/>
            </w:pPr>
            <w:r>
              <w:rPr>
                <w:b w:val="0"/>
                <w:i w:val="0"/>
                <w:sz w:val="15"/>
              </w:rPr>
              <w:t>Role matrix sign-off</w:t>
            </w:r>
          </w:p>
        </w:tc>
      </w:tr>
      <w:tr>
        <w:trPr>
          <w:cantSplit/>
        </w:trPr>
        <w:tc>
          <w:tcPr>
            <w:tcW w:type="dxa" w:w="2041"/>
            <w:vAlign w:val="top"/>
          </w:tcPr>
          <w:p>
            <w:pPr>
              <w:spacing w:after="20" w:line="252" w:lineRule="auto"/>
            </w:pPr>
            <w:r>
              <w:rPr>
                <w:b/>
                <w:i w:val="0"/>
                <w:sz w:val="15"/>
              </w:rPr>
              <w:t>Agent management (BO-05–08, BO-10)</w:t>
            </w:r>
          </w:p>
        </w:tc>
        <w:tc>
          <w:tcPr>
            <w:tcW w:type="dxa" w:w="3175"/>
            <w:vAlign w:val="top"/>
          </w:tcPr>
          <w:p>
            <w:pPr>
              <w:spacing w:after="20" w:line="252" w:lineRule="auto"/>
            </w:pPr>
            <w:r>
              <w:rPr>
                <w:b w:val="0"/>
                <w:i w:val="0"/>
                <w:sz w:val="15"/>
              </w:rPr>
              <w:t>Agent records, search, status lifecycle, hierarchy, approval of registrations and changes</w:t>
            </w:r>
          </w:p>
        </w:tc>
        <w:tc>
          <w:tcPr>
            <w:tcW w:type="dxa" w:w="2608"/>
            <w:vAlign w:val="top"/>
          </w:tcPr>
          <w:p>
            <w:pPr>
              <w:spacing w:after="20" w:line="252" w:lineRule="auto"/>
            </w:pPr>
            <w:r>
              <w:rPr>
                <w:b w:val="0"/>
                <w:i w:val="0"/>
                <w:sz w:val="15"/>
              </w:rPr>
              <w:t>Agents module with maker-checker</w:t>
            </w:r>
          </w:p>
        </w:tc>
        <w:tc>
          <w:tcPr>
            <w:tcW w:type="dxa" w:w="1814"/>
            <w:vAlign w:val="top"/>
          </w:tcPr>
          <w:p>
            <w:pPr>
              <w:spacing w:after="20" w:line="252" w:lineRule="auto"/>
            </w:pPr>
            <w:r>
              <w:rPr>
                <w:b w:val="0"/>
                <w:i w:val="0"/>
                <w:sz w:val="15"/>
              </w:rPr>
              <w:t>SIT cases; Journey 1</w:t>
            </w:r>
          </w:p>
        </w:tc>
      </w:tr>
      <w:tr>
        <w:trPr>
          <w:cantSplit/>
        </w:trPr>
        <w:tc>
          <w:tcPr>
            <w:tcW w:type="dxa" w:w="2041"/>
            <w:vAlign w:val="top"/>
            <w:shd w:val="clear" w:color="auto" w:fill="FDF0F7"/>
          </w:tcPr>
          <w:p>
            <w:pPr>
              <w:spacing w:after="20" w:line="252" w:lineRule="auto"/>
            </w:pPr>
            <w:r>
              <w:rPr>
                <w:b/>
                <w:i w:val="0"/>
                <w:sz w:val="15"/>
              </w:rPr>
              <w:t>Agency management (BO-09)</w:t>
            </w:r>
          </w:p>
        </w:tc>
        <w:tc>
          <w:tcPr>
            <w:tcW w:type="dxa" w:w="3175"/>
            <w:vAlign w:val="top"/>
            <w:shd w:val="clear" w:color="auto" w:fill="FDF0F7"/>
          </w:tcPr>
          <w:p>
            <w:pPr>
              <w:spacing w:after="20" w:line="252" w:lineRule="auto"/>
            </w:pPr>
            <w:r>
              <w:rPr>
                <w:b w:val="0"/>
                <w:i w:val="0"/>
                <w:sz w:val="15"/>
              </w:rPr>
              <w:t>Agency and bank records with linked agents</w:t>
            </w:r>
          </w:p>
        </w:tc>
        <w:tc>
          <w:tcPr>
            <w:tcW w:type="dxa" w:w="2608"/>
            <w:vAlign w:val="top"/>
            <w:shd w:val="clear" w:color="auto" w:fill="FDF0F7"/>
          </w:tcPr>
          <w:p>
            <w:pPr>
              <w:spacing w:after="20" w:line="252" w:lineRule="auto"/>
            </w:pPr>
            <w:r>
              <w:rPr>
                <w:b w:val="0"/>
                <w:i w:val="0"/>
                <w:sz w:val="15"/>
              </w:rPr>
              <w:t>Agencies and banks screens</w:t>
            </w:r>
          </w:p>
        </w:tc>
        <w:tc>
          <w:tcPr>
            <w:tcW w:type="dxa" w:w="1814"/>
            <w:vAlign w:val="top"/>
            <w:shd w:val="clear" w:color="auto" w:fill="FDF0F7"/>
          </w:tcPr>
          <w:p>
            <w:pPr>
              <w:spacing w:after="20" w:line="252" w:lineRule="auto"/>
            </w:pPr>
            <w:r>
              <w:rPr>
                <w:b w:val="0"/>
                <w:i w:val="0"/>
                <w:sz w:val="15"/>
              </w:rPr>
              <w:t>Hierarchy review</w:t>
            </w:r>
          </w:p>
        </w:tc>
      </w:tr>
      <w:tr>
        <w:trPr>
          <w:cantSplit/>
        </w:trPr>
        <w:tc>
          <w:tcPr>
            <w:tcW w:type="dxa" w:w="2041"/>
            <w:vAlign w:val="top"/>
          </w:tcPr>
          <w:p>
            <w:pPr>
              <w:spacing w:after="20" w:line="252" w:lineRule="auto"/>
            </w:pPr>
            <w:r>
              <w:rPr>
                <w:b/>
                <w:i w:val="0"/>
                <w:sz w:val="15"/>
              </w:rPr>
              <w:t>Documents (BO-11–12)</w:t>
            </w:r>
          </w:p>
        </w:tc>
        <w:tc>
          <w:tcPr>
            <w:tcW w:type="dxa" w:w="3175"/>
            <w:vAlign w:val="top"/>
          </w:tcPr>
          <w:p>
            <w:pPr>
              <w:spacing w:after="20" w:line="252" w:lineRule="auto"/>
            </w:pPr>
            <w:r>
              <w:rPr>
                <w:b w:val="0"/>
                <w:i w:val="0"/>
                <w:sz w:val="15"/>
              </w:rPr>
              <w:t>Validate, approve, reject documents; completeness and expiry</w:t>
            </w:r>
          </w:p>
        </w:tc>
        <w:tc>
          <w:tcPr>
            <w:tcW w:type="dxa" w:w="2608"/>
            <w:vAlign w:val="top"/>
          </w:tcPr>
          <w:p>
            <w:pPr>
              <w:spacing w:after="20" w:line="252" w:lineRule="auto"/>
            </w:pPr>
            <w:r>
              <w:rPr>
                <w:b w:val="0"/>
                <w:i w:val="0"/>
                <w:sz w:val="15"/>
              </w:rPr>
              <w:t>Document checks queue</w:t>
            </w:r>
          </w:p>
        </w:tc>
        <w:tc>
          <w:tcPr>
            <w:tcW w:type="dxa" w:w="1814"/>
            <w:vAlign w:val="top"/>
          </w:tcPr>
          <w:p>
            <w:pPr>
              <w:spacing w:after="20" w:line="252" w:lineRule="auto"/>
            </w:pPr>
            <w:r>
              <w:rPr>
                <w:b w:val="0"/>
                <w:i w:val="0"/>
                <w:sz w:val="15"/>
              </w:rPr>
              <w:t>UAT case</w:t>
            </w:r>
          </w:p>
        </w:tc>
      </w:tr>
      <w:tr>
        <w:trPr>
          <w:cantSplit/>
        </w:trPr>
        <w:tc>
          <w:tcPr>
            <w:tcW w:type="dxa" w:w="2041"/>
            <w:vAlign w:val="top"/>
            <w:shd w:val="clear" w:color="auto" w:fill="FDF0F7"/>
          </w:tcPr>
          <w:p>
            <w:pPr>
              <w:spacing w:after="20" w:line="252" w:lineRule="auto"/>
            </w:pPr>
            <w:r>
              <w:rPr>
                <w:b/>
                <w:i w:val="0"/>
                <w:sz w:val="15"/>
              </w:rPr>
              <w:t>AML/KYC (BO-13–15)</w:t>
            </w:r>
          </w:p>
        </w:tc>
        <w:tc>
          <w:tcPr>
            <w:tcW w:type="dxa" w:w="3175"/>
            <w:vAlign w:val="top"/>
            <w:shd w:val="clear" w:color="auto" w:fill="FDF0F7"/>
          </w:tcPr>
          <w:p>
            <w:pPr>
              <w:spacing w:after="20" w:line="252" w:lineRule="auto"/>
            </w:pPr>
            <w:r>
              <w:rPr>
                <w:b w:val="0"/>
                <w:i w:val="0"/>
                <w:sz w:val="15"/>
              </w:rPr>
              <w:t>Screening, results with dates, Compliance review</w:t>
            </w:r>
          </w:p>
        </w:tc>
        <w:tc>
          <w:tcPr>
            <w:tcW w:type="dxa" w:w="2608"/>
            <w:vAlign w:val="top"/>
            <w:shd w:val="clear" w:color="auto" w:fill="FDF0F7"/>
          </w:tcPr>
          <w:p>
            <w:pPr>
              <w:spacing w:after="20" w:line="252" w:lineRule="auto"/>
            </w:pPr>
            <w:r>
              <w:rPr>
                <w:b w:val="0"/>
                <w:i w:val="0"/>
                <w:sz w:val="15"/>
              </w:rPr>
              <w:t>AML cases and watch-list screens</w:t>
            </w:r>
          </w:p>
        </w:tc>
        <w:tc>
          <w:tcPr>
            <w:tcW w:type="dxa" w:w="1814"/>
            <w:vAlign w:val="top"/>
            <w:shd w:val="clear" w:color="auto" w:fill="FDF0F7"/>
          </w:tcPr>
          <w:p>
            <w:pPr>
              <w:spacing w:after="20" w:line="252" w:lineRule="auto"/>
            </w:pPr>
            <w:r>
              <w:rPr>
                <w:b w:val="0"/>
                <w:i w:val="0"/>
                <w:sz w:val="15"/>
              </w:rPr>
              <w:t>AML test pack</w:t>
            </w:r>
          </w:p>
        </w:tc>
      </w:tr>
      <w:tr>
        <w:trPr>
          <w:cantSplit/>
        </w:trPr>
        <w:tc>
          <w:tcPr>
            <w:tcW w:type="dxa" w:w="2041"/>
            <w:vAlign w:val="top"/>
          </w:tcPr>
          <w:p>
            <w:pPr>
              <w:spacing w:after="20" w:line="252" w:lineRule="auto"/>
            </w:pPr>
            <w:r>
              <w:rPr>
                <w:b/>
                <w:i w:val="0"/>
                <w:sz w:val="15"/>
              </w:rPr>
              <w:t>Workflow (BO-16–19)</w:t>
            </w:r>
          </w:p>
        </w:tc>
        <w:tc>
          <w:tcPr>
            <w:tcW w:type="dxa" w:w="3175"/>
            <w:vAlign w:val="top"/>
          </w:tcPr>
          <w:p>
            <w:pPr>
              <w:spacing w:after="20" w:line="252" w:lineRule="auto"/>
            </w:pPr>
            <w:r>
              <w:rPr>
                <w:b w:val="0"/>
                <w:i w:val="0"/>
                <w:sz w:val="15"/>
              </w:rPr>
              <w:t>Configurable approvals, maker-checker, status tracking, rejection remarks</w:t>
            </w:r>
          </w:p>
        </w:tc>
        <w:tc>
          <w:tcPr>
            <w:tcW w:type="dxa" w:w="2608"/>
            <w:vAlign w:val="top"/>
          </w:tcPr>
          <w:p>
            <w:pPr>
              <w:spacing w:after="20" w:line="252" w:lineRule="auto"/>
            </w:pPr>
            <w:r>
              <w:rPr>
                <w:b w:val="0"/>
                <w:i w:val="0"/>
                <w:sz w:val="15"/>
              </w:rPr>
              <w:t>Workflow definitions for the IIFT matrix</w:t>
            </w:r>
          </w:p>
        </w:tc>
        <w:tc>
          <w:tcPr>
            <w:tcW w:type="dxa" w:w="1814"/>
            <w:vAlign w:val="top"/>
          </w:tcPr>
          <w:p>
            <w:pPr>
              <w:spacing w:after="20" w:line="252" w:lineRule="auto"/>
            </w:pPr>
            <w:r>
              <w:rPr>
                <w:b w:val="0"/>
                <w:i w:val="0"/>
                <w:sz w:val="15"/>
              </w:rPr>
              <w:t>Journey 9; negative tests</w:t>
            </w:r>
          </w:p>
        </w:tc>
      </w:tr>
      <w:tr>
        <w:trPr>
          <w:cantSplit/>
        </w:trPr>
        <w:tc>
          <w:tcPr>
            <w:tcW w:type="dxa" w:w="2041"/>
            <w:vAlign w:val="top"/>
            <w:shd w:val="clear" w:color="auto" w:fill="FDF0F7"/>
          </w:tcPr>
          <w:p>
            <w:pPr>
              <w:spacing w:after="20" w:line="252" w:lineRule="auto"/>
            </w:pPr>
            <w:r>
              <w:rPr>
                <w:b/>
                <w:i w:val="0"/>
                <w:sz w:val="15"/>
              </w:rPr>
              <w:t>Dashboards (BO-20–21)</w:t>
            </w:r>
          </w:p>
        </w:tc>
        <w:tc>
          <w:tcPr>
            <w:tcW w:type="dxa" w:w="3175"/>
            <w:vAlign w:val="top"/>
            <w:shd w:val="clear" w:color="auto" w:fill="FDF0F7"/>
          </w:tcPr>
          <w:p>
            <w:pPr>
              <w:spacing w:after="20" w:line="252" w:lineRule="auto"/>
            </w:pPr>
            <w:r>
              <w:rPr>
                <w:b w:val="0"/>
                <w:i w:val="0"/>
                <w:sz w:val="15"/>
              </w:rPr>
              <w:t>Management KPIs and pending actions</w:t>
            </w:r>
          </w:p>
        </w:tc>
        <w:tc>
          <w:tcPr>
            <w:tcW w:type="dxa" w:w="2608"/>
            <w:vAlign w:val="top"/>
            <w:shd w:val="clear" w:color="auto" w:fill="FDF0F7"/>
          </w:tcPr>
          <w:p>
            <w:pPr>
              <w:spacing w:after="20" w:line="252" w:lineRule="auto"/>
            </w:pPr>
            <w:r>
              <w:rPr>
                <w:b w:val="0"/>
                <w:i w:val="0"/>
                <w:sz w:val="15"/>
              </w:rPr>
              <w:t>Back-office dashboard</w:t>
            </w:r>
          </w:p>
        </w:tc>
        <w:tc>
          <w:tcPr>
            <w:tcW w:type="dxa" w:w="1814"/>
            <w:vAlign w:val="top"/>
            <w:shd w:val="clear" w:color="auto" w:fill="FDF0F7"/>
          </w:tcPr>
          <w:p>
            <w:pPr>
              <w:spacing w:after="20" w:line="252" w:lineRule="auto"/>
            </w:pPr>
            <w:r>
              <w:rPr>
                <w:b w:val="0"/>
                <w:i w:val="0"/>
                <w:sz w:val="15"/>
              </w:rPr>
              <w:t>UAT review</w:t>
            </w:r>
          </w:p>
        </w:tc>
      </w:tr>
      <w:tr>
        <w:trPr>
          <w:cantSplit/>
        </w:trPr>
        <w:tc>
          <w:tcPr>
            <w:tcW w:type="dxa" w:w="2041"/>
            <w:vAlign w:val="top"/>
          </w:tcPr>
          <w:p>
            <w:pPr>
              <w:spacing w:after="20" w:line="252" w:lineRule="auto"/>
            </w:pPr>
            <w:r>
              <w:rPr>
                <w:b/>
                <w:i w:val="0"/>
                <w:sz w:val="15"/>
              </w:rPr>
              <w:t>Reporting (BO-22–25)</w:t>
            </w:r>
          </w:p>
        </w:tc>
        <w:tc>
          <w:tcPr>
            <w:tcW w:type="dxa" w:w="3175"/>
            <w:vAlign w:val="top"/>
          </w:tcPr>
          <w:p>
            <w:pPr>
              <w:spacing w:after="20" w:line="252" w:lineRule="auto"/>
            </w:pPr>
            <w:r>
              <w:rPr>
                <w:b w:val="0"/>
                <w:i w:val="0"/>
                <w:sz w:val="15"/>
              </w:rPr>
              <w:t>Standard reports, filters, Excel/CSV/PDF export, schedules</w:t>
            </w:r>
          </w:p>
        </w:tc>
        <w:tc>
          <w:tcPr>
            <w:tcW w:type="dxa" w:w="2608"/>
            <w:vAlign w:val="top"/>
          </w:tcPr>
          <w:p>
            <w:pPr>
              <w:spacing w:after="20" w:line="252" w:lineRule="auto"/>
            </w:pPr>
            <w:r>
              <w:rPr>
                <w:b w:val="0"/>
                <w:i w:val="0"/>
                <w:sz w:val="15"/>
              </w:rPr>
              <w:t>12 existing reports plus the agreed catalogue</w:t>
            </w:r>
          </w:p>
        </w:tc>
        <w:tc>
          <w:tcPr>
            <w:tcW w:type="dxa" w:w="1814"/>
            <w:vAlign w:val="top"/>
          </w:tcPr>
          <w:p>
            <w:pPr>
              <w:spacing w:after="20" w:line="252" w:lineRule="auto"/>
            </w:pPr>
            <w:r>
              <w:rPr>
                <w:b w:val="0"/>
                <w:i w:val="0"/>
                <w:sz w:val="15"/>
              </w:rPr>
              <w:t>Report sign-off</w:t>
            </w:r>
          </w:p>
        </w:tc>
      </w:tr>
      <w:tr>
        <w:trPr>
          <w:cantSplit/>
        </w:trPr>
        <w:tc>
          <w:tcPr>
            <w:tcW w:type="dxa" w:w="2041"/>
            <w:vAlign w:val="top"/>
            <w:shd w:val="clear" w:color="auto" w:fill="FDF0F7"/>
          </w:tcPr>
          <w:p>
            <w:pPr>
              <w:spacing w:after="20" w:line="252" w:lineRule="auto"/>
            </w:pPr>
            <w:r>
              <w:rPr>
                <w:b/>
                <w:i w:val="0"/>
                <w:sz w:val="15"/>
              </w:rPr>
              <w:t>Audit (BO-26–28)</w:t>
            </w:r>
          </w:p>
        </w:tc>
        <w:tc>
          <w:tcPr>
            <w:tcW w:type="dxa" w:w="3175"/>
            <w:vAlign w:val="top"/>
            <w:shd w:val="clear" w:color="auto" w:fill="FDF0F7"/>
          </w:tcPr>
          <w:p>
            <w:pPr>
              <w:spacing w:after="20" w:line="252" w:lineRule="auto"/>
            </w:pPr>
            <w:r>
              <w:rPr>
                <w:b w:val="0"/>
                <w:i w:val="0"/>
                <w:sz w:val="15"/>
              </w:rPr>
              <w:t>Audit of activity and changes with before and after values; search</w:t>
            </w:r>
          </w:p>
        </w:tc>
        <w:tc>
          <w:tcPr>
            <w:tcW w:type="dxa" w:w="2608"/>
            <w:vAlign w:val="top"/>
            <w:shd w:val="clear" w:color="auto" w:fill="FDF0F7"/>
          </w:tcPr>
          <w:p>
            <w:pPr>
              <w:spacing w:after="20" w:line="252" w:lineRule="auto"/>
            </w:pPr>
            <w:r>
              <w:rPr>
                <w:b w:val="0"/>
                <w:i w:val="0"/>
                <w:sz w:val="15"/>
              </w:rPr>
              <w:t>Append-only audit table protected by trigger</w:t>
            </w:r>
          </w:p>
        </w:tc>
        <w:tc>
          <w:tcPr>
            <w:tcW w:type="dxa" w:w="1814"/>
            <w:vAlign w:val="top"/>
            <w:shd w:val="clear" w:color="auto" w:fill="FDF0F7"/>
          </w:tcPr>
          <w:p>
            <w:pPr>
              <w:spacing w:after="20" w:line="252" w:lineRule="auto"/>
            </w:pPr>
            <w:r>
              <w:rPr>
                <w:b w:val="0"/>
                <w:i w:val="0"/>
                <w:sz w:val="15"/>
              </w:rPr>
              <w:t>Tamper test; audit search demo</w:t>
            </w:r>
          </w:p>
        </w:tc>
      </w:tr>
      <w:tr>
        <w:trPr>
          <w:cantSplit/>
        </w:trPr>
        <w:tc>
          <w:tcPr>
            <w:tcW w:type="dxa" w:w="2041"/>
            <w:vAlign w:val="top"/>
          </w:tcPr>
          <w:p>
            <w:pPr>
              <w:spacing w:after="20" w:line="252" w:lineRule="auto"/>
            </w:pPr>
            <w:r>
              <w:rPr>
                <w:b/>
                <w:i w:val="0"/>
                <w:sz w:val="15"/>
              </w:rPr>
              <w:t>Issue management (BO-29–31)</w:t>
            </w:r>
          </w:p>
        </w:tc>
        <w:tc>
          <w:tcPr>
            <w:tcW w:type="dxa" w:w="3175"/>
            <w:vAlign w:val="top"/>
          </w:tcPr>
          <w:p>
            <w:pPr>
              <w:spacing w:after="20" w:line="252" w:lineRule="auto"/>
            </w:pPr>
            <w:r>
              <w:rPr>
                <w:b w:val="0"/>
                <w:i w:val="0"/>
                <w:sz w:val="15"/>
              </w:rPr>
              <w:t>Assignment, priorities, SLA monitoring</w:t>
            </w:r>
          </w:p>
        </w:tc>
        <w:tc>
          <w:tcPr>
            <w:tcW w:type="dxa" w:w="2608"/>
            <w:vAlign w:val="top"/>
          </w:tcPr>
          <w:p>
            <w:pPr>
              <w:spacing w:after="20" w:line="252" w:lineRule="auto"/>
            </w:pPr>
            <w:r>
              <w:rPr>
                <w:b w:val="0"/>
                <w:i w:val="0"/>
                <w:sz w:val="15"/>
              </w:rPr>
              <w:t>Issue rules and SLA targets</w:t>
            </w:r>
          </w:p>
        </w:tc>
        <w:tc>
          <w:tcPr>
            <w:tcW w:type="dxa" w:w="1814"/>
            <w:vAlign w:val="top"/>
          </w:tcPr>
          <w:p>
            <w:pPr>
              <w:spacing w:after="20" w:line="252" w:lineRule="auto"/>
            </w:pPr>
            <w:r>
              <w:rPr>
                <w:b w:val="0"/>
                <w:i w:val="0"/>
                <w:sz w:val="15"/>
              </w:rPr>
              <w:t>Journey 7</w:t>
            </w:r>
          </w:p>
        </w:tc>
      </w:tr>
      <w:tr>
        <w:trPr>
          <w:cantSplit/>
        </w:trPr>
        <w:tc>
          <w:tcPr>
            <w:tcW w:type="dxa" w:w="2041"/>
            <w:vAlign w:val="top"/>
            <w:shd w:val="clear" w:color="auto" w:fill="FDF0F7"/>
          </w:tcPr>
          <w:p>
            <w:pPr>
              <w:spacing w:after="20" w:line="252" w:lineRule="auto"/>
            </w:pPr>
            <w:r>
              <w:rPr>
                <w:b/>
                <w:i w:val="0"/>
                <w:sz w:val="15"/>
              </w:rPr>
              <w:t>Administration (BO-32–33)</w:t>
            </w:r>
          </w:p>
        </w:tc>
        <w:tc>
          <w:tcPr>
            <w:tcW w:type="dxa" w:w="3175"/>
            <w:vAlign w:val="top"/>
            <w:shd w:val="clear" w:color="auto" w:fill="FDF0F7"/>
          </w:tcPr>
          <w:p>
            <w:pPr>
              <w:spacing w:after="20" w:line="252" w:lineRule="auto"/>
            </w:pPr>
            <w:r>
              <w:rPr>
                <w:b w:val="0"/>
                <w:i w:val="0"/>
                <w:sz w:val="15"/>
              </w:rPr>
              <w:t>Master data and configurable rules, statuses, levels, parameters</w:t>
            </w:r>
          </w:p>
        </w:tc>
        <w:tc>
          <w:tcPr>
            <w:tcW w:type="dxa" w:w="2608"/>
            <w:vAlign w:val="top"/>
            <w:shd w:val="clear" w:color="auto" w:fill="FDF0F7"/>
          </w:tcPr>
          <w:p>
            <w:pPr>
              <w:spacing w:after="20" w:line="252" w:lineRule="auto"/>
            </w:pPr>
            <w:r>
              <w:rPr>
                <w:b w:val="0"/>
                <w:i w:val="0"/>
                <w:sz w:val="15"/>
              </w:rPr>
              <w:t>Parameters and master data screens</w:t>
            </w:r>
          </w:p>
        </w:tc>
        <w:tc>
          <w:tcPr>
            <w:tcW w:type="dxa" w:w="1814"/>
            <w:vAlign w:val="top"/>
            <w:shd w:val="clear" w:color="auto" w:fill="FDF0F7"/>
          </w:tcPr>
          <w:p>
            <w:pPr>
              <w:spacing w:after="20" w:line="252" w:lineRule="auto"/>
            </w:pPr>
            <w:r>
              <w:rPr>
                <w:b w:val="0"/>
                <w:i w:val="0"/>
                <w:sz w:val="15"/>
              </w:rPr>
              <w:t>Configuration workbook signed</w:t>
            </w:r>
          </w:p>
        </w:tc>
      </w:tr>
    </w:tbl>
    <w:p>
      <w:pPr>
        <w:spacing w:after="0" w:before="0"/>
      </w:pPr>
      <w:r>
        <w:rPr>
          <w:sz w:val="8"/>
        </w:rPr>
      </w:r>
    </w:p>
    <w:p>
      <w:pPr>
        <w:pStyle w:val="Heading2"/>
      </w:pPr>
      <w:r>
        <w:t>5.4 Integration (RFP 4.3)</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3175"/>
        <w:gridCol w:w="2608"/>
        <w:gridCol w:w="1814"/>
      </w:tblGrid>
      <w:tr>
        <w:trPr>
          <w:cantSplit/>
          <w:tblHeader/>
        </w:trPr>
        <w:tc>
          <w:tcPr>
            <w:tcW w:type="dxa" w:w="2041"/>
            <w:shd w:val="clear" w:color="auto" w:fill="E1058C"/>
            <w:vAlign w:val="center"/>
          </w:tcPr>
          <w:p>
            <w:pPr>
              <w:spacing w:after="0"/>
            </w:pPr>
            <w:r>
              <w:rPr>
                <w:b/>
                <w:i w:val="0"/>
                <w:color w:val="FFFFFF"/>
                <w:sz w:val="15"/>
              </w:rPr>
              <w:t>RFP area and IDs</w:t>
            </w:r>
          </w:p>
        </w:tc>
        <w:tc>
          <w:tcPr>
            <w:tcW w:type="dxa" w:w="3175"/>
            <w:shd w:val="clear" w:color="auto" w:fill="E1058C"/>
            <w:vAlign w:val="center"/>
          </w:tcPr>
          <w:p>
            <w:pPr>
              <w:spacing w:after="0"/>
            </w:pPr>
            <w:r>
              <w:rPr>
                <w:b/>
                <w:i w:val="0"/>
                <w:color w:val="FFFFFF"/>
                <w:sz w:val="15"/>
              </w:rPr>
              <w:t>What we deliver</w:t>
            </w:r>
          </w:p>
        </w:tc>
        <w:tc>
          <w:tcPr>
            <w:tcW w:type="dxa" w:w="2608"/>
            <w:shd w:val="clear" w:color="auto" w:fill="E1058C"/>
            <w:vAlign w:val="center"/>
          </w:tcPr>
          <w:p>
            <w:pPr>
              <w:spacing w:after="0"/>
            </w:pPr>
            <w:r>
              <w:rPr>
                <w:b/>
                <w:i w:val="0"/>
                <w:color w:val="FFFFFF"/>
                <w:sz w:val="15"/>
              </w:rPr>
              <w:t>How</w:t>
            </w:r>
          </w:p>
        </w:tc>
        <w:tc>
          <w:tcPr>
            <w:tcW w:type="dxa" w:w="1814"/>
            <w:shd w:val="clear" w:color="auto" w:fill="E1058C"/>
            <w:vAlign w:val="center"/>
          </w:tcPr>
          <w:p>
            <w:pPr>
              <w:spacing w:after="0"/>
            </w:pPr>
            <w:r>
              <w:rPr>
                <w:b/>
                <w:i w:val="0"/>
                <w:color w:val="FFFFFF"/>
                <w:sz w:val="15"/>
              </w:rPr>
              <w:t>Acceptance evidence</w:t>
            </w:r>
          </w:p>
        </w:tc>
      </w:tr>
      <w:tr>
        <w:trPr>
          <w:cantSplit/>
        </w:trPr>
        <w:tc>
          <w:tcPr>
            <w:tcW w:type="dxa" w:w="2041"/>
            <w:vAlign w:val="top"/>
          </w:tcPr>
          <w:p>
            <w:pPr>
              <w:spacing w:after="20" w:line="252" w:lineRule="auto"/>
            </w:pPr>
            <w:r>
              <w:rPr>
                <w:b/>
                <w:i w:val="0"/>
                <w:sz w:val="15"/>
              </w:rPr>
              <w:t>Core system (INT-01–03)</w:t>
            </w:r>
          </w:p>
        </w:tc>
        <w:tc>
          <w:tcPr>
            <w:tcW w:type="dxa" w:w="3175"/>
            <w:vAlign w:val="top"/>
          </w:tcPr>
          <w:p>
            <w:pPr>
              <w:spacing w:after="20" w:line="252" w:lineRule="auto"/>
            </w:pPr>
            <w:r>
              <w:rPr>
                <w:b w:val="0"/>
                <w:i w:val="0"/>
                <w:sz w:val="15"/>
              </w:rPr>
              <w:t>Agent, agency and bank master synchronisation; agent information exchange</w:t>
            </w:r>
          </w:p>
        </w:tc>
        <w:tc>
          <w:tcPr>
            <w:tcW w:type="dxa" w:w="2608"/>
            <w:vAlign w:val="top"/>
          </w:tcPr>
          <w:p>
            <w:pPr>
              <w:spacing w:after="20" w:line="252" w:lineRule="auto"/>
            </w:pPr>
            <w:r>
              <w:rPr>
                <w:b w:val="0"/>
                <w:i w:val="0"/>
                <w:sz w:val="15"/>
              </w:rPr>
              <w:t>Adapter over the outbox; API or file per IITH capability</w:t>
            </w:r>
          </w:p>
        </w:tc>
        <w:tc>
          <w:tcPr>
            <w:tcW w:type="dxa" w:w="1814"/>
            <w:vAlign w:val="top"/>
          </w:tcPr>
          <w:p>
            <w:pPr>
              <w:spacing w:after="20" w:line="252" w:lineRule="auto"/>
            </w:pPr>
            <w:r>
              <w:rPr>
                <w:b w:val="0"/>
                <w:i w:val="0"/>
                <w:sz w:val="15"/>
              </w:rPr>
              <w:t>End-to-end test with core owner</w:t>
            </w:r>
          </w:p>
        </w:tc>
      </w:tr>
      <w:tr>
        <w:trPr>
          <w:cantSplit/>
        </w:trPr>
        <w:tc>
          <w:tcPr>
            <w:tcW w:type="dxa" w:w="2041"/>
            <w:vAlign w:val="top"/>
            <w:shd w:val="clear" w:color="auto" w:fill="FDF0F7"/>
          </w:tcPr>
          <w:p>
            <w:pPr>
              <w:spacing w:after="20" w:line="252" w:lineRule="auto"/>
            </w:pPr>
            <w:r>
              <w:rPr>
                <w:b/>
                <w:i w:val="0"/>
                <w:sz w:val="15"/>
              </w:rPr>
              <w:t>Financial system (INT-04–05)</w:t>
            </w:r>
          </w:p>
        </w:tc>
        <w:tc>
          <w:tcPr>
            <w:tcW w:type="dxa" w:w="3175"/>
            <w:vAlign w:val="top"/>
            <w:shd w:val="clear" w:color="auto" w:fill="FDF0F7"/>
          </w:tcPr>
          <w:p>
            <w:pPr>
              <w:spacing w:after="20" w:line="252" w:lineRule="auto"/>
            </w:pPr>
            <w:r>
              <w:rPr>
                <w:b w:val="0"/>
                <w:i w:val="0"/>
                <w:sz w:val="15"/>
              </w:rPr>
              <w:t>EOD FIN interface file, receipts, commission and referral fee data</w:t>
            </w:r>
          </w:p>
        </w:tc>
        <w:tc>
          <w:tcPr>
            <w:tcW w:type="dxa" w:w="2608"/>
            <w:vAlign w:val="top"/>
            <w:shd w:val="clear" w:color="auto" w:fill="FDF0F7"/>
          </w:tcPr>
          <w:p>
            <w:pPr>
              <w:spacing w:after="20" w:line="252" w:lineRule="auto"/>
            </w:pPr>
            <w:r>
              <w:rPr>
                <w:b w:val="0"/>
                <w:i w:val="0"/>
                <w:sz w:val="15"/>
              </w:rPr>
              <w:t>FIN file format agreed; SFTP or API delivery</w:t>
            </w:r>
          </w:p>
        </w:tc>
        <w:tc>
          <w:tcPr>
            <w:tcW w:type="dxa" w:w="1814"/>
            <w:vAlign w:val="top"/>
            <w:shd w:val="clear" w:color="auto" w:fill="FDF0F7"/>
          </w:tcPr>
          <w:p>
            <w:pPr>
              <w:spacing w:after="20" w:line="252" w:lineRule="auto"/>
            </w:pPr>
            <w:r>
              <w:rPr>
                <w:b w:val="0"/>
                <w:i w:val="0"/>
                <w:sz w:val="15"/>
              </w:rPr>
              <w:t>Journey 8; FIN reconciliation sign-off</w:t>
            </w:r>
          </w:p>
        </w:tc>
      </w:tr>
      <w:tr>
        <w:trPr>
          <w:cantSplit/>
        </w:trPr>
        <w:tc>
          <w:tcPr>
            <w:tcW w:type="dxa" w:w="2041"/>
            <w:vAlign w:val="top"/>
          </w:tcPr>
          <w:p>
            <w:pPr>
              <w:spacing w:after="20" w:line="252" w:lineRule="auto"/>
            </w:pPr>
            <w:r>
              <w:rPr>
                <w:b/>
                <w:i w:val="0"/>
                <w:sz w:val="15"/>
              </w:rPr>
              <w:t>Identity (INT-06)</w:t>
            </w:r>
          </w:p>
        </w:tc>
        <w:tc>
          <w:tcPr>
            <w:tcW w:type="dxa" w:w="3175"/>
            <w:vAlign w:val="top"/>
          </w:tcPr>
          <w:p>
            <w:pPr>
              <w:spacing w:after="20" w:line="252" w:lineRule="auto"/>
            </w:pPr>
            <w:r>
              <w:rPr>
                <w:b w:val="0"/>
                <w:i w:val="0"/>
                <w:sz w:val="15"/>
              </w:rPr>
              <w:t>Active Directory single sign-on for back-office</w:t>
            </w:r>
          </w:p>
        </w:tc>
        <w:tc>
          <w:tcPr>
            <w:tcW w:type="dxa" w:w="2608"/>
            <w:vAlign w:val="top"/>
          </w:tcPr>
          <w:p>
            <w:pPr>
              <w:spacing w:after="20" w:line="252" w:lineRule="auto"/>
            </w:pPr>
            <w:r>
              <w:rPr>
                <w:b w:val="0"/>
                <w:i w:val="0"/>
                <w:sz w:val="15"/>
              </w:rPr>
              <w:t>LDAPS adapter</w:t>
            </w:r>
          </w:p>
        </w:tc>
        <w:tc>
          <w:tcPr>
            <w:tcW w:type="dxa" w:w="1814"/>
            <w:vAlign w:val="top"/>
          </w:tcPr>
          <w:p>
            <w:pPr>
              <w:spacing w:after="20" w:line="252" w:lineRule="auto"/>
            </w:pPr>
            <w:r>
              <w:rPr>
                <w:b w:val="0"/>
                <w:i w:val="0"/>
                <w:sz w:val="15"/>
              </w:rPr>
              <w:t>Login test with IITH accounts</w:t>
            </w:r>
          </w:p>
        </w:tc>
      </w:tr>
      <w:tr>
        <w:trPr>
          <w:cantSplit/>
        </w:trPr>
        <w:tc>
          <w:tcPr>
            <w:tcW w:type="dxa" w:w="2041"/>
            <w:vAlign w:val="top"/>
            <w:shd w:val="clear" w:color="auto" w:fill="FDF0F7"/>
          </w:tcPr>
          <w:p>
            <w:pPr>
              <w:spacing w:after="20" w:line="252" w:lineRule="auto"/>
            </w:pPr>
            <w:r>
              <w:rPr>
                <w:b/>
                <w:i w:val="0"/>
                <w:sz w:val="15"/>
              </w:rPr>
              <w:t>Notifications (INT-07–08)</w:t>
            </w:r>
          </w:p>
        </w:tc>
        <w:tc>
          <w:tcPr>
            <w:tcW w:type="dxa" w:w="3175"/>
            <w:vAlign w:val="top"/>
            <w:shd w:val="clear" w:color="auto" w:fill="FDF0F7"/>
          </w:tcPr>
          <w:p>
            <w:pPr>
              <w:spacing w:after="20" w:line="252" w:lineRule="auto"/>
            </w:pPr>
            <w:r>
              <w:rPr>
                <w:b w:val="0"/>
                <w:i w:val="0"/>
                <w:sz w:val="15"/>
              </w:rPr>
              <w:t>E-mail through IIFT SMTP; SMS through IIFT gateway</w:t>
            </w:r>
          </w:p>
        </w:tc>
        <w:tc>
          <w:tcPr>
            <w:tcW w:type="dxa" w:w="2608"/>
            <w:vAlign w:val="top"/>
            <w:shd w:val="clear" w:color="auto" w:fill="FDF0F7"/>
          </w:tcPr>
          <w:p>
            <w:pPr>
              <w:spacing w:after="20" w:line="252" w:lineRule="auto"/>
            </w:pPr>
            <w:r>
              <w:rPr>
                <w:b w:val="0"/>
                <w:i w:val="0"/>
                <w:sz w:val="15"/>
              </w:rPr>
              <w:t>SMTP and SMS adapters</w:t>
            </w:r>
          </w:p>
        </w:tc>
        <w:tc>
          <w:tcPr>
            <w:tcW w:type="dxa" w:w="1814"/>
            <w:vAlign w:val="top"/>
            <w:shd w:val="clear" w:color="auto" w:fill="FDF0F7"/>
          </w:tcPr>
          <w:p>
            <w:pPr>
              <w:spacing w:after="20" w:line="252" w:lineRule="auto"/>
            </w:pPr>
            <w:r>
              <w:rPr>
                <w:b w:val="0"/>
                <w:i w:val="0"/>
                <w:sz w:val="15"/>
              </w:rPr>
              <w:t>Delivery test log</w:t>
            </w:r>
          </w:p>
        </w:tc>
      </w:tr>
      <w:tr>
        <w:trPr>
          <w:cantSplit/>
        </w:trPr>
        <w:tc>
          <w:tcPr>
            <w:tcW w:type="dxa" w:w="2041"/>
            <w:vAlign w:val="top"/>
          </w:tcPr>
          <w:p>
            <w:pPr>
              <w:spacing w:after="20" w:line="252" w:lineRule="auto"/>
            </w:pPr>
            <w:r>
              <w:rPr>
                <w:b/>
                <w:i w:val="0"/>
                <w:sz w:val="15"/>
              </w:rPr>
              <w:t>APIs (INT-09–11)</w:t>
            </w:r>
          </w:p>
        </w:tc>
        <w:tc>
          <w:tcPr>
            <w:tcW w:type="dxa" w:w="3175"/>
            <w:vAlign w:val="top"/>
          </w:tcPr>
          <w:p>
            <w:pPr>
              <w:spacing w:after="20" w:line="252" w:lineRule="auto"/>
            </w:pPr>
            <w:r>
              <w:rPr>
                <w:b w:val="0"/>
                <w:i w:val="0"/>
                <w:sz w:val="15"/>
              </w:rPr>
              <w:t>Secure REST APIs, authentication, monitoring</w:t>
            </w:r>
          </w:p>
        </w:tc>
        <w:tc>
          <w:tcPr>
            <w:tcW w:type="dxa" w:w="2608"/>
            <w:vAlign w:val="top"/>
          </w:tcPr>
          <w:p>
            <w:pPr>
              <w:spacing w:after="20" w:line="252" w:lineRule="auto"/>
            </w:pPr>
            <w:r>
              <w:rPr>
                <w:b w:val="0"/>
                <w:i w:val="0"/>
                <w:sz w:val="15"/>
              </w:rPr>
              <w:t>OpenAPI 3; mTLS or OAuth2; integration monitor</w:t>
            </w:r>
          </w:p>
        </w:tc>
        <w:tc>
          <w:tcPr>
            <w:tcW w:type="dxa" w:w="1814"/>
            <w:vAlign w:val="top"/>
          </w:tcPr>
          <w:p>
            <w:pPr>
              <w:spacing w:after="20" w:line="252" w:lineRule="auto"/>
            </w:pPr>
            <w:r>
              <w:rPr>
                <w:b w:val="0"/>
                <w:i w:val="0"/>
                <w:sz w:val="15"/>
              </w:rPr>
              <w:t>API security tests; monitor demo</w:t>
            </w:r>
          </w:p>
        </w:tc>
      </w:tr>
      <w:tr>
        <w:trPr>
          <w:cantSplit/>
        </w:trPr>
        <w:tc>
          <w:tcPr>
            <w:tcW w:type="dxa" w:w="2041"/>
            <w:vAlign w:val="top"/>
            <w:shd w:val="clear" w:color="auto" w:fill="FDF0F7"/>
          </w:tcPr>
          <w:p>
            <w:pPr>
              <w:spacing w:after="20" w:line="252" w:lineRule="auto"/>
            </w:pPr>
            <w:r>
              <w:rPr>
                <w:b/>
                <w:i w:val="0"/>
                <w:sz w:val="15"/>
              </w:rPr>
              <w:t>Data (INT-12–15)</w:t>
            </w:r>
          </w:p>
        </w:tc>
        <w:tc>
          <w:tcPr>
            <w:tcW w:type="dxa" w:w="3175"/>
            <w:vAlign w:val="top"/>
            <w:shd w:val="clear" w:color="auto" w:fill="FDF0F7"/>
          </w:tcPr>
          <w:p>
            <w:pPr>
              <w:spacing w:after="20" w:line="252" w:lineRule="auto"/>
            </w:pPr>
            <w:r>
              <w:rPr>
                <w:b w:val="0"/>
                <w:i w:val="0"/>
                <w:sz w:val="15"/>
              </w:rPr>
              <w:t>Validation, error handling and retry, logging, reconciliation</w:t>
            </w:r>
          </w:p>
        </w:tc>
        <w:tc>
          <w:tcPr>
            <w:tcW w:type="dxa" w:w="2608"/>
            <w:vAlign w:val="top"/>
            <w:shd w:val="clear" w:color="auto" w:fill="FDF0F7"/>
          </w:tcPr>
          <w:p>
            <w:pPr>
              <w:spacing w:after="20" w:line="252" w:lineRule="auto"/>
            </w:pPr>
            <w:r>
              <w:rPr>
                <w:b w:val="0"/>
                <w:i w:val="0"/>
                <w:sz w:val="15"/>
              </w:rPr>
              <w:t>Schema validation; outbox retry and dead-letter; daily reconciliation</w:t>
            </w:r>
          </w:p>
        </w:tc>
        <w:tc>
          <w:tcPr>
            <w:tcW w:type="dxa" w:w="1814"/>
            <w:vAlign w:val="top"/>
            <w:shd w:val="clear" w:color="auto" w:fill="FDF0F7"/>
          </w:tcPr>
          <w:p>
            <w:pPr>
              <w:spacing w:after="20" w:line="252" w:lineRule="auto"/>
            </w:pPr>
            <w:r>
              <w:rPr>
                <w:b w:val="0"/>
                <w:i w:val="0"/>
                <w:sz w:val="15"/>
              </w:rPr>
              <w:t>Failure-injection tests; reconciliation report</w:t>
            </w:r>
          </w:p>
        </w:tc>
      </w:tr>
    </w:tbl>
    <w:p>
      <w:pPr>
        <w:spacing w:after="0" w:before="0"/>
      </w:pPr>
      <w:r>
        <w:rPr>
          <w:sz w:val="8"/>
        </w:rPr>
      </w:r>
    </w:p>
    <w:p>
      <w:pPr>
        <w:pStyle w:val="Heading2"/>
      </w:pPr>
      <w:r>
        <w:t>5.5 Shared platform (RFP 4.4)</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3175"/>
        <w:gridCol w:w="2608"/>
        <w:gridCol w:w="1814"/>
      </w:tblGrid>
      <w:tr>
        <w:trPr>
          <w:cantSplit/>
          <w:tblHeader/>
        </w:trPr>
        <w:tc>
          <w:tcPr>
            <w:tcW w:type="dxa" w:w="2041"/>
            <w:shd w:val="clear" w:color="auto" w:fill="E1058C"/>
            <w:vAlign w:val="center"/>
          </w:tcPr>
          <w:p>
            <w:pPr>
              <w:spacing w:after="0"/>
            </w:pPr>
            <w:r>
              <w:rPr>
                <w:b/>
                <w:i w:val="0"/>
                <w:color w:val="FFFFFF"/>
                <w:sz w:val="15"/>
              </w:rPr>
              <w:t>RFP area and IDs</w:t>
            </w:r>
          </w:p>
        </w:tc>
        <w:tc>
          <w:tcPr>
            <w:tcW w:type="dxa" w:w="3175"/>
            <w:shd w:val="clear" w:color="auto" w:fill="E1058C"/>
            <w:vAlign w:val="center"/>
          </w:tcPr>
          <w:p>
            <w:pPr>
              <w:spacing w:after="0"/>
            </w:pPr>
            <w:r>
              <w:rPr>
                <w:b/>
                <w:i w:val="0"/>
                <w:color w:val="FFFFFF"/>
                <w:sz w:val="15"/>
              </w:rPr>
              <w:t>What we deliver</w:t>
            </w:r>
          </w:p>
        </w:tc>
        <w:tc>
          <w:tcPr>
            <w:tcW w:type="dxa" w:w="2608"/>
            <w:shd w:val="clear" w:color="auto" w:fill="E1058C"/>
            <w:vAlign w:val="center"/>
          </w:tcPr>
          <w:p>
            <w:pPr>
              <w:spacing w:after="0"/>
            </w:pPr>
            <w:r>
              <w:rPr>
                <w:b/>
                <w:i w:val="0"/>
                <w:color w:val="FFFFFF"/>
                <w:sz w:val="15"/>
              </w:rPr>
              <w:t>How</w:t>
            </w:r>
          </w:p>
        </w:tc>
        <w:tc>
          <w:tcPr>
            <w:tcW w:type="dxa" w:w="1814"/>
            <w:shd w:val="clear" w:color="auto" w:fill="E1058C"/>
            <w:vAlign w:val="center"/>
          </w:tcPr>
          <w:p>
            <w:pPr>
              <w:spacing w:after="0"/>
            </w:pPr>
            <w:r>
              <w:rPr>
                <w:b/>
                <w:i w:val="0"/>
                <w:color w:val="FFFFFF"/>
                <w:sz w:val="15"/>
              </w:rPr>
              <w:t>Acceptance evidence</w:t>
            </w:r>
          </w:p>
        </w:tc>
      </w:tr>
      <w:tr>
        <w:trPr>
          <w:cantSplit/>
        </w:trPr>
        <w:tc>
          <w:tcPr>
            <w:tcW w:type="dxa" w:w="2041"/>
            <w:vAlign w:val="top"/>
          </w:tcPr>
          <w:p>
            <w:pPr>
              <w:spacing w:after="20" w:line="252" w:lineRule="auto"/>
            </w:pPr>
            <w:r>
              <w:rPr>
                <w:b/>
                <w:i w:val="0"/>
                <w:sz w:val="15"/>
              </w:rPr>
              <w:t>Security (COM-01, 02, 10)</w:t>
            </w:r>
          </w:p>
        </w:tc>
        <w:tc>
          <w:tcPr>
            <w:tcW w:type="dxa" w:w="3175"/>
            <w:vAlign w:val="top"/>
          </w:tcPr>
          <w:p>
            <w:pPr>
              <w:spacing w:after="20" w:line="252" w:lineRule="auto"/>
            </w:pPr>
            <w:r>
              <w:rPr>
                <w:b w:val="0"/>
                <w:i w:val="0"/>
                <w:sz w:val="15"/>
              </w:rPr>
              <w:t>Protection of sensitive data, access control, encryption</w:t>
            </w:r>
          </w:p>
        </w:tc>
        <w:tc>
          <w:tcPr>
            <w:tcW w:type="dxa" w:w="2608"/>
            <w:vAlign w:val="top"/>
          </w:tcPr>
          <w:p>
            <w:pPr>
              <w:spacing w:after="20" w:line="252" w:lineRule="auto"/>
            </w:pPr>
            <w:r>
              <w:rPr>
                <w:b w:val="0"/>
                <w:i w:val="0"/>
                <w:sz w:val="15"/>
              </w:rPr>
              <w:t>Controls in Section 13</w:t>
            </w:r>
          </w:p>
        </w:tc>
        <w:tc>
          <w:tcPr>
            <w:tcW w:type="dxa" w:w="1814"/>
            <w:vAlign w:val="top"/>
          </w:tcPr>
          <w:p>
            <w:pPr>
              <w:spacing w:after="20" w:line="252" w:lineRule="auto"/>
            </w:pPr>
            <w:r>
              <w:rPr>
                <w:b w:val="0"/>
                <w:i w:val="0"/>
                <w:sz w:val="15"/>
              </w:rPr>
              <w:t>VAPT; encryption check</w:t>
            </w:r>
          </w:p>
        </w:tc>
      </w:tr>
      <w:tr>
        <w:trPr>
          <w:cantSplit/>
        </w:trPr>
        <w:tc>
          <w:tcPr>
            <w:tcW w:type="dxa" w:w="2041"/>
            <w:vAlign w:val="top"/>
            <w:shd w:val="clear" w:color="auto" w:fill="FDF0F7"/>
          </w:tcPr>
          <w:p>
            <w:pPr>
              <w:spacing w:after="20" w:line="252" w:lineRule="auto"/>
            </w:pPr>
            <w:r>
              <w:rPr>
                <w:b/>
                <w:i w:val="0"/>
                <w:sz w:val="15"/>
              </w:rPr>
              <w:t>Audit (COM-03)</w:t>
            </w:r>
          </w:p>
        </w:tc>
        <w:tc>
          <w:tcPr>
            <w:tcW w:type="dxa" w:w="3175"/>
            <w:vAlign w:val="top"/>
            <w:shd w:val="clear" w:color="auto" w:fill="FDF0F7"/>
          </w:tcPr>
          <w:p>
            <w:pPr>
              <w:spacing w:after="20" w:line="252" w:lineRule="auto"/>
            </w:pPr>
            <w:r>
              <w:rPr>
                <w:b w:val="0"/>
                <w:i w:val="0"/>
                <w:sz w:val="15"/>
              </w:rPr>
              <w:t>Common audit service</w:t>
            </w:r>
          </w:p>
        </w:tc>
        <w:tc>
          <w:tcPr>
            <w:tcW w:type="dxa" w:w="2608"/>
            <w:vAlign w:val="top"/>
            <w:shd w:val="clear" w:color="auto" w:fill="FDF0F7"/>
          </w:tcPr>
          <w:p>
            <w:pPr>
              <w:spacing w:after="20" w:line="252" w:lineRule="auto"/>
            </w:pPr>
            <w:r>
              <w:rPr>
                <w:b w:val="0"/>
                <w:i w:val="0"/>
                <w:sz w:val="15"/>
              </w:rPr>
              <w:t>Append-only audit</w:t>
            </w:r>
          </w:p>
        </w:tc>
        <w:tc>
          <w:tcPr>
            <w:tcW w:type="dxa" w:w="1814"/>
            <w:vAlign w:val="top"/>
            <w:shd w:val="clear" w:color="auto" w:fill="FDF0F7"/>
          </w:tcPr>
          <w:p>
            <w:pPr>
              <w:spacing w:after="20" w:line="252" w:lineRule="auto"/>
            </w:pPr>
            <w:r>
              <w:rPr>
                <w:b w:val="0"/>
                <w:i w:val="0"/>
                <w:sz w:val="15"/>
              </w:rPr>
              <w:t>Tamper test</w:t>
            </w:r>
          </w:p>
        </w:tc>
      </w:tr>
      <w:tr>
        <w:trPr>
          <w:cantSplit/>
        </w:trPr>
        <w:tc>
          <w:tcPr>
            <w:tcW w:type="dxa" w:w="2041"/>
            <w:vAlign w:val="top"/>
          </w:tcPr>
          <w:p>
            <w:pPr>
              <w:spacing w:after="20" w:line="252" w:lineRule="auto"/>
            </w:pPr>
            <w:r>
              <w:rPr>
                <w:b/>
                <w:i w:val="0"/>
                <w:sz w:val="15"/>
              </w:rPr>
              <w:t>Workflow (COM-04)</w:t>
            </w:r>
          </w:p>
        </w:tc>
        <w:tc>
          <w:tcPr>
            <w:tcW w:type="dxa" w:w="3175"/>
            <w:vAlign w:val="top"/>
          </w:tcPr>
          <w:p>
            <w:pPr>
              <w:spacing w:after="20" w:line="252" w:lineRule="auto"/>
            </w:pPr>
            <w:r>
              <w:rPr>
                <w:b w:val="0"/>
                <w:i w:val="0"/>
                <w:sz w:val="15"/>
              </w:rPr>
              <w:t>Configurable workflows by type, role, level, rule</w:t>
            </w:r>
          </w:p>
        </w:tc>
        <w:tc>
          <w:tcPr>
            <w:tcW w:type="dxa" w:w="2608"/>
            <w:vAlign w:val="top"/>
          </w:tcPr>
          <w:p>
            <w:pPr>
              <w:spacing w:after="20" w:line="252" w:lineRule="auto"/>
            </w:pPr>
            <w:r>
              <w:rPr>
                <w:b w:val="0"/>
                <w:i w:val="0"/>
                <w:sz w:val="15"/>
              </w:rPr>
              <w:t>Workflow engine</w:t>
            </w:r>
          </w:p>
        </w:tc>
        <w:tc>
          <w:tcPr>
            <w:tcW w:type="dxa" w:w="1814"/>
            <w:vAlign w:val="top"/>
          </w:tcPr>
          <w:p>
            <w:pPr>
              <w:spacing w:after="20" w:line="252" w:lineRule="auto"/>
            </w:pPr>
            <w:r>
              <w:rPr>
                <w:b w:val="0"/>
                <w:i w:val="0"/>
                <w:sz w:val="15"/>
              </w:rPr>
              <w:t>Approval matrix tests</w:t>
            </w:r>
          </w:p>
        </w:tc>
      </w:tr>
      <w:tr>
        <w:trPr>
          <w:cantSplit/>
        </w:trPr>
        <w:tc>
          <w:tcPr>
            <w:tcW w:type="dxa" w:w="2041"/>
            <w:vAlign w:val="top"/>
            <w:shd w:val="clear" w:color="auto" w:fill="FDF0F7"/>
          </w:tcPr>
          <w:p>
            <w:pPr>
              <w:spacing w:after="20" w:line="252" w:lineRule="auto"/>
            </w:pPr>
            <w:r>
              <w:rPr>
                <w:b/>
                <w:i w:val="0"/>
                <w:sz w:val="15"/>
              </w:rPr>
              <w:t>Notification (COM-05)</w:t>
            </w:r>
          </w:p>
        </w:tc>
        <w:tc>
          <w:tcPr>
            <w:tcW w:type="dxa" w:w="3175"/>
            <w:vAlign w:val="top"/>
            <w:shd w:val="clear" w:color="auto" w:fill="FDF0F7"/>
          </w:tcPr>
          <w:p>
            <w:pPr>
              <w:spacing w:after="20" w:line="252" w:lineRule="auto"/>
            </w:pPr>
            <w:r>
              <w:rPr>
                <w:b w:val="0"/>
                <w:i w:val="0"/>
                <w:sz w:val="15"/>
              </w:rPr>
              <w:t>E-mail, SMS, portal notifications</w:t>
            </w:r>
          </w:p>
        </w:tc>
        <w:tc>
          <w:tcPr>
            <w:tcW w:type="dxa" w:w="2608"/>
            <w:vAlign w:val="top"/>
            <w:shd w:val="clear" w:color="auto" w:fill="FDF0F7"/>
          </w:tcPr>
          <w:p>
            <w:pPr>
              <w:spacing w:after="20" w:line="252" w:lineRule="auto"/>
            </w:pPr>
            <w:r>
              <w:rPr>
                <w:b w:val="0"/>
                <w:i w:val="0"/>
                <w:sz w:val="15"/>
              </w:rPr>
              <w:t>Notification service and templates</w:t>
            </w:r>
          </w:p>
        </w:tc>
        <w:tc>
          <w:tcPr>
            <w:tcW w:type="dxa" w:w="1814"/>
            <w:vAlign w:val="top"/>
            <w:shd w:val="clear" w:color="auto" w:fill="FDF0F7"/>
          </w:tcPr>
          <w:p>
            <w:pPr>
              <w:spacing w:after="20" w:line="252" w:lineRule="auto"/>
            </w:pPr>
            <w:r>
              <w:rPr>
                <w:b w:val="0"/>
                <w:i w:val="0"/>
                <w:sz w:val="15"/>
              </w:rPr>
              <w:t>Notification test log</w:t>
            </w:r>
          </w:p>
        </w:tc>
      </w:tr>
      <w:tr>
        <w:trPr>
          <w:cantSplit/>
        </w:trPr>
        <w:tc>
          <w:tcPr>
            <w:tcW w:type="dxa" w:w="2041"/>
            <w:vAlign w:val="top"/>
          </w:tcPr>
          <w:p>
            <w:pPr>
              <w:spacing w:after="20" w:line="252" w:lineRule="auto"/>
            </w:pPr>
            <w:r>
              <w:rPr>
                <w:b/>
                <w:i w:val="0"/>
                <w:sz w:val="15"/>
              </w:rPr>
              <w:t>Documents (COM-06)</w:t>
            </w:r>
          </w:p>
        </w:tc>
        <w:tc>
          <w:tcPr>
            <w:tcW w:type="dxa" w:w="3175"/>
            <w:vAlign w:val="top"/>
          </w:tcPr>
          <w:p>
            <w:pPr>
              <w:spacing w:after="20" w:line="252" w:lineRule="auto"/>
            </w:pPr>
            <w:r>
              <w:rPr>
                <w:b w:val="0"/>
                <w:i w:val="0"/>
                <w:sz w:val="15"/>
              </w:rPr>
              <w:t>Secure document repository</w:t>
            </w:r>
          </w:p>
        </w:tc>
        <w:tc>
          <w:tcPr>
            <w:tcW w:type="dxa" w:w="2608"/>
            <w:vAlign w:val="top"/>
          </w:tcPr>
          <w:p>
            <w:pPr>
              <w:spacing w:after="20" w:line="252" w:lineRule="auto"/>
            </w:pPr>
            <w:r>
              <w:rPr>
                <w:b w:val="0"/>
                <w:i w:val="0"/>
                <w:sz w:val="15"/>
              </w:rPr>
              <w:t>Encrypted storage; access through API only</w:t>
            </w:r>
          </w:p>
        </w:tc>
        <w:tc>
          <w:tcPr>
            <w:tcW w:type="dxa" w:w="1814"/>
            <w:vAlign w:val="top"/>
          </w:tcPr>
          <w:p>
            <w:pPr>
              <w:spacing w:after="20" w:line="252" w:lineRule="auto"/>
            </w:pPr>
            <w:r>
              <w:rPr>
                <w:b w:val="0"/>
                <w:i w:val="0"/>
                <w:sz w:val="15"/>
              </w:rPr>
              <w:t>Access tests</w:t>
            </w:r>
          </w:p>
        </w:tc>
      </w:tr>
      <w:tr>
        <w:trPr>
          <w:cantSplit/>
        </w:trPr>
        <w:tc>
          <w:tcPr>
            <w:tcW w:type="dxa" w:w="2041"/>
            <w:vAlign w:val="top"/>
            <w:shd w:val="clear" w:color="auto" w:fill="FDF0F7"/>
          </w:tcPr>
          <w:p>
            <w:pPr>
              <w:spacing w:after="20" w:line="252" w:lineRule="auto"/>
            </w:pPr>
            <w:r>
              <w:rPr>
                <w:b/>
                <w:i w:val="0"/>
                <w:sz w:val="15"/>
              </w:rPr>
              <w:t>Search (COM-07)</w:t>
            </w:r>
          </w:p>
        </w:tc>
        <w:tc>
          <w:tcPr>
            <w:tcW w:type="dxa" w:w="3175"/>
            <w:vAlign w:val="top"/>
            <w:shd w:val="clear" w:color="auto" w:fill="FDF0F7"/>
          </w:tcPr>
          <w:p>
            <w:pPr>
              <w:spacing w:after="20" w:line="252" w:lineRule="auto"/>
            </w:pPr>
            <w:r>
              <w:rPr>
                <w:b w:val="0"/>
                <w:i w:val="0"/>
                <w:sz w:val="15"/>
              </w:rPr>
              <w:t>Global search across records</w:t>
            </w:r>
          </w:p>
        </w:tc>
        <w:tc>
          <w:tcPr>
            <w:tcW w:type="dxa" w:w="2608"/>
            <w:vAlign w:val="top"/>
            <w:shd w:val="clear" w:color="auto" w:fill="FDF0F7"/>
          </w:tcPr>
          <w:p>
            <w:pPr>
              <w:spacing w:after="20" w:line="252" w:lineRule="auto"/>
            </w:pPr>
            <w:r>
              <w:rPr>
                <w:b w:val="0"/>
                <w:i w:val="0"/>
                <w:sz w:val="15"/>
              </w:rPr>
              <w:t>Search with configurable criteria</w:t>
            </w:r>
          </w:p>
        </w:tc>
        <w:tc>
          <w:tcPr>
            <w:tcW w:type="dxa" w:w="1814"/>
            <w:vAlign w:val="top"/>
            <w:shd w:val="clear" w:color="auto" w:fill="FDF0F7"/>
          </w:tcPr>
          <w:p>
            <w:pPr>
              <w:spacing w:after="20" w:line="252" w:lineRule="auto"/>
            </w:pPr>
            <w:r>
              <w:rPr>
                <w:b w:val="0"/>
                <w:i w:val="0"/>
                <w:sz w:val="15"/>
              </w:rPr>
              <w:t>UAT case</w:t>
            </w:r>
          </w:p>
        </w:tc>
      </w:tr>
      <w:tr>
        <w:trPr>
          <w:cantSplit/>
        </w:trPr>
        <w:tc>
          <w:tcPr>
            <w:tcW w:type="dxa" w:w="2041"/>
            <w:vAlign w:val="top"/>
          </w:tcPr>
          <w:p>
            <w:pPr>
              <w:spacing w:after="20" w:line="252" w:lineRule="auto"/>
            </w:pPr>
            <w:r>
              <w:rPr>
                <w:b/>
                <w:i w:val="0"/>
                <w:sz w:val="15"/>
              </w:rPr>
              <w:t>Reporting (COM-08)</w:t>
            </w:r>
          </w:p>
        </w:tc>
        <w:tc>
          <w:tcPr>
            <w:tcW w:type="dxa" w:w="3175"/>
            <w:vAlign w:val="top"/>
          </w:tcPr>
          <w:p>
            <w:pPr>
              <w:spacing w:after="20" w:line="252" w:lineRule="auto"/>
            </w:pPr>
            <w:r>
              <w:rPr>
                <w:b w:val="0"/>
                <w:i w:val="0"/>
                <w:sz w:val="15"/>
              </w:rPr>
              <w:t>Common reporting framework</w:t>
            </w:r>
          </w:p>
        </w:tc>
        <w:tc>
          <w:tcPr>
            <w:tcW w:type="dxa" w:w="2608"/>
            <w:vAlign w:val="top"/>
          </w:tcPr>
          <w:p>
            <w:pPr>
              <w:spacing w:after="20" w:line="252" w:lineRule="auto"/>
            </w:pPr>
            <w:r>
              <w:rPr>
                <w:b w:val="0"/>
                <w:i w:val="0"/>
                <w:sz w:val="15"/>
              </w:rPr>
              <w:t>Report definitions, exports, schedules</w:t>
            </w:r>
          </w:p>
        </w:tc>
        <w:tc>
          <w:tcPr>
            <w:tcW w:type="dxa" w:w="1814"/>
            <w:vAlign w:val="top"/>
          </w:tcPr>
          <w:p>
            <w:pPr>
              <w:spacing w:after="20" w:line="252" w:lineRule="auto"/>
            </w:pPr>
            <w:r>
              <w:rPr>
                <w:b w:val="0"/>
                <w:i w:val="0"/>
                <w:sz w:val="15"/>
              </w:rPr>
              <w:t>Report sign-off</w:t>
            </w:r>
          </w:p>
        </w:tc>
      </w:tr>
      <w:tr>
        <w:trPr>
          <w:cantSplit/>
        </w:trPr>
        <w:tc>
          <w:tcPr>
            <w:tcW w:type="dxa" w:w="2041"/>
            <w:vAlign w:val="top"/>
            <w:shd w:val="clear" w:color="auto" w:fill="FDF0F7"/>
          </w:tcPr>
          <w:p>
            <w:pPr>
              <w:spacing w:after="20" w:line="252" w:lineRule="auto"/>
            </w:pPr>
            <w:r>
              <w:rPr>
                <w:b/>
                <w:i w:val="0"/>
                <w:sz w:val="15"/>
              </w:rPr>
              <w:t>Configuration (COM-09)</w:t>
            </w:r>
          </w:p>
        </w:tc>
        <w:tc>
          <w:tcPr>
            <w:tcW w:type="dxa" w:w="3175"/>
            <w:vAlign w:val="top"/>
            <w:shd w:val="clear" w:color="auto" w:fill="FDF0F7"/>
          </w:tcPr>
          <w:p>
            <w:pPr>
              <w:spacing w:after="20" w:line="252" w:lineRule="auto"/>
            </w:pPr>
            <w:r>
              <w:rPr>
                <w:b w:val="0"/>
                <w:i w:val="0"/>
                <w:sz w:val="15"/>
              </w:rPr>
              <w:t>Parameters maintained without code changes</w:t>
            </w:r>
          </w:p>
        </w:tc>
        <w:tc>
          <w:tcPr>
            <w:tcW w:type="dxa" w:w="2608"/>
            <w:vAlign w:val="top"/>
            <w:shd w:val="clear" w:color="auto" w:fill="FDF0F7"/>
          </w:tcPr>
          <w:p>
            <w:pPr>
              <w:spacing w:after="20" w:line="252" w:lineRule="auto"/>
            </w:pPr>
            <w:r>
              <w:rPr>
                <w:b w:val="0"/>
                <w:i w:val="0"/>
                <w:sz w:val="15"/>
              </w:rPr>
              <w:t>Parameters and master data screens</w:t>
            </w:r>
          </w:p>
        </w:tc>
        <w:tc>
          <w:tcPr>
            <w:tcW w:type="dxa" w:w="1814"/>
            <w:vAlign w:val="top"/>
            <w:shd w:val="clear" w:color="auto" w:fill="FDF0F7"/>
          </w:tcPr>
          <w:p>
            <w:pPr>
              <w:spacing w:after="20" w:line="252" w:lineRule="auto"/>
            </w:pPr>
            <w:r>
              <w:rPr>
                <w:b w:val="0"/>
                <w:i w:val="0"/>
                <w:sz w:val="15"/>
              </w:rPr>
              <w:t>Configuration workbook signed</w:t>
            </w:r>
          </w:p>
        </w:tc>
      </w:tr>
    </w:tbl>
    <w:p>
      <w:pPr>
        <w:spacing w:after="0" w:before="0"/>
      </w:pPr>
      <w:r>
        <w:rPr>
          <w:sz w:val="8"/>
        </w:rPr>
      </w:r>
    </w:p>
    <w:p>
      <w:pPr>
        <w:pStyle w:val="Heading2"/>
      </w:pPr>
      <w:r>
        <w:t>5.6 Non-functional requirements (RFP 5)</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041"/>
        <w:gridCol w:w="3175"/>
        <w:gridCol w:w="2608"/>
        <w:gridCol w:w="1814"/>
      </w:tblGrid>
      <w:tr>
        <w:trPr>
          <w:cantSplit/>
          <w:tblHeader/>
        </w:trPr>
        <w:tc>
          <w:tcPr>
            <w:tcW w:type="dxa" w:w="2041"/>
            <w:shd w:val="clear" w:color="auto" w:fill="E1058C"/>
            <w:vAlign w:val="center"/>
          </w:tcPr>
          <w:p>
            <w:pPr>
              <w:spacing w:after="0"/>
            </w:pPr>
            <w:r>
              <w:rPr>
                <w:b/>
                <w:i w:val="0"/>
                <w:color w:val="FFFFFF"/>
                <w:sz w:val="15"/>
              </w:rPr>
              <w:t>RFP area and IDs</w:t>
            </w:r>
          </w:p>
        </w:tc>
        <w:tc>
          <w:tcPr>
            <w:tcW w:type="dxa" w:w="3175"/>
            <w:shd w:val="clear" w:color="auto" w:fill="E1058C"/>
            <w:vAlign w:val="center"/>
          </w:tcPr>
          <w:p>
            <w:pPr>
              <w:spacing w:after="0"/>
            </w:pPr>
            <w:r>
              <w:rPr>
                <w:b/>
                <w:i w:val="0"/>
                <w:color w:val="FFFFFF"/>
                <w:sz w:val="15"/>
              </w:rPr>
              <w:t>What we deliver</w:t>
            </w:r>
          </w:p>
        </w:tc>
        <w:tc>
          <w:tcPr>
            <w:tcW w:type="dxa" w:w="2608"/>
            <w:shd w:val="clear" w:color="auto" w:fill="E1058C"/>
            <w:vAlign w:val="center"/>
          </w:tcPr>
          <w:p>
            <w:pPr>
              <w:spacing w:after="0"/>
            </w:pPr>
            <w:r>
              <w:rPr>
                <w:b/>
                <w:i w:val="0"/>
                <w:color w:val="FFFFFF"/>
                <w:sz w:val="15"/>
              </w:rPr>
              <w:t>How</w:t>
            </w:r>
          </w:p>
        </w:tc>
        <w:tc>
          <w:tcPr>
            <w:tcW w:type="dxa" w:w="1814"/>
            <w:shd w:val="clear" w:color="auto" w:fill="E1058C"/>
            <w:vAlign w:val="center"/>
          </w:tcPr>
          <w:p>
            <w:pPr>
              <w:spacing w:after="0"/>
            </w:pPr>
            <w:r>
              <w:rPr>
                <w:b/>
                <w:i w:val="0"/>
                <w:color w:val="FFFFFF"/>
                <w:sz w:val="15"/>
              </w:rPr>
              <w:t>Acceptance evidence</w:t>
            </w:r>
          </w:p>
        </w:tc>
      </w:tr>
      <w:tr>
        <w:trPr>
          <w:cantSplit/>
        </w:trPr>
        <w:tc>
          <w:tcPr>
            <w:tcW w:type="dxa" w:w="2041"/>
            <w:vAlign w:val="top"/>
          </w:tcPr>
          <w:p>
            <w:pPr>
              <w:spacing w:after="20" w:line="252" w:lineRule="auto"/>
            </w:pPr>
            <w:r>
              <w:rPr>
                <w:b/>
                <w:i w:val="0"/>
                <w:sz w:val="15"/>
              </w:rPr>
              <w:t>Performance (NFR-01–03)</w:t>
            </w:r>
          </w:p>
        </w:tc>
        <w:tc>
          <w:tcPr>
            <w:tcW w:type="dxa" w:w="3175"/>
            <w:vAlign w:val="top"/>
          </w:tcPr>
          <w:p>
            <w:pPr>
              <w:spacing w:after="20" w:line="252" w:lineRule="auto"/>
            </w:pPr>
            <w:r>
              <w:rPr>
                <w:b w:val="0"/>
                <w:i w:val="0"/>
                <w:sz w:val="15"/>
              </w:rPr>
              <w:t>Agreed response times for 100 concurrent users and projected volume</w:t>
            </w:r>
          </w:p>
        </w:tc>
        <w:tc>
          <w:tcPr>
            <w:tcW w:type="dxa" w:w="2608"/>
            <w:vAlign w:val="top"/>
          </w:tcPr>
          <w:p>
            <w:pPr>
              <w:spacing w:after="20" w:line="252" w:lineRule="auto"/>
            </w:pPr>
            <w:r>
              <w:rPr>
                <w:b w:val="0"/>
                <w:i w:val="0"/>
                <w:sz w:val="15"/>
              </w:rPr>
              <w:t>k6 load, stress and soak tests on production-like SIT</w:t>
            </w:r>
          </w:p>
        </w:tc>
        <w:tc>
          <w:tcPr>
            <w:tcW w:type="dxa" w:w="1814"/>
            <w:vAlign w:val="top"/>
          </w:tcPr>
          <w:p>
            <w:pPr>
              <w:spacing w:after="20" w:line="252" w:lineRule="auto"/>
            </w:pPr>
            <w:r>
              <w:rPr>
                <w:b w:val="0"/>
                <w:i w:val="0"/>
                <w:sz w:val="15"/>
              </w:rPr>
              <w:t>Performance test report (DEL-18)</w:t>
            </w:r>
          </w:p>
        </w:tc>
      </w:tr>
      <w:tr>
        <w:trPr>
          <w:cantSplit/>
        </w:trPr>
        <w:tc>
          <w:tcPr>
            <w:tcW w:type="dxa" w:w="2041"/>
            <w:vAlign w:val="top"/>
            <w:shd w:val="clear" w:color="auto" w:fill="FDF0F7"/>
          </w:tcPr>
          <w:p>
            <w:pPr>
              <w:spacing w:after="20" w:line="252" w:lineRule="auto"/>
            </w:pPr>
            <w:r>
              <w:rPr>
                <w:b/>
                <w:i w:val="0"/>
                <w:sz w:val="15"/>
              </w:rPr>
              <w:t>Availability (NFR-04–05)</w:t>
            </w:r>
          </w:p>
        </w:tc>
        <w:tc>
          <w:tcPr>
            <w:tcW w:type="dxa" w:w="3175"/>
            <w:vAlign w:val="top"/>
            <w:shd w:val="clear" w:color="auto" w:fill="FDF0F7"/>
          </w:tcPr>
          <w:p>
            <w:pPr>
              <w:spacing w:after="20" w:line="252" w:lineRule="auto"/>
            </w:pPr>
            <w:r>
              <w:rPr>
                <w:b w:val="0"/>
                <w:i w:val="0"/>
                <w:sz w:val="15"/>
              </w:rPr>
              <w:t>99.5% overall, 99.9% in business hours; no single point of failure</w:t>
            </w:r>
          </w:p>
        </w:tc>
        <w:tc>
          <w:tcPr>
            <w:tcW w:type="dxa" w:w="2608"/>
            <w:vAlign w:val="top"/>
            <w:shd w:val="clear" w:color="auto" w:fill="FDF0F7"/>
          </w:tcPr>
          <w:p>
            <w:pPr>
              <w:spacing w:after="20" w:line="252" w:lineRule="auto"/>
            </w:pPr>
            <w:r>
              <w:rPr>
                <w:b w:val="0"/>
                <w:i w:val="0"/>
                <w:sz w:val="15"/>
              </w:rPr>
              <w:t>Two app nodes, database standby, load balancer pair</w:t>
            </w:r>
          </w:p>
        </w:tc>
        <w:tc>
          <w:tcPr>
            <w:tcW w:type="dxa" w:w="1814"/>
            <w:vAlign w:val="top"/>
            <w:shd w:val="clear" w:color="auto" w:fill="FDF0F7"/>
          </w:tcPr>
          <w:p>
            <w:pPr>
              <w:spacing w:after="20" w:line="252" w:lineRule="auto"/>
            </w:pPr>
            <w:r>
              <w:rPr>
                <w:b w:val="0"/>
                <w:i w:val="0"/>
                <w:sz w:val="15"/>
              </w:rPr>
              <w:t>Monthly availability report</w:t>
            </w:r>
          </w:p>
        </w:tc>
      </w:tr>
      <w:tr>
        <w:trPr>
          <w:cantSplit/>
        </w:trPr>
        <w:tc>
          <w:tcPr>
            <w:tcW w:type="dxa" w:w="2041"/>
            <w:vAlign w:val="top"/>
          </w:tcPr>
          <w:p>
            <w:pPr>
              <w:spacing w:after="20" w:line="252" w:lineRule="auto"/>
            </w:pPr>
            <w:r>
              <w:rPr>
                <w:b/>
                <w:i w:val="0"/>
                <w:sz w:val="15"/>
              </w:rPr>
              <w:t>Scalability (NFR-06–07)</w:t>
            </w:r>
          </w:p>
        </w:tc>
        <w:tc>
          <w:tcPr>
            <w:tcW w:type="dxa" w:w="3175"/>
            <w:vAlign w:val="top"/>
          </w:tcPr>
          <w:p>
            <w:pPr>
              <w:spacing w:after="20" w:line="252" w:lineRule="auto"/>
            </w:pPr>
            <w:r>
              <w:rPr>
                <w:b w:val="0"/>
                <w:i w:val="0"/>
                <w:sz w:val="15"/>
              </w:rPr>
              <w:t>Growth in users and volume without redesign</w:t>
            </w:r>
          </w:p>
        </w:tc>
        <w:tc>
          <w:tcPr>
            <w:tcW w:type="dxa" w:w="2608"/>
            <w:vAlign w:val="top"/>
          </w:tcPr>
          <w:p>
            <w:pPr>
              <w:spacing w:after="20" w:line="252" w:lineRule="auto"/>
            </w:pPr>
            <w:r>
              <w:rPr>
                <w:b w:val="0"/>
                <w:i w:val="0"/>
                <w:sz w:val="15"/>
              </w:rPr>
              <w:t>Stateless API nodes; indexed schema</w:t>
            </w:r>
          </w:p>
        </w:tc>
        <w:tc>
          <w:tcPr>
            <w:tcW w:type="dxa" w:w="1814"/>
            <w:vAlign w:val="top"/>
          </w:tcPr>
          <w:p>
            <w:pPr>
              <w:spacing w:after="20" w:line="252" w:lineRule="auto"/>
            </w:pPr>
            <w:r>
              <w:rPr>
                <w:b w:val="0"/>
                <w:i w:val="0"/>
                <w:sz w:val="15"/>
              </w:rPr>
              <w:t>Capacity statement in SAD</w:t>
            </w:r>
          </w:p>
        </w:tc>
      </w:tr>
      <w:tr>
        <w:trPr>
          <w:cantSplit/>
        </w:trPr>
        <w:tc>
          <w:tcPr>
            <w:tcW w:type="dxa" w:w="2041"/>
            <w:vAlign w:val="top"/>
            <w:shd w:val="clear" w:color="auto" w:fill="FDF0F7"/>
          </w:tcPr>
          <w:p>
            <w:pPr>
              <w:spacing w:after="20" w:line="252" w:lineRule="auto"/>
            </w:pPr>
            <w:r>
              <w:rPr>
                <w:b/>
                <w:i w:val="0"/>
                <w:sz w:val="15"/>
              </w:rPr>
              <w:t>Security (NFR-08–14)</w:t>
            </w:r>
          </w:p>
        </w:tc>
        <w:tc>
          <w:tcPr>
            <w:tcW w:type="dxa" w:w="3175"/>
            <w:vAlign w:val="top"/>
            <w:shd w:val="clear" w:color="auto" w:fill="FDF0F7"/>
          </w:tcPr>
          <w:p>
            <w:pPr>
              <w:spacing w:after="20" w:line="252" w:lineRule="auto"/>
            </w:pPr>
            <w:r>
              <w:rPr>
                <w:b w:val="0"/>
                <w:i w:val="0"/>
                <w:sz w:val="15"/>
              </w:rPr>
              <w:t>Encryption, authentication, authorisation, audit, vulnerability management, VAPT, secure SDLC</w:t>
            </w:r>
          </w:p>
        </w:tc>
        <w:tc>
          <w:tcPr>
            <w:tcW w:type="dxa" w:w="2608"/>
            <w:vAlign w:val="top"/>
            <w:shd w:val="clear" w:color="auto" w:fill="FDF0F7"/>
          </w:tcPr>
          <w:p>
            <w:pPr>
              <w:spacing w:after="20" w:line="252" w:lineRule="auto"/>
            </w:pPr>
            <w:r>
              <w:rPr>
                <w:b w:val="0"/>
                <w:i w:val="0"/>
                <w:sz w:val="15"/>
              </w:rPr>
              <w:t>Section 13</w:t>
            </w:r>
          </w:p>
        </w:tc>
        <w:tc>
          <w:tcPr>
            <w:tcW w:type="dxa" w:w="1814"/>
            <w:vAlign w:val="top"/>
            <w:shd w:val="clear" w:color="auto" w:fill="FDF0F7"/>
          </w:tcPr>
          <w:p>
            <w:pPr>
              <w:spacing w:after="20" w:line="252" w:lineRule="auto"/>
            </w:pPr>
            <w:r>
              <w:rPr>
                <w:b w:val="0"/>
                <w:i w:val="0"/>
                <w:sz w:val="15"/>
              </w:rPr>
              <w:t>VAPT report; scan results</w:t>
            </w:r>
          </w:p>
        </w:tc>
      </w:tr>
      <w:tr>
        <w:trPr>
          <w:cantSplit/>
        </w:trPr>
        <w:tc>
          <w:tcPr>
            <w:tcW w:type="dxa" w:w="2041"/>
            <w:vAlign w:val="top"/>
          </w:tcPr>
          <w:p>
            <w:pPr>
              <w:spacing w:after="20" w:line="252" w:lineRule="auto"/>
            </w:pPr>
            <w:r>
              <w:rPr>
                <w:b/>
                <w:i w:val="0"/>
                <w:sz w:val="15"/>
              </w:rPr>
              <w:t>Reliability (NFR-15–16)</w:t>
            </w:r>
          </w:p>
        </w:tc>
        <w:tc>
          <w:tcPr>
            <w:tcW w:type="dxa" w:w="3175"/>
            <w:vAlign w:val="top"/>
          </w:tcPr>
          <w:p>
            <w:pPr>
              <w:spacing w:after="20" w:line="252" w:lineRule="auto"/>
            </w:pPr>
            <w:r>
              <w:rPr>
                <w:b w:val="0"/>
                <w:i w:val="0"/>
                <w:sz w:val="15"/>
              </w:rPr>
              <w:t>Controlled errors; transaction integrity</w:t>
            </w:r>
          </w:p>
        </w:tc>
        <w:tc>
          <w:tcPr>
            <w:tcW w:type="dxa" w:w="2608"/>
            <w:vAlign w:val="top"/>
          </w:tcPr>
          <w:p>
            <w:pPr>
              <w:spacing w:after="20" w:line="252" w:lineRule="auto"/>
            </w:pPr>
            <w:r>
              <w:rPr>
                <w:b w:val="0"/>
                <w:i w:val="0"/>
                <w:sz w:val="15"/>
              </w:rPr>
              <w:t>Generic messages with correlation id; ACID transactions</w:t>
            </w:r>
          </w:p>
        </w:tc>
        <w:tc>
          <w:tcPr>
            <w:tcW w:type="dxa" w:w="1814"/>
            <w:vAlign w:val="top"/>
          </w:tcPr>
          <w:p>
            <w:pPr>
              <w:spacing w:after="20" w:line="252" w:lineRule="auto"/>
            </w:pPr>
            <w:r>
              <w:rPr>
                <w:b w:val="0"/>
                <w:i w:val="0"/>
                <w:sz w:val="15"/>
              </w:rPr>
              <w:t>Negative tests</w:t>
            </w:r>
          </w:p>
        </w:tc>
      </w:tr>
      <w:tr>
        <w:trPr>
          <w:cantSplit/>
        </w:trPr>
        <w:tc>
          <w:tcPr>
            <w:tcW w:type="dxa" w:w="2041"/>
            <w:vAlign w:val="top"/>
            <w:shd w:val="clear" w:color="auto" w:fill="FDF0F7"/>
          </w:tcPr>
          <w:p>
            <w:pPr>
              <w:spacing w:after="20" w:line="252" w:lineRule="auto"/>
            </w:pPr>
            <w:r>
              <w:rPr>
                <w:b/>
                <w:i w:val="0"/>
                <w:sz w:val="15"/>
              </w:rPr>
              <w:t>Backup and DR (NFR-17–19)</w:t>
            </w:r>
          </w:p>
        </w:tc>
        <w:tc>
          <w:tcPr>
            <w:tcW w:type="dxa" w:w="3175"/>
            <w:vAlign w:val="top"/>
            <w:shd w:val="clear" w:color="auto" w:fill="FDF0F7"/>
          </w:tcPr>
          <w:p>
            <w:pPr>
              <w:spacing w:after="20" w:line="252" w:lineRule="auto"/>
            </w:pPr>
            <w:r>
              <w:rPr>
                <w:b w:val="0"/>
                <w:i w:val="0"/>
                <w:sz w:val="15"/>
              </w:rPr>
              <w:t>Backups, DR to RPO 15 minutes and RTO 4 hours, DR tests</w:t>
            </w:r>
          </w:p>
        </w:tc>
        <w:tc>
          <w:tcPr>
            <w:tcW w:type="dxa" w:w="2608"/>
            <w:vAlign w:val="top"/>
            <w:shd w:val="clear" w:color="auto" w:fill="FDF0F7"/>
          </w:tcPr>
          <w:p>
            <w:pPr>
              <w:spacing w:after="20" w:line="252" w:lineRule="auto"/>
            </w:pPr>
            <w:r>
              <w:rPr>
                <w:b w:val="0"/>
                <w:i w:val="0"/>
                <w:sz w:val="15"/>
              </w:rPr>
              <w:t>WAL archiving; warm standby; annual DR test</w:t>
            </w:r>
          </w:p>
        </w:tc>
        <w:tc>
          <w:tcPr>
            <w:tcW w:type="dxa" w:w="1814"/>
            <w:vAlign w:val="top"/>
            <w:shd w:val="clear" w:color="auto" w:fill="FDF0F7"/>
          </w:tcPr>
          <w:p>
            <w:pPr>
              <w:spacing w:after="20" w:line="252" w:lineRule="auto"/>
            </w:pPr>
            <w:r>
              <w:rPr>
                <w:b w:val="0"/>
                <w:i w:val="0"/>
                <w:sz w:val="15"/>
              </w:rPr>
              <w:t>Restore test and DR test reports</w:t>
            </w:r>
          </w:p>
        </w:tc>
      </w:tr>
      <w:tr>
        <w:trPr>
          <w:cantSplit/>
        </w:trPr>
        <w:tc>
          <w:tcPr>
            <w:tcW w:type="dxa" w:w="2041"/>
            <w:vAlign w:val="top"/>
          </w:tcPr>
          <w:p>
            <w:pPr>
              <w:spacing w:after="20" w:line="252" w:lineRule="auto"/>
            </w:pPr>
            <w:r>
              <w:rPr>
                <w:b/>
                <w:i w:val="0"/>
                <w:sz w:val="15"/>
              </w:rPr>
              <w:t>Maintainability (NFR-20–21)</w:t>
            </w:r>
          </w:p>
        </w:tc>
        <w:tc>
          <w:tcPr>
            <w:tcW w:type="dxa" w:w="3175"/>
            <w:vAlign w:val="top"/>
          </w:tcPr>
          <w:p>
            <w:pPr>
              <w:spacing w:after="20" w:line="252" w:lineRule="auto"/>
            </w:pPr>
            <w:r>
              <w:rPr>
                <w:b w:val="0"/>
                <w:i w:val="0"/>
                <w:sz w:val="15"/>
              </w:rPr>
              <w:t>Modular design; maintained documentation</w:t>
            </w:r>
          </w:p>
        </w:tc>
        <w:tc>
          <w:tcPr>
            <w:tcW w:type="dxa" w:w="2608"/>
            <w:vAlign w:val="top"/>
          </w:tcPr>
          <w:p>
            <w:pPr>
              <w:spacing w:after="20" w:line="252" w:lineRule="auto"/>
            </w:pPr>
            <w:r>
              <w:rPr>
                <w:b w:val="0"/>
                <w:i w:val="0"/>
                <w:sz w:val="15"/>
              </w:rPr>
              <w:t>Modular monolith; document pack updated per release</w:t>
            </w:r>
          </w:p>
        </w:tc>
        <w:tc>
          <w:tcPr>
            <w:tcW w:type="dxa" w:w="1814"/>
            <w:vAlign w:val="top"/>
          </w:tcPr>
          <w:p>
            <w:pPr>
              <w:spacing w:after="20" w:line="252" w:lineRule="auto"/>
            </w:pPr>
            <w:r>
              <w:rPr>
                <w:b w:val="0"/>
                <w:i w:val="0"/>
                <w:sz w:val="15"/>
              </w:rPr>
              <w:t>Document acceptance</w:t>
            </w:r>
          </w:p>
        </w:tc>
      </w:tr>
      <w:tr>
        <w:trPr>
          <w:cantSplit/>
        </w:trPr>
        <w:tc>
          <w:tcPr>
            <w:tcW w:type="dxa" w:w="2041"/>
            <w:vAlign w:val="top"/>
            <w:shd w:val="clear" w:color="auto" w:fill="FDF0F7"/>
          </w:tcPr>
          <w:p>
            <w:pPr>
              <w:spacing w:after="20" w:line="252" w:lineRule="auto"/>
            </w:pPr>
            <w:r>
              <w:rPr>
                <w:b/>
                <w:i w:val="0"/>
                <w:sz w:val="15"/>
              </w:rPr>
              <w:t>Usability and accessibility (NFR-22–24)</w:t>
            </w:r>
          </w:p>
        </w:tc>
        <w:tc>
          <w:tcPr>
            <w:tcW w:type="dxa" w:w="3175"/>
            <w:vAlign w:val="top"/>
            <w:shd w:val="clear" w:color="auto" w:fill="FDF0F7"/>
          </w:tcPr>
          <w:p>
            <w:pPr>
              <w:spacing w:after="20" w:line="252" w:lineRule="auto"/>
            </w:pPr>
            <w:r>
              <w:rPr>
                <w:b w:val="0"/>
                <w:i w:val="0"/>
                <w:sz w:val="15"/>
              </w:rPr>
              <w:t>Consistent UI, browser support, WCAG 2.1 AA target</w:t>
            </w:r>
          </w:p>
        </w:tc>
        <w:tc>
          <w:tcPr>
            <w:tcW w:type="dxa" w:w="2608"/>
            <w:vAlign w:val="top"/>
            <w:shd w:val="clear" w:color="auto" w:fill="FDF0F7"/>
          </w:tcPr>
          <w:p>
            <w:pPr>
              <w:spacing w:after="20" w:line="252" w:lineRule="auto"/>
            </w:pPr>
            <w:r>
              <w:rPr>
                <w:b w:val="0"/>
                <w:i w:val="0"/>
                <w:sz w:val="15"/>
              </w:rPr>
              <w:t>One design system; browser test matrix; accessibility check</w:t>
            </w:r>
          </w:p>
        </w:tc>
        <w:tc>
          <w:tcPr>
            <w:tcW w:type="dxa" w:w="1814"/>
            <w:vAlign w:val="top"/>
            <w:shd w:val="clear" w:color="auto" w:fill="FDF0F7"/>
          </w:tcPr>
          <w:p>
            <w:pPr>
              <w:spacing w:after="20" w:line="252" w:lineRule="auto"/>
            </w:pPr>
            <w:r>
              <w:rPr>
                <w:b w:val="0"/>
                <w:i w:val="0"/>
                <w:sz w:val="15"/>
              </w:rPr>
              <w:t>UAT feedback; accessibility check report</w:t>
            </w:r>
          </w:p>
        </w:tc>
      </w:tr>
      <w:tr>
        <w:trPr>
          <w:cantSplit/>
        </w:trPr>
        <w:tc>
          <w:tcPr>
            <w:tcW w:type="dxa" w:w="2041"/>
            <w:vAlign w:val="top"/>
          </w:tcPr>
          <w:p>
            <w:pPr>
              <w:spacing w:after="20" w:line="252" w:lineRule="auto"/>
            </w:pPr>
            <w:r>
              <w:rPr>
                <w:b/>
                <w:i w:val="0"/>
                <w:sz w:val="15"/>
              </w:rPr>
              <w:t>Compatibility (NFR-25)</w:t>
            </w:r>
          </w:p>
        </w:tc>
        <w:tc>
          <w:tcPr>
            <w:tcW w:type="dxa" w:w="3175"/>
            <w:vAlign w:val="top"/>
          </w:tcPr>
          <w:p>
            <w:pPr>
              <w:spacing w:after="20" w:line="252" w:lineRule="auto"/>
            </w:pPr>
            <w:r>
              <w:rPr>
                <w:b w:val="0"/>
                <w:i w:val="0"/>
                <w:sz w:val="15"/>
              </w:rPr>
              <w:t>Standard APIs</w:t>
            </w:r>
          </w:p>
        </w:tc>
        <w:tc>
          <w:tcPr>
            <w:tcW w:type="dxa" w:w="2608"/>
            <w:vAlign w:val="top"/>
          </w:tcPr>
          <w:p>
            <w:pPr>
              <w:spacing w:after="20" w:line="252" w:lineRule="auto"/>
            </w:pPr>
            <w:r>
              <w:rPr>
                <w:b w:val="0"/>
                <w:i w:val="0"/>
                <w:sz w:val="15"/>
              </w:rPr>
              <w:t>REST/JSON, OpenAPI 3</w:t>
            </w:r>
          </w:p>
        </w:tc>
        <w:tc>
          <w:tcPr>
            <w:tcW w:type="dxa" w:w="1814"/>
            <w:vAlign w:val="top"/>
          </w:tcPr>
          <w:p>
            <w:pPr>
              <w:spacing w:after="20" w:line="252" w:lineRule="auto"/>
            </w:pPr>
            <w:r>
              <w:rPr>
                <w:b w:val="0"/>
                <w:i w:val="0"/>
                <w:sz w:val="15"/>
              </w:rPr>
              <w:t>API specification</w:t>
            </w:r>
          </w:p>
        </w:tc>
      </w:tr>
      <w:tr>
        <w:trPr>
          <w:cantSplit/>
        </w:trPr>
        <w:tc>
          <w:tcPr>
            <w:tcW w:type="dxa" w:w="2041"/>
            <w:vAlign w:val="top"/>
            <w:shd w:val="clear" w:color="auto" w:fill="FDF0F7"/>
          </w:tcPr>
          <w:p>
            <w:pPr>
              <w:spacing w:after="20" w:line="252" w:lineRule="auto"/>
            </w:pPr>
            <w:r>
              <w:rPr>
                <w:b/>
                <w:i w:val="0"/>
                <w:sz w:val="15"/>
              </w:rPr>
              <w:t>Monitoring and logging (NFR-26–28)</w:t>
            </w:r>
          </w:p>
        </w:tc>
        <w:tc>
          <w:tcPr>
            <w:tcW w:type="dxa" w:w="3175"/>
            <w:vAlign w:val="top"/>
            <w:shd w:val="clear" w:color="auto" w:fill="FDF0F7"/>
          </w:tcPr>
          <w:p>
            <w:pPr>
              <w:spacing w:after="20" w:line="252" w:lineRule="auto"/>
            </w:pPr>
            <w:r>
              <w:rPr>
                <w:b w:val="0"/>
                <w:i w:val="0"/>
                <w:sz w:val="15"/>
              </w:rPr>
              <w:t>System monitoring, alerting, central logs</w:t>
            </w:r>
          </w:p>
        </w:tc>
        <w:tc>
          <w:tcPr>
            <w:tcW w:type="dxa" w:w="2608"/>
            <w:vAlign w:val="top"/>
            <w:shd w:val="clear" w:color="auto" w:fill="FDF0F7"/>
          </w:tcPr>
          <w:p>
            <w:pPr>
              <w:spacing w:after="20" w:line="252" w:lineRule="auto"/>
            </w:pPr>
            <w:r>
              <w:rPr>
                <w:b w:val="0"/>
                <w:i w:val="0"/>
                <w:sz w:val="15"/>
              </w:rPr>
              <w:t>Prometheus, Grafana, central log store</w:t>
            </w:r>
          </w:p>
        </w:tc>
        <w:tc>
          <w:tcPr>
            <w:tcW w:type="dxa" w:w="1814"/>
            <w:vAlign w:val="top"/>
            <w:shd w:val="clear" w:color="auto" w:fill="FDF0F7"/>
          </w:tcPr>
          <w:p>
            <w:pPr>
              <w:spacing w:after="20" w:line="252" w:lineRule="auto"/>
            </w:pPr>
            <w:r>
              <w:rPr>
                <w:b w:val="0"/>
                <w:i w:val="0"/>
                <w:sz w:val="15"/>
              </w:rPr>
              <w:t>Alert test during SIT</w:t>
            </w:r>
          </w:p>
        </w:tc>
      </w:tr>
      <w:tr>
        <w:trPr>
          <w:cantSplit/>
        </w:trPr>
        <w:tc>
          <w:tcPr>
            <w:tcW w:type="dxa" w:w="2041"/>
            <w:vAlign w:val="top"/>
          </w:tcPr>
          <w:p>
            <w:pPr>
              <w:spacing w:after="20" w:line="252" w:lineRule="auto"/>
            </w:pPr>
            <w:r>
              <w:rPr>
                <w:b/>
                <w:i w:val="0"/>
                <w:sz w:val="15"/>
              </w:rPr>
              <w:t>Data (NFR-29–30)</w:t>
            </w:r>
          </w:p>
        </w:tc>
        <w:tc>
          <w:tcPr>
            <w:tcW w:type="dxa" w:w="3175"/>
            <w:vAlign w:val="top"/>
          </w:tcPr>
          <w:p>
            <w:pPr>
              <w:spacing w:after="20" w:line="252" w:lineRule="auto"/>
            </w:pPr>
            <w:r>
              <w:rPr>
                <w:b w:val="0"/>
                <w:i w:val="0"/>
                <w:sz w:val="15"/>
              </w:rPr>
              <w:t>Retention and data quality</w:t>
            </w:r>
          </w:p>
        </w:tc>
        <w:tc>
          <w:tcPr>
            <w:tcW w:type="dxa" w:w="2608"/>
            <w:vAlign w:val="top"/>
          </w:tcPr>
          <w:p>
            <w:pPr>
              <w:spacing w:after="20" w:line="252" w:lineRule="auto"/>
            </w:pPr>
            <w:r>
              <w:rPr>
                <w:b w:val="0"/>
                <w:i w:val="0"/>
                <w:sz w:val="15"/>
              </w:rPr>
              <w:t>Retention rules; validation and constraints</w:t>
            </w:r>
          </w:p>
        </w:tc>
        <w:tc>
          <w:tcPr>
            <w:tcW w:type="dxa" w:w="1814"/>
            <w:vAlign w:val="top"/>
          </w:tcPr>
          <w:p>
            <w:pPr>
              <w:spacing w:after="20" w:line="252" w:lineRule="auto"/>
            </w:pPr>
            <w:r>
              <w:rPr>
                <w:b w:val="0"/>
                <w:i w:val="0"/>
                <w:sz w:val="15"/>
              </w:rPr>
              <w:t>Retention configuration signed</w:t>
            </w:r>
          </w:p>
        </w:tc>
      </w:tr>
    </w:tbl>
    <w:p>
      <w:pPr>
        <w:spacing w:after="0" w:before="0"/>
      </w:pPr>
      <w:r>
        <w:rPr>
          <w:sz w:val="8"/>
        </w:rPr>
      </w:r>
    </w:p>
    <w:p>
      <w:pPr>
        <w:pStyle w:val="Heading2"/>
      </w:pPr>
      <w:r>
        <w:t>5.7 Deliverables (RFP 7)</w:t>
      </w:r>
    </w:p>
    <w:p>
      <w:pPr>
        <w:keepNext w:val="0"/>
      </w:pPr>
      <w:r>
        <w:rPr>
          <w:b w:val="0"/>
          <w:i w:val="0"/>
        </w:rPr>
        <w:t>Documents are delivered in Word or Excel and PDF. IIFT reviews within five business days and we issue the final version within three business days of comments.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850"/>
        <w:gridCol w:w="2041"/>
        <w:gridCol w:w="3402"/>
        <w:gridCol w:w="1360"/>
        <w:gridCol w:w="1984"/>
      </w:tblGrid>
      <w:tr>
        <w:trPr>
          <w:cantSplit/>
          <w:tblHeader/>
        </w:trPr>
        <w:tc>
          <w:tcPr>
            <w:tcW w:type="dxa" w:w="850"/>
            <w:shd w:val="clear" w:color="auto" w:fill="E1058C"/>
            <w:vAlign w:val="center"/>
          </w:tcPr>
          <w:p>
            <w:pPr>
              <w:spacing w:after="0"/>
            </w:pPr>
            <w:r>
              <w:rPr>
                <w:b/>
                <w:i w:val="0"/>
                <w:color w:val="FFFFFF"/>
                <w:sz w:val="15"/>
              </w:rPr>
              <w:t>ID</w:t>
            </w:r>
          </w:p>
        </w:tc>
        <w:tc>
          <w:tcPr>
            <w:tcW w:type="dxa" w:w="2041"/>
            <w:shd w:val="clear" w:color="auto" w:fill="E1058C"/>
            <w:vAlign w:val="center"/>
          </w:tcPr>
          <w:p>
            <w:pPr>
              <w:spacing w:after="0"/>
            </w:pPr>
            <w:r>
              <w:rPr>
                <w:b/>
                <w:i w:val="0"/>
                <w:color w:val="FFFFFF"/>
                <w:sz w:val="15"/>
              </w:rPr>
              <w:t>Deliverable</w:t>
            </w:r>
          </w:p>
        </w:tc>
        <w:tc>
          <w:tcPr>
            <w:tcW w:type="dxa" w:w="3402"/>
            <w:shd w:val="clear" w:color="auto" w:fill="E1058C"/>
            <w:vAlign w:val="center"/>
          </w:tcPr>
          <w:p>
            <w:pPr>
              <w:spacing w:after="0"/>
            </w:pPr>
            <w:r>
              <w:rPr>
                <w:b/>
                <w:i w:val="0"/>
                <w:color w:val="FFFFFF"/>
                <w:sz w:val="15"/>
              </w:rPr>
              <w:t>Content and approach</w:t>
            </w:r>
          </w:p>
        </w:tc>
        <w:tc>
          <w:tcPr>
            <w:tcW w:type="dxa" w:w="1361"/>
            <w:shd w:val="clear" w:color="auto" w:fill="E1058C"/>
            <w:vAlign w:val="center"/>
          </w:tcPr>
          <w:p>
            <w:pPr>
              <w:spacing w:after="0"/>
            </w:pPr>
            <w:r>
              <w:rPr>
                <w:b/>
                <w:i w:val="0"/>
                <w:color w:val="FFFFFF"/>
                <w:sz w:val="15"/>
              </w:rPr>
              <w:t>Due</w:t>
            </w:r>
          </w:p>
        </w:tc>
        <w:tc>
          <w:tcPr>
            <w:tcW w:type="dxa" w:w="1984"/>
            <w:shd w:val="clear" w:color="auto" w:fill="E1058C"/>
            <w:vAlign w:val="center"/>
          </w:tcPr>
          <w:p>
            <w:pPr>
              <w:spacing w:after="0"/>
            </w:pPr>
            <w:r>
              <w:rPr>
                <w:b/>
                <w:i w:val="0"/>
                <w:color w:val="FFFFFF"/>
                <w:sz w:val="15"/>
              </w:rPr>
              <w:t>Acceptance evidence</w:t>
            </w:r>
          </w:p>
        </w:tc>
      </w:tr>
      <w:tr>
        <w:trPr>
          <w:cantSplit/>
        </w:trPr>
        <w:tc>
          <w:tcPr>
            <w:tcW w:type="dxa" w:w="850"/>
            <w:vAlign w:val="top"/>
          </w:tcPr>
          <w:p>
            <w:pPr>
              <w:spacing w:after="20" w:line="252" w:lineRule="auto"/>
            </w:pPr>
            <w:r>
              <w:rPr>
                <w:b/>
                <w:i w:val="0"/>
                <w:sz w:val="15"/>
              </w:rPr>
              <w:t>DEL-01</w:t>
            </w:r>
          </w:p>
        </w:tc>
        <w:tc>
          <w:tcPr>
            <w:tcW w:type="dxa" w:w="2041"/>
            <w:vAlign w:val="top"/>
          </w:tcPr>
          <w:p>
            <w:pPr>
              <w:spacing w:after="20" w:line="252" w:lineRule="auto"/>
            </w:pPr>
            <w:r>
              <w:rPr>
                <w:b w:val="0"/>
                <w:i w:val="0"/>
                <w:sz w:val="15"/>
              </w:rPr>
              <w:t>Project charter</w:t>
            </w:r>
          </w:p>
        </w:tc>
        <w:tc>
          <w:tcPr>
            <w:tcW w:type="dxa" w:w="3402"/>
            <w:vAlign w:val="top"/>
          </w:tcPr>
          <w:p>
            <w:pPr>
              <w:spacing w:after="20" w:line="252" w:lineRule="auto"/>
            </w:pPr>
            <w:r>
              <w:rPr>
                <w:b w:val="0"/>
                <w:i w:val="0"/>
                <w:sz w:val="15"/>
              </w:rPr>
              <w:t>Objectives, scope, governance, stakeholders, assumptions, milestones</w:t>
            </w:r>
          </w:p>
        </w:tc>
        <w:tc>
          <w:tcPr>
            <w:tcW w:type="dxa" w:w="1361"/>
            <w:vAlign w:val="top"/>
          </w:tcPr>
          <w:p>
            <w:pPr>
              <w:spacing w:after="20" w:line="252" w:lineRule="auto"/>
            </w:pPr>
            <w:r>
              <w:rPr>
                <w:b w:val="0"/>
                <w:i w:val="0"/>
                <w:sz w:val="15"/>
              </w:rPr>
              <w:t>Wk 2</w:t>
            </w:r>
          </w:p>
        </w:tc>
        <w:tc>
          <w:tcPr>
            <w:tcW w:type="dxa" w:w="1984"/>
            <w:vAlign w:val="top"/>
          </w:tcPr>
          <w:p>
            <w:pPr>
              <w:spacing w:after="20" w:line="252" w:lineRule="auto"/>
            </w:pPr>
            <w:r>
              <w:rPr>
                <w:b w:val="0"/>
                <w:i w:val="0"/>
                <w:sz w:val="15"/>
              </w:rPr>
              <w:t>Steering Committee approval</w:t>
            </w:r>
          </w:p>
        </w:tc>
      </w:tr>
      <w:tr>
        <w:trPr>
          <w:cantSplit/>
        </w:trPr>
        <w:tc>
          <w:tcPr>
            <w:tcW w:type="dxa" w:w="850"/>
            <w:vAlign w:val="top"/>
            <w:shd w:val="clear" w:color="auto" w:fill="FDF0F7"/>
          </w:tcPr>
          <w:p>
            <w:pPr>
              <w:spacing w:after="20" w:line="252" w:lineRule="auto"/>
            </w:pPr>
            <w:r>
              <w:rPr>
                <w:b/>
                <w:i w:val="0"/>
                <w:sz w:val="15"/>
              </w:rPr>
              <w:t>DEL-02</w:t>
            </w:r>
          </w:p>
        </w:tc>
        <w:tc>
          <w:tcPr>
            <w:tcW w:type="dxa" w:w="2041"/>
            <w:vAlign w:val="top"/>
            <w:shd w:val="clear" w:color="auto" w:fill="FDF0F7"/>
          </w:tcPr>
          <w:p>
            <w:pPr>
              <w:spacing w:after="20" w:line="252" w:lineRule="auto"/>
            </w:pPr>
            <w:r>
              <w:rPr>
                <w:b w:val="0"/>
                <w:i w:val="0"/>
                <w:sz w:val="15"/>
              </w:rPr>
              <w:t>Project plan</w:t>
            </w:r>
          </w:p>
        </w:tc>
        <w:tc>
          <w:tcPr>
            <w:tcW w:type="dxa" w:w="3402"/>
            <w:vAlign w:val="top"/>
            <w:shd w:val="clear" w:color="auto" w:fill="FDF0F7"/>
          </w:tcPr>
          <w:p>
            <w:pPr>
              <w:spacing w:after="20" w:line="252" w:lineRule="auto"/>
            </w:pPr>
            <w:r>
              <w:rPr>
                <w:b w:val="0"/>
                <w:i w:val="0"/>
                <w:sz w:val="15"/>
              </w:rPr>
              <w:t>Activities, dependencies, resources, timeline; updated fortnightly</w:t>
            </w:r>
          </w:p>
        </w:tc>
        <w:tc>
          <w:tcPr>
            <w:tcW w:type="dxa" w:w="1361"/>
            <w:vAlign w:val="top"/>
            <w:shd w:val="clear" w:color="auto" w:fill="FDF0F7"/>
          </w:tcPr>
          <w:p>
            <w:pPr>
              <w:spacing w:after="20" w:line="252" w:lineRule="auto"/>
            </w:pPr>
            <w:r>
              <w:rPr>
                <w:b w:val="0"/>
                <w:i w:val="0"/>
                <w:sz w:val="15"/>
              </w:rPr>
              <w:t>Wk 2</w:t>
            </w:r>
          </w:p>
        </w:tc>
        <w:tc>
          <w:tcPr>
            <w:tcW w:type="dxa" w:w="1984"/>
            <w:vAlign w:val="top"/>
            <w:shd w:val="clear" w:color="auto" w:fill="FDF0F7"/>
          </w:tcPr>
          <w:p>
            <w:pPr>
              <w:spacing w:after="20" w:line="252" w:lineRule="auto"/>
            </w:pPr>
            <w:r>
              <w:rPr>
                <w:b w:val="0"/>
                <w:i w:val="0"/>
                <w:sz w:val="15"/>
              </w:rPr>
              <w:t>IIFT PM approval</w:t>
            </w:r>
          </w:p>
        </w:tc>
      </w:tr>
      <w:tr>
        <w:trPr>
          <w:cantSplit/>
        </w:trPr>
        <w:tc>
          <w:tcPr>
            <w:tcW w:type="dxa" w:w="850"/>
            <w:vAlign w:val="top"/>
          </w:tcPr>
          <w:p>
            <w:pPr>
              <w:spacing w:after="20" w:line="252" w:lineRule="auto"/>
            </w:pPr>
            <w:r>
              <w:rPr>
                <w:b/>
                <w:i w:val="0"/>
                <w:sz w:val="15"/>
              </w:rPr>
              <w:t>DEL-03</w:t>
            </w:r>
          </w:p>
        </w:tc>
        <w:tc>
          <w:tcPr>
            <w:tcW w:type="dxa" w:w="2041"/>
            <w:vAlign w:val="top"/>
          </w:tcPr>
          <w:p>
            <w:pPr>
              <w:spacing w:after="20" w:line="252" w:lineRule="auto"/>
            </w:pPr>
            <w:r>
              <w:rPr>
                <w:b w:val="0"/>
                <w:i w:val="0"/>
                <w:sz w:val="15"/>
              </w:rPr>
              <w:t>Business requirement specification</w:t>
            </w:r>
          </w:p>
        </w:tc>
        <w:tc>
          <w:tcPr>
            <w:tcW w:type="dxa" w:w="3402"/>
            <w:vAlign w:val="top"/>
          </w:tcPr>
          <w:p>
            <w:pPr>
              <w:spacing w:after="20" w:line="252" w:lineRule="auto"/>
            </w:pPr>
            <w:r>
              <w:rPr>
                <w:b w:val="0"/>
                <w:i w:val="0"/>
                <w:sz w:val="15"/>
              </w:rPr>
              <w:t>Agreed processes from fit-gap workshops on the working system</w:t>
            </w:r>
          </w:p>
        </w:tc>
        <w:tc>
          <w:tcPr>
            <w:tcW w:type="dxa" w:w="1361"/>
            <w:vAlign w:val="top"/>
          </w:tcPr>
          <w:p>
            <w:pPr>
              <w:spacing w:after="20" w:line="252" w:lineRule="auto"/>
            </w:pPr>
            <w:r>
              <w:rPr>
                <w:b w:val="0"/>
                <w:i w:val="0"/>
                <w:sz w:val="15"/>
              </w:rPr>
              <w:t>Wk 4</w:t>
            </w:r>
          </w:p>
        </w:tc>
        <w:tc>
          <w:tcPr>
            <w:tcW w:type="dxa" w:w="1984"/>
            <w:vAlign w:val="top"/>
          </w:tcPr>
          <w:p>
            <w:pPr>
              <w:spacing w:after="20" w:line="252" w:lineRule="auto"/>
            </w:pPr>
            <w:r>
              <w:rPr>
                <w:b w:val="0"/>
                <w:i w:val="0"/>
                <w:sz w:val="15"/>
              </w:rPr>
              <w:t>Business owner sign-off</w:t>
            </w:r>
          </w:p>
        </w:tc>
      </w:tr>
      <w:tr>
        <w:trPr>
          <w:cantSplit/>
        </w:trPr>
        <w:tc>
          <w:tcPr>
            <w:tcW w:type="dxa" w:w="850"/>
            <w:vAlign w:val="top"/>
            <w:shd w:val="clear" w:color="auto" w:fill="FDF0F7"/>
          </w:tcPr>
          <w:p>
            <w:pPr>
              <w:spacing w:after="20" w:line="252" w:lineRule="auto"/>
            </w:pPr>
            <w:r>
              <w:rPr>
                <w:b/>
                <w:i w:val="0"/>
                <w:sz w:val="15"/>
              </w:rPr>
              <w:t>DEL-04</w:t>
            </w:r>
          </w:p>
        </w:tc>
        <w:tc>
          <w:tcPr>
            <w:tcW w:type="dxa" w:w="2041"/>
            <w:vAlign w:val="top"/>
            <w:shd w:val="clear" w:color="auto" w:fill="FDF0F7"/>
          </w:tcPr>
          <w:p>
            <w:pPr>
              <w:spacing w:after="20" w:line="252" w:lineRule="auto"/>
            </w:pPr>
            <w:r>
              <w:rPr>
                <w:b w:val="0"/>
                <w:i w:val="0"/>
                <w:sz w:val="15"/>
              </w:rPr>
              <w:t>Functional requirement specification</w:t>
            </w:r>
          </w:p>
        </w:tc>
        <w:tc>
          <w:tcPr>
            <w:tcW w:type="dxa" w:w="3402"/>
            <w:vAlign w:val="top"/>
            <w:shd w:val="clear" w:color="auto" w:fill="FDF0F7"/>
          </w:tcPr>
          <w:p>
            <w:pPr>
              <w:spacing w:after="20" w:line="252" w:lineRule="auto"/>
            </w:pPr>
            <w:r>
              <w:rPr>
                <w:b w:val="0"/>
                <w:i w:val="0"/>
                <w:sz w:val="15"/>
              </w:rPr>
              <w:t>Rules, screens, reports and configuration per product</w:t>
            </w:r>
          </w:p>
        </w:tc>
        <w:tc>
          <w:tcPr>
            <w:tcW w:type="dxa" w:w="1361"/>
            <w:vAlign w:val="top"/>
            <w:shd w:val="clear" w:color="auto" w:fill="FDF0F7"/>
          </w:tcPr>
          <w:p>
            <w:pPr>
              <w:spacing w:after="20" w:line="252" w:lineRule="auto"/>
            </w:pPr>
            <w:r>
              <w:rPr>
                <w:b w:val="0"/>
                <w:i w:val="0"/>
                <w:sz w:val="15"/>
              </w:rPr>
              <w:t>Wk 5</w:t>
            </w:r>
          </w:p>
        </w:tc>
        <w:tc>
          <w:tcPr>
            <w:tcW w:type="dxa" w:w="1984"/>
            <w:vAlign w:val="top"/>
            <w:shd w:val="clear" w:color="auto" w:fill="FDF0F7"/>
          </w:tcPr>
          <w:p>
            <w:pPr>
              <w:spacing w:after="20" w:line="252" w:lineRule="auto"/>
            </w:pPr>
            <w:r>
              <w:rPr>
                <w:b w:val="0"/>
                <w:i w:val="0"/>
                <w:sz w:val="15"/>
              </w:rPr>
              <w:t>Business owner sign-off</w:t>
            </w:r>
          </w:p>
        </w:tc>
      </w:tr>
      <w:tr>
        <w:trPr>
          <w:cantSplit/>
        </w:trPr>
        <w:tc>
          <w:tcPr>
            <w:tcW w:type="dxa" w:w="850"/>
            <w:vAlign w:val="top"/>
          </w:tcPr>
          <w:p>
            <w:pPr>
              <w:spacing w:after="20" w:line="252" w:lineRule="auto"/>
            </w:pPr>
            <w:r>
              <w:rPr>
                <w:b/>
                <w:i w:val="0"/>
                <w:sz w:val="15"/>
              </w:rPr>
              <w:t>DEL-05</w:t>
            </w:r>
          </w:p>
        </w:tc>
        <w:tc>
          <w:tcPr>
            <w:tcW w:type="dxa" w:w="2041"/>
            <w:vAlign w:val="top"/>
          </w:tcPr>
          <w:p>
            <w:pPr>
              <w:spacing w:after="20" w:line="252" w:lineRule="auto"/>
            </w:pPr>
            <w:r>
              <w:rPr>
                <w:b w:val="0"/>
                <w:i w:val="0"/>
                <w:sz w:val="15"/>
              </w:rPr>
              <w:t>Requirements traceability matrix</w:t>
            </w:r>
          </w:p>
        </w:tc>
        <w:tc>
          <w:tcPr>
            <w:tcW w:type="dxa" w:w="3402"/>
            <w:vAlign w:val="top"/>
          </w:tcPr>
          <w:p>
            <w:pPr>
              <w:spacing w:after="20" w:line="252" w:lineRule="auto"/>
            </w:pPr>
            <w:r>
              <w:rPr>
                <w:b w:val="0"/>
                <w:i w:val="0"/>
                <w:sz w:val="15"/>
              </w:rPr>
              <w:t>Every RFP ID traced to design, test and acceptance</w:t>
            </w:r>
          </w:p>
        </w:tc>
        <w:tc>
          <w:tcPr>
            <w:tcW w:type="dxa" w:w="1361"/>
            <w:vAlign w:val="top"/>
          </w:tcPr>
          <w:p>
            <w:pPr>
              <w:spacing w:after="20" w:line="252" w:lineRule="auto"/>
            </w:pPr>
            <w:r>
              <w:rPr>
                <w:b w:val="0"/>
                <w:i w:val="0"/>
                <w:sz w:val="15"/>
              </w:rPr>
              <w:t>Wk 6, kept current</w:t>
            </w:r>
          </w:p>
        </w:tc>
        <w:tc>
          <w:tcPr>
            <w:tcW w:type="dxa" w:w="1984"/>
            <w:vAlign w:val="top"/>
          </w:tcPr>
          <w:p>
            <w:pPr>
              <w:spacing w:after="20" w:line="252" w:lineRule="auto"/>
            </w:pPr>
            <w:r>
              <w:rPr>
                <w:b w:val="0"/>
                <w:i w:val="0"/>
                <w:sz w:val="15"/>
              </w:rPr>
              <w:t>Final RTM at closure</w:t>
            </w:r>
          </w:p>
        </w:tc>
      </w:tr>
      <w:tr>
        <w:trPr>
          <w:cantSplit/>
        </w:trPr>
        <w:tc>
          <w:tcPr>
            <w:tcW w:type="dxa" w:w="850"/>
            <w:vAlign w:val="top"/>
            <w:shd w:val="clear" w:color="auto" w:fill="FDF0F7"/>
          </w:tcPr>
          <w:p>
            <w:pPr>
              <w:spacing w:after="20" w:line="252" w:lineRule="auto"/>
            </w:pPr>
            <w:r>
              <w:rPr>
                <w:b/>
                <w:i w:val="0"/>
                <w:sz w:val="15"/>
              </w:rPr>
              <w:t>DEL-06</w:t>
            </w:r>
          </w:p>
        </w:tc>
        <w:tc>
          <w:tcPr>
            <w:tcW w:type="dxa" w:w="2041"/>
            <w:vAlign w:val="top"/>
            <w:shd w:val="clear" w:color="auto" w:fill="FDF0F7"/>
          </w:tcPr>
          <w:p>
            <w:pPr>
              <w:spacing w:after="20" w:line="252" w:lineRule="auto"/>
            </w:pPr>
            <w:r>
              <w:rPr>
                <w:b w:val="0"/>
                <w:i w:val="0"/>
                <w:sz w:val="15"/>
              </w:rPr>
              <w:t>Solution architecture</w:t>
            </w:r>
          </w:p>
        </w:tc>
        <w:tc>
          <w:tcPr>
            <w:tcW w:type="dxa" w:w="3402"/>
            <w:vAlign w:val="top"/>
            <w:shd w:val="clear" w:color="auto" w:fill="FDF0F7"/>
          </w:tcPr>
          <w:p>
            <w:pPr>
              <w:spacing w:after="20" w:line="252" w:lineRule="auto"/>
            </w:pPr>
            <w:r>
              <w:rPr>
                <w:b w:val="0"/>
                <w:i w:val="0"/>
                <w:sz w:val="15"/>
              </w:rPr>
              <w:t>Application, infrastructure, security, integration, deployment</w:t>
            </w:r>
          </w:p>
        </w:tc>
        <w:tc>
          <w:tcPr>
            <w:tcW w:type="dxa" w:w="1361"/>
            <w:vAlign w:val="top"/>
            <w:shd w:val="clear" w:color="auto" w:fill="FDF0F7"/>
          </w:tcPr>
          <w:p>
            <w:pPr>
              <w:spacing w:after="20" w:line="252" w:lineRule="auto"/>
            </w:pPr>
            <w:r>
              <w:rPr>
                <w:b w:val="0"/>
                <w:i w:val="0"/>
                <w:sz w:val="15"/>
              </w:rPr>
              <w:t>Wk 6</w:t>
            </w:r>
          </w:p>
        </w:tc>
        <w:tc>
          <w:tcPr>
            <w:tcW w:type="dxa" w:w="1984"/>
            <w:vAlign w:val="top"/>
            <w:shd w:val="clear" w:color="auto" w:fill="FDF0F7"/>
          </w:tcPr>
          <w:p>
            <w:pPr>
              <w:spacing w:after="20" w:line="252" w:lineRule="auto"/>
            </w:pPr>
            <w:r>
              <w:rPr>
                <w:b w:val="0"/>
                <w:i w:val="0"/>
                <w:sz w:val="15"/>
              </w:rPr>
              <w:t>Design Authority sign-off</w:t>
            </w:r>
          </w:p>
        </w:tc>
      </w:tr>
      <w:tr>
        <w:trPr>
          <w:cantSplit/>
        </w:trPr>
        <w:tc>
          <w:tcPr>
            <w:tcW w:type="dxa" w:w="850"/>
            <w:vAlign w:val="top"/>
          </w:tcPr>
          <w:p>
            <w:pPr>
              <w:spacing w:after="20" w:line="252" w:lineRule="auto"/>
            </w:pPr>
            <w:r>
              <w:rPr>
                <w:b/>
                <w:i w:val="0"/>
                <w:sz w:val="15"/>
              </w:rPr>
              <w:t>DEL-07</w:t>
            </w:r>
          </w:p>
        </w:tc>
        <w:tc>
          <w:tcPr>
            <w:tcW w:type="dxa" w:w="2041"/>
            <w:vAlign w:val="top"/>
          </w:tcPr>
          <w:p>
            <w:pPr>
              <w:spacing w:after="20" w:line="252" w:lineRule="auto"/>
            </w:pPr>
            <w:r>
              <w:rPr>
                <w:b w:val="0"/>
                <w:i w:val="0"/>
                <w:sz w:val="15"/>
              </w:rPr>
              <w:t>Technical design</w:t>
            </w:r>
          </w:p>
        </w:tc>
        <w:tc>
          <w:tcPr>
            <w:tcW w:type="dxa" w:w="3402"/>
            <w:vAlign w:val="top"/>
          </w:tcPr>
          <w:p>
            <w:pPr>
              <w:spacing w:after="20" w:line="252" w:lineRule="auto"/>
            </w:pPr>
            <w:r>
              <w:rPr>
                <w:b w:val="0"/>
                <w:i w:val="0"/>
                <w:sz w:val="15"/>
              </w:rPr>
              <w:t>Components, database, APIs, interfaces, configuration</w:t>
            </w:r>
          </w:p>
        </w:tc>
        <w:tc>
          <w:tcPr>
            <w:tcW w:type="dxa" w:w="1361"/>
            <w:vAlign w:val="top"/>
          </w:tcPr>
          <w:p>
            <w:pPr>
              <w:spacing w:after="20" w:line="252" w:lineRule="auto"/>
            </w:pPr>
            <w:r>
              <w:rPr>
                <w:b w:val="0"/>
                <w:i w:val="0"/>
                <w:sz w:val="15"/>
              </w:rPr>
              <w:t>Wk 6</w:t>
            </w:r>
          </w:p>
        </w:tc>
        <w:tc>
          <w:tcPr>
            <w:tcW w:type="dxa" w:w="1984"/>
            <w:vAlign w:val="top"/>
          </w:tcPr>
          <w:p>
            <w:pPr>
              <w:spacing w:after="20" w:line="252" w:lineRule="auto"/>
            </w:pPr>
            <w:r>
              <w:rPr>
                <w:b w:val="0"/>
                <w:i w:val="0"/>
                <w:sz w:val="15"/>
              </w:rPr>
              <w:t>Design Authority sign-off</w:t>
            </w:r>
          </w:p>
        </w:tc>
      </w:tr>
      <w:tr>
        <w:trPr>
          <w:cantSplit/>
        </w:trPr>
        <w:tc>
          <w:tcPr>
            <w:tcW w:type="dxa" w:w="850"/>
            <w:vAlign w:val="top"/>
            <w:shd w:val="clear" w:color="auto" w:fill="FDF0F7"/>
          </w:tcPr>
          <w:p>
            <w:pPr>
              <w:spacing w:after="20" w:line="252" w:lineRule="auto"/>
            </w:pPr>
            <w:r>
              <w:rPr>
                <w:b/>
                <w:i w:val="0"/>
                <w:sz w:val="15"/>
              </w:rPr>
              <w:t>DEL-08</w:t>
            </w:r>
          </w:p>
        </w:tc>
        <w:tc>
          <w:tcPr>
            <w:tcW w:type="dxa" w:w="2041"/>
            <w:vAlign w:val="top"/>
            <w:shd w:val="clear" w:color="auto" w:fill="FDF0F7"/>
          </w:tcPr>
          <w:p>
            <w:pPr>
              <w:spacing w:after="20" w:line="252" w:lineRule="auto"/>
            </w:pPr>
            <w:r>
              <w:rPr>
                <w:b w:val="0"/>
                <w:i w:val="0"/>
                <w:sz w:val="15"/>
              </w:rPr>
              <w:t>UI/UX design</w:t>
            </w:r>
          </w:p>
        </w:tc>
        <w:tc>
          <w:tcPr>
            <w:tcW w:type="dxa" w:w="3402"/>
            <w:vAlign w:val="top"/>
            <w:shd w:val="clear" w:color="auto" w:fill="FDF0F7"/>
          </w:tcPr>
          <w:p>
            <w:pPr>
              <w:spacing w:after="20" w:line="252" w:lineRule="auto"/>
            </w:pPr>
            <w:r>
              <w:rPr>
                <w:b w:val="0"/>
                <w:i w:val="0"/>
                <w:sz w:val="15"/>
              </w:rPr>
              <w:t>Screen designs and journeys based on the working screens</w:t>
            </w:r>
          </w:p>
        </w:tc>
        <w:tc>
          <w:tcPr>
            <w:tcW w:type="dxa" w:w="1361"/>
            <w:vAlign w:val="top"/>
            <w:shd w:val="clear" w:color="auto" w:fill="FDF0F7"/>
          </w:tcPr>
          <w:p>
            <w:pPr>
              <w:spacing w:after="20" w:line="252" w:lineRule="auto"/>
            </w:pPr>
            <w:r>
              <w:rPr>
                <w:b w:val="0"/>
                <w:i w:val="0"/>
                <w:sz w:val="15"/>
              </w:rPr>
              <w:t>Wk 5</w:t>
            </w:r>
          </w:p>
        </w:tc>
        <w:tc>
          <w:tcPr>
            <w:tcW w:type="dxa" w:w="1984"/>
            <w:vAlign w:val="top"/>
            <w:shd w:val="clear" w:color="auto" w:fill="FDF0F7"/>
          </w:tcPr>
          <w:p>
            <w:pPr>
              <w:spacing w:after="20" w:line="252" w:lineRule="auto"/>
            </w:pPr>
            <w:r>
              <w:rPr>
                <w:b w:val="0"/>
                <w:i w:val="0"/>
                <w:sz w:val="15"/>
              </w:rPr>
              <w:t>Business owner sign-off</w:t>
            </w:r>
          </w:p>
        </w:tc>
      </w:tr>
      <w:tr>
        <w:trPr>
          <w:cantSplit/>
        </w:trPr>
        <w:tc>
          <w:tcPr>
            <w:tcW w:type="dxa" w:w="850"/>
            <w:vAlign w:val="top"/>
          </w:tcPr>
          <w:p>
            <w:pPr>
              <w:spacing w:after="20" w:line="252" w:lineRule="auto"/>
            </w:pPr>
            <w:r>
              <w:rPr>
                <w:b/>
                <w:i w:val="0"/>
                <w:sz w:val="15"/>
              </w:rPr>
              <w:t>DEL-09</w:t>
            </w:r>
          </w:p>
        </w:tc>
        <w:tc>
          <w:tcPr>
            <w:tcW w:type="dxa" w:w="2041"/>
            <w:vAlign w:val="top"/>
          </w:tcPr>
          <w:p>
            <w:pPr>
              <w:spacing w:after="20" w:line="252" w:lineRule="auto"/>
            </w:pPr>
            <w:r>
              <w:rPr>
                <w:b w:val="0"/>
                <w:i w:val="0"/>
                <w:sz w:val="15"/>
              </w:rPr>
              <w:t>Interface specification</w:t>
            </w:r>
          </w:p>
        </w:tc>
        <w:tc>
          <w:tcPr>
            <w:tcW w:type="dxa" w:w="3402"/>
            <w:vAlign w:val="top"/>
          </w:tcPr>
          <w:p>
            <w:pPr>
              <w:spacing w:after="20" w:line="252" w:lineRule="auto"/>
            </w:pPr>
            <w:r>
              <w:rPr>
                <w:b w:val="0"/>
                <w:i w:val="0"/>
                <w:sz w:val="15"/>
              </w:rPr>
              <w:t>APIs, mappings, methods, security, error handling per interface</w:t>
            </w:r>
          </w:p>
        </w:tc>
        <w:tc>
          <w:tcPr>
            <w:tcW w:type="dxa" w:w="1361"/>
            <w:vAlign w:val="top"/>
          </w:tcPr>
          <w:p>
            <w:pPr>
              <w:spacing w:after="20" w:line="252" w:lineRule="auto"/>
            </w:pPr>
            <w:r>
              <w:rPr>
                <w:b w:val="0"/>
                <w:i w:val="0"/>
                <w:sz w:val="15"/>
              </w:rPr>
              <w:t>Wk 6</w:t>
            </w:r>
          </w:p>
        </w:tc>
        <w:tc>
          <w:tcPr>
            <w:tcW w:type="dxa" w:w="1984"/>
            <w:vAlign w:val="top"/>
          </w:tcPr>
          <w:p>
            <w:pPr>
              <w:spacing w:after="20" w:line="252" w:lineRule="auto"/>
            </w:pPr>
            <w:r>
              <w:rPr>
                <w:b w:val="0"/>
                <w:i w:val="0"/>
                <w:sz w:val="15"/>
              </w:rPr>
              <w:t>System owner sign-off</w:t>
            </w:r>
          </w:p>
        </w:tc>
      </w:tr>
      <w:tr>
        <w:trPr>
          <w:cantSplit/>
        </w:trPr>
        <w:tc>
          <w:tcPr>
            <w:tcW w:type="dxa" w:w="850"/>
            <w:vAlign w:val="top"/>
            <w:shd w:val="clear" w:color="auto" w:fill="FDF0F7"/>
          </w:tcPr>
          <w:p>
            <w:pPr>
              <w:spacing w:after="20" w:line="252" w:lineRule="auto"/>
            </w:pPr>
            <w:r>
              <w:rPr>
                <w:b/>
                <w:i w:val="0"/>
                <w:sz w:val="15"/>
              </w:rPr>
              <w:t>DEL-10</w:t>
            </w:r>
          </w:p>
        </w:tc>
        <w:tc>
          <w:tcPr>
            <w:tcW w:type="dxa" w:w="2041"/>
            <w:vAlign w:val="top"/>
            <w:shd w:val="clear" w:color="auto" w:fill="FDF0F7"/>
          </w:tcPr>
          <w:p>
            <w:pPr>
              <w:spacing w:after="20" w:line="252" w:lineRule="auto"/>
            </w:pPr>
            <w:r>
              <w:rPr>
                <w:b w:val="0"/>
                <w:i w:val="0"/>
                <w:sz w:val="15"/>
              </w:rPr>
              <w:t>Configured solution</w:t>
            </w:r>
          </w:p>
        </w:tc>
        <w:tc>
          <w:tcPr>
            <w:tcW w:type="dxa" w:w="3402"/>
            <w:vAlign w:val="top"/>
            <w:shd w:val="clear" w:color="auto" w:fill="FDF0F7"/>
          </w:tcPr>
          <w:p>
            <w:pPr>
              <w:spacing w:after="20" w:line="252" w:lineRule="auto"/>
            </w:pPr>
            <w:r>
              <w:rPr>
                <w:b w:val="0"/>
                <w:i w:val="0"/>
                <w:sz w:val="15"/>
              </w:rPr>
              <w:t>SalesVerse 2.0 configured and integrated for IIFT</w:t>
            </w:r>
          </w:p>
        </w:tc>
        <w:tc>
          <w:tcPr>
            <w:tcW w:type="dxa" w:w="1361"/>
            <w:vAlign w:val="top"/>
            <w:shd w:val="clear" w:color="auto" w:fill="FDF0F7"/>
          </w:tcPr>
          <w:p>
            <w:pPr>
              <w:spacing w:after="20" w:line="252" w:lineRule="auto"/>
            </w:pPr>
            <w:r>
              <w:rPr>
                <w:b w:val="0"/>
                <w:i w:val="0"/>
                <w:sz w:val="15"/>
              </w:rPr>
              <w:t>Wk 16</w:t>
            </w:r>
          </w:p>
        </w:tc>
        <w:tc>
          <w:tcPr>
            <w:tcW w:type="dxa" w:w="1984"/>
            <w:vAlign w:val="top"/>
            <w:shd w:val="clear" w:color="auto" w:fill="FDF0F7"/>
          </w:tcPr>
          <w:p>
            <w:pPr>
              <w:spacing w:after="20" w:line="252" w:lineRule="auto"/>
            </w:pPr>
            <w:r>
              <w:rPr>
                <w:b w:val="0"/>
                <w:i w:val="0"/>
                <w:sz w:val="15"/>
              </w:rPr>
              <w:t>Build-complete demo (M3)</w:t>
            </w:r>
          </w:p>
        </w:tc>
      </w:tr>
      <w:tr>
        <w:trPr>
          <w:cantSplit/>
        </w:trPr>
        <w:tc>
          <w:tcPr>
            <w:tcW w:type="dxa" w:w="850"/>
            <w:vAlign w:val="top"/>
          </w:tcPr>
          <w:p>
            <w:pPr>
              <w:spacing w:after="20" w:line="252" w:lineRule="auto"/>
            </w:pPr>
            <w:r>
              <w:rPr>
                <w:b/>
                <w:i w:val="0"/>
                <w:sz w:val="15"/>
              </w:rPr>
              <w:t>DEL-11</w:t>
            </w:r>
          </w:p>
        </w:tc>
        <w:tc>
          <w:tcPr>
            <w:tcW w:type="dxa" w:w="2041"/>
            <w:vAlign w:val="top"/>
          </w:tcPr>
          <w:p>
            <w:pPr>
              <w:spacing w:after="20" w:line="252" w:lineRule="auto"/>
            </w:pPr>
            <w:r>
              <w:rPr>
                <w:b w:val="0"/>
                <w:i w:val="0"/>
                <w:sz w:val="15"/>
              </w:rPr>
              <w:t>Source code</w:t>
            </w:r>
          </w:p>
        </w:tc>
        <w:tc>
          <w:tcPr>
            <w:tcW w:type="dxa" w:w="3402"/>
            <w:vAlign w:val="top"/>
          </w:tcPr>
          <w:p>
            <w:pPr>
              <w:spacing w:after="20" w:line="252" w:lineRule="auto"/>
            </w:pPr>
            <w:r>
              <w:rPr>
                <w:b w:val="0"/>
                <w:i w:val="0"/>
                <w:sz w:val="15"/>
              </w:rPr>
              <w:t>Source code of IIFT-specific components (configuration, adapters, reports, templates), build scripts, migrations; core platform via Option C or escrow</w:t>
            </w:r>
          </w:p>
        </w:tc>
        <w:tc>
          <w:tcPr>
            <w:tcW w:type="dxa" w:w="1361"/>
            <w:vAlign w:val="top"/>
          </w:tcPr>
          <w:p>
            <w:pPr>
              <w:spacing w:after="20" w:line="252" w:lineRule="auto"/>
            </w:pPr>
            <w:r>
              <w:rPr>
                <w:b w:val="0"/>
                <w:i w:val="0"/>
                <w:sz w:val="15"/>
              </w:rPr>
              <w:t>Wk 24 and each release</w:t>
            </w:r>
          </w:p>
        </w:tc>
        <w:tc>
          <w:tcPr>
            <w:tcW w:type="dxa" w:w="1984"/>
            <w:vAlign w:val="top"/>
          </w:tcPr>
          <w:p>
            <w:pPr>
              <w:spacing w:after="20" w:line="252" w:lineRule="auto"/>
            </w:pPr>
            <w:r>
              <w:rPr>
                <w:b w:val="0"/>
                <w:i w:val="0"/>
                <w:sz w:val="15"/>
              </w:rPr>
              <w:t>Repository handover checklist</w:t>
            </w:r>
          </w:p>
        </w:tc>
      </w:tr>
      <w:tr>
        <w:trPr>
          <w:cantSplit/>
        </w:trPr>
        <w:tc>
          <w:tcPr>
            <w:tcW w:type="dxa" w:w="850"/>
            <w:vAlign w:val="top"/>
            <w:shd w:val="clear" w:color="auto" w:fill="FDF0F7"/>
          </w:tcPr>
          <w:p>
            <w:pPr>
              <w:spacing w:after="20" w:line="252" w:lineRule="auto"/>
            </w:pPr>
            <w:r>
              <w:rPr>
                <w:b/>
                <w:i w:val="0"/>
                <w:sz w:val="15"/>
              </w:rPr>
              <w:t>DEL-12</w:t>
            </w:r>
          </w:p>
        </w:tc>
        <w:tc>
          <w:tcPr>
            <w:tcW w:type="dxa" w:w="2041"/>
            <w:vAlign w:val="top"/>
            <w:shd w:val="clear" w:color="auto" w:fill="FDF0F7"/>
          </w:tcPr>
          <w:p>
            <w:pPr>
              <w:spacing w:after="20" w:line="252" w:lineRule="auto"/>
            </w:pPr>
            <w:r>
              <w:rPr>
                <w:b w:val="0"/>
                <w:i w:val="0"/>
                <w:sz w:val="15"/>
              </w:rPr>
              <w:t>Test strategy</w:t>
            </w:r>
          </w:p>
        </w:tc>
        <w:tc>
          <w:tcPr>
            <w:tcW w:type="dxa" w:w="3402"/>
            <w:vAlign w:val="top"/>
            <w:shd w:val="clear" w:color="auto" w:fill="FDF0F7"/>
          </w:tcPr>
          <w:p>
            <w:pPr>
              <w:spacing w:after="20" w:line="252" w:lineRule="auto"/>
            </w:pPr>
            <w:r>
              <w:rPr>
                <w:b w:val="0"/>
                <w:i w:val="0"/>
                <w:sz w:val="15"/>
              </w:rPr>
              <w:t>Levels, roles, environments, entry and exit criteria</w:t>
            </w:r>
          </w:p>
        </w:tc>
        <w:tc>
          <w:tcPr>
            <w:tcW w:type="dxa" w:w="1361"/>
            <w:vAlign w:val="top"/>
            <w:shd w:val="clear" w:color="auto" w:fill="FDF0F7"/>
          </w:tcPr>
          <w:p>
            <w:pPr>
              <w:spacing w:after="20" w:line="252" w:lineRule="auto"/>
            </w:pPr>
            <w:r>
              <w:rPr>
                <w:b w:val="0"/>
                <w:i w:val="0"/>
                <w:sz w:val="15"/>
              </w:rPr>
              <w:t>Wk 6</w:t>
            </w:r>
          </w:p>
        </w:tc>
        <w:tc>
          <w:tcPr>
            <w:tcW w:type="dxa" w:w="1984"/>
            <w:vAlign w:val="top"/>
            <w:shd w:val="clear" w:color="auto" w:fill="FDF0F7"/>
          </w:tcPr>
          <w:p>
            <w:pPr>
              <w:spacing w:after="20" w:line="252" w:lineRule="auto"/>
            </w:pPr>
            <w:r>
              <w:rPr>
                <w:b w:val="0"/>
                <w:i w:val="0"/>
                <w:sz w:val="15"/>
              </w:rPr>
              <w:t>IIFT approval</w:t>
            </w:r>
          </w:p>
        </w:tc>
      </w:tr>
      <w:tr>
        <w:trPr>
          <w:cantSplit/>
        </w:trPr>
        <w:tc>
          <w:tcPr>
            <w:tcW w:type="dxa" w:w="850"/>
            <w:vAlign w:val="top"/>
          </w:tcPr>
          <w:p>
            <w:pPr>
              <w:spacing w:after="20" w:line="252" w:lineRule="auto"/>
            </w:pPr>
            <w:r>
              <w:rPr>
                <w:b/>
                <w:i w:val="0"/>
                <w:sz w:val="15"/>
              </w:rPr>
              <w:t>DEL-13</w:t>
            </w:r>
          </w:p>
        </w:tc>
        <w:tc>
          <w:tcPr>
            <w:tcW w:type="dxa" w:w="2041"/>
            <w:vAlign w:val="top"/>
          </w:tcPr>
          <w:p>
            <w:pPr>
              <w:spacing w:after="20" w:line="252" w:lineRule="auto"/>
            </w:pPr>
            <w:r>
              <w:rPr>
                <w:b w:val="0"/>
                <w:i w:val="0"/>
                <w:sz w:val="15"/>
              </w:rPr>
              <w:t>SIT test cases</w:t>
            </w:r>
          </w:p>
        </w:tc>
        <w:tc>
          <w:tcPr>
            <w:tcW w:type="dxa" w:w="3402"/>
            <w:vAlign w:val="top"/>
          </w:tcPr>
          <w:p>
            <w:pPr>
              <w:spacing w:after="20" w:line="252" w:lineRule="auto"/>
            </w:pPr>
            <w:r>
              <w:rPr>
                <w:b w:val="0"/>
                <w:i w:val="0"/>
                <w:sz w:val="15"/>
              </w:rPr>
              <w:t>Scenarios traced to requirements</w:t>
            </w:r>
          </w:p>
        </w:tc>
        <w:tc>
          <w:tcPr>
            <w:tcW w:type="dxa" w:w="1361"/>
            <w:vAlign w:val="top"/>
          </w:tcPr>
          <w:p>
            <w:pPr>
              <w:spacing w:after="20" w:line="252" w:lineRule="auto"/>
            </w:pPr>
            <w:r>
              <w:rPr>
                <w:b w:val="0"/>
                <w:i w:val="0"/>
                <w:sz w:val="15"/>
              </w:rPr>
              <w:t>Wk 14</w:t>
            </w:r>
          </w:p>
        </w:tc>
        <w:tc>
          <w:tcPr>
            <w:tcW w:type="dxa" w:w="1984"/>
            <w:vAlign w:val="top"/>
          </w:tcPr>
          <w:p>
            <w:pPr>
              <w:spacing w:after="20" w:line="252" w:lineRule="auto"/>
            </w:pPr>
            <w:r>
              <w:rPr>
                <w:b w:val="0"/>
                <w:i w:val="0"/>
                <w:sz w:val="15"/>
              </w:rPr>
              <w:t>IITH IT review</w:t>
            </w:r>
          </w:p>
        </w:tc>
      </w:tr>
      <w:tr>
        <w:trPr>
          <w:cantSplit/>
        </w:trPr>
        <w:tc>
          <w:tcPr>
            <w:tcW w:type="dxa" w:w="850"/>
            <w:vAlign w:val="top"/>
            <w:shd w:val="clear" w:color="auto" w:fill="FDF0F7"/>
          </w:tcPr>
          <w:p>
            <w:pPr>
              <w:spacing w:after="20" w:line="252" w:lineRule="auto"/>
            </w:pPr>
            <w:r>
              <w:rPr>
                <w:b/>
                <w:i w:val="0"/>
                <w:sz w:val="15"/>
              </w:rPr>
              <w:t>DEL-14</w:t>
            </w:r>
          </w:p>
        </w:tc>
        <w:tc>
          <w:tcPr>
            <w:tcW w:type="dxa" w:w="2041"/>
            <w:vAlign w:val="top"/>
            <w:shd w:val="clear" w:color="auto" w:fill="FDF0F7"/>
          </w:tcPr>
          <w:p>
            <w:pPr>
              <w:spacing w:after="20" w:line="252" w:lineRule="auto"/>
            </w:pPr>
            <w:r>
              <w:rPr>
                <w:b w:val="0"/>
                <w:i w:val="0"/>
                <w:sz w:val="15"/>
              </w:rPr>
              <w:t>SIT results</w:t>
            </w:r>
          </w:p>
        </w:tc>
        <w:tc>
          <w:tcPr>
            <w:tcW w:type="dxa" w:w="3402"/>
            <w:vAlign w:val="top"/>
            <w:shd w:val="clear" w:color="auto" w:fill="FDF0F7"/>
          </w:tcPr>
          <w:p>
            <w:pPr>
              <w:spacing w:after="20" w:line="252" w:lineRule="auto"/>
            </w:pPr>
            <w:r>
              <w:rPr>
                <w:b w:val="0"/>
                <w:i w:val="0"/>
                <w:sz w:val="15"/>
              </w:rPr>
              <w:t>Execution evidence, defect log, closure</w:t>
            </w:r>
          </w:p>
        </w:tc>
        <w:tc>
          <w:tcPr>
            <w:tcW w:type="dxa" w:w="1361"/>
            <w:vAlign w:val="top"/>
            <w:shd w:val="clear" w:color="auto" w:fill="FDF0F7"/>
          </w:tcPr>
          <w:p>
            <w:pPr>
              <w:spacing w:after="20" w:line="252" w:lineRule="auto"/>
            </w:pPr>
            <w:r>
              <w:rPr>
                <w:b w:val="0"/>
                <w:i w:val="0"/>
                <w:sz w:val="15"/>
              </w:rPr>
              <w:t>Wk 19</w:t>
            </w:r>
          </w:p>
        </w:tc>
        <w:tc>
          <w:tcPr>
            <w:tcW w:type="dxa" w:w="1984"/>
            <w:vAlign w:val="top"/>
            <w:shd w:val="clear" w:color="auto" w:fill="FDF0F7"/>
          </w:tcPr>
          <w:p>
            <w:pPr>
              <w:spacing w:after="20" w:line="252" w:lineRule="auto"/>
            </w:pPr>
            <w:r>
              <w:rPr>
                <w:b w:val="0"/>
                <w:i w:val="0"/>
                <w:sz w:val="15"/>
              </w:rPr>
              <w:t>SIT exit sign-off (M4)</w:t>
            </w:r>
          </w:p>
        </w:tc>
      </w:tr>
      <w:tr>
        <w:trPr>
          <w:cantSplit/>
        </w:trPr>
        <w:tc>
          <w:tcPr>
            <w:tcW w:type="dxa" w:w="850"/>
            <w:vAlign w:val="top"/>
          </w:tcPr>
          <w:p>
            <w:pPr>
              <w:spacing w:after="20" w:line="252" w:lineRule="auto"/>
            </w:pPr>
            <w:r>
              <w:rPr>
                <w:b/>
                <w:i w:val="0"/>
                <w:sz w:val="15"/>
              </w:rPr>
              <w:t>DEL-15</w:t>
            </w:r>
          </w:p>
        </w:tc>
        <w:tc>
          <w:tcPr>
            <w:tcW w:type="dxa" w:w="2041"/>
            <w:vAlign w:val="top"/>
          </w:tcPr>
          <w:p>
            <w:pPr>
              <w:spacing w:after="20" w:line="252" w:lineRule="auto"/>
            </w:pPr>
            <w:r>
              <w:rPr>
                <w:b w:val="0"/>
                <w:i w:val="0"/>
                <w:sz w:val="15"/>
              </w:rPr>
              <w:t>UAT test cases</w:t>
            </w:r>
          </w:p>
        </w:tc>
        <w:tc>
          <w:tcPr>
            <w:tcW w:type="dxa" w:w="3402"/>
            <w:vAlign w:val="top"/>
          </w:tcPr>
          <w:p>
            <w:pPr>
              <w:spacing w:after="20" w:line="252" w:lineRule="auto"/>
            </w:pPr>
            <w:r>
              <w:rPr>
                <w:b w:val="0"/>
                <w:i w:val="0"/>
                <w:sz w:val="15"/>
              </w:rPr>
              <w:t>Business scenarios per product and role</w:t>
            </w:r>
          </w:p>
        </w:tc>
        <w:tc>
          <w:tcPr>
            <w:tcW w:type="dxa" w:w="1361"/>
            <w:vAlign w:val="top"/>
          </w:tcPr>
          <w:p>
            <w:pPr>
              <w:spacing w:after="20" w:line="252" w:lineRule="auto"/>
            </w:pPr>
            <w:r>
              <w:rPr>
                <w:b w:val="0"/>
                <w:i w:val="0"/>
                <w:sz w:val="15"/>
              </w:rPr>
              <w:t>Wk 18</w:t>
            </w:r>
          </w:p>
        </w:tc>
        <w:tc>
          <w:tcPr>
            <w:tcW w:type="dxa" w:w="1984"/>
            <w:vAlign w:val="top"/>
          </w:tcPr>
          <w:p>
            <w:pPr>
              <w:spacing w:after="20" w:line="252" w:lineRule="auto"/>
            </w:pPr>
            <w:r>
              <w:rPr>
                <w:b w:val="0"/>
                <w:i w:val="0"/>
                <w:sz w:val="15"/>
              </w:rPr>
              <w:t>Business owner review</w:t>
            </w:r>
          </w:p>
        </w:tc>
      </w:tr>
      <w:tr>
        <w:trPr>
          <w:cantSplit/>
        </w:trPr>
        <w:tc>
          <w:tcPr>
            <w:tcW w:type="dxa" w:w="850"/>
            <w:vAlign w:val="top"/>
            <w:shd w:val="clear" w:color="auto" w:fill="FDF0F7"/>
          </w:tcPr>
          <w:p>
            <w:pPr>
              <w:spacing w:after="20" w:line="252" w:lineRule="auto"/>
            </w:pPr>
            <w:r>
              <w:rPr>
                <w:b/>
                <w:i w:val="0"/>
                <w:sz w:val="15"/>
              </w:rPr>
              <w:t>DEL-16</w:t>
            </w:r>
          </w:p>
        </w:tc>
        <w:tc>
          <w:tcPr>
            <w:tcW w:type="dxa" w:w="2041"/>
            <w:vAlign w:val="top"/>
            <w:shd w:val="clear" w:color="auto" w:fill="FDF0F7"/>
          </w:tcPr>
          <w:p>
            <w:pPr>
              <w:spacing w:after="20" w:line="252" w:lineRule="auto"/>
            </w:pPr>
            <w:r>
              <w:rPr>
                <w:b w:val="0"/>
                <w:i w:val="0"/>
                <w:sz w:val="15"/>
              </w:rPr>
              <w:t>UAT results</w:t>
            </w:r>
          </w:p>
        </w:tc>
        <w:tc>
          <w:tcPr>
            <w:tcW w:type="dxa" w:w="3402"/>
            <w:vAlign w:val="top"/>
            <w:shd w:val="clear" w:color="auto" w:fill="FDF0F7"/>
          </w:tcPr>
          <w:p>
            <w:pPr>
              <w:spacing w:after="20" w:line="252" w:lineRule="auto"/>
            </w:pPr>
            <w:r>
              <w:rPr>
                <w:b w:val="0"/>
                <w:i w:val="0"/>
                <w:sz w:val="15"/>
              </w:rPr>
              <w:t>Execution evidence and business sign-off</w:t>
            </w:r>
          </w:p>
        </w:tc>
        <w:tc>
          <w:tcPr>
            <w:tcW w:type="dxa" w:w="1361"/>
            <w:vAlign w:val="top"/>
            <w:shd w:val="clear" w:color="auto" w:fill="FDF0F7"/>
          </w:tcPr>
          <w:p>
            <w:pPr>
              <w:spacing w:after="20" w:line="252" w:lineRule="auto"/>
            </w:pPr>
            <w:r>
              <w:rPr>
                <w:b w:val="0"/>
                <w:i w:val="0"/>
                <w:sz w:val="15"/>
              </w:rPr>
              <w:t>Wk 22</w:t>
            </w:r>
          </w:p>
        </w:tc>
        <w:tc>
          <w:tcPr>
            <w:tcW w:type="dxa" w:w="1984"/>
            <w:vAlign w:val="top"/>
            <w:shd w:val="clear" w:color="auto" w:fill="FDF0F7"/>
          </w:tcPr>
          <w:p>
            <w:pPr>
              <w:spacing w:after="20" w:line="252" w:lineRule="auto"/>
            </w:pPr>
            <w:r>
              <w:rPr>
                <w:b w:val="0"/>
                <w:i w:val="0"/>
                <w:sz w:val="15"/>
              </w:rPr>
              <w:t>UAT certificate (M5)</w:t>
            </w:r>
          </w:p>
        </w:tc>
      </w:tr>
      <w:tr>
        <w:trPr>
          <w:cantSplit/>
        </w:trPr>
        <w:tc>
          <w:tcPr>
            <w:tcW w:type="dxa" w:w="850"/>
            <w:vAlign w:val="top"/>
          </w:tcPr>
          <w:p>
            <w:pPr>
              <w:spacing w:after="20" w:line="252" w:lineRule="auto"/>
            </w:pPr>
            <w:r>
              <w:rPr>
                <w:b/>
                <w:i w:val="0"/>
                <w:sz w:val="15"/>
              </w:rPr>
              <w:t>DEL-17</w:t>
            </w:r>
          </w:p>
        </w:tc>
        <w:tc>
          <w:tcPr>
            <w:tcW w:type="dxa" w:w="2041"/>
            <w:vAlign w:val="top"/>
          </w:tcPr>
          <w:p>
            <w:pPr>
              <w:spacing w:after="20" w:line="252" w:lineRule="auto"/>
            </w:pPr>
            <w:r>
              <w:rPr>
                <w:b w:val="0"/>
                <w:i w:val="0"/>
                <w:sz w:val="15"/>
              </w:rPr>
              <w:t>Security assessment</w:t>
            </w:r>
          </w:p>
        </w:tc>
        <w:tc>
          <w:tcPr>
            <w:tcW w:type="dxa" w:w="3402"/>
            <w:vAlign w:val="top"/>
          </w:tcPr>
          <w:p>
            <w:pPr>
              <w:spacing w:after="20" w:line="252" w:lineRule="auto"/>
            </w:pPr>
            <w:r>
              <w:rPr>
                <w:b w:val="0"/>
                <w:i w:val="0"/>
                <w:sz w:val="15"/>
              </w:rPr>
              <w:t>Independent VAPT, remediation, re-test</w:t>
            </w:r>
          </w:p>
        </w:tc>
        <w:tc>
          <w:tcPr>
            <w:tcW w:type="dxa" w:w="1361"/>
            <w:vAlign w:val="top"/>
          </w:tcPr>
          <w:p>
            <w:pPr>
              <w:spacing w:after="20" w:line="252" w:lineRule="auto"/>
            </w:pPr>
            <w:r>
              <w:rPr>
                <w:b w:val="0"/>
                <w:i w:val="0"/>
                <w:sz w:val="15"/>
              </w:rPr>
              <w:t>Wk 19</w:t>
            </w:r>
          </w:p>
        </w:tc>
        <w:tc>
          <w:tcPr>
            <w:tcW w:type="dxa" w:w="1984"/>
            <w:vAlign w:val="top"/>
          </w:tcPr>
          <w:p>
            <w:pPr>
              <w:spacing w:after="20" w:line="252" w:lineRule="auto"/>
            </w:pPr>
            <w:r>
              <w:rPr>
                <w:b w:val="0"/>
                <w:i w:val="0"/>
                <w:sz w:val="15"/>
              </w:rPr>
              <w:t>No open Critical or High findings</w:t>
            </w:r>
          </w:p>
        </w:tc>
      </w:tr>
      <w:tr>
        <w:trPr>
          <w:cantSplit/>
        </w:trPr>
        <w:tc>
          <w:tcPr>
            <w:tcW w:type="dxa" w:w="850"/>
            <w:vAlign w:val="top"/>
            <w:shd w:val="clear" w:color="auto" w:fill="FDF0F7"/>
          </w:tcPr>
          <w:p>
            <w:pPr>
              <w:spacing w:after="20" w:line="252" w:lineRule="auto"/>
            </w:pPr>
            <w:r>
              <w:rPr>
                <w:b/>
                <w:i w:val="0"/>
                <w:sz w:val="15"/>
              </w:rPr>
              <w:t>DEL-18</w:t>
            </w:r>
          </w:p>
        </w:tc>
        <w:tc>
          <w:tcPr>
            <w:tcW w:type="dxa" w:w="2041"/>
            <w:vAlign w:val="top"/>
            <w:shd w:val="clear" w:color="auto" w:fill="FDF0F7"/>
          </w:tcPr>
          <w:p>
            <w:pPr>
              <w:spacing w:after="20" w:line="252" w:lineRule="auto"/>
            </w:pPr>
            <w:r>
              <w:rPr>
                <w:b w:val="0"/>
                <w:i w:val="0"/>
                <w:sz w:val="15"/>
              </w:rPr>
              <w:t>Performance test report</w:t>
            </w:r>
          </w:p>
        </w:tc>
        <w:tc>
          <w:tcPr>
            <w:tcW w:type="dxa" w:w="3402"/>
            <w:vAlign w:val="top"/>
            <w:shd w:val="clear" w:color="auto" w:fill="FDF0F7"/>
          </w:tcPr>
          <w:p>
            <w:pPr>
              <w:spacing w:after="20" w:line="252" w:lineRule="auto"/>
            </w:pPr>
            <w:r>
              <w:rPr>
                <w:b w:val="0"/>
                <w:i w:val="0"/>
                <w:sz w:val="15"/>
              </w:rPr>
              <w:t>Load, stress and soak results against targets</w:t>
            </w:r>
          </w:p>
        </w:tc>
        <w:tc>
          <w:tcPr>
            <w:tcW w:type="dxa" w:w="1361"/>
            <w:vAlign w:val="top"/>
            <w:shd w:val="clear" w:color="auto" w:fill="FDF0F7"/>
          </w:tcPr>
          <w:p>
            <w:pPr>
              <w:spacing w:after="20" w:line="252" w:lineRule="auto"/>
            </w:pPr>
            <w:r>
              <w:rPr>
                <w:b w:val="0"/>
                <w:i w:val="0"/>
                <w:sz w:val="15"/>
              </w:rPr>
              <w:t>Wk 19</w:t>
            </w:r>
          </w:p>
        </w:tc>
        <w:tc>
          <w:tcPr>
            <w:tcW w:type="dxa" w:w="1984"/>
            <w:vAlign w:val="top"/>
            <w:shd w:val="clear" w:color="auto" w:fill="FDF0F7"/>
          </w:tcPr>
          <w:p>
            <w:pPr>
              <w:spacing w:after="20" w:line="252" w:lineRule="auto"/>
            </w:pPr>
            <w:r>
              <w:rPr>
                <w:b w:val="0"/>
                <w:i w:val="0"/>
                <w:sz w:val="15"/>
              </w:rPr>
              <w:t>Targets met</w:t>
            </w:r>
          </w:p>
        </w:tc>
      </w:tr>
      <w:tr>
        <w:trPr>
          <w:cantSplit/>
        </w:trPr>
        <w:tc>
          <w:tcPr>
            <w:tcW w:type="dxa" w:w="850"/>
            <w:vAlign w:val="top"/>
          </w:tcPr>
          <w:p>
            <w:pPr>
              <w:spacing w:after="20" w:line="252" w:lineRule="auto"/>
            </w:pPr>
            <w:r>
              <w:rPr>
                <w:b/>
                <w:i w:val="0"/>
                <w:sz w:val="15"/>
              </w:rPr>
              <w:t>DEL-19</w:t>
            </w:r>
          </w:p>
        </w:tc>
        <w:tc>
          <w:tcPr>
            <w:tcW w:type="dxa" w:w="2041"/>
            <w:vAlign w:val="top"/>
          </w:tcPr>
          <w:p>
            <w:pPr>
              <w:spacing w:after="20" w:line="252" w:lineRule="auto"/>
            </w:pPr>
            <w:r>
              <w:rPr>
                <w:b w:val="0"/>
                <w:i w:val="0"/>
                <w:sz w:val="15"/>
              </w:rPr>
              <w:t>Data migration plan</w:t>
            </w:r>
          </w:p>
        </w:tc>
        <w:tc>
          <w:tcPr>
            <w:tcW w:type="dxa" w:w="3402"/>
            <w:vAlign w:val="top"/>
          </w:tcPr>
          <w:p>
            <w:pPr>
              <w:spacing w:after="20" w:line="252" w:lineRule="auto"/>
            </w:pPr>
            <w:r>
              <w:rPr>
                <w:b w:val="0"/>
                <w:i w:val="0"/>
                <w:sz w:val="15"/>
              </w:rPr>
              <w:t>Extraction, transformation, validation, reconciliation</w:t>
            </w:r>
          </w:p>
        </w:tc>
        <w:tc>
          <w:tcPr>
            <w:tcW w:type="dxa" w:w="1361"/>
            <w:vAlign w:val="top"/>
          </w:tcPr>
          <w:p>
            <w:pPr>
              <w:spacing w:after="20" w:line="252" w:lineRule="auto"/>
            </w:pPr>
            <w:r>
              <w:rPr>
                <w:b w:val="0"/>
                <w:i w:val="0"/>
                <w:sz w:val="15"/>
              </w:rPr>
              <w:t>Wk 8</w:t>
            </w:r>
          </w:p>
        </w:tc>
        <w:tc>
          <w:tcPr>
            <w:tcW w:type="dxa" w:w="1984"/>
            <w:vAlign w:val="top"/>
          </w:tcPr>
          <w:p>
            <w:pPr>
              <w:spacing w:after="20" w:line="252" w:lineRule="auto"/>
            </w:pPr>
            <w:r>
              <w:rPr>
                <w:b w:val="0"/>
                <w:i w:val="0"/>
                <w:sz w:val="15"/>
              </w:rPr>
              <w:t>Data owner sign-off</w:t>
            </w:r>
          </w:p>
        </w:tc>
      </w:tr>
      <w:tr>
        <w:trPr>
          <w:cantSplit/>
        </w:trPr>
        <w:tc>
          <w:tcPr>
            <w:tcW w:type="dxa" w:w="850"/>
            <w:vAlign w:val="top"/>
            <w:shd w:val="clear" w:color="auto" w:fill="FDF0F7"/>
          </w:tcPr>
          <w:p>
            <w:pPr>
              <w:spacing w:after="20" w:line="252" w:lineRule="auto"/>
            </w:pPr>
            <w:r>
              <w:rPr>
                <w:b/>
                <w:i w:val="0"/>
                <w:sz w:val="15"/>
              </w:rPr>
              <w:t>DEL-20</w:t>
            </w:r>
          </w:p>
        </w:tc>
        <w:tc>
          <w:tcPr>
            <w:tcW w:type="dxa" w:w="2041"/>
            <w:vAlign w:val="top"/>
            <w:shd w:val="clear" w:color="auto" w:fill="FDF0F7"/>
          </w:tcPr>
          <w:p>
            <w:pPr>
              <w:spacing w:after="20" w:line="252" w:lineRule="auto"/>
            </w:pPr>
            <w:r>
              <w:rPr>
                <w:b w:val="0"/>
                <w:i w:val="0"/>
                <w:sz w:val="15"/>
              </w:rPr>
              <w:t>Deployment plan</w:t>
            </w:r>
          </w:p>
        </w:tc>
        <w:tc>
          <w:tcPr>
            <w:tcW w:type="dxa" w:w="3402"/>
            <w:vAlign w:val="top"/>
            <w:shd w:val="clear" w:color="auto" w:fill="FDF0F7"/>
          </w:tcPr>
          <w:p>
            <w:pPr>
              <w:spacing w:after="20" w:line="252" w:lineRule="auto"/>
            </w:pPr>
            <w:r>
              <w:rPr>
                <w:b w:val="0"/>
                <w:i w:val="0"/>
                <w:sz w:val="15"/>
              </w:rPr>
              <w:t>Sequence, roles, rollback and contingency</w:t>
            </w:r>
          </w:p>
        </w:tc>
        <w:tc>
          <w:tcPr>
            <w:tcW w:type="dxa" w:w="1361"/>
            <w:vAlign w:val="top"/>
            <w:shd w:val="clear" w:color="auto" w:fill="FDF0F7"/>
          </w:tcPr>
          <w:p>
            <w:pPr>
              <w:spacing w:after="20" w:line="252" w:lineRule="auto"/>
            </w:pPr>
            <w:r>
              <w:rPr>
                <w:b w:val="0"/>
                <w:i w:val="0"/>
                <w:sz w:val="15"/>
              </w:rPr>
              <w:t>Wk 21</w:t>
            </w:r>
          </w:p>
        </w:tc>
        <w:tc>
          <w:tcPr>
            <w:tcW w:type="dxa" w:w="1984"/>
            <w:vAlign w:val="top"/>
            <w:shd w:val="clear" w:color="auto" w:fill="FDF0F7"/>
          </w:tcPr>
          <w:p>
            <w:pPr>
              <w:spacing w:after="20" w:line="252" w:lineRule="auto"/>
            </w:pPr>
            <w:r>
              <w:rPr>
                <w:b w:val="0"/>
                <w:i w:val="0"/>
                <w:sz w:val="15"/>
              </w:rPr>
              <w:t>IITH IT approval</w:t>
            </w:r>
          </w:p>
        </w:tc>
      </w:tr>
      <w:tr>
        <w:trPr>
          <w:cantSplit/>
        </w:trPr>
        <w:tc>
          <w:tcPr>
            <w:tcW w:type="dxa" w:w="850"/>
            <w:vAlign w:val="top"/>
          </w:tcPr>
          <w:p>
            <w:pPr>
              <w:spacing w:after="20" w:line="252" w:lineRule="auto"/>
            </w:pPr>
            <w:r>
              <w:rPr>
                <w:b/>
                <w:i w:val="0"/>
                <w:sz w:val="15"/>
              </w:rPr>
              <w:t>DEL-21</w:t>
            </w:r>
          </w:p>
        </w:tc>
        <w:tc>
          <w:tcPr>
            <w:tcW w:type="dxa" w:w="2041"/>
            <w:vAlign w:val="top"/>
          </w:tcPr>
          <w:p>
            <w:pPr>
              <w:spacing w:after="20" w:line="252" w:lineRule="auto"/>
            </w:pPr>
            <w:r>
              <w:rPr>
                <w:b w:val="0"/>
                <w:i w:val="0"/>
                <w:sz w:val="15"/>
              </w:rPr>
              <w:t>Go-live checklist</w:t>
            </w:r>
          </w:p>
        </w:tc>
        <w:tc>
          <w:tcPr>
            <w:tcW w:type="dxa" w:w="3402"/>
            <w:vAlign w:val="top"/>
          </w:tcPr>
          <w:p>
            <w:pPr>
              <w:spacing w:after="20" w:line="252" w:lineRule="auto"/>
            </w:pPr>
            <w:r>
              <w:rPr>
                <w:b w:val="0"/>
                <w:i w:val="0"/>
                <w:sz w:val="15"/>
              </w:rPr>
              <w:t>Technical, operational, security, business, support readiness</w:t>
            </w:r>
          </w:p>
        </w:tc>
        <w:tc>
          <w:tcPr>
            <w:tcW w:type="dxa" w:w="1361"/>
            <w:vAlign w:val="top"/>
          </w:tcPr>
          <w:p>
            <w:pPr>
              <w:spacing w:after="20" w:line="252" w:lineRule="auto"/>
            </w:pPr>
            <w:r>
              <w:rPr>
                <w:b w:val="0"/>
                <w:i w:val="0"/>
                <w:sz w:val="15"/>
              </w:rPr>
              <w:t>Wk 23</w:t>
            </w:r>
          </w:p>
        </w:tc>
        <w:tc>
          <w:tcPr>
            <w:tcW w:type="dxa" w:w="1984"/>
            <w:vAlign w:val="top"/>
          </w:tcPr>
          <w:p>
            <w:pPr>
              <w:spacing w:after="20" w:line="252" w:lineRule="auto"/>
            </w:pPr>
            <w:r>
              <w:rPr>
                <w:b w:val="0"/>
                <w:i w:val="0"/>
                <w:sz w:val="15"/>
              </w:rPr>
              <w:t>Go/no-go decision</w:t>
            </w:r>
          </w:p>
        </w:tc>
      </w:tr>
      <w:tr>
        <w:trPr>
          <w:cantSplit/>
        </w:trPr>
        <w:tc>
          <w:tcPr>
            <w:tcW w:type="dxa" w:w="850"/>
            <w:vAlign w:val="top"/>
            <w:shd w:val="clear" w:color="auto" w:fill="FDF0F7"/>
          </w:tcPr>
          <w:p>
            <w:pPr>
              <w:spacing w:after="20" w:line="252" w:lineRule="auto"/>
            </w:pPr>
            <w:r>
              <w:rPr>
                <w:b/>
                <w:i w:val="0"/>
                <w:sz w:val="15"/>
              </w:rPr>
              <w:t>DEL-22</w:t>
            </w:r>
          </w:p>
        </w:tc>
        <w:tc>
          <w:tcPr>
            <w:tcW w:type="dxa" w:w="2041"/>
            <w:vAlign w:val="top"/>
            <w:shd w:val="clear" w:color="auto" w:fill="FDF0F7"/>
          </w:tcPr>
          <w:p>
            <w:pPr>
              <w:spacing w:after="20" w:line="252" w:lineRule="auto"/>
            </w:pPr>
            <w:r>
              <w:rPr>
                <w:b w:val="0"/>
                <w:i w:val="0"/>
                <w:sz w:val="15"/>
              </w:rPr>
              <w:t>User training</w:t>
            </w:r>
          </w:p>
        </w:tc>
        <w:tc>
          <w:tcPr>
            <w:tcW w:type="dxa" w:w="3402"/>
            <w:vAlign w:val="top"/>
            <w:shd w:val="clear" w:color="auto" w:fill="FDF0F7"/>
          </w:tcPr>
          <w:p>
            <w:pPr>
              <w:spacing w:after="20" w:line="252" w:lineRule="auto"/>
            </w:pPr>
            <w:r>
              <w:rPr>
                <w:b w:val="0"/>
                <w:i w:val="0"/>
                <w:sz w:val="15"/>
              </w:rPr>
              <w:t>Agents, bank officers, back-office users</w:t>
            </w:r>
          </w:p>
        </w:tc>
        <w:tc>
          <w:tcPr>
            <w:tcW w:type="dxa" w:w="1361"/>
            <w:vAlign w:val="top"/>
            <w:shd w:val="clear" w:color="auto" w:fill="FDF0F7"/>
          </w:tcPr>
          <w:p>
            <w:pPr>
              <w:spacing w:after="20" w:line="252" w:lineRule="auto"/>
            </w:pPr>
            <w:r>
              <w:rPr>
                <w:b w:val="0"/>
                <w:i w:val="0"/>
                <w:sz w:val="15"/>
              </w:rPr>
              <w:t>Wk 21–23</w:t>
            </w:r>
          </w:p>
        </w:tc>
        <w:tc>
          <w:tcPr>
            <w:tcW w:type="dxa" w:w="1984"/>
            <w:vAlign w:val="top"/>
            <w:shd w:val="clear" w:color="auto" w:fill="FDF0F7"/>
          </w:tcPr>
          <w:p>
            <w:pPr>
              <w:spacing w:after="20" w:line="252" w:lineRule="auto"/>
            </w:pPr>
            <w:r>
              <w:rPr>
                <w:b w:val="0"/>
                <w:i w:val="0"/>
                <w:sz w:val="15"/>
              </w:rPr>
              <w:t>Attendance and feedback</w:t>
            </w:r>
          </w:p>
        </w:tc>
      </w:tr>
      <w:tr>
        <w:trPr>
          <w:cantSplit/>
        </w:trPr>
        <w:tc>
          <w:tcPr>
            <w:tcW w:type="dxa" w:w="850"/>
            <w:vAlign w:val="top"/>
          </w:tcPr>
          <w:p>
            <w:pPr>
              <w:spacing w:after="20" w:line="252" w:lineRule="auto"/>
            </w:pPr>
            <w:r>
              <w:rPr>
                <w:b/>
                <w:i w:val="0"/>
                <w:sz w:val="15"/>
              </w:rPr>
              <w:t>DEL-23</w:t>
            </w:r>
          </w:p>
        </w:tc>
        <w:tc>
          <w:tcPr>
            <w:tcW w:type="dxa" w:w="2041"/>
            <w:vAlign w:val="top"/>
          </w:tcPr>
          <w:p>
            <w:pPr>
              <w:spacing w:after="20" w:line="252" w:lineRule="auto"/>
            </w:pPr>
            <w:r>
              <w:rPr>
                <w:b w:val="0"/>
                <w:i w:val="0"/>
                <w:sz w:val="15"/>
              </w:rPr>
              <w:t>Administrator training</w:t>
            </w:r>
          </w:p>
        </w:tc>
        <w:tc>
          <w:tcPr>
            <w:tcW w:type="dxa" w:w="3402"/>
            <w:vAlign w:val="top"/>
          </w:tcPr>
          <w:p>
            <w:pPr>
              <w:spacing w:after="20" w:line="252" w:lineRule="auto"/>
            </w:pPr>
            <w:r>
              <w:rPr>
                <w:b w:val="0"/>
                <w:i w:val="0"/>
                <w:sz w:val="15"/>
              </w:rPr>
              <w:t>Administrators and support staff</w:t>
            </w:r>
          </w:p>
        </w:tc>
        <w:tc>
          <w:tcPr>
            <w:tcW w:type="dxa" w:w="1361"/>
            <w:vAlign w:val="top"/>
          </w:tcPr>
          <w:p>
            <w:pPr>
              <w:spacing w:after="20" w:line="252" w:lineRule="auto"/>
            </w:pPr>
            <w:r>
              <w:rPr>
                <w:b w:val="0"/>
                <w:i w:val="0"/>
                <w:sz w:val="15"/>
              </w:rPr>
              <w:t>Wk 22–23</w:t>
            </w:r>
          </w:p>
        </w:tc>
        <w:tc>
          <w:tcPr>
            <w:tcW w:type="dxa" w:w="1984"/>
            <w:vAlign w:val="top"/>
          </w:tcPr>
          <w:p>
            <w:pPr>
              <w:spacing w:after="20" w:line="252" w:lineRule="auto"/>
            </w:pPr>
            <w:r>
              <w:rPr>
                <w:b w:val="0"/>
                <w:i w:val="0"/>
                <w:sz w:val="15"/>
              </w:rPr>
              <w:t>Attendance and hands-on check</w:t>
            </w:r>
          </w:p>
        </w:tc>
      </w:tr>
      <w:tr>
        <w:trPr>
          <w:cantSplit/>
        </w:trPr>
        <w:tc>
          <w:tcPr>
            <w:tcW w:type="dxa" w:w="850"/>
            <w:vAlign w:val="top"/>
            <w:shd w:val="clear" w:color="auto" w:fill="FDF0F7"/>
          </w:tcPr>
          <w:p>
            <w:pPr>
              <w:spacing w:after="20" w:line="252" w:lineRule="auto"/>
            </w:pPr>
            <w:r>
              <w:rPr>
                <w:b/>
                <w:i w:val="0"/>
                <w:sz w:val="15"/>
              </w:rPr>
              <w:t>DEL-24</w:t>
            </w:r>
          </w:p>
        </w:tc>
        <w:tc>
          <w:tcPr>
            <w:tcW w:type="dxa" w:w="2041"/>
            <w:vAlign w:val="top"/>
            <w:shd w:val="clear" w:color="auto" w:fill="FDF0F7"/>
          </w:tcPr>
          <w:p>
            <w:pPr>
              <w:spacing w:after="20" w:line="252" w:lineRule="auto"/>
            </w:pPr>
            <w:r>
              <w:rPr>
                <w:b w:val="0"/>
                <w:i w:val="0"/>
                <w:sz w:val="15"/>
              </w:rPr>
              <w:t>User manual</w:t>
            </w:r>
          </w:p>
        </w:tc>
        <w:tc>
          <w:tcPr>
            <w:tcW w:type="dxa" w:w="3402"/>
            <w:vAlign w:val="top"/>
            <w:shd w:val="clear" w:color="auto" w:fill="FDF0F7"/>
          </w:tcPr>
          <w:p>
            <w:pPr>
              <w:spacing w:after="20" w:line="252" w:lineRule="auto"/>
            </w:pPr>
            <w:r>
              <w:rPr>
                <w:b w:val="0"/>
                <w:i w:val="0"/>
                <w:sz w:val="15"/>
              </w:rPr>
              <w:t>Portal and back-office guides with screenshots</w:t>
            </w:r>
          </w:p>
        </w:tc>
        <w:tc>
          <w:tcPr>
            <w:tcW w:type="dxa" w:w="1361"/>
            <w:vAlign w:val="top"/>
            <w:shd w:val="clear" w:color="auto" w:fill="FDF0F7"/>
          </w:tcPr>
          <w:p>
            <w:pPr>
              <w:spacing w:after="20" w:line="252" w:lineRule="auto"/>
            </w:pPr>
            <w:r>
              <w:rPr>
                <w:b w:val="0"/>
                <w:i w:val="0"/>
                <w:sz w:val="15"/>
              </w:rPr>
              <w:t>Wk 21</w:t>
            </w:r>
          </w:p>
        </w:tc>
        <w:tc>
          <w:tcPr>
            <w:tcW w:type="dxa" w:w="1984"/>
            <w:vAlign w:val="top"/>
            <w:shd w:val="clear" w:color="auto" w:fill="FDF0F7"/>
          </w:tcPr>
          <w:p>
            <w:pPr>
              <w:spacing w:after="20" w:line="252" w:lineRule="auto"/>
            </w:pPr>
            <w:r>
              <w:rPr>
                <w:b w:val="0"/>
                <w:i w:val="0"/>
                <w:sz w:val="15"/>
              </w:rPr>
              <w:t>Document acceptance</w:t>
            </w:r>
          </w:p>
        </w:tc>
      </w:tr>
      <w:tr>
        <w:trPr>
          <w:cantSplit/>
        </w:trPr>
        <w:tc>
          <w:tcPr>
            <w:tcW w:type="dxa" w:w="850"/>
            <w:vAlign w:val="top"/>
          </w:tcPr>
          <w:p>
            <w:pPr>
              <w:spacing w:after="20" w:line="252" w:lineRule="auto"/>
            </w:pPr>
            <w:r>
              <w:rPr>
                <w:b/>
                <w:i w:val="0"/>
                <w:sz w:val="15"/>
              </w:rPr>
              <w:t>DEL-25</w:t>
            </w:r>
          </w:p>
        </w:tc>
        <w:tc>
          <w:tcPr>
            <w:tcW w:type="dxa" w:w="2041"/>
            <w:vAlign w:val="top"/>
          </w:tcPr>
          <w:p>
            <w:pPr>
              <w:spacing w:after="20" w:line="252" w:lineRule="auto"/>
            </w:pPr>
            <w:r>
              <w:rPr>
                <w:b w:val="0"/>
                <w:i w:val="0"/>
                <w:sz w:val="15"/>
              </w:rPr>
              <w:t>Administrator manual</w:t>
            </w:r>
          </w:p>
        </w:tc>
        <w:tc>
          <w:tcPr>
            <w:tcW w:type="dxa" w:w="3402"/>
            <w:vAlign w:val="top"/>
          </w:tcPr>
          <w:p>
            <w:pPr>
              <w:spacing w:after="20" w:line="252" w:lineRule="auto"/>
            </w:pPr>
            <w:r>
              <w:rPr>
                <w:b w:val="0"/>
                <w:i w:val="0"/>
                <w:sz w:val="15"/>
              </w:rPr>
              <w:t>Configuration, user administration, operations support</w:t>
            </w:r>
          </w:p>
        </w:tc>
        <w:tc>
          <w:tcPr>
            <w:tcW w:type="dxa" w:w="1361"/>
            <w:vAlign w:val="top"/>
          </w:tcPr>
          <w:p>
            <w:pPr>
              <w:spacing w:after="20" w:line="252" w:lineRule="auto"/>
            </w:pPr>
            <w:r>
              <w:rPr>
                <w:b w:val="0"/>
                <w:i w:val="0"/>
                <w:sz w:val="15"/>
              </w:rPr>
              <w:t>Wk 21</w:t>
            </w:r>
          </w:p>
        </w:tc>
        <w:tc>
          <w:tcPr>
            <w:tcW w:type="dxa" w:w="1984"/>
            <w:vAlign w:val="top"/>
          </w:tcPr>
          <w:p>
            <w:pPr>
              <w:spacing w:after="20" w:line="252" w:lineRule="auto"/>
            </w:pPr>
            <w:r>
              <w:rPr>
                <w:b w:val="0"/>
                <w:i w:val="0"/>
                <w:sz w:val="15"/>
              </w:rPr>
              <w:t>Document acceptance</w:t>
            </w:r>
          </w:p>
        </w:tc>
      </w:tr>
      <w:tr>
        <w:trPr>
          <w:cantSplit/>
        </w:trPr>
        <w:tc>
          <w:tcPr>
            <w:tcW w:type="dxa" w:w="850"/>
            <w:vAlign w:val="top"/>
            <w:shd w:val="clear" w:color="auto" w:fill="FDF0F7"/>
          </w:tcPr>
          <w:p>
            <w:pPr>
              <w:spacing w:after="20" w:line="252" w:lineRule="auto"/>
            </w:pPr>
            <w:r>
              <w:rPr>
                <w:b/>
                <w:i w:val="0"/>
                <w:sz w:val="15"/>
              </w:rPr>
              <w:t>DEL-26</w:t>
            </w:r>
          </w:p>
        </w:tc>
        <w:tc>
          <w:tcPr>
            <w:tcW w:type="dxa" w:w="2041"/>
            <w:vAlign w:val="top"/>
            <w:shd w:val="clear" w:color="auto" w:fill="FDF0F7"/>
          </w:tcPr>
          <w:p>
            <w:pPr>
              <w:spacing w:after="20" w:line="252" w:lineRule="auto"/>
            </w:pPr>
            <w:r>
              <w:rPr>
                <w:b w:val="0"/>
                <w:i w:val="0"/>
                <w:sz w:val="15"/>
              </w:rPr>
              <w:t>Technical manual</w:t>
            </w:r>
          </w:p>
        </w:tc>
        <w:tc>
          <w:tcPr>
            <w:tcW w:type="dxa" w:w="3402"/>
            <w:vAlign w:val="top"/>
            <w:shd w:val="clear" w:color="auto" w:fill="FDF0F7"/>
          </w:tcPr>
          <w:p>
            <w:pPr>
              <w:spacing w:after="20" w:line="252" w:lineRule="auto"/>
            </w:pPr>
            <w:r>
              <w:rPr>
                <w:b w:val="0"/>
                <w:i w:val="0"/>
                <w:sz w:val="15"/>
              </w:rPr>
              <w:t>Architecture, database, API, integration, deployment</w:t>
            </w:r>
          </w:p>
        </w:tc>
        <w:tc>
          <w:tcPr>
            <w:tcW w:type="dxa" w:w="1361"/>
            <w:vAlign w:val="top"/>
            <w:shd w:val="clear" w:color="auto" w:fill="FDF0F7"/>
          </w:tcPr>
          <w:p>
            <w:pPr>
              <w:spacing w:after="20" w:line="252" w:lineRule="auto"/>
            </w:pPr>
            <w:r>
              <w:rPr>
                <w:b w:val="0"/>
                <w:i w:val="0"/>
                <w:sz w:val="15"/>
              </w:rPr>
              <w:t>Wk 23</w:t>
            </w:r>
          </w:p>
        </w:tc>
        <w:tc>
          <w:tcPr>
            <w:tcW w:type="dxa" w:w="1984"/>
            <w:vAlign w:val="top"/>
            <w:shd w:val="clear" w:color="auto" w:fill="FDF0F7"/>
          </w:tcPr>
          <w:p>
            <w:pPr>
              <w:spacing w:after="20" w:line="252" w:lineRule="auto"/>
            </w:pPr>
            <w:r>
              <w:rPr>
                <w:b w:val="0"/>
                <w:i w:val="0"/>
                <w:sz w:val="15"/>
              </w:rPr>
              <w:t>Document acceptance</w:t>
            </w:r>
          </w:p>
        </w:tc>
      </w:tr>
      <w:tr>
        <w:trPr>
          <w:cantSplit/>
        </w:trPr>
        <w:tc>
          <w:tcPr>
            <w:tcW w:type="dxa" w:w="850"/>
            <w:vAlign w:val="top"/>
          </w:tcPr>
          <w:p>
            <w:pPr>
              <w:spacing w:after="20" w:line="252" w:lineRule="auto"/>
            </w:pPr>
            <w:r>
              <w:rPr>
                <w:b/>
                <w:i w:val="0"/>
                <w:sz w:val="15"/>
              </w:rPr>
              <w:t>DEL-27</w:t>
            </w:r>
          </w:p>
        </w:tc>
        <w:tc>
          <w:tcPr>
            <w:tcW w:type="dxa" w:w="2041"/>
            <w:vAlign w:val="top"/>
          </w:tcPr>
          <w:p>
            <w:pPr>
              <w:spacing w:after="20" w:line="252" w:lineRule="auto"/>
            </w:pPr>
            <w:r>
              <w:rPr>
                <w:b w:val="0"/>
                <w:i w:val="0"/>
                <w:sz w:val="15"/>
              </w:rPr>
              <w:t>Operations manual</w:t>
            </w:r>
          </w:p>
        </w:tc>
        <w:tc>
          <w:tcPr>
            <w:tcW w:type="dxa" w:w="3402"/>
            <w:vAlign w:val="top"/>
          </w:tcPr>
          <w:p>
            <w:pPr>
              <w:spacing w:after="20" w:line="252" w:lineRule="auto"/>
            </w:pPr>
            <w:r>
              <w:rPr>
                <w:b w:val="0"/>
                <w:i w:val="0"/>
                <w:sz w:val="15"/>
              </w:rPr>
              <w:t>Monitoring, backup, incidents, routine operations</w:t>
            </w:r>
          </w:p>
        </w:tc>
        <w:tc>
          <w:tcPr>
            <w:tcW w:type="dxa" w:w="1361"/>
            <w:vAlign w:val="top"/>
          </w:tcPr>
          <w:p>
            <w:pPr>
              <w:spacing w:after="20" w:line="252" w:lineRule="auto"/>
            </w:pPr>
            <w:r>
              <w:rPr>
                <w:b w:val="0"/>
                <w:i w:val="0"/>
                <w:sz w:val="15"/>
              </w:rPr>
              <w:t>Wk 23</w:t>
            </w:r>
          </w:p>
        </w:tc>
        <w:tc>
          <w:tcPr>
            <w:tcW w:type="dxa" w:w="1984"/>
            <w:vAlign w:val="top"/>
          </w:tcPr>
          <w:p>
            <w:pPr>
              <w:spacing w:after="20" w:line="252" w:lineRule="auto"/>
            </w:pPr>
            <w:r>
              <w:rPr>
                <w:b w:val="0"/>
                <w:i w:val="0"/>
                <w:sz w:val="15"/>
              </w:rPr>
              <w:t>Document acceptance</w:t>
            </w:r>
          </w:p>
        </w:tc>
      </w:tr>
      <w:tr>
        <w:trPr>
          <w:cantSplit/>
        </w:trPr>
        <w:tc>
          <w:tcPr>
            <w:tcW w:type="dxa" w:w="850"/>
            <w:vAlign w:val="top"/>
            <w:shd w:val="clear" w:color="auto" w:fill="FDF0F7"/>
          </w:tcPr>
          <w:p>
            <w:pPr>
              <w:spacing w:after="20" w:line="252" w:lineRule="auto"/>
            </w:pPr>
            <w:r>
              <w:rPr>
                <w:b/>
                <w:i w:val="0"/>
                <w:sz w:val="15"/>
              </w:rPr>
              <w:t>DEL-28</w:t>
            </w:r>
          </w:p>
        </w:tc>
        <w:tc>
          <w:tcPr>
            <w:tcW w:type="dxa" w:w="2041"/>
            <w:vAlign w:val="top"/>
            <w:shd w:val="clear" w:color="auto" w:fill="FDF0F7"/>
          </w:tcPr>
          <w:p>
            <w:pPr>
              <w:spacing w:after="20" w:line="252" w:lineRule="auto"/>
            </w:pPr>
            <w:r>
              <w:rPr>
                <w:b w:val="0"/>
                <w:i w:val="0"/>
                <w:sz w:val="15"/>
              </w:rPr>
              <w:t>Production deployment</w:t>
            </w:r>
          </w:p>
        </w:tc>
        <w:tc>
          <w:tcPr>
            <w:tcW w:type="dxa" w:w="3402"/>
            <w:vAlign w:val="top"/>
            <w:shd w:val="clear" w:color="auto" w:fill="FDF0F7"/>
          </w:tcPr>
          <w:p>
            <w:pPr>
              <w:spacing w:after="20" w:line="252" w:lineRule="auto"/>
            </w:pPr>
            <w:r>
              <w:rPr>
                <w:b w:val="0"/>
                <w:i w:val="0"/>
                <w:sz w:val="15"/>
              </w:rPr>
              <w:t>Deployment per approved plan</w:t>
            </w:r>
          </w:p>
        </w:tc>
        <w:tc>
          <w:tcPr>
            <w:tcW w:type="dxa" w:w="1361"/>
            <w:vAlign w:val="top"/>
            <w:shd w:val="clear" w:color="auto" w:fill="FDF0F7"/>
          </w:tcPr>
          <w:p>
            <w:pPr>
              <w:spacing w:after="20" w:line="252" w:lineRule="auto"/>
            </w:pPr>
            <w:r>
              <w:rPr>
                <w:b w:val="0"/>
                <w:i w:val="0"/>
                <w:sz w:val="15"/>
              </w:rPr>
              <w:t>Wk 24</w:t>
            </w:r>
          </w:p>
        </w:tc>
        <w:tc>
          <w:tcPr>
            <w:tcW w:type="dxa" w:w="1984"/>
            <w:vAlign w:val="top"/>
            <w:shd w:val="clear" w:color="auto" w:fill="FDF0F7"/>
          </w:tcPr>
          <w:p>
            <w:pPr>
              <w:spacing w:after="20" w:line="252" w:lineRule="auto"/>
            </w:pPr>
            <w:r>
              <w:rPr>
                <w:b w:val="0"/>
                <w:i w:val="0"/>
                <w:sz w:val="15"/>
              </w:rPr>
              <w:t>Go-live confirmation (M6)</w:t>
            </w:r>
          </w:p>
        </w:tc>
      </w:tr>
      <w:tr>
        <w:trPr>
          <w:cantSplit/>
        </w:trPr>
        <w:tc>
          <w:tcPr>
            <w:tcW w:type="dxa" w:w="850"/>
            <w:vAlign w:val="top"/>
          </w:tcPr>
          <w:p>
            <w:pPr>
              <w:spacing w:after="20" w:line="252" w:lineRule="auto"/>
            </w:pPr>
            <w:r>
              <w:rPr>
                <w:b/>
                <w:i w:val="0"/>
                <w:sz w:val="15"/>
              </w:rPr>
              <w:t>DEL-29</w:t>
            </w:r>
          </w:p>
        </w:tc>
        <w:tc>
          <w:tcPr>
            <w:tcW w:type="dxa" w:w="2041"/>
            <w:vAlign w:val="top"/>
          </w:tcPr>
          <w:p>
            <w:pPr>
              <w:spacing w:after="20" w:line="252" w:lineRule="auto"/>
            </w:pPr>
            <w:r>
              <w:rPr>
                <w:b w:val="0"/>
                <w:i w:val="0"/>
                <w:sz w:val="15"/>
              </w:rPr>
              <w:t>Go-live support</w:t>
            </w:r>
          </w:p>
        </w:tc>
        <w:tc>
          <w:tcPr>
            <w:tcW w:type="dxa" w:w="3402"/>
            <w:vAlign w:val="top"/>
          </w:tcPr>
          <w:p>
            <w:pPr>
              <w:spacing w:after="20" w:line="252" w:lineRule="auto"/>
            </w:pPr>
            <w:r>
              <w:rPr>
                <w:b w:val="0"/>
                <w:i w:val="0"/>
                <w:sz w:val="15"/>
              </w:rPr>
              <w:t>Four weeks of hypercare</w:t>
            </w:r>
          </w:p>
        </w:tc>
        <w:tc>
          <w:tcPr>
            <w:tcW w:type="dxa" w:w="1361"/>
            <w:vAlign w:val="top"/>
          </w:tcPr>
          <w:p>
            <w:pPr>
              <w:spacing w:after="20" w:line="252" w:lineRule="auto"/>
            </w:pPr>
            <w:r>
              <w:rPr>
                <w:b w:val="0"/>
                <w:i w:val="0"/>
                <w:sz w:val="15"/>
              </w:rPr>
              <w:t>Wk 25–28</w:t>
            </w:r>
          </w:p>
        </w:tc>
        <w:tc>
          <w:tcPr>
            <w:tcW w:type="dxa" w:w="1984"/>
            <w:vAlign w:val="top"/>
          </w:tcPr>
          <w:p>
            <w:pPr>
              <w:spacing w:after="20" w:line="252" w:lineRule="auto"/>
            </w:pPr>
            <w:r>
              <w:rPr>
                <w:b w:val="0"/>
                <w:i w:val="0"/>
                <w:sz w:val="15"/>
              </w:rPr>
              <w:t>Hypercare exit criteria met</w:t>
            </w:r>
          </w:p>
        </w:tc>
      </w:tr>
      <w:tr>
        <w:trPr>
          <w:cantSplit/>
        </w:trPr>
        <w:tc>
          <w:tcPr>
            <w:tcW w:type="dxa" w:w="850"/>
            <w:vAlign w:val="top"/>
            <w:shd w:val="clear" w:color="auto" w:fill="FDF0F7"/>
          </w:tcPr>
          <w:p>
            <w:pPr>
              <w:spacing w:after="20" w:line="252" w:lineRule="auto"/>
            </w:pPr>
            <w:r>
              <w:rPr>
                <w:b/>
                <w:i w:val="0"/>
                <w:sz w:val="15"/>
              </w:rPr>
              <w:t>DEL-30</w:t>
            </w:r>
          </w:p>
        </w:tc>
        <w:tc>
          <w:tcPr>
            <w:tcW w:type="dxa" w:w="2041"/>
            <w:vAlign w:val="top"/>
            <w:shd w:val="clear" w:color="auto" w:fill="FDF0F7"/>
          </w:tcPr>
          <w:p>
            <w:pPr>
              <w:spacing w:after="20" w:line="252" w:lineRule="auto"/>
            </w:pPr>
            <w:r>
              <w:rPr>
                <w:b w:val="0"/>
                <w:i w:val="0"/>
                <w:sz w:val="15"/>
              </w:rPr>
              <w:t>Project closure report</w:t>
            </w:r>
          </w:p>
        </w:tc>
        <w:tc>
          <w:tcPr>
            <w:tcW w:type="dxa" w:w="3402"/>
            <w:vAlign w:val="top"/>
            <w:shd w:val="clear" w:color="auto" w:fill="FDF0F7"/>
          </w:tcPr>
          <w:p>
            <w:pPr>
              <w:spacing w:after="20" w:line="252" w:lineRule="auto"/>
            </w:pPr>
            <w:r>
              <w:rPr>
                <w:b w:val="0"/>
                <w:i w:val="0"/>
                <w:sz w:val="15"/>
              </w:rPr>
              <w:t>Status, open items, lessons, acceptance</w:t>
            </w:r>
          </w:p>
        </w:tc>
        <w:tc>
          <w:tcPr>
            <w:tcW w:type="dxa" w:w="1361"/>
            <w:vAlign w:val="top"/>
            <w:shd w:val="clear" w:color="auto" w:fill="FDF0F7"/>
          </w:tcPr>
          <w:p>
            <w:pPr>
              <w:spacing w:after="20" w:line="252" w:lineRule="auto"/>
            </w:pPr>
            <w:r>
              <w:rPr>
                <w:b w:val="0"/>
                <w:i w:val="0"/>
                <w:sz w:val="15"/>
              </w:rPr>
              <w:t>Wk 28</w:t>
            </w:r>
          </w:p>
        </w:tc>
        <w:tc>
          <w:tcPr>
            <w:tcW w:type="dxa" w:w="1984"/>
            <w:vAlign w:val="top"/>
            <w:shd w:val="clear" w:color="auto" w:fill="FDF0F7"/>
          </w:tcPr>
          <w:p>
            <w:pPr>
              <w:spacing w:after="20" w:line="252" w:lineRule="auto"/>
            </w:pPr>
            <w:r>
              <w:rPr>
                <w:b w:val="0"/>
                <w:i w:val="0"/>
                <w:sz w:val="15"/>
              </w:rPr>
              <w:t>Closure sign-off (M7)</w:t>
            </w:r>
          </w:p>
        </w:tc>
      </w:tr>
    </w:tbl>
    <w:p>
      <w:pPr>
        <w:pStyle w:val="Caption"/>
        <w:jc w:val="center"/>
      </w:pPr>
      <w:r>
        <w:rPr>
          <w:b w:val="0"/>
          <w:i w:val="0"/>
        </w:rPr>
        <w:t>Table 7: Deliverables DEL-01 to DEL-30</w:t>
      </w:r>
    </w:p>
    <w:p>
      <w:pPr>
        <w:pStyle w:val="Heading2"/>
      </w:pPr>
      <w:r>
        <w:t>5.8 Maintenance and support (RFP 8)</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850"/>
        <w:gridCol w:w="2041"/>
        <w:gridCol w:w="4536"/>
        <w:gridCol w:w="2211"/>
      </w:tblGrid>
      <w:tr>
        <w:trPr>
          <w:cantSplit/>
          <w:tblHeader/>
        </w:trPr>
        <w:tc>
          <w:tcPr>
            <w:tcW w:type="dxa" w:w="850"/>
            <w:shd w:val="clear" w:color="auto" w:fill="E1058C"/>
            <w:vAlign w:val="center"/>
          </w:tcPr>
          <w:p>
            <w:pPr>
              <w:spacing w:after="0"/>
            </w:pPr>
            <w:r>
              <w:rPr>
                <w:b/>
                <w:i w:val="0"/>
                <w:color w:val="FFFFFF"/>
                <w:sz w:val="15"/>
              </w:rPr>
              <w:t>ID</w:t>
            </w:r>
          </w:p>
        </w:tc>
        <w:tc>
          <w:tcPr>
            <w:tcW w:type="dxa" w:w="2041"/>
            <w:shd w:val="clear" w:color="auto" w:fill="E1058C"/>
            <w:vAlign w:val="center"/>
          </w:tcPr>
          <w:p>
            <w:pPr>
              <w:spacing w:after="0"/>
            </w:pPr>
            <w:r>
              <w:rPr>
                <w:b/>
                <w:i w:val="0"/>
                <w:color w:val="FFFFFF"/>
                <w:sz w:val="15"/>
              </w:rPr>
              <w:t>Requirement</w:t>
            </w:r>
          </w:p>
        </w:tc>
        <w:tc>
          <w:tcPr>
            <w:tcW w:type="dxa" w:w="4535"/>
            <w:shd w:val="clear" w:color="auto" w:fill="E1058C"/>
            <w:vAlign w:val="center"/>
          </w:tcPr>
          <w:p>
            <w:pPr>
              <w:spacing w:after="0"/>
            </w:pPr>
            <w:r>
              <w:rPr>
                <w:b/>
                <w:i w:val="0"/>
                <w:color w:val="FFFFFF"/>
                <w:sz w:val="15"/>
              </w:rPr>
              <w:t>What we deliver and how</w:t>
            </w:r>
          </w:p>
        </w:tc>
        <w:tc>
          <w:tcPr>
            <w:tcW w:type="dxa" w:w="2211"/>
            <w:shd w:val="clear" w:color="auto" w:fill="E1058C"/>
            <w:vAlign w:val="center"/>
          </w:tcPr>
          <w:p>
            <w:pPr>
              <w:spacing w:after="0"/>
            </w:pPr>
            <w:r>
              <w:rPr>
                <w:b/>
                <w:i w:val="0"/>
                <w:color w:val="FFFFFF"/>
                <w:sz w:val="15"/>
              </w:rPr>
              <w:t>Acceptance evidence</w:t>
            </w:r>
          </w:p>
        </w:tc>
      </w:tr>
      <w:tr>
        <w:trPr>
          <w:cantSplit/>
        </w:trPr>
        <w:tc>
          <w:tcPr>
            <w:tcW w:type="dxa" w:w="850"/>
            <w:vAlign w:val="top"/>
          </w:tcPr>
          <w:p>
            <w:pPr>
              <w:spacing w:after="20" w:line="252" w:lineRule="auto"/>
            </w:pPr>
            <w:r>
              <w:rPr>
                <w:b/>
                <w:i w:val="0"/>
                <w:sz w:val="15"/>
              </w:rPr>
              <w:t>MNT-01</w:t>
            </w:r>
          </w:p>
        </w:tc>
        <w:tc>
          <w:tcPr>
            <w:tcW w:type="dxa" w:w="2041"/>
            <w:vAlign w:val="top"/>
          </w:tcPr>
          <w:p>
            <w:pPr>
              <w:spacing w:after="20" w:line="252" w:lineRule="auto"/>
            </w:pPr>
            <w:r>
              <w:rPr>
                <w:b w:val="0"/>
                <w:i w:val="0"/>
                <w:sz w:val="15"/>
              </w:rPr>
              <w:t>Helpdesk support</w:t>
            </w:r>
          </w:p>
        </w:tc>
        <w:tc>
          <w:tcPr>
            <w:tcW w:type="dxa" w:w="4535"/>
            <w:vAlign w:val="top"/>
          </w:tcPr>
          <w:p>
            <w:pPr>
              <w:spacing w:after="20" w:line="252" w:lineRule="auto"/>
            </w:pPr>
            <w:r>
              <w:rPr>
                <w:b w:val="0"/>
                <w:i w:val="0"/>
                <w:sz w:val="15"/>
              </w:rPr>
              <w:t>Service desk via issue module, e-mail and phone for five years</w:t>
            </w:r>
          </w:p>
        </w:tc>
        <w:tc>
          <w:tcPr>
            <w:tcW w:type="dxa" w:w="2211"/>
            <w:vAlign w:val="top"/>
          </w:tcPr>
          <w:p>
            <w:pPr>
              <w:spacing w:after="20" w:line="252" w:lineRule="auto"/>
            </w:pPr>
            <w:r>
              <w:rPr>
                <w:b w:val="0"/>
                <w:i w:val="0"/>
                <w:sz w:val="15"/>
              </w:rPr>
              <w:t>Ticket records</w:t>
            </w:r>
          </w:p>
        </w:tc>
      </w:tr>
      <w:tr>
        <w:trPr>
          <w:cantSplit/>
        </w:trPr>
        <w:tc>
          <w:tcPr>
            <w:tcW w:type="dxa" w:w="850"/>
            <w:vAlign w:val="top"/>
            <w:shd w:val="clear" w:color="auto" w:fill="FDF0F7"/>
          </w:tcPr>
          <w:p>
            <w:pPr>
              <w:spacing w:after="20" w:line="252" w:lineRule="auto"/>
            </w:pPr>
            <w:r>
              <w:rPr>
                <w:b/>
                <w:i w:val="0"/>
                <w:sz w:val="15"/>
              </w:rPr>
              <w:t>MNT-02</w:t>
            </w:r>
          </w:p>
        </w:tc>
        <w:tc>
          <w:tcPr>
            <w:tcW w:type="dxa" w:w="2041"/>
            <w:vAlign w:val="top"/>
            <w:shd w:val="clear" w:color="auto" w:fill="FDF0F7"/>
          </w:tcPr>
          <w:p>
            <w:pPr>
              <w:spacing w:after="20" w:line="252" w:lineRule="auto"/>
            </w:pPr>
            <w:r>
              <w:rPr>
                <w:b w:val="0"/>
                <w:i w:val="0"/>
                <w:sz w:val="15"/>
              </w:rPr>
              <w:t>Incident management</w:t>
            </w:r>
          </w:p>
        </w:tc>
        <w:tc>
          <w:tcPr>
            <w:tcW w:type="dxa" w:w="4535"/>
            <w:vAlign w:val="top"/>
            <w:shd w:val="clear" w:color="auto" w:fill="FDF0F7"/>
          </w:tcPr>
          <w:p>
            <w:pPr>
              <w:spacing w:after="20" w:line="252" w:lineRule="auto"/>
            </w:pPr>
            <w:r>
              <w:rPr>
                <w:b w:val="0"/>
                <w:i w:val="0"/>
                <w:sz w:val="15"/>
              </w:rPr>
              <w:t>Record, classify, investigate, resolve, close</w:t>
            </w:r>
          </w:p>
        </w:tc>
        <w:tc>
          <w:tcPr>
            <w:tcW w:type="dxa" w:w="2211"/>
            <w:vAlign w:val="top"/>
            <w:shd w:val="clear" w:color="auto" w:fill="FDF0F7"/>
          </w:tcPr>
          <w:p>
            <w:pPr>
              <w:spacing w:after="20" w:line="252" w:lineRule="auto"/>
            </w:pPr>
            <w:r>
              <w:rPr>
                <w:b w:val="0"/>
                <w:i w:val="0"/>
                <w:sz w:val="15"/>
              </w:rPr>
              <w:t>Monthly incident statistics</w:t>
            </w:r>
          </w:p>
        </w:tc>
      </w:tr>
      <w:tr>
        <w:trPr>
          <w:cantSplit/>
        </w:trPr>
        <w:tc>
          <w:tcPr>
            <w:tcW w:type="dxa" w:w="850"/>
            <w:vAlign w:val="top"/>
          </w:tcPr>
          <w:p>
            <w:pPr>
              <w:spacing w:after="20" w:line="252" w:lineRule="auto"/>
            </w:pPr>
            <w:r>
              <w:rPr>
                <w:b/>
                <w:i w:val="0"/>
                <w:sz w:val="15"/>
              </w:rPr>
              <w:t>MNT-03</w:t>
            </w:r>
          </w:p>
        </w:tc>
        <w:tc>
          <w:tcPr>
            <w:tcW w:type="dxa" w:w="2041"/>
            <w:vAlign w:val="top"/>
          </w:tcPr>
          <w:p>
            <w:pPr>
              <w:spacing w:after="20" w:line="252" w:lineRule="auto"/>
            </w:pPr>
            <w:r>
              <w:rPr>
                <w:b w:val="0"/>
                <w:i w:val="0"/>
                <w:sz w:val="15"/>
              </w:rPr>
              <w:t>Problem management</w:t>
            </w:r>
          </w:p>
        </w:tc>
        <w:tc>
          <w:tcPr>
            <w:tcW w:type="dxa" w:w="4535"/>
            <w:vAlign w:val="top"/>
          </w:tcPr>
          <w:p>
            <w:pPr>
              <w:spacing w:after="20" w:line="252" w:lineRule="auto"/>
            </w:pPr>
            <w:r>
              <w:rPr>
                <w:b w:val="0"/>
                <w:i w:val="0"/>
                <w:sz w:val="15"/>
              </w:rPr>
              <w:t>Root-cause analysis for P1, P2 and recurring incidents</w:t>
            </w:r>
          </w:p>
        </w:tc>
        <w:tc>
          <w:tcPr>
            <w:tcW w:type="dxa" w:w="2211"/>
            <w:vAlign w:val="top"/>
          </w:tcPr>
          <w:p>
            <w:pPr>
              <w:spacing w:after="20" w:line="252" w:lineRule="auto"/>
            </w:pPr>
            <w:r>
              <w:rPr>
                <w:b w:val="0"/>
                <w:i w:val="0"/>
                <w:sz w:val="15"/>
              </w:rPr>
              <w:t>RCA reports within 5 business days</w:t>
            </w:r>
          </w:p>
        </w:tc>
      </w:tr>
      <w:tr>
        <w:trPr>
          <w:cantSplit/>
        </w:trPr>
        <w:tc>
          <w:tcPr>
            <w:tcW w:type="dxa" w:w="850"/>
            <w:vAlign w:val="top"/>
            <w:shd w:val="clear" w:color="auto" w:fill="FDF0F7"/>
          </w:tcPr>
          <w:p>
            <w:pPr>
              <w:spacing w:after="20" w:line="252" w:lineRule="auto"/>
            </w:pPr>
            <w:r>
              <w:rPr>
                <w:b/>
                <w:i w:val="0"/>
                <w:sz w:val="15"/>
              </w:rPr>
              <w:t>MNT-04</w:t>
            </w:r>
          </w:p>
        </w:tc>
        <w:tc>
          <w:tcPr>
            <w:tcW w:type="dxa" w:w="2041"/>
            <w:vAlign w:val="top"/>
            <w:shd w:val="clear" w:color="auto" w:fill="FDF0F7"/>
          </w:tcPr>
          <w:p>
            <w:pPr>
              <w:spacing w:after="20" w:line="252" w:lineRule="auto"/>
            </w:pPr>
            <w:r>
              <w:rPr>
                <w:b w:val="0"/>
                <w:i w:val="0"/>
                <w:sz w:val="15"/>
              </w:rPr>
              <w:t>Service requests</w:t>
            </w:r>
          </w:p>
        </w:tc>
        <w:tc>
          <w:tcPr>
            <w:tcW w:type="dxa" w:w="4535"/>
            <w:vAlign w:val="top"/>
            <w:shd w:val="clear" w:color="auto" w:fill="FDF0F7"/>
          </w:tcPr>
          <w:p>
            <w:pPr>
              <w:spacing w:after="20" w:line="252" w:lineRule="auto"/>
            </w:pPr>
            <w:r>
              <w:rPr>
                <w:b w:val="0"/>
                <w:i w:val="0"/>
                <w:sz w:val="15"/>
              </w:rPr>
              <w:t>User support, configuration and operational help</w:t>
            </w:r>
          </w:p>
        </w:tc>
        <w:tc>
          <w:tcPr>
            <w:tcW w:type="dxa" w:w="2211"/>
            <w:vAlign w:val="top"/>
            <w:shd w:val="clear" w:color="auto" w:fill="FDF0F7"/>
          </w:tcPr>
          <w:p>
            <w:pPr>
              <w:spacing w:after="20" w:line="252" w:lineRule="auto"/>
            </w:pPr>
            <w:r>
              <w:rPr>
                <w:b w:val="0"/>
                <w:i w:val="0"/>
                <w:sz w:val="15"/>
              </w:rPr>
              <w:t>Request log</w:t>
            </w:r>
          </w:p>
        </w:tc>
      </w:tr>
      <w:tr>
        <w:trPr>
          <w:cantSplit/>
        </w:trPr>
        <w:tc>
          <w:tcPr>
            <w:tcW w:type="dxa" w:w="850"/>
            <w:vAlign w:val="top"/>
          </w:tcPr>
          <w:p>
            <w:pPr>
              <w:spacing w:after="20" w:line="252" w:lineRule="auto"/>
            </w:pPr>
            <w:r>
              <w:rPr>
                <w:b/>
                <w:i w:val="0"/>
                <w:sz w:val="15"/>
              </w:rPr>
              <w:t>MNT-05</w:t>
            </w:r>
          </w:p>
        </w:tc>
        <w:tc>
          <w:tcPr>
            <w:tcW w:type="dxa" w:w="2041"/>
            <w:vAlign w:val="top"/>
          </w:tcPr>
          <w:p>
            <w:pPr>
              <w:spacing w:after="20" w:line="252" w:lineRule="auto"/>
            </w:pPr>
            <w:r>
              <w:rPr>
                <w:b w:val="0"/>
                <w:i w:val="0"/>
                <w:sz w:val="15"/>
              </w:rPr>
              <w:t>Critical incident SLA</w:t>
            </w:r>
          </w:p>
        </w:tc>
        <w:tc>
          <w:tcPr>
            <w:tcW w:type="dxa" w:w="4535"/>
            <w:vAlign w:val="top"/>
          </w:tcPr>
          <w:p>
            <w:pPr>
              <w:spacing w:after="20" w:line="252" w:lineRule="auto"/>
            </w:pPr>
            <w:r>
              <w:rPr>
                <w:b w:val="0"/>
                <w:i w:val="0"/>
                <w:sz w:val="15"/>
              </w:rPr>
              <w:t>P1: 30-minute response, 4-hour restoration, 24x7</w:t>
            </w:r>
          </w:p>
        </w:tc>
        <w:tc>
          <w:tcPr>
            <w:tcW w:type="dxa" w:w="2211"/>
            <w:vAlign w:val="top"/>
          </w:tcPr>
          <w:p>
            <w:pPr>
              <w:spacing w:after="20" w:line="252" w:lineRule="auto"/>
            </w:pPr>
            <w:r>
              <w:rPr>
                <w:b w:val="0"/>
                <w:i w:val="0"/>
                <w:sz w:val="15"/>
              </w:rPr>
              <w:t>SLA report</w:t>
            </w:r>
          </w:p>
        </w:tc>
      </w:tr>
      <w:tr>
        <w:trPr>
          <w:cantSplit/>
        </w:trPr>
        <w:tc>
          <w:tcPr>
            <w:tcW w:type="dxa" w:w="850"/>
            <w:vAlign w:val="top"/>
            <w:shd w:val="clear" w:color="auto" w:fill="FDF0F7"/>
          </w:tcPr>
          <w:p>
            <w:pPr>
              <w:spacing w:after="20" w:line="252" w:lineRule="auto"/>
            </w:pPr>
            <w:r>
              <w:rPr>
                <w:b/>
                <w:i w:val="0"/>
                <w:sz w:val="15"/>
              </w:rPr>
              <w:t>MNT-06</w:t>
            </w:r>
          </w:p>
        </w:tc>
        <w:tc>
          <w:tcPr>
            <w:tcW w:type="dxa" w:w="2041"/>
            <w:vAlign w:val="top"/>
            <w:shd w:val="clear" w:color="auto" w:fill="FDF0F7"/>
          </w:tcPr>
          <w:p>
            <w:pPr>
              <w:spacing w:after="20" w:line="252" w:lineRule="auto"/>
            </w:pPr>
            <w:r>
              <w:rPr>
                <w:b w:val="0"/>
                <w:i w:val="0"/>
                <w:sz w:val="15"/>
              </w:rPr>
              <w:t>High priority SLA</w:t>
            </w:r>
          </w:p>
        </w:tc>
        <w:tc>
          <w:tcPr>
            <w:tcW w:type="dxa" w:w="4535"/>
            <w:vAlign w:val="top"/>
            <w:shd w:val="clear" w:color="auto" w:fill="FDF0F7"/>
          </w:tcPr>
          <w:p>
            <w:pPr>
              <w:spacing w:after="20" w:line="252" w:lineRule="auto"/>
            </w:pPr>
            <w:r>
              <w:rPr>
                <w:b w:val="0"/>
                <w:i w:val="0"/>
                <w:sz w:val="15"/>
              </w:rPr>
              <w:t>P2: 2-hour response, 1 business day</w:t>
            </w:r>
          </w:p>
        </w:tc>
        <w:tc>
          <w:tcPr>
            <w:tcW w:type="dxa" w:w="2211"/>
            <w:vAlign w:val="top"/>
            <w:shd w:val="clear" w:color="auto" w:fill="FDF0F7"/>
          </w:tcPr>
          <w:p>
            <w:pPr>
              <w:spacing w:after="20" w:line="252" w:lineRule="auto"/>
            </w:pPr>
            <w:r>
              <w:rPr>
                <w:b w:val="0"/>
                <w:i w:val="0"/>
                <w:sz w:val="15"/>
              </w:rPr>
              <w:t>SLA report</w:t>
            </w:r>
          </w:p>
        </w:tc>
      </w:tr>
      <w:tr>
        <w:trPr>
          <w:cantSplit/>
        </w:trPr>
        <w:tc>
          <w:tcPr>
            <w:tcW w:type="dxa" w:w="850"/>
            <w:vAlign w:val="top"/>
          </w:tcPr>
          <w:p>
            <w:pPr>
              <w:spacing w:after="20" w:line="252" w:lineRule="auto"/>
            </w:pPr>
            <w:r>
              <w:rPr>
                <w:b/>
                <w:i w:val="0"/>
                <w:sz w:val="15"/>
              </w:rPr>
              <w:t>MNT-07</w:t>
            </w:r>
          </w:p>
        </w:tc>
        <w:tc>
          <w:tcPr>
            <w:tcW w:type="dxa" w:w="2041"/>
            <w:vAlign w:val="top"/>
          </w:tcPr>
          <w:p>
            <w:pPr>
              <w:spacing w:after="20" w:line="252" w:lineRule="auto"/>
            </w:pPr>
            <w:r>
              <w:rPr>
                <w:b w:val="0"/>
                <w:i w:val="0"/>
                <w:sz w:val="15"/>
              </w:rPr>
              <w:t>Medium/Low/Cosmetic SLA</w:t>
            </w:r>
          </w:p>
        </w:tc>
        <w:tc>
          <w:tcPr>
            <w:tcW w:type="dxa" w:w="4535"/>
            <w:vAlign w:val="top"/>
          </w:tcPr>
          <w:p>
            <w:pPr>
              <w:spacing w:after="20" w:line="252" w:lineRule="auto"/>
            </w:pPr>
            <w:r>
              <w:rPr>
                <w:b w:val="0"/>
                <w:i w:val="0"/>
                <w:sz w:val="15"/>
              </w:rPr>
              <w:t>P3: 4 business hours / 3 business days; P4: 1 business day / next release</w:t>
            </w:r>
          </w:p>
        </w:tc>
        <w:tc>
          <w:tcPr>
            <w:tcW w:type="dxa" w:w="2211"/>
            <w:vAlign w:val="top"/>
          </w:tcPr>
          <w:p>
            <w:pPr>
              <w:spacing w:after="20" w:line="252" w:lineRule="auto"/>
            </w:pPr>
            <w:r>
              <w:rPr>
                <w:b w:val="0"/>
                <w:i w:val="0"/>
                <w:sz w:val="15"/>
              </w:rPr>
              <w:t>SLA report</w:t>
            </w:r>
          </w:p>
        </w:tc>
      </w:tr>
      <w:tr>
        <w:trPr>
          <w:cantSplit/>
        </w:trPr>
        <w:tc>
          <w:tcPr>
            <w:tcW w:type="dxa" w:w="850"/>
            <w:vAlign w:val="top"/>
            <w:shd w:val="clear" w:color="auto" w:fill="FDF0F7"/>
          </w:tcPr>
          <w:p>
            <w:pPr>
              <w:spacing w:after="20" w:line="252" w:lineRule="auto"/>
            </w:pPr>
            <w:r>
              <w:rPr>
                <w:b/>
                <w:i w:val="0"/>
                <w:sz w:val="15"/>
              </w:rPr>
              <w:t>MNT-08</w:t>
            </w:r>
          </w:p>
        </w:tc>
        <w:tc>
          <w:tcPr>
            <w:tcW w:type="dxa" w:w="2041"/>
            <w:vAlign w:val="top"/>
            <w:shd w:val="clear" w:color="auto" w:fill="FDF0F7"/>
          </w:tcPr>
          <w:p>
            <w:pPr>
              <w:spacing w:after="20" w:line="252" w:lineRule="auto"/>
            </w:pPr>
            <w:r>
              <w:rPr>
                <w:b w:val="0"/>
                <w:i w:val="0"/>
                <w:sz w:val="15"/>
              </w:rPr>
              <w:t>Bug fixing</w:t>
            </w:r>
          </w:p>
        </w:tc>
        <w:tc>
          <w:tcPr>
            <w:tcW w:type="dxa" w:w="4535"/>
            <w:vAlign w:val="top"/>
            <w:shd w:val="clear" w:color="auto" w:fill="FDF0F7"/>
          </w:tcPr>
          <w:p>
            <w:pPr>
              <w:spacing w:after="20" w:line="252" w:lineRule="auto"/>
            </w:pPr>
            <w:r>
              <w:rPr>
                <w:b w:val="0"/>
                <w:i w:val="0"/>
                <w:sz w:val="15"/>
              </w:rPr>
              <w:t>Defects fixed under warranty, then under maintenance</w:t>
            </w:r>
          </w:p>
        </w:tc>
        <w:tc>
          <w:tcPr>
            <w:tcW w:type="dxa" w:w="2211"/>
            <w:vAlign w:val="top"/>
            <w:shd w:val="clear" w:color="auto" w:fill="FDF0F7"/>
          </w:tcPr>
          <w:p>
            <w:pPr>
              <w:spacing w:after="20" w:line="252" w:lineRule="auto"/>
            </w:pPr>
            <w:r>
              <w:rPr>
                <w:b w:val="0"/>
                <w:i w:val="0"/>
                <w:sz w:val="15"/>
              </w:rPr>
              <w:t>Release notes</w:t>
            </w:r>
          </w:p>
        </w:tc>
      </w:tr>
      <w:tr>
        <w:trPr>
          <w:cantSplit/>
        </w:trPr>
        <w:tc>
          <w:tcPr>
            <w:tcW w:type="dxa" w:w="850"/>
            <w:vAlign w:val="top"/>
          </w:tcPr>
          <w:p>
            <w:pPr>
              <w:spacing w:after="20" w:line="252" w:lineRule="auto"/>
            </w:pPr>
            <w:r>
              <w:rPr>
                <w:b/>
                <w:i w:val="0"/>
                <w:sz w:val="15"/>
              </w:rPr>
              <w:t>MNT-09</w:t>
            </w:r>
          </w:p>
        </w:tc>
        <w:tc>
          <w:tcPr>
            <w:tcW w:type="dxa" w:w="2041"/>
            <w:vAlign w:val="top"/>
          </w:tcPr>
          <w:p>
            <w:pPr>
              <w:spacing w:after="20" w:line="252" w:lineRule="auto"/>
            </w:pPr>
            <w:r>
              <w:rPr>
                <w:b w:val="0"/>
                <w:i w:val="0"/>
                <w:sz w:val="15"/>
              </w:rPr>
              <w:t>Corrective maintenance</w:t>
            </w:r>
          </w:p>
        </w:tc>
        <w:tc>
          <w:tcPr>
            <w:tcW w:type="dxa" w:w="4535"/>
            <w:vAlign w:val="top"/>
          </w:tcPr>
          <w:p>
            <w:pPr>
              <w:spacing w:after="20" w:line="252" w:lineRule="auto"/>
            </w:pPr>
            <w:r>
              <w:rPr>
                <w:b w:val="0"/>
                <w:i w:val="0"/>
                <w:sz w:val="15"/>
              </w:rPr>
              <w:t>Changes needed to keep functions working</w:t>
            </w:r>
          </w:p>
        </w:tc>
        <w:tc>
          <w:tcPr>
            <w:tcW w:type="dxa" w:w="2211"/>
            <w:vAlign w:val="top"/>
          </w:tcPr>
          <w:p>
            <w:pPr>
              <w:spacing w:after="20" w:line="252" w:lineRule="auto"/>
            </w:pPr>
            <w:r>
              <w:rPr>
                <w:b w:val="0"/>
                <w:i w:val="0"/>
                <w:sz w:val="15"/>
              </w:rPr>
              <w:t>Release notes</w:t>
            </w:r>
          </w:p>
        </w:tc>
      </w:tr>
      <w:tr>
        <w:trPr>
          <w:cantSplit/>
        </w:trPr>
        <w:tc>
          <w:tcPr>
            <w:tcW w:type="dxa" w:w="850"/>
            <w:vAlign w:val="top"/>
            <w:shd w:val="clear" w:color="auto" w:fill="FDF0F7"/>
          </w:tcPr>
          <w:p>
            <w:pPr>
              <w:spacing w:after="20" w:line="252" w:lineRule="auto"/>
            </w:pPr>
            <w:r>
              <w:rPr>
                <w:b/>
                <w:i w:val="0"/>
                <w:sz w:val="15"/>
              </w:rPr>
              <w:t>MNT-10</w:t>
            </w:r>
          </w:p>
        </w:tc>
        <w:tc>
          <w:tcPr>
            <w:tcW w:type="dxa" w:w="2041"/>
            <w:vAlign w:val="top"/>
            <w:shd w:val="clear" w:color="auto" w:fill="FDF0F7"/>
          </w:tcPr>
          <w:p>
            <w:pPr>
              <w:spacing w:after="20" w:line="252" w:lineRule="auto"/>
            </w:pPr>
            <w:r>
              <w:rPr>
                <w:b w:val="0"/>
                <w:i w:val="0"/>
                <w:sz w:val="15"/>
              </w:rPr>
              <w:t>Preventive maintenance</w:t>
            </w:r>
          </w:p>
        </w:tc>
        <w:tc>
          <w:tcPr>
            <w:tcW w:type="dxa" w:w="4535"/>
            <w:vAlign w:val="top"/>
            <w:shd w:val="clear" w:color="auto" w:fill="FDF0F7"/>
          </w:tcPr>
          <w:p>
            <w:pPr>
              <w:spacing w:after="20" w:line="252" w:lineRule="auto"/>
            </w:pPr>
            <w:r>
              <w:rPr>
                <w:b w:val="0"/>
                <w:i w:val="0"/>
                <w:sz w:val="15"/>
              </w:rPr>
              <w:t>Monthly health check of logs, jobs, capacity, queries, certificates</w:t>
            </w:r>
          </w:p>
        </w:tc>
        <w:tc>
          <w:tcPr>
            <w:tcW w:type="dxa" w:w="2211"/>
            <w:vAlign w:val="top"/>
            <w:shd w:val="clear" w:color="auto" w:fill="FDF0F7"/>
          </w:tcPr>
          <w:p>
            <w:pPr>
              <w:spacing w:after="20" w:line="252" w:lineRule="auto"/>
            </w:pPr>
            <w:r>
              <w:rPr>
                <w:b w:val="0"/>
                <w:i w:val="0"/>
                <w:sz w:val="15"/>
              </w:rPr>
              <w:t>Health check in monthly report</w:t>
            </w:r>
          </w:p>
        </w:tc>
      </w:tr>
      <w:tr>
        <w:trPr>
          <w:cantSplit/>
        </w:trPr>
        <w:tc>
          <w:tcPr>
            <w:tcW w:type="dxa" w:w="850"/>
            <w:vAlign w:val="top"/>
          </w:tcPr>
          <w:p>
            <w:pPr>
              <w:spacing w:after="20" w:line="252" w:lineRule="auto"/>
            </w:pPr>
            <w:r>
              <w:rPr>
                <w:b/>
                <w:i w:val="0"/>
                <w:sz w:val="15"/>
              </w:rPr>
              <w:t>MNT-11</w:t>
            </w:r>
          </w:p>
        </w:tc>
        <w:tc>
          <w:tcPr>
            <w:tcW w:type="dxa" w:w="2041"/>
            <w:vAlign w:val="top"/>
          </w:tcPr>
          <w:p>
            <w:pPr>
              <w:spacing w:after="20" w:line="252" w:lineRule="auto"/>
            </w:pPr>
            <w:r>
              <w:rPr>
                <w:b w:val="0"/>
                <w:i w:val="0"/>
                <w:sz w:val="15"/>
              </w:rPr>
              <w:t>Security patches</w:t>
            </w:r>
          </w:p>
        </w:tc>
        <w:tc>
          <w:tcPr>
            <w:tcW w:type="dxa" w:w="4535"/>
            <w:vAlign w:val="top"/>
          </w:tcPr>
          <w:p>
            <w:pPr>
              <w:spacing w:after="20" w:line="252" w:lineRule="auto"/>
            </w:pPr>
            <w:r>
              <w:rPr>
                <w:b w:val="0"/>
                <w:i w:val="0"/>
                <w:sz w:val="15"/>
              </w:rPr>
              <w:t>Monthly patch cycle; emergency patches as needed</w:t>
            </w:r>
          </w:p>
        </w:tc>
        <w:tc>
          <w:tcPr>
            <w:tcW w:type="dxa" w:w="2211"/>
            <w:vAlign w:val="top"/>
          </w:tcPr>
          <w:p>
            <w:pPr>
              <w:spacing w:after="20" w:line="252" w:lineRule="auto"/>
            </w:pPr>
            <w:r>
              <w:rPr>
                <w:b w:val="0"/>
                <w:i w:val="0"/>
                <w:sz w:val="15"/>
              </w:rPr>
              <w:t>Patch log</w:t>
            </w:r>
          </w:p>
        </w:tc>
      </w:tr>
      <w:tr>
        <w:trPr>
          <w:cantSplit/>
        </w:trPr>
        <w:tc>
          <w:tcPr>
            <w:tcW w:type="dxa" w:w="850"/>
            <w:vAlign w:val="top"/>
            <w:shd w:val="clear" w:color="auto" w:fill="FDF0F7"/>
          </w:tcPr>
          <w:p>
            <w:pPr>
              <w:spacing w:after="20" w:line="252" w:lineRule="auto"/>
            </w:pPr>
            <w:r>
              <w:rPr>
                <w:b/>
                <w:i w:val="0"/>
                <w:sz w:val="15"/>
              </w:rPr>
              <w:t>MNT-12</w:t>
            </w:r>
          </w:p>
        </w:tc>
        <w:tc>
          <w:tcPr>
            <w:tcW w:type="dxa" w:w="2041"/>
            <w:vAlign w:val="top"/>
            <w:shd w:val="clear" w:color="auto" w:fill="FDF0F7"/>
          </w:tcPr>
          <w:p>
            <w:pPr>
              <w:spacing w:after="20" w:line="252" w:lineRule="auto"/>
            </w:pPr>
            <w:r>
              <w:rPr>
                <w:b w:val="0"/>
                <w:i w:val="0"/>
                <w:sz w:val="15"/>
              </w:rPr>
              <w:t>Vulnerability remediation</w:t>
            </w:r>
          </w:p>
        </w:tc>
        <w:tc>
          <w:tcPr>
            <w:tcW w:type="dxa" w:w="4535"/>
            <w:vAlign w:val="top"/>
            <w:shd w:val="clear" w:color="auto" w:fill="FDF0F7"/>
          </w:tcPr>
          <w:p>
            <w:pPr>
              <w:spacing w:after="20" w:line="252" w:lineRule="auto"/>
            </w:pPr>
            <w:r>
              <w:rPr>
                <w:b w:val="0"/>
                <w:i w:val="0"/>
                <w:sz w:val="15"/>
              </w:rPr>
              <w:t>Critical 7 days, High 14, Medium 30, Low 90</w:t>
            </w:r>
          </w:p>
        </w:tc>
        <w:tc>
          <w:tcPr>
            <w:tcW w:type="dxa" w:w="2211"/>
            <w:vAlign w:val="top"/>
            <w:shd w:val="clear" w:color="auto" w:fill="FDF0F7"/>
          </w:tcPr>
          <w:p>
            <w:pPr>
              <w:spacing w:after="20" w:line="252" w:lineRule="auto"/>
            </w:pPr>
            <w:r>
              <w:rPr>
                <w:b w:val="0"/>
                <w:i w:val="0"/>
                <w:sz w:val="15"/>
              </w:rPr>
              <w:t>Vulnerability register</w:t>
            </w:r>
          </w:p>
        </w:tc>
      </w:tr>
      <w:tr>
        <w:trPr>
          <w:cantSplit/>
        </w:trPr>
        <w:tc>
          <w:tcPr>
            <w:tcW w:type="dxa" w:w="850"/>
            <w:vAlign w:val="top"/>
          </w:tcPr>
          <w:p>
            <w:pPr>
              <w:spacing w:after="20" w:line="252" w:lineRule="auto"/>
            </w:pPr>
            <w:r>
              <w:rPr>
                <w:b/>
                <w:i w:val="0"/>
                <w:sz w:val="15"/>
              </w:rPr>
              <w:t>MNT-13</w:t>
            </w:r>
          </w:p>
        </w:tc>
        <w:tc>
          <w:tcPr>
            <w:tcW w:type="dxa" w:w="2041"/>
            <w:vAlign w:val="top"/>
          </w:tcPr>
          <w:p>
            <w:pPr>
              <w:spacing w:after="20" w:line="252" w:lineRule="auto"/>
            </w:pPr>
            <w:r>
              <w:rPr>
                <w:b w:val="0"/>
                <w:i w:val="0"/>
                <w:sz w:val="15"/>
              </w:rPr>
              <w:t>Certificate management</w:t>
            </w:r>
          </w:p>
        </w:tc>
        <w:tc>
          <w:tcPr>
            <w:tcW w:type="dxa" w:w="4535"/>
            <w:vAlign w:val="top"/>
          </w:tcPr>
          <w:p>
            <w:pPr>
              <w:spacing w:after="20" w:line="252" w:lineRule="auto"/>
            </w:pPr>
            <w:r>
              <w:rPr>
                <w:b w:val="0"/>
                <w:i w:val="0"/>
                <w:sz w:val="15"/>
              </w:rPr>
              <w:t>Inventory, expiry alerts, renewal support</w:t>
            </w:r>
          </w:p>
        </w:tc>
        <w:tc>
          <w:tcPr>
            <w:tcW w:type="dxa" w:w="2211"/>
            <w:vAlign w:val="top"/>
          </w:tcPr>
          <w:p>
            <w:pPr>
              <w:spacing w:after="20" w:line="252" w:lineRule="auto"/>
            </w:pPr>
            <w:r>
              <w:rPr>
                <w:b w:val="0"/>
                <w:i w:val="0"/>
                <w:sz w:val="15"/>
              </w:rPr>
              <w:t>Certificate register</w:t>
            </w:r>
          </w:p>
        </w:tc>
      </w:tr>
      <w:tr>
        <w:trPr>
          <w:cantSplit/>
        </w:trPr>
        <w:tc>
          <w:tcPr>
            <w:tcW w:type="dxa" w:w="850"/>
            <w:vAlign w:val="top"/>
            <w:shd w:val="clear" w:color="auto" w:fill="FDF0F7"/>
          </w:tcPr>
          <w:p>
            <w:pPr>
              <w:spacing w:after="20" w:line="252" w:lineRule="auto"/>
            </w:pPr>
            <w:r>
              <w:rPr>
                <w:b/>
                <w:i w:val="0"/>
                <w:sz w:val="15"/>
              </w:rPr>
              <w:t>MNT-14</w:t>
            </w:r>
          </w:p>
        </w:tc>
        <w:tc>
          <w:tcPr>
            <w:tcW w:type="dxa" w:w="2041"/>
            <w:vAlign w:val="top"/>
            <w:shd w:val="clear" w:color="auto" w:fill="FDF0F7"/>
          </w:tcPr>
          <w:p>
            <w:pPr>
              <w:spacing w:after="20" w:line="252" w:lineRule="auto"/>
            </w:pPr>
            <w:r>
              <w:rPr>
                <w:b w:val="0"/>
                <w:i w:val="0"/>
                <w:sz w:val="15"/>
              </w:rPr>
              <w:t>OS/platform compatibility</w:t>
            </w:r>
          </w:p>
        </w:tc>
        <w:tc>
          <w:tcPr>
            <w:tcW w:type="dxa" w:w="4535"/>
            <w:vAlign w:val="top"/>
            <w:shd w:val="clear" w:color="auto" w:fill="FDF0F7"/>
          </w:tcPr>
          <w:p>
            <w:pPr>
              <w:spacing w:after="20" w:line="252" w:lineRule="auto"/>
            </w:pPr>
            <w:r>
              <w:rPr>
                <w:b w:val="0"/>
                <w:i w:val="0"/>
                <w:sz w:val="15"/>
              </w:rPr>
              <w:t>Compatibility with supported OS, Node.js, PostgreSQL</w:t>
            </w:r>
          </w:p>
        </w:tc>
        <w:tc>
          <w:tcPr>
            <w:tcW w:type="dxa" w:w="2211"/>
            <w:vAlign w:val="top"/>
            <w:shd w:val="clear" w:color="auto" w:fill="FDF0F7"/>
          </w:tcPr>
          <w:p>
            <w:pPr>
              <w:spacing w:after="20" w:line="252" w:lineRule="auto"/>
            </w:pPr>
            <w:r>
              <w:rPr>
                <w:b w:val="0"/>
                <w:i w:val="0"/>
                <w:sz w:val="15"/>
              </w:rPr>
              <w:t>Compatibility statement per release</w:t>
            </w:r>
          </w:p>
        </w:tc>
      </w:tr>
      <w:tr>
        <w:trPr>
          <w:cantSplit/>
        </w:trPr>
        <w:tc>
          <w:tcPr>
            <w:tcW w:type="dxa" w:w="850"/>
            <w:vAlign w:val="top"/>
          </w:tcPr>
          <w:p>
            <w:pPr>
              <w:spacing w:after="20" w:line="252" w:lineRule="auto"/>
            </w:pPr>
            <w:r>
              <w:rPr>
                <w:b/>
                <w:i w:val="0"/>
                <w:sz w:val="15"/>
              </w:rPr>
              <w:t>MNT-15</w:t>
            </w:r>
          </w:p>
        </w:tc>
        <w:tc>
          <w:tcPr>
            <w:tcW w:type="dxa" w:w="2041"/>
            <w:vAlign w:val="top"/>
          </w:tcPr>
          <w:p>
            <w:pPr>
              <w:spacing w:after="20" w:line="252" w:lineRule="auto"/>
            </w:pPr>
            <w:r>
              <w:rPr>
                <w:b w:val="0"/>
                <w:i w:val="0"/>
                <w:sz w:val="15"/>
              </w:rPr>
              <w:t>Browser compatibility</w:t>
            </w:r>
          </w:p>
        </w:tc>
        <w:tc>
          <w:tcPr>
            <w:tcW w:type="dxa" w:w="4535"/>
            <w:vAlign w:val="top"/>
          </w:tcPr>
          <w:p>
            <w:pPr>
              <w:spacing w:after="20" w:line="252" w:lineRule="auto"/>
            </w:pPr>
            <w:r>
              <w:rPr>
                <w:b w:val="0"/>
                <w:i w:val="0"/>
                <w:sz w:val="15"/>
              </w:rPr>
              <w:t>Current and previous browser versions</w:t>
            </w:r>
          </w:p>
        </w:tc>
        <w:tc>
          <w:tcPr>
            <w:tcW w:type="dxa" w:w="2211"/>
            <w:vAlign w:val="top"/>
          </w:tcPr>
          <w:p>
            <w:pPr>
              <w:spacing w:after="20" w:line="252" w:lineRule="auto"/>
            </w:pPr>
            <w:r>
              <w:rPr>
                <w:b w:val="0"/>
                <w:i w:val="0"/>
                <w:sz w:val="15"/>
              </w:rPr>
              <w:t>Browser test record</w:t>
            </w:r>
          </w:p>
        </w:tc>
      </w:tr>
      <w:tr>
        <w:trPr>
          <w:cantSplit/>
        </w:trPr>
        <w:tc>
          <w:tcPr>
            <w:tcW w:type="dxa" w:w="850"/>
            <w:vAlign w:val="top"/>
            <w:shd w:val="clear" w:color="auto" w:fill="FDF0F7"/>
          </w:tcPr>
          <w:p>
            <w:pPr>
              <w:spacing w:after="20" w:line="252" w:lineRule="auto"/>
            </w:pPr>
            <w:r>
              <w:rPr>
                <w:b/>
                <w:i w:val="0"/>
                <w:sz w:val="15"/>
              </w:rPr>
              <w:t>MNT-16</w:t>
            </w:r>
          </w:p>
        </w:tc>
        <w:tc>
          <w:tcPr>
            <w:tcW w:type="dxa" w:w="2041"/>
            <w:vAlign w:val="top"/>
            <w:shd w:val="clear" w:color="auto" w:fill="FDF0F7"/>
          </w:tcPr>
          <w:p>
            <w:pPr>
              <w:spacing w:after="20" w:line="252" w:lineRule="auto"/>
            </w:pPr>
            <w:r>
              <w:rPr>
                <w:b w:val="0"/>
                <w:i w:val="0"/>
                <w:sz w:val="15"/>
              </w:rPr>
              <w:t>Database maintenance</w:t>
            </w:r>
          </w:p>
        </w:tc>
        <w:tc>
          <w:tcPr>
            <w:tcW w:type="dxa" w:w="4535"/>
            <w:vAlign w:val="top"/>
            <w:shd w:val="clear" w:color="auto" w:fill="FDF0F7"/>
          </w:tcPr>
          <w:p>
            <w:pPr>
              <w:spacing w:after="20" w:line="252" w:lineRule="auto"/>
            </w:pPr>
            <w:r>
              <w:rPr>
                <w:b w:val="0"/>
                <w:i w:val="0"/>
                <w:sz w:val="15"/>
              </w:rPr>
              <w:t>Health checks, vacuum and index tuning, upgrades</w:t>
            </w:r>
          </w:p>
        </w:tc>
        <w:tc>
          <w:tcPr>
            <w:tcW w:type="dxa" w:w="2211"/>
            <w:vAlign w:val="top"/>
            <w:shd w:val="clear" w:color="auto" w:fill="FDF0F7"/>
          </w:tcPr>
          <w:p>
            <w:pPr>
              <w:spacing w:after="20" w:line="252" w:lineRule="auto"/>
            </w:pPr>
            <w:r>
              <w:rPr>
                <w:b w:val="0"/>
                <w:i w:val="0"/>
                <w:sz w:val="15"/>
              </w:rPr>
              <w:t>Health check results</w:t>
            </w:r>
          </w:p>
        </w:tc>
      </w:tr>
      <w:tr>
        <w:trPr>
          <w:cantSplit/>
        </w:trPr>
        <w:tc>
          <w:tcPr>
            <w:tcW w:type="dxa" w:w="850"/>
            <w:vAlign w:val="top"/>
          </w:tcPr>
          <w:p>
            <w:pPr>
              <w:spacing w:after="20" w:line="252" w:lineRule="auto"/>
            </w:pPr>
            <w:r>
              <w:rPr>
                <w:b/>
                <w:i w:val="0"/>
                <w:sz w:val="15"/>
              </w:rPr>
              <w:t>MNT-17</w:t>
            </w:r>
          </w:p>
        </w:tc>
        <w:tc>
          <w:tcPr>
            <w:tcW w:type="dxa" w:w="2041"/>
            <w:vAlign w:val="top"/>
          </w:tcPr>
          <w:p>
            <w:pPr>
              <w:spacing w:after="20" w:line="252" w:lineRule="auto"/>
            </w:pPr>
            <w:r>
              <w:rPr>
                <w:b w:val="0"/>
                <w:i w:val="0"/>
                <w:sz w:val="15"/>
              </w:rPr>
              <w:t>Performance monitoring</w:t>
            </w:r>
          </w:p>
        </w:tc>
        <w:tc>
          <w:tcPr>
            <w:tcW w:type="dxa" w:w="4535"/>
            <w:vAlign w:val="top"/>
          </w:tcPr>
          <w:p>
            <w:pPr>
              <w:spacing w:after="20" w:line="252" w:lineRule="auto"/>
            </w:pPr>
            <w:r>
              <w:rPr>
                <w:b w:val="0"/>
                <w:i w:val="0"/>
                <w:sz w:val="15"/>
              </w:rPr>
              <w:t>Monthly review and tuning advice</w:t>
            </w:r>
          </w:p>
        </w:tc>
        <w:tc>
          <w:tcPr>
            <w:tcW w:type="dxa" w:w="2211"/>
            <w:vAlign w:val="top"/>
          </w:tcPr>
          <w:p>
            <w:pPr>
              <w:spacing w:after="20" w:line="252" w:lineRule="auto"/>
            </w:pPr>
            <w:r>
              <w:rPr>
                <w:b w:val="0"/>
                <w:i w:val="0"/>
                <w:sz w:val="15"/>
              </w:rPr>
              <w:t>Performance section of monthly report</w:t>
            </w:r>
          </w:p>
        </w:tc>
      </w:tr>
      <w:tr>
        <w:trPr>
          <w:cantSplit/>
        </w:trPr>
        <w:tc>
          <w:tcPr>
            <w:tcW w:type="dxa" w:w="850"/>
            <w:vAlign w:val="top"/>
            <w:shd w:val="clear" w:color="auto" w:fill="FDF0F7"/>
          </w:tcPr>
          <w:p>
            <w:pPr>
              <w:spacing w:after="20" w:line="252" w:lineRule="auto"/>
            </w:pPr>
            <w:r>
              <w:rPr>
                <w:b/>
                <w:i w:val="0"/>
                <w:sz w:val="15"/>
              </w:rPr>
              <w:t>MNT-18</w:t>
            </w:r>
          </w:p>
        </w:tc>
        <w:tc>
          <w:tcPr>
            <w:tcW w:type="dxa" w:w="2041"/>
            <w:vAlign w:val="top"/>
            <w:shd w:val="clear" w:color="auto" w:fill="FDF0F7"/>
          </w:tcPr>
          <w:p>
            <w:pPr>
              <w:spacing w:after="20" w:line="252" w:lineRule="auto"/>
            </w:pPr>
            <w:r>
              <w:rPr>
                <w:b w:val="0"/>
                <w:i w:val="0"/>
                <w:sz w:val="15"/>
              </w:rPr>
              <w:t>System monitoring</w:t>
            </w:r>
          </w:p>
        </w:tc>
        <w:tc>
          <w:tcPr>
            <w:tcW w:type="dxa" w:w="4535"/>
            <w:vAlign w:val="top"/>
            <w:shd w:val="clear" w:color="auto" w:fill="FDF0F7"/>
          </w:tcPr>
          <w:p>
            <w:pPr>
              <w:spacing w:after="20" w:line="252" w:lineRule="auto"/>
            </w:pPr>
            <w:r>
              <w:rPr>
                <w:b w:val="0"/>
                <w:i w:val="0"/>
                <w:sz w:val="15"/>
              </w:rPr>
              <w:t>Availability and component monitoring with alerts</w:t>
            </w:r>
          </w:p>
        </w:tc>
        <w:tc>
          <w:tcPr>
            <w:tcW w:type="dxa" w:w="2211"/>
            <w:vAlign w:val="top"/>
            <w:shd w:val="clear" w:color="auto" w:fill="FDF0F7"/>
          </w:tcPr>
          <w:p>
            <w:pPr>
              <w:spacing w:after="20" w:line="252" w:lineRule="auto"/>
            </w:pPr>
            <w:r>
              <w:rPr>
                <w:b w:val="0"/>
                <w:i w:val="0"/>
                <w:sz w:val="15"/>
              </w:rPr>
              <w:t>Availability figures</w:t>
            </w:r>
          </w:p>
        </w:tc>
      </w:tr>
      <w:tr>
        <w:trPr>
          <w:cantSplit/>
        </w:trPr>
        <w:tc>
          <w:tcPr>
            <w:tcW w:type="dxa" w:w="850"/>
            <w:vAlign w:val="top"/>
          </w:tcPr>
          <w:p>
            <w:pPr>
              <w:spacing w:after="20" w:line="252" w:lineRule="auto"/>
            </w:pPr>
            <w:r>
              <w:rPr>
                <w:b/>
                <w:i w:val="0"/>
                <w:sz w:val="15"/>
              </w:rPr>
              <w:t>MNT-19</w:t>
            </w:r>
          </w:p>
        </w:tc>
        <w:tc>
          <w:tcPr>
            <w:tcW w:type="dxa" w:w="2041"/>
            <w:vAlign w:val="top"/>
          </w:tcPr>
          <w:p>
            <w:pPr>
              <w:spacing w:after="20" w:line="252" w:lineRule="auto"/>
            </w:pPr>
            <w:r>
              <w:rPr>
                <w:b w:val="0"/>
                <w:i w:val="0"/>
                <w:sz w:val="15"/>
              </w:rPr>
              <w:t>Backup verification</w:t>
            </w:r>
          </w:p>
        </w:tc>
        <w:tc>
          <w:tcPr>
            <w:tcW w:type="dxa" w:w="4535"/>
            <w:vAlign w:val="top"/>
          </w:tcPr>
          <w:p>
            <w:pPr>
              <w:spacing w:after="20" w:line="252" w:lineRule="auto"/>
            </w:pPr>
            <w:r>
              <w:rPr>
                <w:b w:val="0"/>
                <w:i w:val="0"/>
                <w:sz w:val="15"/>
              </w:rPr>
              <w:t>Quarterly restore test</w:t>
            </w:r>
          </w:p>
        </w:tc>
        <w:tc>
          <w:tcPr>
            <w:tcW w:type="dxa" w:w="2211"/>
            <w:vAlign w:val="top"/>
          </w:tcPr>
          <w:p>
            <w:pPr>
              <w:spacing w:after="20" w:line="252" w:lineRule="auto"/>
            </w:pPr>
            <w:r>
              <w:rPr>
                <w:b w:val="0"/>
                <w:i w:val="0"/>
                <w:sz w:val="15"/>
              </w:rPr>
              <w:t>Restore test record</w:t>
            </w:r>
          </w:p>
        </w:tc>
      </w:tr>
      <w:tr>
        <w:trPr>
          <w:cantSplit/>
        </w:trPr>
        <w:tc>
          <w:tcPr>
            <w:tcW w:type="dxa" w:w="850"/>
            <w:vAlign w:val="top"/>
            <w:shd w:val="clear" w:color="auto" w:fill="FDF0F7"/>
          </w:tcPr>
          <w:p>
            <w:pPr>
              <w:spacing w:after="20" w:line="252" w:lineRule="auto"/>
            </w:pPr>
            <w:r>
              <w:rPr>
                <w:b/>
                <w:i w:val="0"/>
                <w:sz w:val="15"/>
              </w:rPr>
              <w:t>MNT-20</w:t>
            </w:r>
          </w:p>
        </w:tc>
        <w:tc>
          <w:tcPr>
            <w:tcW w:type="dxa" w:w="2041"/>
            <w:vAlign w:val="top"/>
            <w:shd w:val="clear" w:color="auto" w:fill="FDF0F7"/>
          </w:tcPr>
          <w:p>
            <w:pPr>
              <w:spacing w:after="20" w:line="252" w:lineRule="auto"/>
            </w:pPr>
            <w:r>
              <w:rPr>
                <w:b w:val="0"/>
                <w:i w:val="0"/>
                <w:sz w:val="15"/>
              </w:rPr>
              <w:t>Disaster recovery</w:t>
            </w:r>
          </w:p>
        </w:tc>
        <w:tc>
          <w:tcPr>
            <w:tcW w:type="dxa" w:w="4535"/>
            <w:vAlign w:val="top"/>
            <w:shd w:val="clear" w:color="auto" w:fill="FDF0F7"/>
          </w:tcPr>
          <w:p>
            <w:pPr>
              <w:spacing w:after="20" w:line="252" w:lineRule="auto"/>
            </w:pPr>
            <w:r>
              <w:rPr>
                <w:b w:val="0"/>
                <w:i w:val="0"/>
                <w:sz w:val="15"/>
              </w:rPr>
              <w:t>DR planning and annual DR test</w:t>
            </w:r>
          </w:p>
        </w:tc>
        <w:tc>
          <w:tcPr>
            <w:tcW w:type="dxa" w:w="2211"/>
            <w:vAlign w:val="top"/>
            <w:shd w:val="clear" w:color="auto" w:fill="FDF0F7"/>
          </w:tcPr>
          <w:p>
            <w:pPr>
              <w:spacing w:after="20" w:line="252" w:lineRule="auto"/>
            </w:pPr>
            <w:r>
              <w:rPr>
                <w:b w:val="0"/>
                <w:i w:val="0"/>
                <w:sz w:val="15"/>
              </w:rPr>
              <w:t>DR test report</w:t>
            </w:r>
          </w:p>
        </w:tc>
      </w:tr>
      <w:tr>
        <w:trPr>
          <w:cantSplit/>
        </w:trPr>
        <w:tc>
          <w:tcPr>
            <w:tcW w:type="dxa" w:w="850"/>
            <w:vAlign w:val="top"/>
          </w:tcPr>
          <w:p>
            <w:pPr>
              <w:spacing w:after="20" w:line="252" w:lineRule="auto"/>
            </w:pPr>
            <w:r>
              <w:rPr>
                <w:b/>
                <w:i w:val="0"/>
                <w:sz w:val="15"/>
              </w:rPr>
              <w:t>MNT-21</w:t>
            </w:r>
          </w:p>
        </w:tc>
        <w:tc>
          <w:tcPr>
            <w:tcW w:type="dxa" w:w="2041"/>
            <w:vAlign w:val="top"/>
          </w:tcPr>
          <w:p>
            <w:pPr>
              <w:spacing w:after="20" w:line="252" w:lineRule="auto"/>
            </w:pPr>
            <w:r>
              <w:rPr>
                <w:b w:val="0"/>
                <w:i w:val="0"/>
                <w:sz w:val="15"/>
              </w:rPr>
              <w:t>Release management</w:t>
            </w:r>
          </w:p>
        </w:tc>
        <w:tc>
          <w:tcPr>
            <w:tcW w:type="dxa" w:w="4535"/>
            <w:vAlign w:val="top"/>
          </w:tcPr>
          <w:p>
            <w:pPr>
              <w:spacing w:after="20" w:line="252" w:lineRule="auto"/>
            </w:pPr>
            <w:r>
              <w:rPr>
                <w:b w:val="0"/>
                <w:i w:val="0"/>
                <w:sz w:val="15"/>
              </w:rPr>
              <w:t>Tested, approved releases in agreed windows</w:t>
            </w:r>
          </w:p>
        </w:tc>
        <w:tc>
          <w:tcPr>
            <w:tcW w:type="dxa" w:w="2211"/>
            <w:vAlign w:val="top"/>
          </w:tcPr>
          <w:p>
            <w:pPr>
              <w:spacing w:after="20" w:line="252" w:lineRule="auto"/>
            </w:pPr>
            <w:r>
              <w:rPr>
                <w:b w:val="0"/>
                <w:i w:val="0"/>
                <w:sz w:val="15"/>
              </w:rPr>
              <w:t>Release records and approvals</w:t>
            </w:r>
          </w:p>
        </w:tc>
      </w:tr>
      <w:tr>
        <w:trPr>
          <w:cantSplit/>
        </w:trPr>
        <w:tc>
          <w:tcPr>
            <w:tcW w:type="dxa" w:w="850"/>
            <w:vAlign w:val="top"/>
            <w:shd w:val="clear" w:color="auto" w:fill="FDF0F7"/>
          </w:tcPr>
          <w:p>
            <w:pPr>
              <w:spacing w:after="20" w:line="252" w:lineRule="auto"/>
            </w:pPr>
            <w:r>
              <w:rPr>
                <w:b/>
                <w:i w:val="0"/>
                <w:sz w:val="15"/>
              </w:rPr>
              <w:t>MNT-22</w:t>
            </w:r>
          </w:p>
        </w:tc>
        <w:tc>
          <w:tcPr>
            <w:tcW w:type="dxa" w:w="2041"/>
            <w:vAlign w:val="top"/>
            <w:shd w:val="clear" w:color="auto" w:fill="FDF0F7"/>
          </w:tcPr>
          <w:p>
            <w:pPr>
              <w:spacing w:after="20" w:line="252" w:lineRule="auto"/>
            </w:pPr>
            <w:r>
              <w:rPr>
                <w:b w:val="0"/>
                <w:i w:val="0"/>
                <w:sz w:val="15"/>
              </w:rPr>
              <w:t>Version upgrade</w:t>
            </w:r>
          </w:p>
        </w:tc>
        <w:tc>
          <w:tcPr>
            <w:tcW w:type="dxa" w:w="4535"/>
            <w:vAlign w:val="top"/>
            <w:shd w:val="clear" w:color="auto" w:fill="FDF0F7"/>
          </w:tcPr>
          <w:p>
            <w:pPr>
              <w:spacing w:after="20" w:line="252" w:lineRule="auto"/>
            </w:pPr>
            <w:r>
              <w:rPr>
                <w:b w:val="0"/>
                <w:i w:val="0"/>
                <w:sz w:val="15"/>
              </w:rPr>
              <w:t>Application and platform upgrades, including SalesVerse 2.0 updates</w:t>
            </w:r>
          </w:p>
        </w:tc>
        <w:tc>
          <w:tcPr>
            <w:tcW w:type="dxa" w:w="2211"/>
            <w:vAlign w:val="top"/>
            <w:shd w:val="clear" w:color="auto" w:fill="FDF0F7"/>
          </w:tcPr>
          <w:p>
            <w:pPr>
              <w:spacing w:after="20" w:line="252" w:lineRule="auto"/>
            </w:pPr>
            <w:r>
              <w:rPr>
                <w:b w:val="0"/>
                <w:i w:val="0"/>
                <w:sz w:val="15"/>
              </w:rPr>
              <w:t>Upgrade release notes</w:t>
            </w:r>
          </w:p>
        </w:tc>
      </w:tr>
      <w:tr>
        <w:trPr>
          <w:cantSplit/>
        </w:trPr>
        <w:tc>
          <w:tcPr>
            <w:tcW w:type="dxa" w:w="850"/>
            <w:vAlign w:val="top"/>
          </w:tcPr>
          <w:p>
            <w:pPr>
              <w:spacing w:after="20" w:line="252" w:lineRule="auto"/>
            </w:pPr>
            <w:r>
              <w:rPr>
                <w:b/>
                <w:i w:val="0"/>
                <w:sz w:val="15"/>
              </w:rPr>
              <w:t>MNT-23</w:t>
            </w:r>
          </w:p>
        </w:tc>
        <w:tc>
          <w:tcPr>
            <w:tcW w:type="dxa" w:w="2041"/>
            <w:vAlign w:val="top"/>
          </w:tcPr>
          <w:p>
            <w:pPr>
              <w:spacing w:after="20" w:line="252" w:lineRule="auto"/>
            </w:pPr>
            <w:r>
              <w:rPr>
                <w:b w:val="0"/>
                <w:i w:val="0"/>
                <w:sz w:val="15"/>
              </w:rPr>
              <w:t>Minor enhancement</w:t>
            </w:r>
          </w:p>
        </w:tc>
        <w:tc>
          <w:tcPr>
            <w:tcW w:type="dxa" w:w="4535"/>
            <w:vAlign w:val="top"/>
          </w:tcPr>
          <w:p>
            <w:pPr>
              <w:spacing w:after="20" w:line="252" w:lineRule="auto"/>
            </w:pPr>
            <w:r>
              <w:rPr>
                <w:b w:val="0"/>
                <w:i w:val="0"/>
                <w:sz w:val="15"/>
              </w:rPr>
              <w:t>60 hours a year included; more at rate card</w:t>
            </w:r>
          </w:p>
        </w:tc>
        <w:tc>
          <w:tcPr>
            <w:tcW w:type="dxa" w:w="2211"/>
            <w:vAlign w:val="top"/>
          </w:tcPr>
          <w:p>
            <w:pPr>
              <w:spacing w:after="20" w:line="252" w:lineRule="auto"/>
            </w:pPr>
            <w:r>
              <w:rPr>
                <w:b w:val="0"/>
                <w:i w:val="0"/>
                <w:sz w:val="15"/>
              </w:rPr>
              <w:t>Enhancement log</w:t>
            </w:r>
          </w:p>
        </w:tc>
      </w:tr>
      <w:tr>
        <w:trPr>
          <w:cantSplit/>
        </w:trPr>
        <w:tc>
          <w:tcPr>
            <w:tcW w:type="dxa" w:w="850"/>
            <w:vAlign w:val="top"/>
            <w:shd w:val="clear" w:color="auto" w:fill="FDF0F7"/>
          </w:tcPr>
          <w:p>
            <w:pPr>
              <w:spacing w:after="20" w:line="252" w:lineRule="auto"/>
            </w:pPr>
            <w:r>
              <w:rPr>
                <w:b/>
                <w:i w:val="0"/>
                <w:sz w:val="15"/>
              </w:rPr>
              <w:t>MNT-24</w:t>
            </w:r>
          </w:p>
        </w:tc>
        <w:tc>
          <w:tcPr>
            <w:tcW w:type="dxa" w:w="2041"/>
            <w:vAlign w:val="top"/>
            <w:shd w:val="clear" w:color="auto" w:fill="FDF0F7"/>
          </w:tcPr>
          <w:p>
            <w:pPr>
              <w:spacing w:after="20" w:line="252" w:lineRule="auto"/>
            </w:pPr>
            <w:r>
              <w:rPr>
                <w:b w:val="0"/>
                <w:i w:val="0"/>
                <w:sz w:val="15"/>
              </w:rPr>
              <w:t>Change request</w:t>
            </w:r>
          </w:p>
        </w:tc>
        <w:tc>
          <w:tcPr>
            <w:tcW w:type="dxa" w:w="4535"/>
            <w:vAlign w:val="top"/>
            <w:shd w:val="clear" w:color="auto" w:fill="FDF0F7"/>
          </w:tcPr>
          <w:p>
            <w:pPr>
              <w:spacing w:after="20" w:line="252" w:lineRule="auto"/>
            </w:pPr>
            <w:r>
              <w:rPr>
                <w:b w:val="0"/>
                <w:i w:val="0"/>
                <w:sz w:val="15"/>
              </w:rPr>
              <w:t>Impact assessment, quotation, approval, delivery</w:t>
            </w:r>
          </w:p>
        </w:tc>
        <w:tc>
          <w:tcPr>
            <w:tcW w:type="dxa" w:w="2211"/>
            <w:vAlign w:val="top"/>
            <w:shd w:val="clear" w:color="auto" w:fill="FDF0F7"/>
          </w:tcPr>
          <w:p>
            <w:pPr>
              <w:spacing w:after="20" w:line="252" w:lineRule="auto"/>
            </w:pPr>
            <w:r>
              <w:rPr>
                <w:b w:val="0"/>
                <w:i w:val="0"/>
                <w:sz w:val="15"/>
              </w:rPr>
              <w:t>Signed CR forms</w:t>
            </w:r>
          </w:p>
        </w:tc>
      </w:tr>
      <w:tr>
        <w:trPr>
          <w:cantSplit/>
        </w:trPr>
        <w:tc>
          <w:tcPr>
            <w:tcW w:type="dxa" w:w="850"/>
            <w:vAlign w:val="top"/>
          </w:tcPr>
          <w:p>
            <w:pPr>
              <w:spacing w:after="20" w:line="252" w:lineRule="auto"/>
            </w:pPr>
            <w:r>
              <w:rPr>
                <w:b/>
                <w:i w:val="0"/>
                <w:sz w:val="15"/>
              </w:rPr>
              <w:t>MNT-25</w:t>
            </w:r>
          </w:p>
        </w:tc>
        <w:tc>
          <w:tcPr>
            <w:tcW w:type="dxa" w:w="2041"/>
            <w:vAlign w:val="top"/>
          </w:tcPr>
          <w:p>
            <w:pPr>
              <w:spacing w:after="20" w:line="252" w:lineRule="auto"/>
            </w:pPr>
            <w:r>
              <w:rPr>
                <w:b w:val="0"/>
                <w:i w:val="0"/>
                <w:sz w:val="15"/>
              </w:rPr>
              <w:t>Monthly service report</w:t>
            </w:r>
          </w:p>
        </w:tc>
        <w:tc>
          <w:tcPr>
            <w:tcW w:type="dxa" w:w="4535"/>
            <w:vAlign w:val="top"/>
          </w:tcPr>
          <w:p>
            <w:pPr>
              <w:spacing w:after="20" w:line="252" w:lineRule="auto"/>
            </w:pPr>
            <w:r>
              <w:rPr>
                <w:b w:val="0"/>
                <w:i w:val="0"/>
                <w:sz w:val="15"/>
              </w:rPr>
              <w:t>Incidents, SLA, availability, changes, open issues</w:t>
            </w:r>
          </w:p>
        </w:tc>
        <w:tc>
          <w:tcPr>
            <w:tcW w:type="dxa" w:w="2211"/>
            <w:vAlign w:val="top"/>
          </w:tcPr>
          <w:p>
            <w:pPr>
              <w:spacing w:after="20" w:line="252" w:lineRule="auto"/>
            </w:pPr>
            <w:r>
              <w:rPr>
                <w:b w:val="0"/>
                <w:i w:val="0"/>
                <w:sz w:val="15"/>
              </w:rPr>
              <w:t>Report issued monthly</w:t>
            </w:r>
          </w:p>
        </w:tc>
      </w:tr>
      <w:tr>
        <w:trPr>
          <w:cantSplit/>
        </w:trPr>
        <w:tc>
          <w:tcPr>
            <w:tcW w:type="dxa" w:w="850"/>
            <w:vAlign w:val="top"/>
            <w:shd w:val="clear" w:color="auto" w:fill="FDF0F7"/>
          </w:tcPr>
          <w:p>
            <w:pPr>
              <w:spacing w:after="20" w:line="252" w:lineRule="auto"/>
            </w:pPr>
            <w:r>
              <w:rPr>
                <w:b/>
                <w:i w:val="0"/>
                <w:sz w:val="15"/>
              </w:rPr>
              <w:t>MNT-26</w:t>
            </w:r>
          </w:p>
        </w:tc>
        <w:tc>
          <w:tcPr>
            <w:tcW w:type="dxa" w:w="2041"/>
            <w:vAlign w:val="top"/>
            <w:shd w:val="clear" w:color="auto" w:fill="FDF0F7"/>
          </w:tcPr>
          <w:p>
            <w:pPr>
              <w:spacing w:after="20" w:line="252" w:lineRule="auto"/>
            </w:pPr>
            <w:r>
              <w:rPr>
                <w:b w:val="0"/>
                <w:i w:val="0"/>
                <w:sz w:val="15"/>
              </w:rPr>
              <w:t>Quarterly review</w:t>
            </w:r>
          </w:p>
        </w:tc>
        <w:tc>
          <w:tcPr>
            <w:tcW w:type="dxa" w:w="4535"/>
            <w:vAlign w:val="top"/>
            <w:shd w:val="clear" w:color="auto" w:fill="FDF0F7"/>
          </w:tcPr>
          <w:p>
            <w:pPr>
              <w:spacing w:after="20" w:line="252" w:lineRule="auto"/>
            </w:pPr>
            <w:r>
              <w:rPr>
                <w:b w:val="0"/>
                <w:i w:val="0"/>
                <w:sz w:val="15"/>
              </w:rPr>
              <w:t>Service performance and improvement plan</w:t>
            </w:r>
          </w:p>
        </w:tc>
        <w:tc>
          <w:tcPr>
            <w:tcW w:type="dxa" w:w="2211"/>
            <w:vAlign w:val="top"/>
            <w:shd w:val="clear" w:color="auto" w:fill="FDF0F7"/>
          </w:tcPr>
          <w:p>
            <w:pPr>
              <w:spacing w:after="20" w:line="252" w:lineRule="auto"/>
            </w:pPr>
            <w:r>
              <w:rPr>
                <w:b w:val="0"/>
                <w:i w:val="0"/>
                <w:sz w:val="15"/>
              </w:rPr>
              <w:t>Minutes and action log</w:t>
            </w:r>
          </w:p>
        </w:tc>
      </w:tr>
      <w:tr>
        <w:trPr>
          <w:cantSplit/>
        </w:trPr>
        <w:tc>
          <w:tcPr>
            <w:tcW w:type="dxa" w:w="850"/>
            <w:vAlign w:val="top"/>
          </w:tcPr>
          <w:p>
            <w:pPr>
              <w:spacing w:after="20" w:line="252" w:lineRule="auto"/>
            </w:pPr>
            <w:r>
              <w:rPr>
                <w:b/>
                <w:i w:val="0"/>
                <w:sz w:val="15"/>
              </w:rPr>
              <w:t>MNT-27</w:t>
            </w:r>
          </w:p>
        </w:tc>
        <w:tc>
          <w:tcPr>
            <w:tcW w:type="dxa" w:w="2041"/>
            <w:vAlign w:val="top"/>
          </w:tcPr>
          <w:p>
            <w:pPr>
              <w:spacing w:after="20" w:line="252" w:lineRule="auto"/>
            </w:pPr>
            <w:r>
              <w:rPr>
                <w:b w:val="0"/>
                <w:i w:val="0"/>
                <w:sz w:val="15"/>
              </w:rPr>
              <w:t>Documentation updates</w:t>
            </w:r>
          </w:p>
        </w:tc>
        <w:tc>
          <w:tcPr>
            <w:tcW w:type="dxa" w:w="4535"/>
            <w:vAlign w:val="top"/>
          </w:tcPr>
          <w:p>
            <w:pPr>
              <w:spacing w:after="20" w:line="252" w:lineRule="auto"/>
            </w:pPr>
            <w:r>
              <w:rPr>
                <w:b w:val="0"/>
                <w:i w:val="0"/>
                <w:sz w:val="15"/>
              </w:rPr>
              <w:t>Documents updated after material change</w:t>
            </w:r>
          </w:p>
        </w:tc>
        <w:tc>
          <w:tcPr>
            <w:tcW w:type="dxa" w:w="2211"/>
            <w:vAlign w:val="top"/>
          </w:tcPr>
          <w:p>
            <w:pPr>
              <w:spacing w:after="20" w:line="252" w:lineRule="auto"/>
            </w:pPr>
            <w:r>
              <w:rPr>
                <w:b w:val="0"/>
                <w:i w:val="0"/>
                <w:sz w:val="15"/>
              </w:rPr>
              <w:t>Document version history</w:t>
            </w:r>
          </w:p>
        </w:tc>
      </w:tr>
      <w:tr>
        <w:trPr>
          <w:cantSplit/>
        </w:trPr>
        <w:tc>
          <w:tcPr>
            <w:tcW w:type="dxa" w:w="850"/>
            <w:vAlign w:val="top"/>
            <w:shd w:val="clear" w:color="auto" w:fill="FDF0F7"/>
          </w:tcPr>
          <w:p>
            <w:pPr>
              <w:spacing w:after="20" w:line="252" w:lineRule="auto"/>
            </w:pPr>
            <w:r>
              <w:rPr>
                <w:b/>
                <w:i w:val="0"/>
                <w:sz w:val="15"/>
              </w:rPr>
              <w:t>MNT-28</w:t>
            </w:r>
          </w:p>
        </w:tc>
        <w:tc>
          <w:tcPr>
            <w:tcW w:type="dxa" w:w="2041"/>
            <w:vAlign w:val="top"/>
            <w:shd w:val="clear" w:color="auto" w:fill="FDF0F7"/>
          </w:tcPr>
          <w:p>
            <w:pPr>
              <w:spacing w:after="20" w:line="252" w:lineRule="auto"/>
            </w:pPr>
            <w:r>
              <w:rPr>
                <w:b w:val="0"/>
                <w:i w:val="0"/>
                <w:sz w:val="15"/>
              </w:rPr>
              <w:t>Knowledge transfer</w:t>
            </w:r>
          </w:p>
        </w:tc>
        <w:tc>
          <w:tcPr>
            <w:tcW w:type="dxa" w:w="4535"/>
            <w:vAlign w:val="top"/>
            <w:shd w:val="clear" w:color="auto" w:fill="FDF0F7"/>
          </w:tcPr>
          <w:p>
            <w:pPr>
              <w:spacing w:after="20" w:line="252" w:lineRule="auto"/>
            </w:pPr>
            <w:r>
              <w:rPr>
                <w:b w:val="0"/>
                <w:i w:val="0"/>
                <w:sz w:val="15"/>
              </w:rPr>
              <w:t>Sessions for IIFT/IITH support staff</w:t>
            </w:r>
          </w:p>
        </w:tc>
        <w:tc>
          <w:tcPr>
            <w:tcW w:type="dxa" w:w="2211"/>
            <w:vAlign w:val="top"/>
            <w:shd w:val="clear" w:color="auto" w:fill="FDF0F7"/>
          </w:tcPr>
          <w:p>
            <w:pPr>
              <w:spacing w:after="20" w:line="252" w:lineRule="auto"/>
            </w:pPr>
            <w:r>
              <w:rPr>
                <w:b w:val="0"/>
                <w:i w:val="0"/>
                <w:sz w:val="15"/>
              </w:rPr>
              <w:t>Session records</w:t>
            </w:r>
          </w:p>
        </w:tc>
      </w:tr>
      <w:tr>
        <w:trPr>
          <w:cantSplit/>
        </w:trPr>
        <w:tc>
          <w:tcPr>
            <w:tcW w:type="dxa" w:w="850"/>
            <w:vAlign w:val="top"/>
          </w:tcPr>
          <w:p>
            <w:pPr>
              <w:spacing w:after="20" w:line="252" w:lineRule="auto"/>
            </w:pPr>
            <w:r>
              <w:rPr>
                <w:b/>
                <w:i w:val="0"/>
                <w:sz w:val="15"/>
              </w:rPr>
              <w:t>MNT-29</w:t>
            </w:r>
          </w:p>
        </w:tc>
        <w:tc>
          <w:tcPr>
            <w:tcW w:type="dxa" w:w="2041"/>
            <w:vAlign w:val="top"/>
          </w:tcPr>
          <w:p>
            <w:pPr>
              <w:spacing w:after="20" w:line="252" w:lineRule="auto"/>
            </w:pPr>
            <w:r>
              <w:rPr>
                <w:b w:val="0"/>
                <w:i w:val="0"/>
                <w:sz w:val="15"/>
              </w:rPr>
              <w:t>Onsite support</w:t>
            </w:r>
          </w:p>
        </w:tc>
        <w:tc>
          <w:tcPr>
            <w:tcW w:type="dxa" w:w="4535"/>
            <w:vAlign w:val="top"/>
          </w:tcPr>
          <w:p>
            <w:pPr>
              <w:spacing w:after="20" w:line="252" w:lineRule="auto"/>
            </w:pPr>
            <w:r>
              <w:rPr>
                <w:b w:val="0"/>
                <w:i w:val="0"/>
                <w:sz w:val="15"/>
              </w:rPr>
              <w:t>Onsite for major incidents or upgrades (rate card plus OPE)</w:t>
            </w:r>
          </w:p>
        </w:tc>
        <w:tc>
          <w:tcPr>
            <w:tcW w:type="dxa" w:w="2211"/>
            <w:vAlign w:val="top"/>
          </w:tcPr>
          <w:p>
            <w:pPr>
              <w:spacing w:after="20" w:line="252" w:lineRule="auto"/>
            </w:pPr>
            <w:r>
              <w:rPr>
                <w:b w:val="0"/>
                <w:i w:val="0"/>
                <w:sz w:val="15"/>
              </w:rPr>
              <w:t>Visit reports</w:t>
            </w:r>
          </w:p>
        </w:tc>
      </w:tr>
      <w:tr>
        <w:trPr>
          <w:cantSplit/>
        </w:trPr>
        <w:tc>
          <w:tcPr>
            <w:tcW w:type="dxa" w:w="850"/>
            <w:vAlign w:val="top"/>
            <w:shd w:val="clear" w:color="auto" w:fill="FDF0F7"/>
          </w:tcPr>
          <w:p>
            <w:pPr>
              <w:spacing w:after="20" w:line="252" w:lineRule="auto"/>
            </w:pPr>
            <w:r>
              <w:rPr>
                <w:b/>
                <w:i w:val="0"/>
                <w:sz w:val="15"/>
              </w:rPr>
              <w:t>MNT-30</w:t>
            </w:r>
          </w:p>
        </w:tc>
        <w:tc>
          <w:tcPr>
            <w:tcW w:type="dxa" w:w="2041"/>
            <w:vAlign w:val="top"/>
            <w:shd w:val="clear" w:color="auto" w:fill="FDF0F7"/>
          </w:tcPr>
          <w:p>
            <w:pPr>
              <w:spacing w:after="20" w:line="252" w:lineRule="auto"/>
            </w:pPr>
            <w:r>
              <w:rPr>
                <w:b w:val="0"/>
                <w:i w:val="0"/>
                <w:sz w:val="15"/>
              </w:rPr>
              <w:t>Transition support</w:t>
            </w:r>
          </w:p>
        </w:tc>
        <w:tc>
          <w:tcPr>
            <w:tcW w:type="dxa" w:w="4535"/>
            <w:vAlign w:val="top"/>
            <w:shd w:val="clear" w:color="auto" w:fill="FDF0F7"/>
          </w:tcPr>
          <w:p>
            <w:pPr>
              <w:spacing w:after="20" w:line="252" w:lineRule="auto"/>
            </w:pPr>
            <w:r>
              <w:rPr>
                <w:b w:val="0"/>
                <w:i w:val="0"/>
                <w:sz w:val="15"/>
              </w:rPr>
              <w:t>Year 5 knowledge transfer, documents and technical help</w:t>
            </w:r>
          </w:p>
        </w:tc>
        <w:tc>
          <w:tcPr>
            <w:tcW w:type="dxa" w:w="2211"/>
            <w:vAlign w:val="top"/>
            <w:shd w:val="clear" w:color="auto" w:fill="FDF0F7"/>
          </w:tcPr>
          <w:p>
            <w:pPr>
              <w:spacing w:after="20" w:line="252" w:lineRule="auto"/>
            </w:pPr>
            <w:r>
              <w:rPr>
                <w:b w:val="0"/>
                <w:i w:val="0"/>
                <w:sz w:val="15"/>
              </w:rPr>
              <w:t>Transition acceptance</w:t>
            </w:r>
          </w:p>
        </w:tc>
      </w:tr>
    </w:tbl>
    <w:p>
      <w:pPr>
        <w:pStyle w:val="Caption"/>
        <w:jc w:val="center"/>
      </w:pPr>
      <w:r>
        <w:rPr>
          <w:b w:val="0"/>
          <w:i w:val="0"/>
        </w:rPr>
        <w:t>Table 8: Maintenance requirements MNT-01 to MNT-30</w:t>
      </w:r>
    </w:p>
    <w:p>
      <w:pPr>
        <w:pStyle w:val="Heading1"/>
        <w:pageBreakBefore/>
        <w:pBdr>
          <w:bottom w:val="single" w:sz="12" w:space="4" w:color="F58220"/>
        </w:pBdr>
      </w:pPr>
      <w:r>
        <w:t>6. Solution Fitment</w:t>
      </w:r>
    </w:p>
    <w:p>
      <w:pPr>
        <w:keepNext w:val="0"/>
      </w:pPr>
      <w:r>
        <w:rPr>
          <w:b w:val="0"/>
          <w:i w:val="0"/>
        </w:rPr>
        <w:t>Each functional and non-functional requirement is classified against SalesVerse 2.0 as it runs today. The four categories are: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blHeader/>
        </w:trPr>
        <w:tc>
          <w:tcPr>
            <w:tcW w:type="dxa" w:w="2835"/>
            <w:shd w:val="clear" w:color="auto" w:fill="E1058C"/>
            <w:vAlign w:val="center"/>
          </w:tcPr>
          <w:p>
            <w:pPr>
              <w:spacing w:after="0"/>
            </w:pPr>
            <w:r>
              <w:rPr>
                <w:b/>
                <w:i w:val="0"/>
                <w:color w:val="FFFFFF"/>
                <w:sz w:val="16"/>
              </w:rPr>
              <w:t>Category</w:t>
            </w:r>
          </w:p>
        </w:tc>
        <w:tc>
          <w:tcPr>
            <w:tcW w:type="dxa" w:w="6803"/>
            <w:shd w:val="clear" w:color="auto" w:fill="E1058C"/>
            <w:vAlign w:val="center"/>
          </w:tcPr>
          <w:p>
            <w:pPr>
              <w:spacing w:after="0"/>
            </w:pPr>
            <w:r>
              <w:rPr>
                <w:b/>
                <w:i w:val="0"/>
                <w:color w:val="FFFFFF"/>
                <w:sz w:val="16"/>
              </w:rPr>
              <w:t>Meaning</w:t>
            </w:r>
          </w:p>
        </w:tc>
      </w:tr>
      <w:tr>
        <w:trPr>
          <w:cantSplit/>
        </w:trPr>
        <w:tc>
          <w:tcPr>
            <w:tcW w:type="dxa" w:w="2835"/>
            <w:vAlign w:val="top"/>
          </w:tcPr>
          <w:p>
            <w:pPr>
              <w:spacing w:after="20" w:line="252" w:lineRule="auto"/>
            </w:pPr>
            <w:r>
              <w:rPr>
                <w:b/>
                <w:i w:val="0"/>
                <w:sz w:val="16"/>
              </w:rPr>
              <w:t>Available in SalesVerse 2.0 today</w:t>
            </w:r>
          </w:p>
        </w:tc>
        <w:tc>
          <w:tcPr>
            <w:tcW w:type="dxa" w:w="6803"/>
            <w:vAlign w:val="top"/>
          </w:tcPr>
          <w:p>
            <w:pPr>
              <w:spacing w:after="20" w:line="252" w:lineRule="auto"/>
            </w:pPr>
            <w:r>
              <w:rPr>
                <w:b w:val="0"/>
                <w:i w:val="0"/>
                <w:sz w:val="16"/>
              </w:rPr>
              <w:t>Works in the current platform; IIFT can see it in the demonstration.</w:t>
            </w:r>
          </w:p>
        </w:tc>
      </w:tr>
      <w:tr>
        <w:trPr>
          <w:cantSplit/>
        </w:trPr>
        <w:tc>
          <w:tcPr>
            <w:tcW w:type="dxa" w:w="2835"/>
            <w:vAlign w:val="top"/>
            <w:shd w:val="clear" w:color="auto" w:fill="FDF0F7"/>
          </w:tcPr>
          <w:p>
            <w:pPr>
              <w:spacing w:after="20" w:line="252" w:lineRule="auto"/>
            </w:pPr>
            <w:r>
              <w:rPr>
                <w:b/>
                <w:i w:val="0"/>
                <w:sz w:val="16"/>
              </w:rPr>
              <w:t>Configuration</w:t>
            </w:r>
          </w:p>
        </w:tc>
        <w:tc>
          <w:tcPr>
            <w:tcW w:type="dxa" w:w="6803"/>
            <w:vAlign w:val="top"/>
            <w:shd w:val="clear" w:color="auto" w:fill="FDF0F7"/>
          </w:tcPr>
          <w:p>
            <w:pPr>
              <w:spacing w:after="20" w:line="252" w:lineRule="auto"/>
            </w:pPr>
            <w:r>
              <w:rPr>
                <w:b w:val="0"/>
                <w:i w:val="0"/>
                <w:sz w:val="16"/>
              </w:rPr>
              <w:t>Supported by the platform; needs IIFT values, rates, templates or rules.</w:t>
            </w:r>
          </w:p>
        </w:tc>
      </w:tr>
      <w:tr>
        <w:trPr>
          <w:cantSplit/>
        </w:trPr>
        <w:tc>
          <w:tcPr>
            <w:tcW w:type="dxa" w:w="2835"/>
            <w:vAlign w:val="top"/>
          </w:tcPr>
          <w:p>
            <w:pPr>
              <w:spacing w:after="20" w:line="252" w:lineRule="auto"/>
            </w:pPr>
            <w:r>
              <w:rPr>
                <w:b/>
                <w:i w:val="0"/>
                <w:sz w:val="16"/>
              </w:rPr>
              <w:t>Integration with IIFT systems</w:t>
            </w:r>
          </w:p>
        </w:tc>
        <w:tc>
          <w:tcPr>
            <w:tcW w:type="dxa" w:w="6803"/>
            <w:vAlign w:val="top"/>
          </w:tcPr>
          <w:p>
            <w:pPr>
              <w:spacing w:after="20" w:line="252" w:lineRule="auto"/>
            </w:pPr>
            <w:r>
              <w:rPr>
                <w:b w:val="0"/>
                <w:i w:val="0"/>
                <w:sz w:val="16"/>
              </w:rPr>
              <w:t>Adapter built on the platform's integration layer; completed once IIFT provides endpoints and credentials.</w:t>
            </w:r>
          </w:p>
        </w:tc>
      </w:tr>
      <w:tr>
        <w:trPr>
          <w:cantSplit/>
        </w:trPr>
        <w:tc>
          <w:tcPr>
            <w:tcW w:type="dxa" w:w="2835"/>
            <w:vAlign w:val="top"/>
            <w:shd w:val="clear" w:color="auto" w:fill="FDF0F7"/>
          </w:tcPr>
          <w:p>
            <w:pPr>
              <w:spacing w:after="20" w:line="252" w:lineRule="auto"/>
            </w:pPr>
            <w:r>
              <w:rPr>
                <w:b/>
                <w:i w:val="0"/>
                <w:sz w:val="16"/>
              </w:rPr>
              <w:t>Delivered during implementation</w:t>
            </w:r>
          </w:p>
        </w:tc>
        <w:tc>
          <w:tcPr>
            <w:tcW w:type="dxa" w:w="6803"/>
            <w:vAlign w:val="top"/>
            <w:shd w:val="clear" w:color="auto" w:fill="FDF0F7"/>
          </w:tcPr>
          <w:p>
            <w:pPr>
              <w:spacing w:after="20" w:line="252" w:lineRule="auto"/>
            </w:pPr>
            <w:r>
              <w:rPr>
                <w:b w:val="0"/>
                <w:i w:val="0"/>
                <w:sz w:val="16"/>
              </w:rPr>
              <w:t>Work or services performed during the project or, for MNT items, during maintenance.</w:t>
            </w:r>
          </w:p>
        </w:tc>
      </w:tr>
    </w:tbl>
    <w:p>
      <w:pPr>
        <w:spacing w:after="0" w:before="0"/>
      </w:pPr>
      <w:r>
        <w:rPr>
          <w:sz w:val="8"/>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1247"/>
        <w:gridCol w:w="1247"/>
        <w:gridCol w:w="1247"/>
        <w:gridCol w:w="1360"/>
        <w:gridCol w:w="1134"/>
      </w:tblGrid>
      <w:tr>
        <w:trPr>
          <w:cantSplit/>
          <w:tblHeader/>
        </w:trPr>
        <w:tc>
          <w:tcPr>
            <w:tcW w:type="dxa" w:w="3402"/>
            <w:shd w:val="clear" w:color="auto" w:fill="E1058C"/>
            <w:vAlign w:val="center"/>
          </w:tcPr>
          <w:p>
            <w:pPr>
              <w:spacing w:after="0"/>
            </w:pPr>
            <w:r>
              <w:rPr>
                <w:b/>
                <w:i w:val="0"/>
                <w:color w:val="FFFFFF"/>
                <w:sz w:val="16"/>
              </w:rPr>
              <w:t>RFP area</w:t>
            </w:r>
          </w:p>
        </w:tc>
        <w:tc>
          <w:tcPr>
            <w:tcW w:type="dxa" w:w="1247"/>
            <w:shd w:val="clear" w:color="auto" w:fill="E1058C"/>
            <w:vAlign w:val="center"/>
          </w:tcPr>
          <w:p>
            <w:pPr>
              <w:spacing w:after="0"/>
            </w:pPr>
            <w:r>
              <w:rPr>
                <w:b/>
                <w:i w:val="0"/>
                <w:color w:val="FFFFFF"/>
                <w:sz w:val="16"/>
              </w:rPr>
              <w:t>Available today</w:t>
            </w:r>
          </w:p>
        </w:tc>
        <w:tc>
          <w:tcPr>
            <w:tcW w:type="dxa" w:w="1247"/>
            <w:shd w:val="clear" w:color="auto" w:fill="E1058C"/>
            <w:vAlign w:val="center"/>
          </w:tcPr>
          <w:p>
            <w:pPr>
              <w:spacing w:after="0"/>
            </w:pPr>
            <w:r>
              <w:rPr>
                <w:b/>
                <w:i w:val="0"/>
                <w:color w:val="FFFFFF"/>
                <w:sz w:val="16"/>
              </w:rPr>
              <w:t>Configuration</w:t>
            </w:r>
          </w:p>
        </w:tc>
        <w:tc>
          <w:tcPr>
            <w:tcW w:type="dxa" w:w="1247"/>
            <w:shd w:val="clear" w:color="auto" w:fill="E1058C"/>
            <w:vAlign w:val="center"/>
          </w:tcPr>
          <w:p>
            <w:pPr>
              <w:spacing w:after="0"/>
            </w:pPr>
            <w:r>
              <w:rPr>
                <w:b/>
                <w:i w:val="0"/>
                <w:color w:val="FFFFFF"/>
                <w:sz w:val="16"/>
              </w:rPr>
              <w:t>Integration</w:t>
            </w:r>
          </w:p>
        </w:tc>
        <w:tc>
          <w:tcPr>
            <w:tcW w:type="dxa" w:w="1361"/>
            <w:shd w:val="clear" w:color="auto" w:fill="E1058C"/>
            <w:vAlign w:val="center"/>
          </w:tcPr>
          <w:p>
            <w:pPr>
              <w:spacing w:after="0"/>
            </w:pPr>
            <w:r>
              <w:rPr>
                <w:b/>
                <w:i w:val="0"/>
                <w:color w:val="FFFFFF"/>
                <w:sz w:val="16"/>
              </w:rPr>
              <w:t>During implementation</w:t>
            </w:r>
          </w:p>
        </w:tc>
        <w:tc>
          <w:tcPr>
            <w:tcW w:type="dxa" w:w="1134"/>
            <w:shd w:val="clear" w:color="auto" w:fill="E1058C"/>
            <w:vAlign w:val="center"/>
          </w:tcPr>
          <w:p>
            <w:pPr>
              <w:spacing w:after="0"/>
            </w:pPr>
            <w:r>
              <w:rPr>
                <w:b/>
                <w:i w:val="0"/>
                <w:color w:val="FFFFFF"/>
                <w:sz w:val="16"/>
              </w:rPr>
              <w:t>Total</w:t>
            </w:r>
          </w:p>
        </w:tc>
      </w:tr>
      <w:tr>
        <w:trPr>
          <w:cantSplit/>
        </w:trPr>
        <w:tc>
          <w:tcPr>
            <w:tcW w:type="dxa" w:w="3402"/>
            <w:vAlign w:val="top"/>
          </w:tcPr>
          <w:p>
            <w:pPr>
              <w:spacing w:after="20" w:line="252" w:lineRule="auto"/>
            </w:pPr>
            <w:r>
              <w:rPr>
                <w:b w:val="0"/>
                <w:i w:val="0"/>
                <w:sz w:val="16"/>
              </w:rPr>
              <w:t>Agent/Banca Portal (RFP 4.1)</w:t>
            </w:r>
          </w:p>
        </w:tc>
        <w:tc>
          <w:tcPr>
            <w:tcW w:type="dxa" w:w="1247"/>
            <w:vAlign w:val="top"/>
          </w:tcPr>
          <w:p>
            <w:pPr>
              <w:spacing w:after="20" w:line="252" w:lineRule="auto"/>
              <w:jc w:val="center"/>
            </w:pPr>
            <w:r>
              <w:rPr>
                <w:b w:val="0"/>
                <w:i w:val="0"/>
                <w:sz w:val="16"/>
              </w:rPr>
              <w:t>49</w:t>
            </w:r>
          </w:p>
        </w:tc>
        <w:tc>
          <w:tcPr>
            <w:tcW w:type="dxa" w:w="1247"/>
            <w:vAlign w:val="top"/>
          </w:tcPr>
          <w:p>
            <w:pPr>
              <w:spacing w:after="20" w:line="252" w:lineRule="auto"/>
              <w:jc w:val="center"/>
            </w:pPr>
            <w:r>
              <w:rPr>
                <w:b w:val="0"/>
                <w:i w:val="0"/>
                <w:sz w:val="16"/>
              </w:rPr>
              <w:t>12</w:t>
            </w:r>
          </w:p>
        </w:tc>
        <w:tc>
          <w:tcPr>
            <w:tcW w:type="dxa" w:w="1247"/>
            <w:vAlign w:val="top"/>
          </w:tcPr>
          <w:p>
            <w:pPr>
              <w:spacing w:after="20" w:line="252" w:lineRule="auto"/>
              <w:jc w:val="center"/>
            </w:pPr>
            <w:r>
              <w:rPr>
                <w:b w:val="0"/>
                <w:i w:val="0"/>
                <w:sz w:val="16"/>
              </w:rPr>
              <w:t>1</w:t>
            </w:r>
          </w:p>
        </w:tc>
        <w:tc>
          <w:tcPr>
            <w:tcW w:type="dxa" w:w="1361"/>
            <w:vAlign w:val="top"/>
          </w:tcPr>
          <w:p>
            <w:pPr>
              <w:spacing w:after="20" w:line="252" w:lineRule="auto"/>
              <w:jc w:val="center"/>
            </w:pPr>
            <w:r>
              <w:rPr>
                <w:b w:val="0"/>
                <w:i w:val="0"/>
                <w:sz w:val="16"/>
              </w:rPr>
              <w:t>0</w:t>
            </w:r>
          </w:p>
        </w:tc>
        <w:tc>
          <w:tcPr>
            <w:tcW w:type="dxa" w:w="1134"/>
            <w:vAlign w:val="top"/>
          </w:tcPr>
          <w:p>
            <w:pPr>
              <w:spacing w:after="20" w:line="252" w:lineRule="auto"/>
              <w:jc w:val="center"/>
            </w:pPr>
            <w:r>
              <w:rPr>
                <w:b w:val="0"/>
                <w:i w:val="0"/>
                <w:sz w:val="16"/>
              </w:rPr>
              <w:t>62</w:t>
            </w:r>
          </w:p>
        </w:tc>
      </w:tr>
      <w:tr>
        <w:trPr>
          <w:cantSplit/>
        </w:trPr>
        <w:tc>
          <w:tcPr>
            <w:tcW w:type="dxa" w:w="3402"/>
            <w:vAlign w:val="top"/>
            <w:shd w:val="clear" w:color="auto" w:fill="FDF0F7"/>
          </w:tcPr>
          <w:p>
            <w:pPr>
              <w:spacing w:after="20" w:line="252" w:lineRule="auto"/>
            </w:pPr>
            <w:r>
              <w:rPr>
                <w:b w:val="0"/>
                <w:i w:val="0"/>
                <w:sz w:val="16"/>
              </w:rPr>
              <w:t>Back-office (RFP 4.2)</w:t>
            </w:r>
          </w:p>
        </w:tc>
        <w:tc>
          <w:tcPr>
            <w:tcW w:type="dxa" w:w="1247"/>
            <w:vAlign w:val="top"/>
            <w:shd w:val="clear" w:color="auto" w:fill="FDF0F7"/>
          </w:tcPr>
          <w:p>
            <w:pPr>
              <w:spacing w:after="20" w:line="252" w:lineRule="auto"/>
              <w:jc w:val="center"/>
            </w:pPr>
            <w:r>
              <w:rPr>
                <w:b w:val="0"/>
                <w:i w:val="0"/>
                <w:sz w:val="16"/>
              </w:rPr>
              <w:t>27</w:t>
            </w:r>
          </w:p>
        </w:tc>
        <w:tc>
          <w:tcPr>
            <w:tcW w:type="dxa" w:w="1247"/>
            <w:vAlign w:val="top"/>
            <w:shd w:val="clear" w:color="auto" w:fill="FDF0F7"/>
          </w:tcPr>
          <w:p>
            <w:pPr>
              <w:spacing w:after="20" w:line="252" w:lineRule="auto"/>
              <w:jc w:val="center"/>
            </w:pPr>
            <w:r>
              <w:rPr>
                <w:b w:val="0"/>
                <w:i w:val="0"/>
                <w:sz w:val="16"/>
              </w:rPr>
              <w:t>6</w:t>
            </w:r>
          </w:p>
        </w:tc>
        <w:tc>
          <w:tcPr>
            <w:tcW w:type="dxa" w:w="1247"/>
            <w:vAlign w:val="top"/>
            <w:shd w:val="clear" w:color="auto" w:fill="FDF0F7"/>
          </w:tcPr>
          <w:p>
            <w:pPr>
              <w:spacing w:after="20" w:line="252" w:lineRule="auto"/>
              <w:jc w:val="center"/>
            </w:pPr>
            <w:r>
              <w:rPr>
                <w:b w:val="0"/>
                <w:i w:val="0"/>
                <w:sz w:val="16"/>
              </w:rPr>
              <w:t>0</w:t>
            </w:r>
          </w:p>
        </w:tc>
        <w:tc>
          <w:tcPr>
            <w:tcW w:type="dxa" w:w="1361"/>
            <w:vAlign w:val="top"/>
            <w:shd w:val="clear" w:color="auto" w:fill="FDF0F7"/>
          </w:tcPr>
          <w:p>
            <w:pPr>
              <w:spacing w:after="20" w:line="252" w:lineRule="auto"/>
              <w:jc w:val="center"/>
            </w:pPr>
            <w:r>
              <w:rPr>
                <w:b w:val="0"/>
                <w:i w:val="0"/>
                <w:sz w:val="16"/>
              </w:rPr>
              <w:t>0</w:t>
            </w:r>
          </w:p>
        </w:tc>
        <w:tc>
          <w:tcPr>
            <w:tcW w:type="dxa" w:w="1134"/>
            <w:vAlign w:val="top"/>
            <w:shd w:val="clear" w:color="auto" w:fill="FDF0F7"/>
          </w:tcPr>
          <w:p>
            <w:pPr>
              <w:spacing w:after="20" w:line="252" w:lineRule="auto"/>
              <w:jc w:val="center"/>
            </w:pPr>
            <w:r>
              <w:rPr>
                <w:b w:val="0"/>
                <w:i w:val="0"/>
                <w:sz w:val="16"/>
              </w:rPr>
              <w:t>33</w:t>
            </w:r>
          </w:p>
        </w:tc>
      </w:tr>
      <w:tr>
        <w:trPr>
          <w:cantSplit/>
        </w:trPr>
        <w:tc>
          <w:tcPr>
            <w:tcW w:type="dxa" w:w="3402"/>
            <w:vAlign w:val="top"/>
          </w:tcPr>
          <w:p>
            <w:pPr>
              <w:spacing w:after="20" w:line="252" w:lineRule="auto"/>
            </w:pPr>
            <w:r>
              <w:rPr>
                <w:b w:val="0"/>
                <w:i w:val="0"/>
                <w:sz w:val="16"/>
              </w:rPr>
              <w:t>Integration (RFP 4.3)</w:t>
            </w:r>
          </w:p>
        </w:tc>
        <w:tc>
          <w:tcPr>
            <w:tcW w:type="dxa" w:w="1247"/>
            <w:vAlign w:val="top"/>
          </w:tcPr>
          <w:p>
            <w:pPr>
              <w:spacing w:after="20" w:line="252" w:lineRule="auto"/>
              <w:jc w:val="center"/>
            </w:pPr>
            <w:r>
              <w:rPr>
                <w:b w:val="0"/>
                <w:i w:val="0"/>
                <w:sz w:val="16"/>
              </w:rPr>
              <w:t>6</w:t>
            </w:r>
          </w:p>
        </w:tc>
        <w:tc>
          <w:tcPr>
            <w:tcW w:type="dxa" w:w="1247"/>
            <w:vAlign w:val="top"/>
          </w:tcPr>
          <w:p>
            <w:pPr>
              <w:spacing w:after="20" w:line="252" w:lineRule="auto"/>
              <w:jc w:val="center"/>
            </w:pPr>
            <w:r>
              <w:rPr>
                <w:b w:val="0"/>
                <w:i w:val="0"/>
                <w:sz w:val="16"/>
              </w:rPr>
              <w:t>0</w:t>
            </w:r>
          </w:p>
        </w:tc>
        <w:tc>
          <w:tcPr>
            <w:tcW w:type="dxa" w:w="1247"/>
            <w:vAlign w:val="top"/>
          </w:tcPr>
          <w:p>
            <w:pPr>
              <w:spacing w:after="20" w:line="252" w:lineRule="auto"/>
              <w:jc w:val="center"/>
            </w:pPr>
            <w:r>
              <w:rPr>
                <w:b w:val="0"/>
                <w:i w:val="0"/>
                <w:sz w:val="16"/>
              </w:rPr>
              <w:t>9</w:t>
            </w:r>
          </w:p>
        </w:tc>
        <w:tc>
          <w:tcPr>
            <w:tcW w:type="dxa" w:w="1361"/>
            <w:vAlign w:val="top"/>
          </w:tcPr>
          <w:p>
            <w:pPr>
              <w:spacing w:after="20" w:line="252" w:lineRule="auto"/>
              <w:jc w:val="center"/>
            </w:pPr>
            <w:r>
              <w:rPr>
                <w:b w:val="0"/>
                <w:i w:val="0"/>
                <w:sz w:val="16"/>
              </w:rPr>
              <w:t>0</w:t>
            </w:r>
          </w:p>
        </w:tc>
        <w:tc>
          <w:tcPr>
            <w:tcW w:type="dxa" w:w="1134"/>
            <w:vAlign w:val="top"/>
          </w:tcPr>
          <w:p>
            <w:pPr>
              <w:spacing w:after="20" w:line="252" w:lineRule="auto"/>
              <w:jc w:val="center"/>
            </w:pPr>
            <w:r>
              <w:rPr>
                <w:b w:val="0"/>
                <w:i w:val="0"/>
                <w:sz w:val="16"/>
              </w:rPr>
              <w:t>15</w:t>
            </w:r>
          </w:p>
        </w:tc>
      </w:tr>
      <w:tr>
        <w:trPr>
          <w:cantSplit/>
        </w:trPr>
        <w:tc>
          <w:tcPr>
            <w:tcW w:type="dxa" w:w="3402"/>
            <w:vAlign w:val="top"/>
            <w:shd w:val="clear" w:color="auto" w:fill="FDF0F7"/>
          </w:tcPr>
          <w:p>
            <w:pPr>
              <w:spacing w:after="20" w:line="252" w:lineRule="auto"/>
            </w:pPr>
            <w:r>
              <w:rPr>
                <w:b w:val="0"/>
                <w:i w:val="0"/>
                <w:sz w:val="16"/>
              </w:rPr>
              <w:t>Shared platform (RFP 4.4)</w:t>
            </w:r>
          </w:p>
        </w:tc>
        <w:tc>
          <w:tcPr>
            <w:tcW w:type="dxa" w:w="1247"/>
            <w:vAlign w:val="top"/>
            <w:shd w:val="clear" w:color="auto" w:fill="FDF0F7"/>
          </w:tcPr>
          <w:p>
            <w:pPr>
              <w:spacing w:after="20" w:line="252" w:lineRule="auto"/>
              <w:jc w:val="center"/>
            </w:pPr>
            <w:r>
              <w:rPr>
                <w:b w:val="0"/>
                <w:i w:val="0"/>
                <w:sz w:val="16"/>
              </w:rPr>
              <w:t>8</w:t>
            </w:r>
          </w:p>
        </w:tc>
        <w:tc>
          <w:tcPr>
            <w:tcW w:type="dxa" w:w="1247"/>
            <w:vAlign w:val="top"/>
            <w:shd w:val="clear" w:color="auto" w:fill="FDF0F7"/>
          </w:tcPr>
          <w:p>
            <w:pPr>
              <w:spacing w:after="20" w:line="252" w:lineRule="auto"/>
              <w:jc w:val="center"/>
            </w:pPr>
            <w:r>
              <w:rPr>
                <w:b w:val="0"/>
                <w:i w:val="0"/>
                <w:sz w:val="16"/>
              </w:rPr>
              <w:t>2</w:t>
            </w:r>
          </w:p>
        </w:tc>
        <w:tc>
          <w:tcPr>
            <w:tcW w:type="dxa" w:w="1247"/>
            <w:vAlign w:val="top"/>
            <w:shd w:val="clear" w:color="auto" w:fill="FDF0F7"/>
          </w:tcPr>
          <w:p>
            <w:pPr>
              <w:spacing w:after="20" w:line="252" w:lineRule="auto"/>
              <w:jc w:val="center"/>
            </w:pPr>
            <w:r>
              <w:rPr>
                <w:b w:val="0"/>
                <w:i w:val="0"/>
                <w:sz w:val="16"/>
              </w:rPr>
              <w:t>0</w:t>
            </w:r>
          </w:p>
        </w:tc>
        <w:tc>
          <w:tcPr>
            <w:tcW w:type="dxa" w:w="1361"/>
            <w:vAlign w:val="top"/>
            <w:shd w:val="clear" w:color="auto" w:fill="FDF0F7"/>
          </w:tcPr>
          <w:p>
            <w:pPr>
              <w:spacing w:after="20" w:line="252" w:lineRule="auto"/>
              <w:jc w:val="center"/>
            </w:pPr>
            <w:r>
              <w:rPr>
                <w:b w:val="0"/>
                <w:i w:val="0"/>
                <w:sz w:val="16"/>
              </w:rPr>
              <w:t>0</w:t>
            </w:r>
          </w:p>
        </w:tc>
        <w:tc>
          <w:tcPr>
            <w:tcW w:type="dxa" w:w="1134"/>
            <w:vAlign w:val="top"/>
            <w:shd w:val="clear" w:color="auto" w:fill="FDF0F7"/>
          </w:tcPr>
          <w:p>
            <w:pPr>
              <w:spacing w:after="20" w:line="252" w:lineRule="auto"/>
              <w:jc w:val="center"/>
            </w:pPr>
            <w:r>
              <w:rPr>
                <w:b w:val="0"/>
                <w:i w:val="0"/>
                <w:sz w:val="16"/>
              </w:rPr>
              <w:t>10</w:t>
            </w:r>
          </w:p>
        </w:tc>
      </w:tr>
      <w:tr>
        <w:trPr>
          <w:cantSplit/>
        </w:trPr>
        <w:tc>
          <w:tcPr>
            <w:tcW w:type="dxa" w:w="3402"/>
            <w:vAlign w:val="top"/>
          </w:tcPr>
          <w:p>
            <w:pPr>
              <w:spacing w:after="20" w:line="252" w:lineRule="auto"/>
            </w:pPr>
            <w:r>
              <w:rPr>
                <w:b w:val="0"/>
                <w:i w:val="0"/>
                <w:sz w:val="16"/>
              </w:rPr>
              <w:t>Non-functional (RFP 5)</w:t>
            </w:r>
          </w:p>
        </w:tc>
        <w:tc>
          <w:tcPr>
            <w:tcW w:type="dxa" w:w="1247"/>
            <w:vAlign w:val="top"/>
          </w:tcPr>
          <w:p>
            <w:pPr>
              <w:spacing w:after="20" w:line="252" w:lineRule="auto"/>
              <w:jc w:val="center"/>
            </w:pPr>
            <w:r>
              <w:rPr>
                <w:b w:val="0"/>
                <w:i w:val="0"/>
                <w:sz w:val="16"/>
              </w:rPr>
              <w:t>15</w:t>
            </w:r>
          </w:p>
        </w:tc>
        <w:tc>
          <w:tcPr>
            <w:tcW w:type="dxa" w:w="1247"/>
            <w:vAlign w:val="top"/>
          </w:tcPr>
          <w:p>
            <w:pPr>
              <w:spacing w:after="20" w:line="252" w:lineRule="auto"/>
              <w:jc w:val="center"/>
            </w:pPr>
            <w:r>
              <w:rPr>
                <w:b w:val="0"/>
                <w:i w:val="0"/>
                <w:sz w:val="16"/>
              </w:rPr>
              <w:t>1</w:t>
            </w:r>
          </w:p>
        </w:tc>
        <w:tc>
          <w:tcPr>
            <w:tcW w:type="dxa" w:w="1247"/>
            <w:vAlign w:val="top"/>
          </w:tcPr>
          <w:p>
            <w:pPr>
              <w:spacing w:after="20" w:line="252" w:lineRule="auto"/>
              <w:jc w:val="center"/>
            </w:pPr>
            <w:r>
              <w:rPr>
                <w:b w:val="0"/>
                <w:i w:val="0"/>
                <w:sz w:val="16"/>
              </w:rPr>
              <w:t>0</w:t>
            </w:r>
          </w:p>
        </w:tc>
        <w:tc>
          <w:tcPr>
            <w:tcW w:type="dxa" w:w="1361"/>
            <w:vAlign w:val="top"/>
          </w:tcPr>
          <w:p>
            <w:pPr>
              <w:spacing w:after="20" w:line="252" w:lineRule="auto"/>
              <w:jc w:val="center"/>
            </w:pPr>
            <w:r>
              <w:rPr>
                <w:b w:val="0"/>
                <w:i w:val="0"/>
                <w:sz w:val="16"/>
              </w:rPr>
              <w:t>14</w:t>
            </w:r>
          </w:p>
        </w:tc>
        <w:tc>
          <w:tcPr>
            <w:tcW w:type="dxa" w:w="1134"/>
            <w:vAlign w:val="top"/>
          </w:tcPr>
          <w:p>
            <w:pPr>
              <w:spacing w:after="20" w:line="252" w:lineRule="auto"/>
              <w:jc w:val="center"/>
            </w:pPr>
            <w:r>
              <w:rPr>
                <w:b w:val="0"/>
                <w:i w:val="0"/>
                <w:sz w:val="16"/>
              </w:rPr>
              <w:t>30</w:t>
            </w:r>
          </w:p>
        </w:tc>
      </w:tr>
      <w:tr>
        <w:trPr>
          <w:cantSplit/>
        </w:trPr>
        <w:tc>
          <w:tcPr>
            <w:tcW w:type="dxa" w:w="3402"/>
            <w:vAlign w:val="top"/>
            <w:shd w:val="clear" w:color="auto" w:fill="FDF0F7"/>
          </w:tcPr>
          <w:p>
            <w:pPr>
              <w:spacing w:after="20" w:line="252" w:lineRule="auto"/>
            </w:pPr>
            <w:r>
              <w:rPr>
                <w:b w:val="0"/>
                <w:i w:val="0"/>
                <w:sz w:val="16"/>
              </w:rPr>
              <w:t>Deliverables (RFP 7)</w:t>
            </w:r>
          </w:p>
        </w:tc>
        <w:tc>
          <w:tcPr>
            <w:tcW w:type="dxa" w:w="1247"/>
            <w:vAlign w:val="top"/>
            <w:shd w:val="clear" w:color="auto" w:fill="FDF0F7"/>
          </w:tcPr>
          <w:p>
            <w:pPr>
              <w:spacing w:after="20" w:line="252" w:lineRule="auto"/>
              <w:jc w:val="center"/>
            </w:pPr>
            <w:r>
              <w:rPr>
                <w:b w:val="0"/>
                <w:i w:val="0"/>
                <w:sz w:val="16"/>
              </w:rPr>
              <w:t>0</w:t>
            </w:r>
          </w:p>
        </w:tc>
        <w:tc>
          <w:tcPr>
            <w:tcW w:type="dxa" w:w="1247"/>
            <w:vAlign w:val="top"/>
            <w:shd w:val="clear" w:color="auto" w:fill="FDF0F7"/>
          </w:tcPr>
          <w:p>
            <w:pPr>
              <w:spacing w:after="20" w:line="252" w:lineRule="auto"/>
              <w:jc w:val="center"/>
            </w:pPr>
            <w:r>
              <w:rPr>
                <w:b w:val="0"/>
                <w:i w:val="0"/>
                <w:sz w:val="16"/>
              </w:rPr>
              <w:t>0</w:t>
            </w:r>
          </w:p>
        </w:tc>
        <w:tc>
          <w:tcPr>
            <w:tcW w:type="dxa" w:w="1247"/>
            <w:vAlign w:val="top"/>
            <w:shd w:val="clear" w:color="auto" w:fill="FDF0F7"/>
          </w:tcPr>
          <w:p>
            <w:pPr>
              <w:spacing w:after="20" w:line="252" w:lineRule="auto"/>
              <w:jc w:val="center"/>
            </w:pPr>
            <w:r>
              <w:rPr>
                <w:b w:val="0"/>
                <w:i w:val="0"/>
                <w:sz w:val="16"/>
              </w:rPr>
              <w:t>0</w:t>
            </w:r>
          </w:p>
        </w:tc>
        <w:tc>
          <w:tcPr>
            <w:tcW w:type="dxa" w:w="1361"/>
            <w:vAlign w:val="top"/>
            <w:shd w:val="clear" w:color="auto" w:fill="FDF0F7"/>
          </w:tcPr>
          <w:p>
            <w:pPr>
              <w:spacing w:after="20" w:line="252" w:lineRule="auto"/>
              <w:jc w:val="center"/>
            </w:pPr>
            <w:r>
              <w:rPr>
                <w:b w:val="0"/>
                <w:i w:val="0"/>
                <w:sz w:val="16"/>
              </w:rPr>
              <w:t>30</w:t>
            </w:r>
          </w:p>
        </w:tc>
        <w:tc>
          <w:tcPr>
            <w:tcW w:type="dxa" w:w="1134"/>
            <w:vAlign w:val="top"/>
            <w:shd w:val="clear" w:color="auto" w:fill="FDF0F7"/>
          </w:tcPr>
          <w:p>
            <w:pPr>
              <w:spacing w:after="20" w:line="252" w:lineRule="auto"/>
              <w:jc w:val="center"/>
            </w:pPr>
            <w:r>
              <w:rPr>
                <w:b w:val="0"/>
                <w:i w:val="0"/>
                <w:sz w:val="16"/>
              </w:rPr>
              <w:t>30</w:t>
            </w:r>
          </w:p>
        </w:tc>
      </w:tr>
      <w:tr>
        <w:trPr>
          <w:cantSplit/>
        </w:trPr>
        <w:tc>
          <w:tcPr>
            <w:tcW w:type="dxa" w:w="3402"/>
            <w:vAlign w:val="top"/>
          </w:tcPr>
          <w:p>
            <w:pPr>
              <w:spacing w:after="20" w:line="252" w:lineRule="auto"/>
            </w:pPr>
            <w:r>
              <w:rPr>
                <w:b w:val="0"/>
                <w:i w:val="0"/>
                <w:sz w:val="16"/>
              </w:rPr>
              <w:t>Maintenance and support (RFP 8)</w:t>
            </w:r>
          </w:p>
        </w:tc>
        <w:tc>
          <w:tcPr>
            <w:tcW w:type="dxa" w:w="1247"/>
            <w:vAlign w:val="top"/>
          </w:tcPr>
          <w:p>
            <w:pPr>
              <w:spacing w:after="20" w:line="252" w:lineRule="auto"/>
              <w:jc w:val="center"/>
            </w:pPr>
            <w:r>
              <w:rPr>
                <w:b w:val="0"/>
                <w:i w:val="0"/>
                <w:sz w:val="16"/>
              </w:rPr>
              <w:t>0</w:t>
            </w:r>
          </w:p>
        </w:tc>
        <w:tc>
          <w:tcPr>
            <w:tcW w:type="dxa" w:w="1247"/>
            <w:vAlign w:val="top"/>
          </w:tcPr>
          <w:p>
            <w:pPr>
              <w:spacing w:after="20" w:line="252" w:lineRule="auto"/>
              <w:jc w:val="center"/>
            </w:pPr>
            <w:r>
              <w:rPr>
                <w:b w:val="0"/>
                <w:i w:val="0"/>
                <w:sz w:val="16"/>
              </w:rPr>
              <w:t>0</w:t>
            </w:r>
          </w:p>
        </w:tc>
        <w:tc>
          <w:tcPr>
            <w:tcW w:type="dxa" w:w="1247"/>
            <w:vAlign w:val="top"/>
          </w:tcPr>
          <w:p>
            <w:pPr>
              <w:spacing w:after="20" w:line="252" w:lineRule="auto"/>
              <w:jc w:val="center"/>
            </w:pPr>
            <w:r>
              <w:rPr>
                <w:b w:val="0"/>
                <w:i w:val="0"/>
                <w:sz w:val="16"/>
              </w:rPr>
              <w:t>0</w:t>
            </w:r>
          </w:p>
        </w:tc>
        <w:tc>
          <w:tcPr>
            <w:tcW w:type="dxa" w:w="1361"/>
            <w:vAlign w:val="top"/>
          </w:tcPr>
          <w:p>
            <w:pPr>
              <w:spacing w:after="20" w:line="252" w:lineRule="auto"/>
              <w:jc w:val="center"/>
            </w:pPr>
            <w:r>
              <w:rPr>
                <w:b w:val="0"/>
                <w:i w:val="0"/>
                <w:sz w:val="16"/>
              </w:rPr>
              <w:t>30</w:t>
            </w:r>
          </w:p>
        </w:tc>
        <w:tc>
          <w:tcPr>
            <w:tcW w:type="dxa" w:w="1134"/>
            <w:vAlign w:val="top"/>
          </w:tcPr>
          <w:p>
            <w:pPr>
              <w:spacing w:after="20" w:line="252" w:lineRule="auto"/>
              <w:jc w:val="center"/>
            </w:pPr>
            <w:r>
              <w:rPr>
                <w:b w:val="0"/>
                <w:i w:val="0"/>
                <w:sz w:val="16"/>
              </w:rPr>
              <w:t>30</w:t>
            </w:r>
          </w:p>
        </w:tc>
      </w:tr>
      <w:tr>
        <w:trPr>
          <w:cantSplit/>
        </w:trPr>
        <w:tc>
          <w:tcPr>
            <w:tcW w:type="dxa" w:w="3402"/>
            <w:vAlign w:val="top"/>
            <w:shd w:val="clear" w:color="auto" w:fill="FEEBDD"/>
          </w:tcPr>
          <w:p>
            <w:pPr>
              <w:spacing w:after="20" w:line="252" w:lineRule="auto"/>
            </w:pPr>
            <w:r>
              <w:rPr>
                <w:b/>
                <w:i w:val="0"/>
                <w:sz w:val="16"/>
              </w:rPr>
              <w:t>Total</w:t>
            </w:r>
          </w:p>
        </w:tc>
        <w:tc>
          <w:tcPr>
            <w:tcW w:type="dxa" w:w="1247"/>
            <w:vAlign w:val="top"/>
            <w:shd w:val="clear" w:color="auto" w:fill="FEEBDD"/>
          </w:tcPr>
          <w:p>
            <w:pPr>
              <w:spacing w:after="20" w:line="252" w:lineRule="auto"/>
              <w:jc w:val="center"/>
            </w:pPr>
            <w:r>
              <w:rPr>
                <w:b/>
                <w:i w:val="0"/>
                <w:sz w:val="16"/>
              </w:rPr>
              <w:t>105</w:t>
            </w:r>
          </w:p>
        </w:tc>
        <w:tc>
          <w:tcPr>
            <w:tcW w:type="dxa" w:w="1247"/>
            <w:vAlign w:val="top"/>
            <w:shd w:val="clear" w:color="auto" w:fill="FEEBDD"/>
          </w:tcPr>
          <w:p>
            <w:pPr>
              <w:spacing w:after="20" w:line="252" w:lineRule="auto"/>
              <w:jc w:val="center"/>
            </w:pPr>
            <w:r>
              <w:rPr>
                <w:b/>
                <w:i w:val="0"/>
                <w:sz w:val="16"/>
              </w:rPr>
              <w:t>21</w:t>
            </w:r>
          </w:p>
        </w:tc>
        <w:tc>
          <w:tcPr>
            <w:tcW w:type="dxa" w:w="1247"/>
            <w:vAlign w:val="top"/>
            <w:shd w:val="clear" w:color="auto" w:fill="FEEBDD"/>
          </w:tcPr>
          <w:p>
            <w:pPr>
              <w:spacing w:after="20" w:line="252" w:lineRule="auto"/>
              <w:jc w:val="center"/>
            </w:pPr>
            <w:r>
              <w:rPr>
                <w:b/>
                <w:i w:val="0"/>
                <w:sz w:val="16"/>
              </w:rPr>
              <w:t>10</w:t>
            </w:r>
          </w:p>
        </w:tc>
        <w:tc>
          <w:tcPr>
            <w:tcW w:type="dxa" w:w="1361"/>
            <w:vAlign w:val="top"/>
            <w:shd w:val="clear" w:color="auto" w:fill="FEEBDD"/>
          </w:tcPr>
          <w:p>
            <w:pPr>
              <w:spacing w:after="20" w:line="252" w:lineRule="auto"/>
              <w:jc w:val="center"/>
            </w:pPr>
            <w:r>
              <w:rPr>
                <w:b/>
                <w:i w:val="0"/>
                <w:sz w:val="16"/>
              </w:rPr>
              <w:t>74</w:t>
            </w:r>
          </w:p>
        </w:tc>
        <w:tc>
          <w:tcPr>
            <w:tcW w:type="dxa" w:w="1134"/>
            <w:vAlign w:val="top"/>
            <w:shd w:val="clear" w:color="auto" w:fill="FEEBDD"/>
          </w:tcPr>
          <w:p>
            <w:pPr>
              <w:spacing w:after="20" w:line="252" w:lineRule="auto"/>
              <w:jc w:val="center"/>
            </w:pPr>
            <w:r>
              <w:rPr>
                <w:b/>
                <w:i w:val="0"/>
                <w:sz w:val="16"/>
              </w:rPr>
              <w:t>210</w:t>
            </w:r>
          </w:p>
        </w:tc>
      </w:tr>
    </w:tbl>
    <w:p>
      <w:pPr>
        <w:pStyle w:val="Caption"/>
        <w:jc w:val="center"/>
      </w:pPr>
      <w:r>
        <w:rPr>
          <w:b w:val="0"/>
          <w:i w:val="0"/>
        </w:rPr>
        <w:t>Table 9: Fitment by RFP area (number of requirement IDs)</w:t>
      </w:r>
    </w:p>
    <w:p>
      <w:pPr>
        <w:keepNext w:val="0"/>
      </w:pPr>
      <w:r>
        <w:rPr>
          <w:b w:val="0"/>
          <w:i w:val="0"/>
        </w:rPr>
        <w:t>The 24 commercial requirements (RFP section 6) are contractual commitments rather than functions; they are answered in Section 19 and listed in Annex A without a fitment category.</w:t>
      </w:r>
    </w:p>
    <w:p>
      <w:pPr>
        <w:pStyle w:val="Heading2"/>
      </w:pPr>
      <w:r>
        <w:t>6.1 What runs today and what is completed in the project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195"/>
        <w:gridCol w:w="3628"/>
      </w:tblGrid>
      <w:tr>
        <w:trPr>
          <w:cantSplit/>
          <w:tblHeader/>
        </w:trPr>
        <w:tc>
          <w:tcPr>
            <w:tcW w:type="dxa" w:w="1814"/>
            <w:shd w:val="clear" w:color="auto" w:fill="E1058C"/>
            <w:vAlign w:val="center"/>
          </w:tcPr>
          <w:p>
            <w:pPr>
              <w:spacing w:after="0"/>
            </w:pPr>
            <w:r>
              <w:rPr>
                <w:b/>
                <w:i w:val="0"/>
                <w:color w:val="FFFFFF"/>
                <w:sz w:val="16"/>
              </w:rPr>
              <w:t>Capability</w:t>
            </w:r>
          </w:p>
        </w:tc>
        <w:tc>
          <w:tcPr>
            <w:tcW w:type="dxa" w:w="4195"/>
            <w:shd w:val="clear" w:color="auto" w:fill="E1058C"/>
            <w:vAlign w:val="center"/>
          </w:tcPr>
          <w:p>
            <w:pPr>
              <w:spacing w:after="0"/>
            </w:pPr>
            <w:r>
              <w:rPr>
                <w:b/>
                <w:i w:val="0"/>
                <w:color w:val="FFFFFF"/>
                <w:sz w:val="16"/>
              </w:rPr>
              <w:t>Available in SalesVerse 2.0 today</w:t>
            </w:r>
          </w:p>
        </w:tc>
        <w:tc>
          <w:tcPr>
            <w:tcW w:type="dxa" w:w="3628"/>
            <w:shd w:val="clear" w:color="auto" w:fill="E1058C"/>
            <w:vAlign w:val="center"/>
          </w:tcPr>
          <w:p>
            <w:pPr>
              <w:spacing w:after="0"/>
            </w:pPr>
            <w:r>
              <w:rPr>
                <w:b/>
                <w:i w:val="0"/>
                <w:color w:val="FFFFFF"/>
                <w:sz w:val="16"/>
              </w:rPr>
              <w:t>Completed during implementation</w:t>
            </w:r>
          </w:p>
        </w:tc>
      </w:tr>
      <w:tr>
        <w:trPr>
          <w:cantSplit/>
        </w:trPr>
        <w:tc>
          <w:tcPr>
            <w:tcW w:type="dxa" w:w="1814"/>
            <w:vAlign w:val="top"/>
          </w:tcPr>
          <w:p>
            <w:pPr>
              <w:spacing w:after="20" w:line="252" w:lineRule="auto"/>
            </w:pPr>
            <w:r>
              <w:rPr>
                <w:b/>
                <w:i w:val="0"/>
                <w:sz w:val="16"/>
              </w:rPr>
              <w:t>Products and rating</w:t>
            </w:r>
          </w:p>
        </w:tc>
        <w:tc>
          <w:tcPr>
            <w:tcW w:type="dxa" w:w="4195"/>
            <w:vAlign w:val="top"/>
          </w:tcPr>
          <w:p>
            <w:pPr>
              <w:spacing w:after="20" w:line="252" w:lineRule="auto"/>
            </w:pPr>
            <w:r>
              <w:rPr>
                <w:b w:val="0"/>
                <w:i w:val="0"/>
                <w:sz w:val="16"/>
              </w:rPr>
              <w:t>Seven Appendix 3 products (FTP-HP, FTP-NP, PFT, PHA, PRO, KHR, OSA) with configurable rating</w:t>
            </w:r>
          </w:p>
        </w:tc>
        <w:tc>
          <w:tcPr>
            <w:tcW w:type="dxa" w:w="3628"/>
            <w:vAlign w:val="top"/>
          </w:tcPr>
          <w:p>
            <w:pPr>
              <w:spacing w:after="20" w:line="252" w:lineRule="auto"/>
            </w:pPr>
            <w:r>
              <w:rPr>
                <w:b w:val="0"/>
                <w:i w:val="0"/>
                <w:sz w:val="16"/>
              </w:rPr>
              <w:t>IIFT actuarial rate tables replace the indicative rates; questionnaires and templates loaded</w:t>
            </w:r>
          </w:p>
        </w:tc>
      </w:tr>
      <w:tr>
        <w:trPr>
          <w:cantSplit/>
        </w:trPr>
        <w:tc>
          <w:tcPr>
            <w:tcW w:type="dxa" w:w="1814"/>
            <w:vAlign w:val="top"/>
            <w:shd w:val="clear" w:color="auto" w:fill="FDF0F7"/>
          </w:tcPr>
          <w:p>
            <w:pPr>
              <w:spacing w:after="20" w:line="252" w:lineRule="auto"/>
            </w:pPr>
            <w:r>
              <w:rPr>
                <w:b/>
                <w:i w:val="0"/>
                <w:sz w:val="16"/>
              </w:rPr>
              <w:t>Underwriting referral</w:t>
            </w:r>
          </w:p>
        </w:tc>
        <w:tc>
          <w:tcPr>
            <w:tcW w:type="dxa" w:w="4195"/>
            <w:vAlign w:val="top"/>
            <w:shd w:val="clear" w:color="auto" w:fill="FDF0F7"/>
          </w:tcPr>
          <w:p>
            <w:pPr>
              <w:spacing w:after="20" w:line="252" w:lineRule="auto"/>
            </w:pPr>
            <w:r>
              <w:rPr>
                <w:b w:val="0"/>
                <w:i w:val="0"/>
                <w:sz w:val="16"/>
              </w:rPr>
              <w:t>Financing above B$150,000 referred to IIFT Sales</w:t>
            </w:r>
          </w:p>
        </w:tc>
        <w:tc>
          <w:tcPr>
            <w:tcW w:type="dxa" w:w="3628"/>
            <w:vAlign w:val="top"/>
            <w:shd w:val="clear" w:color="auto" w:fill="FDF0F7"/>
          </w:tcPr>
          <w:p>
            <w:pPr>
              <w:spacing w:after="20" w:line="252" w:lineRule="auto"/>
            </w:pPr>
            <w:r>
              <w:rPr>
                <w:b w:val="0"/>
                <w:i w:val="0"/>
                <w:sz w:val="16"/>
              </w:rPr>
              <w:t>Further referral rules agreed in design</w:t>
            </w:r>
          </w:p>
        </w:tc>
      </w:tr>
      <w:tr>
        <w:trPr>
          <w:cantSplit/>
        </w:trPr>
        <w:tc>
          <w:tcPr>
            <w:tcW w:type="dxa" w:w="1814"/>
            <w:vAlign w:val="top"/>
          </w:tcPr>
          <w:p>
            <w:pPr>
              <w:spacing w:after="20" w:line="252" w:lineRule="auto"/>
            </w:pPr>
            <w:r>
              <w:rPr>
                <w:b/>
                <w:i w:val="0"/>
                <w:sz w:val="16"/>
              </w:rPr>
              <w:t>Payment control</w:t>
            </w:r>
          </w:p>
        </w:tc>
        <w:tc>
          <w:tcPr>
            <w:tcW w:type="dxa" w:w="4195"/>
            <w:vAlign w:val="top"/>
          </w:tcPr>
          <w:p>
            <w:pPr>
              <w:spacing w:after="20" w:line="252" w:lineRule="auto"/>
            </w:pPr>
            <w:r>
              <w:rPr>
                <w:b w:val="0"/>
                <w:i w:val="0"/>
                <w:sz w:val="16"/>
              </w:rPr>
              <w:t>Seven-day grace-period block on all agents of an agency</w:t>
            </w:r>
          </w:p>
        </w:tc>
        <w:tc>
          <w:tcPr>
            <w:tcW w:type="dxa" w:w="3628"/>
            <w:vAlign w:val="top"/>
          </w:tcPr>
          <w:p>
            <w:pPr>
              <w:spacing w:after="20" w:line="252" w:lineRule="auto"/>
            </w:pPr>
            <w:r>
              <w:rPr>
                <w:b w:val="0"/>
                <w:i w:val="0"/>
                <w:sz w:val="16"/>
              </w:rPr>
              <w:t>Bank-specific settlement rules, if any</w:t>
            </w:r>
          </w:p>
        </w:tc>
      </w:tr>
      <w:tr>
        <w:trPr>
          <w:cantSplit/>
        </w:trPr>
        <w:tc>
          <w:tcPr>
            <w:tcW w:type="dxa" w:w="1814"/>
            <w:vAlign w:val="top"/>
            <w:shd w:val="clear" w:color="auto" w:fill="FDF0F7"/>
          </w:tcPr>
          <w:p>
            <w:pPr>
              <w:spacing w:after="20" w:line="252" w:lineRule="auto"/>
            </w:pPr>
            <w:r>
              <w:rPr>
                <w:b/>
                <w:i w:val="0"/>
                <w:sz w:val="16"/>
              </w:rPr>
              <w:t>Approvals</w:t>
            </w:r>
          </w:p>
        </w:tc>
        <w:tc>
          <w:tcPr>
            <w:tcW w:type="dxa" w:w="4195"/>
            <w:vAlign w:val="top"/>
            <w:shd w:val="clear" w:color="auto" w:fill="FDF0F7"/>
          </w:tcPr>
          <w:p>
            <w:pPr>
              <w:spacing w:after="20" w:line="252" w:lineRule="auto"/>
            </w:pPr>
            <w:r>
              <w:rPr>
                <w:b w:val="0"/>
                <w:i w:val="0"/>
                <w:sz w:val="16"/>
              </w:rPr>
              <w:t>Maker-checker with configurable levels and amount thresholds, e.g. second approval from B$300,000 sum covered</w:t>
            </w:r>
          </w:p>
        </w:tc>
        <w:tc>
          <w:tcPr>
            <w:tcW w:type="dxa" w:w="3628"/>
            <w:vAlign w:val="top"/>
            <w:shd w:val="clear" w:color="auto" w:fill="FDF0F7"/>
          </w:tcPr>
          <w:p>
            <w:pPr>
              <w:spacing w:after="20" w:line="252" w:lineRule="auto"/>
            </w:pPr>
            <w:r>
              <w:rPr>
                <w:b w:val="0"/>
                <w:i w:val="0"/>
                <w:sz w:val="16"/>
              </w:rPr>
              <w:t>IIFT approval matrix and approver roles</w:t>
            </w:r>
          </w:p>
        </w:tc>
      </w:tr>
      <w:tr>
        <w:trPr>
          <w:cantSplit/>
        </w:trPr>
        <w:tc>
          <w:tcPr>
            <w:tcW w:type="dxa" w:w="1814"/>
            <w:vAlign w:val="top"/>
          </w:tcPr>
          <w:p>
            <w:pPr>
              <w:spacing w:after="20" w:line="252" w:lineRule="auto"/>
            </w:pPr>
            <w:r>
              <w:rPr>
                <w:b/>
                <w:i w:val="0"/>
                <w:sz w:val="16"/>
              </w:rPr>
              <w:t>AML/KYC</w:t>
            </w:r>
          </w:p>
        </w:tc>
        <w:tc>
          <w:tcPr>
            <w:tcW w:type="dxa" w:w="4195"/>
            <w:vAlign w:val="top"/>
          </w:tcPr>
          <w:p>
            <w:pPr>
              <w:spacing w:after="20" w:line="252" w:lineRule="auto"/>
            </w:pPr>
            <w:r>
              <w:rPr>
                <w:b w:val="0"/>
                <w:i w:val="0"/>
                <w:sz w:val="16"/>
              </w:rPr>
              <w:t>Watch-list screening with fuzzy name matching; Compliance review queue; a confirmed match rejects the subject's pending requests</w:t>
            </w:r>
          </w:p>
        </w:tc>
        <w:tc>
          <w:tcPr>
            <w:tcW w:type="dxa" w:w="3628"/>
            <w:vAlign w:val="top"/>
          </w:tcPr>
          <w:p>
            <w:pPr>
              <w:spacing w:after="20" w:line="252" w:lineRule="auto"/>
            </w:pPr>
            <w:r>
              <w:rPr>
                <w:b w:val="0"/>
                <w:i w:val="0"/>
                <w:sz w:val="16"/>
              </w:rPr>
              <w:t>Adapter to IIFT's AML provider or lists</w:t>
            </w:r>
          </w:p>
        </w:tc>
      </w:tr>
      <w:tr>
        <w:trPr>
          <w:cantSplit/>
        </w:trPr>
        <w:tc>
          <w:tcPr>
            <w:tcW w:type="dxa" w:w="1814"/>
            <w:vAlign w:val="top"/>
            <w:shd w:val="clear" w:color="auto" w:fill="FDF0F7"/>
          </w:tcPr>
          <w:p>
            <w:pPr>
              <w:spacing w:after="20" w:line="252" w:lineRule="auto"/>
            </w:pPr>
            <w:r>
              <w:rPr>
                <w:b/>
                <w:i w:val="0"/>
                <w:sz w:val="16"/>
              </w:rPr>
              <w:t>e-Signature</w:t>
            </w:r>
          </w:p>
        </w:tc>
        <w:tc>
          <w:tcPr>
            <w:tcW w:type="dxa" w:w="4195"/>
            <w:vAlign w:val="top"/>
            <w:shd w:val="clear" w:color="auto" w:fill="FDF0F7"/>
          </w:tcPr>
          <w:p>
            <w:pPr>
              <w:spacing w:after="20" w:line="252" w:lineRule="auto"/>
            </w:pPr>
            <w:r>
              <w:rPr>
                <w:b w:val="0"/>
                <w:i w:val="0"/>
                <w:sz w:val="16"/>
              </w:rPr>
              <w:t>On-screen signature and single-use e-mail link</w:t>
            </w:r>
          </w:p>
        </w:tc>
        <w:tc>
          <w:tcPr>
            <w:tcW w:type="dxa" w:w="3628"/>
            <w:vAlign w:val="top"/>
            <w:shd w:val="clear" w:color="auto" w:fill="FDF0F7"/>
          </w:tcPr>
          <w:p>
            <w:pPr>
              <w:spacing w:after="20" w:line="252" w:lineRule="auto"/>
            </w:pPr>
            <w:r>
              <w:rPr>
                <w:b w:val="0"/>
                <w:i w:val="0"/>
                <w:sz w:val="16"/>
              </w:rPr>
              <w:t>Evidence format agreed with IIFT Legal</w:t>
            </w:r>
          </w:p>
        </w:tc>
      </w:tr>
      <w:tr>
        <w:trPr>
          <w:cantSplit/>
        </w:trPr>
        <w:tc>
          <w:tcPr>
            <w:tcW w:type="dxa" w:w="1814"/>
            <w:vAlign w:val="top"/>
          </w:tcPr>
          <w:p>
            <w:pPr>
              <w:spacing w:after="20" w:line="252" w:lineRule="auto"/>
            </w:pPr>
            <w:r>
              <w:rPr>
                <w:b/>
                <w:i w:val="0"/>
                <w:sz w:val="16"/>
              </w:rPr>
              <w:t>Documents</w:t>
            </w:r>
          </w:p>
        </w:tc>
        <w:tc>
          <w:tcPr>
            <w:tcW w:type="dxa" w:w="4195"/>
            <w:vAlign w:val="top"/>
          </w:tcPr>
          <w:p>
            <w:pPr>
              <w:spacing w:after="20" w:line="252" w:lineRule="auto"/>
            </w:pPr>
            <w:r>
              <w:rPr>
                <w:b w:val="0"/>
                <w:i w:val="0"/>
                <w:sz w:val="16"/>
              </w:rPr>
              <w:t>e-Policy and e-Receipt PDFs; encrypted document storage; ClamAV scan of uploads, mandatory in production</w:t>
            </w:r>
          </w:p>
        </w:tc>
        <w:tc>
          <w:tcPr>
            <w:tcW w:type="dxa" w:w="3628"/>
            <w:vAlign w:val="top"/>
          </w:tcPr>
          <w:p>
            <w:pPr>
              <w:spacing w:after="20" w:line="252" w:lineRule="auto"/>
            </w:pPr>
            <w:r>
              <w:rPr>
                <w:b w:val="0"/>
                <w:i w:val="0"/>
                <w:sz w:val="16"/>
              </w:rPr>
              <w:t>IIFT templates, wording and branding</w:t>
            </w:r>
          </w:p>
        </w:tc>
      </w:tr>
      <w:tr>
        <w:trPr>
          <w:cantSplit/>
        </w:trPr>
        <w:tc>
          <w:tcPr>
            <w:tcW w:type="dxa" w:w="1814"/>
            <w:vAlign w:val="top"/>
            <w:shd w:val="clear" w:color="auto" w:fill="FDF0F7"/>
          </w:tcPr>
          <w:p>
            <w:pPr>
              <w:spacing w:after="20" w:line="252" w:lineRule="auto"/>
            </w:pPr>
            <w:r>
              <w:rPr>
                <w:b/>
                <w:i w:val="0"/>
                <w:sz w:val="16"/>
              </w:rPr>
              <w:t>End of day</w:t>
            </w:r>
          </w:p>
        </w:tc>
        <w:tc>
          <w:tcPr>
            <w:tcW w:type="dxa" w:w="4195"/>
            <w:vAlign w:val="top"/>
            <w:shd w:val="clear" w:color="auto" w:fill="FDF0F7"/>
          </w:tcPr>
          <w:p>
            <w:pPr>
              <w:spacing w:after="20" w:line="252" w:lineRule="auto"/>
            </w:pPr>
            <w:r>
              <w:rPr>
                <w:b w:val="0"/>
                <w:i w:val="0"/>
                <w:sz w:val="16"/>
              </w:rPr>
              <w:t>EOD report, FIN interface file, receipt reconciliation; re-runs sent to FIN as numbered revisions</w:t>
            </w:r>
          </w:p>
        </w:tc>
        <w:tc>
          <w:tcPr>
            <w:tcW w:type="dxa" w:w="3628"/>
            <w:vAlign w:val="top"/>
            <w:shd w:val="clear" w:color="auto" w:fill="FDF0F7"/>
          </w:tcPr>
          <w:p>
            <w:pPr>
              <w:spacing w:after="20" w:line="252" w:lineRule="auto"/>
            </w:pPr>
            <w:r>
              <w:rPr>
                <w:b w:val="0"/>
                <w:i w:val="0"/>
                <w:sz w:val="16"/>
              </w:rPr>
              <w:t>FIN file format sign-off; BRR reconciliation</w:t>
            </w:r>
          </w:p>
        </w:tc>
      </w:tr>
      <w:tr>
        <w:trPr>
          <w:cantSplit/>
        </w:trPr>
        <w:tc>
          <w:tcPr>
            <w:tcW w:type="dxa" w:w="1814"/>
            <w:vAlign w:val="top"/>
          </w:tcPr>
          <w:p>
            <w:pPr>
              <w:spacing w:after="20" w:line="252" w:lineRule="auto"/>
            </w:pPr>
            <w:r>
              <w:rPr>
                <w:b/>
                <w:i w:val="0"/>
                <w:sz w:val="16"/>
              </w:rPr>
              <w:t>Integration</w:t>
            </w:r>
          </w:p>
        </w:tc>
        <w:tc>
          <w:tcPr>
            <w:tcW w:type="dxa" w:w="4195"/>
            <w:vAlign w:val="top"/>
          </w:tcPr>
          <w:p>
            <w:pPr>
              <w:spacing w:after="20" w:line="252" w:lineRule="auto"/>
            </w:pPr>
            <w:r>
              <w:rPr>
                <w:b w:val="0"/>
                <w:i w:val="0"/>
                <w:sz w:val="16"/>
              </w:rPr>
              <w:t>Transactional outbox with retry and dead-letter</w:t>
            </w:r>
          </w:p>
        </w:tc>
        <w:tc>
          <w:tcPr>
            <w:tcW w:type="dxa" w:w="3628"/>
            <w:vAlign w:val="top"/>
          </w:tcPr>
          <w:p>
            <w:pPr>
              <w:spacing w:after="20" w:line="252" w:lineRule="auto"/>
            </w:pPr>
            <w:r>
              <w:rPr>
                <w:b w:val="0"/>
                <w:i w:val="0"/>
                <w:sz w:val="16"/>
              </w:rPr>
              <w:t>Adapters to IIFT core, FIN, AML provider, SMS gateway, SMTP and Active Directory</w:t>
            </w:r>
          </w:p>
        </w:tc>
      </w:tr>
      <w:tr>
        <w:trPr>
          <w:cantSplit/>
        </w:trPr>
        <w:tc>
          <w:tcPr>
            <w:tcW w:type="dxa" w:w="1814"/>
            <w:vAlign w:val="top"/>
            <w:shd w:val="clear" w:color="auto" w:fill="FDF0F7"/>
          </w:tcPr>
          <w:p>
            <w:pPr>
              <w:spacing w:after="20" w:line="252" w:lineRule="auto"/>
            </w:pPr>
            <w:r>
              <w:rPr>
                <w:b/>
                <w:i w:val="0"/>
                <w:sz w:val="16"/>
              </w:rPr>
              <w:t>Reports</w:t>
            </w:r>
          </w:p>
        </w:tc>
        <w:tc>
          <w:tcPr>
            <w:tcW w:type="dxa" w:w="4195"/>
            <w:vAlign w:val="top"/>
            <w:shd w:val="clear" w:color="auto" w:fill="FDF0F7"/>
          </w:tcPr>
          <w:p>
            <w:pPr>
              <w:spacing w:after="20" w:line="252" w:lineRule="auto"/>
            </w:pPr>
            <w:r>
              <w:rPr>
                <w:b w:val="0"/>
                <w:i w:val="0"/>
                <w:sz w:val="16"/>
              </w:rPr>
              <w:t>12 standard reports; Excel, CSV and PDF export; scheduling</w:t>
            </w:r>
          </w:p>
        </w:tc>
        <w:tc>
          <w:tcPr>
            <w:tcW w:type="dxa" w:w="3628"/>
            <w:vAlign w:val="top"/>
            <w:shd w:val="clear" w:color="auto" w:fill="FDF0F7"/>
          </w:tcPr>
          <w:p>
            <w:pPr>
              <w:spacing w:after="20" w:line="252" w:lineRule="auto"/>
            </w:pPr>
            <w:r>
              <w:rPr>
                <w:b w:val="0"/>
                <w:i w:val="0"/>
                <w:sz w:val="16"/>
              </w:rPr>
              <w:t>Remaining reports from the agreed catalogue</w:t>
            </w:r>
          </w:p>
        </w:tc>
      </w:tr>
      <w:tr>
        <w:trPr>
          <w:cantSplit/>
        </w:trPr>
        <w:tc>
          <w:tcPr>
            <w:tcW w:type="dxa" w:w="1814"/>
            <w:vAlign w:val="top"/>
          </w:tcPr>
          <w:p>
            <w:pPr>
              <w:spacing w:after="20" w:line="252" w:lineRule="auto"/>
            </w:pPr>
            <w:r>
              <w:rPr>
                <w:b/>
                <w:i w:val="0"/>
                <w:sz w:val="16"/>
              </w:rPr>
              <w:t>Audit and data protection</w:t>
            </w:r>
          </w:p>
        </w:tc>
        <w:tc>
          <w:tcPr>
            <w:tcW w:type="dxa" w:w="4195"/>
            <w:vAlign w:val="top"/>
          </w:tcPr>
          <w:p>
            <w:pPr>
              <w:spacing w:after="20" w:line="252" w:lineRule="auto"/>
            </w:pPr>
            <w:r>
              <w:rPr>
                <w:b w:val="0"/>
                <w:i w:val="0"/>
                <w:sz w:val="16"/>
              </w:rPr>
              <w:t>Append-only audit enforced by a database trigger; AES-256-GCM encryption of IC and passport numbers</w:t>
            </w:r>
          </w:p>
        </w:tc>
        <w:tc>
          <w:tcPr>
            <w:tcW w:type="dxa" w:w="3628"/>
            <w:vAlign w:val="top"/>
          </w:tcPr>
          <w:p>
            <w:pPr>
              <w:spacing w:after="20" w:line="252" w:lineRule="auto"/>
            </w:pPr>
            <w:r>
              <w:rPr>
                <w:b w:val="0"/>
                <w:i w:val="0"/>
                <w:sz w:val="16"/>
              </w:rPr>
              <w:t>Retention and archival job; key rotation tooling; SIEM export</w:t>
            </w:r>
          </w:p>
        </w:tc>
      </w:tr>
      <w:tr>
        <w:trPr>
          <w:cantSplit/>
        </w:trPr>
        <w:tc>
          <w:tcPr>
            <w:tcW w:type="dxa" w:w="1814"/>
            <w:vAlign w:val="top"/>
            <w:shd w:val="clear" w:color="auto" w:fill="FDF0F7"/>
          </w:tcPr>
          <w:p>
            <w:pPr>
              <w:spacing w:after="20" w:line="252" w:lineRule="auto"/>
            </w:pPr>
            <w:r>
              <w:rPr>
                <w:b/>
                <w:i w:val="0"/>
                <w:sz w:val="16"/>
              </w:rPr>
              <w:t>Access</w:t>
            </w:r>
          </w:p>
        </w:tc>
        <w:tc>
          <w:tcPr>
            <w:tcW w:type="dxa" w:w="4195"/>
            <w:vAlign w:val="top"/>
            <w:shd w:val="clear" w:color="auto" w:fill="FDF0F7"/>
          </w:tcPr>
          <w:p>
            <w:pPr>
              <w:spacing w:after="20" w:line="252" w:lineRule="auto"/>
            </w:pPr>
            <w:r>
              <w:rPr>
                <w:b w:val="0"/>
                <w:i w:val="0"/>
                <w:sz w:val="16"/>
              </w:rPr>
              <w:t>Login, users, roles and permissions</w:t>
            </w:r>
          </w:p>
        </w:tc>
        <w:tc>
          <w:tcPr>
            <w:tcW w:type="dxa" w:w="3628"/>
            <w:vAlign w:val="top"/>
            <w:shd w:val="clear" w:color="auto" w:fill="FDF0F7"/>
          </w:tcPr>
          <w:p>
            <w:pPr>
              <w:spacing w:after="20" w:line="252" w:lineRule="auto"/>
            </w:pPr>
            <w:r>
              <w:rPr>
                <w:b w:val="0"/>
                <w:i w:val="0"/>
                <w:sz w:val="16"/>
              </w:rPr>
              <w:t>IITH password and session values; MFA for back-office</w:t>
            </w:r>
          </w:p>
        </w:tc>
      </w:tr>
    </w:tbl>
    <w:p>
      <w:pPr>
        <w:pStyle w:val="Caption"/>
        <w:jc w:val="center"/>
      </w:pPr>
      <w:r>
        <w:rPr>
          <w:b w:val="0"/>
          <w:i w:val="0"/>
        </w:rPr>
        <w:t>Table 10: Capability status</w:t>
      </w:r>
    </w:p>
    <w:p>
      <w:pPr>
        <w:pStyle w:val="Heading2"/>
      </w:pPr>
      <w:r>
        <w:t>6.2 Work that depends on IIFT</w:t>
      </w:r>
    </w:p>
    <w:p>
      <w:pPr>
        <w:pStyle w:val="ListBullet"/>
      </w:pPr>
      <w:r>
        <w:rPr>
          <w:b w:val="0"/>
          <w:i w:val="0"/>
        </w:rPr>
        <w:t>Adapters to IIFT's core system, FIN, AML provider, SMS gateway, SMTP relay and Active Directory. Each needs IIFT's interface specification, test endpoint and credentials before it can be completed.</w:t>
      </w:r>
    </w:p>
    <w:p>
      <w:pPr>
        <w:pStyle w:val="ListBullet"/>
      </w:pPr>
      <w:r>
        <w:rPr>
          <w:b w:val="0"/>
          <w:i w:val="0"/>
        </w:rPr>
        <w:t>IIFT's actuarial rate tables, questionnaires, product wording and document templates, replacing the indicative values in the working system.</w:t>
      </w:r>
    </w:p>
    <w:p>
      <w:pPr>
        <w:pStyle w:val="ListBullet"/>
      </w:pPr>
      <w:r>
        <w:rPr>
          <w:b w:val="0"/>
          <w:i w:val="0"/>
        </w:rPr>
        <w:t>MFA for back-office users, production and DR infrastructure set-up, performance testing and the independent VAPT.</w:t>
      </w:r>
    </w:p>
    <w:p>
      <w:pPr>
        <w:pStyle w:val="ListBullet"/>
      </w:pPr>
      <w:r>
        <w:rPr>
          <w:b w:val="0"/>
          <w:i w:val="0"/>
        </w:rPr>
        <w:t>Data migration, UAT, training and the IIFT-specific document set.</w:t>
      </w:r>
    </w:p>
    <w:p>
      <w:pPr>
        <w:pStyle w:val="Heading1"/>
        <w:pageBreakBefore/>
        <w:pBdr>
          <w:bottom w:val="single" w:sz="12" w:space="4" w:color="F58220"/>
        </w:pBdr>
      </w:pPr>
      <w:r>
        <w:t>7. Personas</w:t>
      </w:r>
    </w:p>
    <w:p>
      <w:pPr>
        <w:keepNext w:val="0"/>
      </w:pPr>
      <w:r>
        <w:rPr>
          <w:b w:val="0"/>
          <w:i w:val="0"/>
        </w:rPr>
        <w:t>The personas below describe who uses the solution and what each needs. Roles and permissions are configurable; these are the defaults we propose for design.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701"/>
        <w:gridCol w:w="1927"/>
        <w:gridCol w:w="2268"/>
        <w:gridCol w:w="2211"/>
        <w:gridCol w:w="1530"/>
      </w:tblGrid>
      <w:tr>
        <w:trPr>
          <w:cantSplit/>
          <w:tblHeader/>
        </w:trPr>
        <w:tc>
          <w:tcPr>
            <w:tcW w:type="dxa" w:w="1701"/>
            <w:shd w:val="clear" w:color="auto" w:fill="E1058C"/>
            <w:vAlign w:val="center"/>
          </w:tcPr>
          <w:p>
            <w:pPr>
              <w:spacing w:after="0"/>
            </w:pPr>
            <w:r>
              <w:rPr>
                <w:b/>
                <w:i w:val="0"/>
                <w:color w:val="FFFFFF"/>
                <w:sz w:val="15"/>
              </w:rPr>
              <w:t>Persona</w:t>
            </w:r>
          </w:p>
        </w:tc>
        <w:tc>
          <w:tcPr>
            <w:tcW w:type="dxa" w:w="1928"/>
            <w:shd w:val="clear" w:color="auto" w:fill="E1058C"/>
            <w:vAlign w:val="center"/>
          </w:tcPr>
          <w:p>
            <w:pPr>
              <w:spacing w:after="0"/>
            </w:pPr>
            <w:r>
              <w:rPr>
                <w:b/>
                <w:i w:val="0"/>
                <w:color w:val="FFFFFF"/>
                <w:sz w:val="15"/>
              </w:rPr>
              <w:t>Goals</w:t>
            </w:r>
          </w:p>
        </w:tc>
        <w:tc>
          <w:tcPr>
            <w:tcW w:type="dxa" w:w="2268"/>
            <w:shd w:val="clear" w:color="auto" w:fill="E1058C"/>
            <w:vAlign w:val="center"/>
          </w:tcPr>
          <w:p>
            <w:pPr>
              <w:spacing w:after="0"/>
            </w:pPr>
            <w:r>
              <w:rPr>
                <w:b/>
                <w:i w:val="0"/>
                <w:color w:val="FFFFFF"/>
                <w:sz w:val="15"/>
              </w:rPr>
              <w:t>Key tasks</w:t>
            </w:r>
          </w:p>
        </w:tc>
        <w:tc>
          <w:tcPr>
            <w:tcW w:type="dxa" w:w="2211"/>
            <w:shd w:val="clear" w:color="auto" w:fill="E1058C"/>
            <w:vAlign w:val="center"/>
          </w:tcPr>
          <w:p>
            <w:pPr>
              <w:spacing w:after="0"/>
            </w:pPr>
            <w:r>
              <w:rPr>
                <w:b/>
                <w:i w:val="0"/>
                <w:color w:val="FFFFFF"/>
                <w:sz w:val="15"/>
              </w:rPr>
              <w:t>Screens used</w:t>
            </w:r>
          </w:p>
        </w:tc>
        <w:tc>
          <w:tcPr>
            <w:tcW w:type="dxa" w:w="1531"/>
            <w:shd w:val="clear" w:color="auto" w:fill="E1058C"/>
            <w:vAlign w:val="center"/>
          </w:tcPr>
          <w:p>
            <w:pPr>
              <w:spacing w:after="0"/>
            </w:pPr>
            <w:r>
              <w:rPr>
                <w:b/>
                <w:i w:val="0"/>
                <w:color w:val="FFFFFF"/>
                <w:sz w:val="15"/>
              </w:rPr>
              <w:t>Role / permissions</w:t>
            </w:r>
          </w:p>
        </w:tc>
      </w:tr>
      <w:tr>
        <w:trPr>
          <w:cantSplit/>
        </w:trPr>
        <w:tc>
          <w:tcPr>
            <w:tcW w:type="dxa" w:w="1701"/>
            <w:vAlign w:val="top"/>
          </w:tcPr>
          <w:p>
            <w:pPr>
              <w:spacing w:after="20" w:line="252" w:lineRule="auto"/>
            </w:pPr>
            <w:r>
              <w:rPr>
                <w:b/>
                <w:i w:val="0"/>
                <w:sz w:val="15"/>
              </w:rPr>
              <w:t>Bank officer (branch banker)</w:t>
            </w:r>
          </w:p>
        </w:tc>
        <w:tc>
          <w:tcPr>
            <w:tcW w:type="dxa" w:w="1928"/>
            <w:vAlign w:val="top"/>
          </w:tcPr>
          <w:p>
            <w:pPr>
              <w:spacing w:after="20" w:line="252" w:lineRule="auto"/>
            </w:pPr>
            <w:r>
              <w:rPr>
                <w:b w:val="0"/>
                <w:i w:val="0"/>
                <w:sz w:val="15"/>
              </w:rPr>
              <w:t>Sell financing and annual plans quickly; keep customers informed</w:t>
            </w:r>
          </w:p>
        </w:tc>
        <w:tc>
          <w:tcPr>
            <w:tcW w:type="dxa" w:w="2268"/>
            <w:vAlign w:val="top"/>
          </w:tcPr>
          <w:p>
            <w:pPr>
              <w:spacing w:after="20" w:line="252" w:lineRule="auto"/>
            </w:pPr>
            <w:r>
              <w:rPr>
                <w:b w:val="0"/>
                <w:i w:val="0"/>
                <w:sz w:val="15"/>
              </w:rPr>
              <w:t>Quotations, participant capture, document upload, payment submission, claim notification</w:t>
            </w:r>
          </w:p>
        </w:tc>
        <w:tc>
          <w:tcPr>
            <w:tcW w:type="dxa" w:w="2211"/>
            <w:vAlign w:val="top"/>
          </w:tcPr>
          <w:p>
            <w:pPr>
              <w:spacing w:after="20" w:line="252" w:lineRule="auto"/>
            </w:pPr>
            <w:r>
              <w:rPr>
                <w:b w:val="0"/>
                <w:i w:val="0"/>
                <w:sz w:val="15"/>
              </w:rPr>
              <w:t>Dashboard, New quotation, Policies, Participants, Billing, Claims</w:t>
            </w:r>
          </w:p>
        </w:tc>
        <w:tc>
          <w:tcPr>
            <w:tcW w:type="dxa" w:w="1531"/>
            <w:vAlign w:val="top"/>
          </w:tcPr>
          <w:p>
            <w:pPr>
              <w:spacing w:after="20" w:line="252" w:lineRule="auto"/>
            </w:pPr>
            <w:r>
              <w:rPr>
                <w:b w:val="0"/>
                <w:i w:val="0"/>
                <w:sz w:val="15"/>
              </w:rPr>
              <w:t>Bank officer; own branch data</w:t>
            </w:r>
          </w:p>
        </w:tc>
      </w:tr>
      <w:tr>
        <w:trPr>
          <w:cantSplit/>
        </w:trPr>
        <w:tc>
          <w:tcPr>
            <w:tcW w:type="dxa" w:w="1701"/>
            <w:vAlign w:val="top"/>
            <w:shd w:val="clear" w:color="auto" w:fill="FDF0F7"/>
          </w:tcPr>
          <w:p>
            <w:pPr>
              <w:spacing w:after="20" w:line="252" w:lineRule="auto"/>
            </w:pPr>
            <w:r>
              <w:rPr>
                <w:b/>
                <w:i w:val="0"/>
                <w:sz w:val="15"/>
              </w:rPr>
              <w:t>Bank supervisor</w:t>
            </w:r>
          </w:p>
        </w:tc>
        <w:tc>
          <w:tcPr>
            <w:tcW w:type="dxa" w:w="1928"/>
            <w:vAlign w:val="top"/>
            <w:shd w:val="clear" w:color="auto" w:fill="FDF0F7"/>
          </w:tcPr>
          <w:p>
            <w:pPr>
              <w:spacing w:after="20" w:line="252" w:lineRule="auto"/>
            </w:pPr>
            <w:r>
              <w:rPr>
                <w:b w:val="0"/>
                <w:i w:val="0"/>
                <w:sz w:val="15"/>
              </w:rPr>
              <w:t>Oversee branch production and overdue payments</w:t>
            </w:r>
          </w:p>
        </w:tc>
        <w:tc>
          <w:tcPr>
            <w:tcW w:type="dxa" w:w="2268"/>
            <w:vAlign w:val="top"/>
            <w:shd w:val="clear" w:color="auto" w:fill="FDF0F7"/>
          </w:tcPr>
          <w:p>
            <w:pPr>
              <w:spacing w:after="20" w:line="252" w:lineRule="auto"/>
            </w:pPr>
            <w:r>
              <w:rPr>
                <w:b w:val="0"/>
                <w:i w:val="0"/>
                <w:sz w:val="15"/>
              </w:rPr>
              <w:t>Review team pipeline, reports, bank-level requests</w:t>
            </w:r>
          </w:p>
        </w:tc>
        <w:tc>
          <w:tcPr>
            <w:tcW w:type="dxa" w:w="2211"/>
            <w:vAlign w:val="top"/>
            <w:shd w:val="clear" w:color="auto" w:fill="FDF0F7"/>
          </w:tcPr>
          <w:p>
            <w:pPr>
              <w:spacing w:after="20" w:line="252" w:lineRule="auto"/>
            </w:pPr>
            <w:r>
              <w:rPr>
                <w:b w:val="0"/>
                <w:i w:val="0"/>
                <w:sz w:val="15"/>
              </w:rPr>
              <w:t>Dashboard, Team and hierarchy, Reports, My requests</w:t>
            </w:r>
          </w:p>
        </w:tc>
        <w:tc>
          <w:tcPr>
            <w:tcW w:type="dxa" w:w="1531"/>
            <w:vAlign w:val="top"/>
            <w:shd w:val="clear" w:color="auto" w:fill="FDF0F7"/>
          </w:tcPr>
          <w:p>
            <w:pPr>
              <w:spacing w:after="20" w:line="252" w:lineRule="auto"/>
            </w:pPr>
            <w:r>
              <w:rPr>
                <w:b w:val="0"/>
                <w:i w:val="0"/>
                <w:sz w:val="15"/>
              </w:rPr>
              <w:t>Bank supervisor; whole bank</w:t>
            </w:r>
          </w:p>
        </w:tc>
      </w:tr>
      <w:tr>
        <w:trPr>
          <w:cantSplit/>
        </w:trPr>
        <w:tc>
          <w:tcPr>
            <w:tcW w:type="dxa" w:w="1701"/>
            <w:vAlign w:val="top"/>
          </w:tcPr>
          <w:p>
            <w:pPr>
              <w:spacing w:after="20" w:line="252" w:lineRule="auto"/>
            </w:pPr>
            <w:r>
              <w:rPr>
                <w:b/>
                <w:i w:val="0"/>
                <w:sz w:val="15"/>
              </w:rPr>
              <w:t>Agency principal / main agent</w:t>
            </w:r>
          </w:p>
        </w:tc>
        <w:tc>
          <w:tcPr>
            <w:tcW w:type="dxa" w:w="1928"/>
            <w:vAlign w:val="top"/>
          </w:tcPr>
          <w:p>
            <w:pPr>
              <w:spacing w:after="20" w:line="252" w:lineRule="auto"/>
            </w:pPr>
            <w:r>
              <w:rPr>
                <w:b w:val="0"/>
                <w:i w:val="0"/>
                <w:sz w:val="15"/>
              </w:rPr>
              <w:t>Grow the agency; avoid issuance blocks</w:t>
            </w:r>
          </w:p>
        </w:tc>
        <w:tc>
          <w:tcPr>
            <w:tcW w:type="dxa" w:w="2268"/>
            <w:vAlign w:val="top"/>
          </w:tcPr>
          <w:p>
            <w:pPr>
              <w:spacing w:after="20" w:line="252" w:lineRule="auto"/>
            </w:pPr>
            <w:r>
              <w:rPr>
                <w:b w:val="0"/>
                <w:i w:val="0"/>
                <w:sz w:val="15"/>
              </w:rPr>
              <w:t>Monitor sub-agents, payments, renewals, commission</w:t>
            </w:r>
          </w:p>
        </w:tc>
        <w:tc>
          <w:tcPr>
            <w:tcW w:type="dxa" w:w="2211"/>
            <w:vAlign w:val="top"/>
          </w:tcPr>
          <w:p>
            <w:pPr>
              <w:spacing w:after="20" w:line="252" w:lineRule="auto"/>
            </w:pPr>
            <w:r>
              <w:rPr>
                <w:b w:val="0"/>
                <w:i w:val="0"/>
                <w:sz w:val="15"/>
              </w:rPr>
              <w:t>Dashboard, Team and hierarchy, Billing, Commission, Reports</w:t>
            </w:r>
          </w:p>
        </w:tc>
        <w:tc>
          <w:tcPr>
            <w:tcW w:type="dxa" w:w="1531"/>
            <w:vAlign w:val="top"/>
          </w:tcPr>
          <w:p>
            <w:pPr>
              <w:spacing w:after="20" w:line="252" w:lineRule="auto"/>
            </w:pPr>
            <w:r>
              <w:rPr>
                <w:b w:val="0"/>
                <w:i w:val="0"/>
                <w:sz w:val="15"/>
              </w:rPr>
              <w:t>Main agent; whole agency</w:t>
            </w:r>
          </w:p>
        </w:tc>
      </w:tr>
      <w:tr>
        <w:trPr>
          <w:cantSplit/>
        </w:trPr>
        <w:tc>
          <w:tcPr>
            <w:tcW w:type="dxa" w:w="1701"/>
            <w:vAlign w:val="top"/>
            <w:shd w:val="clear" w:color="auto" w:fill="FDF0F7"/>
          </w:tcPr>
          <w:p>
            <w:pPr>
              <w:spacing w:after="20" w:line="252" w:lineRule="auto"/>
            </w:pPr>
            <w:r>
              <w:rPr>
                <w:b/>
                <w:i w:val="0"/>
                <w:sz w:val="15"/>
              </w:rPr>
              <w:t>Sub-agent</w:t>
            </w:r>
          </w:p>
        </w:tc>
        <w:tc>
          <w:tcPr>
            <w:tcW w:type="dxa" w:w="1928"/>
            <w:vAlign w:val="top"/>
            <w:shd w:val="clear" w:color="auto" w:fill="FDF0F7"/>
          </w:tcPr>
          <w:p>
            <w:pPr>
              <w:spacing w:after="20" w:line="252" w:lineRule="auto"/>
            </w:pPr>
            <w:r>
              <w:rPr>
                <w:b w:val="0"/>
                <w:i w:val="0"/>
                <w:sz w:val="15"/>
              </w:rPr>
              <w:t>Issue policies and get paid commission</w:t>
            </w:r>
          </w:p>
        </w:tc>
        <w:tc>
          <w:tcPr>
            <w:tcW w:type="dxa" w:w="2268"/>
            <w:vAlign w:val="top"/>
            <w:shd w:val="clear" w:color="auto" w:fill="FDF0F7"/>
          </w:tcPr>
          <w:p>
            <w:pPr>
              <w:spacing w:after="20" w:line="252" w:lineRule="auto"/>
            </w:pPr>
            <w:r>
              <w:rPr>
                <w:b w:val="0"/>
                <w:i w:val="0"/>
                <w:sz w:val="15"/>
              </w:rPr>
              <w:t>Quotations, policies, payments, renewals, issues</w:t>
            </w:r>
          </w:p>
        </w:tc>
        <w:tc>
          <w:tcPr>
            <w:tcW w:type="dxa" w:w="2211"/>
            <w:vAlign w:val="top"/>
            <w:shd w:val="clear" w:color="auto" w:fill="FDF0F7"/>
          </w:tcPr>
          <w:p>
            <w:pPr>
              <w:spacing w:after="20" w:line="252" w:lineRule="auto"/>
            </w:pPr>
            <w:r>
              <w:rPr>
                <w:b w:val="0"/>
                <w:i w:val="0"/>
                <w:sz w:val="15"/>
              </w:rPr>
              <w:t>New quotation, Policies, Renewals, Billing, Support issues</w:t>
            </w:r>
          </w:p>
        </w:tc>
        <w:tc>
          <w:tcPr>
            <w:tcW w:type="dxa" w:w="1531"/>
            <w:vAlign w:val="top"/>
            <w:shd w:val="clear" w:color="auto" w:fill="FDF0F7"/>
          </w:tcPr>
          <w:p>
            <w:pPr>
              <w:spacing w:after="20" w:line="252" w:lineRule="auto"/>
            </w:pPr>
            <w:r>
              <w:rPr>
                <w:b w:val="0"/>
                <w:i w:val="0"/>
                <w:sz w:val="15"/>
              </w:rPr>
              <w:t>Agent; own records</w:t>
            </w:r>
          </w:p>
        </w:tc>
      </w:tr>
      <w:tr>
        <w:trPr>
          <w:cantSplit/>
        </w:trPr>
        <w:tc>
          <w:tcPr>
            <w:tcW w:type="dxa" w:w="1701"/>
            <w:vAlign w:val="top"/>
          </w:tcPr>
          <w:p>
            <w:pPr>
              <w:spacing w:after="20" w:line="252" w:lineRule="auto"/>
            </w:pPr>
            <w:r>
              <w:rPr>
                <w:b/>
                <w:i w:val="0"/>
                <w:sz w:val="15"/>
              </w:rPr>
              <w:t>IIFT Operations officer (maker)</w:t>
            </w:r>
          </w:p>
        </w:tc>
        <w:tc>
          <w:tcPr>
            <w:tcW w:type="dxa" w:w="1928"/>
            <w:vAlign w:val="top"/>
          </w:tcPr>
          <w:p>
            <w:pPr>
              <w:spacing w:after="20" w:line="252" w:lineRule="auto"/>
            </w:pPr>
            <w:r>
              <w:rPr>
                <w:b w:val="0"/>
                <w:i w:val="0"/>
                <w:sz w:val="15"/>
              </w:rPr>
              <w:t>Process Banca work accurately</w:t>
            </w:r>
          </w:p>
        </w:tc>
        <w:tc>
          <w:tcPr>
            <w:tcW w:type="dxa" w:w="2268"/>
            <w:vAlign w:val="top"/>
          </w:tcPr>
          <w:p>
            <w:pPr>
              <w:spacing w:after="20" w:line="252" w:lineRule="auto"/>
            </w:pPr>
            <w:r>
              <w:rPr>
                <w:b w:val="0"/>
                <w:i w:val="0"/>
                <w:sz w:val="15"/>
              </w:rPr>
              <w:t>Agent registrations, participant and policy changes, document checks</w:t>
            </w:r>
          </w:p>
        </w:tc>
        <w:tc>
          <w:tcPr>
            <w:tcW w:type="dxa" w:w="2211"/>
            <w:vAlign w:val="top"/>
          </w:tcPr>
          <w:p>
            <w:pPr>
              <w:spacing w:after="20" w:line="252" w:lineRule="auto"/>
            </w:pPr>
            <w:r>
              <w:rPr>
                <w:b w:val="0"/>
                <w:i w:val="0"/>
                <w:sz w:val="15"/>
              </w:rPr>
              <w:t>Agents, Participants, Policies, Document checks</w:t>
            </w:r>
          </w:p>
        </w:tc>
        <w:tc>
          <w:tcPr>
            <w:tcW w:type="dxa" w:w="1531"/>
            <w:vAlign w:val="top"/>
          </w:tcPr>
          <w:p>
            <w:pPr>
              <w:spacing w:after="20" w:line="252" w:lineRule="auto"/>
            </w:pPr>
            <w:r>
              <w:rPr>
                <w:b w:val="0"/>
                <w:i w:val="0"/>
                <w:sz w:val="15"/>
              </w:rPr>
              <w:t>Operations maker</w:t>
            </w:r>
          </w:p>
        </w:tc>
      </w:tr>
      <w:tr>
        <w:trPr>
          <w:cantSplit/>
        </w:trPr>
        <w:tc>
          <w:tcPr>
            <w:tcW w:type="dxa" w:w="1701"/>
            <w:vAlign w:val="top"/>
            <w:shd w:val="clear" w:color="auto" w:fill="FDF0F7"/>
          </w:tcPr>
          <w:p>
            <w:pPr>
              <w:spacing w:after="20" w:line="252" w:lineRule="auto"/>
            </w:pPr>
            <w:r>
              <w:rPr>
                <w:b/>
                <w:i w:val="0"/>
                <w:sz w:val="15"/>
              </w:rPr>
              <w:t>Operations supervisor (checker)</w:t>
            </w:r>
          </w:p>
        </w:tc>
        <w:tc>
          <w:tcPr>
            <w:tcW w:type="dxa" w:w="1928"/>
            <w:vAlign w:val="top"/>
            <w:shd w:val="clear" w:color="auto" w:fill="FDF0F7"/>
          </w:tcPr>
          <w:p>
            <w:pPr>
              <w:spacing w:after="20" w:line="252" w:lineRule="auto"/>
            </w:pPr>
            <w:r>
              <w:rPr>
                <w:b w:val="0"/>
                <w:i w:val="0"/>
                <w:sz w:val="15"/>
              </w:rPr>
              <w:t>Approve correct work promptly</w:t>
            </w:r>
          </w:p>
        </w:tc>
        <w:tc>
          <w:tcPr>
            <w:tcW w:type="dxa" w:w="2268"/>
            <w:vAlign w:val="top"/>
            <w:shd w:val="clear" w:color="auto" w:fill="FDF0F7"/>
          </w:tcPr>
          <w:p>
            <w:pPr>
              <w:spacing w:after="20" w:line="252" w:lineRule="auto"/>
            </w:pPr>
            <w:r>
              <w:rPr>
                <w:b w:val="0"/>
                <w:i w:val="0"/>
                <w:sz w:val="15"/>
              </w:rPr>
              <w:t>Review and approve or reject requests with remarks</w:t>
            </w:r>
          </w:p>
        </w:tc>
        <w:tc>
          <w:tcPr>
            <w:tcW w:type="dxa" w:w="2211"/>
            <w:vAlign w:val="top"/>
            <w:shd w:val="clear" w:color="auto" w:fill="FDF0F7"/>
          </w:tcPr>
          <w:p>
            <w:pPr>
              <w:spacing w:after="20" w:line="252" w:lineRule="auto"/>
            </w:pPr>
            <w:r>
              <w:rPr>
                <w:b w:val="0"/>
                <w:i w:val="0"/>
                <w:sz w:val="15"/>
              </w:rPr>
              <w:t>Approvals inbox, Approval detail, Dashboard</w:t>
            </w:r>
          </w:p>
        </w:tc>
        <w:tc>
          <w:tcPr>
            <w:tcW w:type="dxa" w:w="1531"/>
            <w:vAlign w:val="top"/>
            <w:shd w:val="clear" w:color="auto" w:fill="FDF0F7"/>
          </w:tcPr>
          <w:p>
            <w:pPr>
              <w:spacing w:after="20" w:line="252" w:lineRule="auto"/>
            </w:pPr>
            <w:r>
              <w:rPr>
                <w:b w:val="0"/>
                <w:i w:val="0"/>
                <w:sz w:val="15"/>
              </w:rPr>
              <w:t>Operations checker</w:t>
            </w:r>
          </w:p>
        </w:tc>
      </w:tr>
      <w:tr>
        <w:trPr>
          <w:cantSplit/>
        </w:trPr>
        <w:tc>
          <w:tcPr>
            <w:tcW w:type="dxa" w:w="1701"/>
            <w:vAlign w:val="top"/>
          </w:tcPr>
          <w:p>
            <w:pPr>
              <w:spacing w:after="20" w:line="252" w:lineRule="auto"/>
            </w:pPr>
            <w:r>
              <w:rPr>
                <w:b/>
                <w:i w:val="0"/>
                <w:sz w:val="15"/>
              </w:rPr>
              <w:t>Underwriter / quality check</w:t>
            </w:r>
          </w:p>
        </w:tc>
        <w:tc>
          <w:tcPr>
            <w:tcW w:type="dxa" w:w="1928"/>
            <w:vAlign w:val="top"/>
          </w:tcPr>
          <w:p>
            <w:pPr>
              <w:spacing w:after="20" w:line="252" w:lineRule="auto"/>
            </w:pPr>
            <w:r>
              <w:rPr>
                <w:b w:val="0"/>
                <w:i w:val="0"/>
                <w:sz w:val="15"/>
              </w:rPr>
              <w:t>Accept good risk; refer the rest</w:t>
            </w:r>
          </w:p>
        </w:tc>
        <w:tc>
          <w:tcPr>
            <w:tcW w:type="dxa" w:w="2268"/>
            <w:vAlign w:val="top"/>
          </w:tcPr>
          <w:p>
            <w:pPr>
              <w:spacing w:after="20" w:line="252" w:lineRule="auto"/>
            </w:pPr>
            <w:r>
              <w:rPr>
                <w:b w:val="0"/>
                <w:i w:val="0"/>
                <w:sz w:val="15"/>
              </w:rPr>
              <w:t>Quality check, referrals above limits, endorsements, cancellations</w:t>
            </w:r>
          </w:p>
        </w:tc>
        <w:tc>
          <w:tcPr>
            <w:tcW w:type="dxa" w:w="2211"/>
            <w:vAlign w:val="top"/>
          </w:tcPr>
          <w:p>
            <w:pPr>
              <w:spacing w:after="20" w:line="252" w:lineRule="auto"/>
            </w:pPr>
            <w:r>
              <w:rPr>
                <w:b w:val="0"/>
                <w:i w:val="0"/>
                <w:sz w:val="15"/>
              </w:rPr>
              <w:t>Approvals inbox, Policies, Products</w:t>
            </w:r>
          </w:p>
        </w:tc>
        <w:tc>
          <w:tcPr>
            <w:tcW w:type="dxa" w:w="1531"/>
            <w:vAlign w:val="top"/>
          </w:tcPr>
          <w:p>
            <w:pPr>
              <w:spacing w:after="20" w:line="252" w:lineRule="auto"/>
            </w:pPr>
            <w:r>
              <w:rPr>
                <w:b w:val="0"/>
                <w:i w:val="0"/>
                <w:sz w:val="15"/>
              </w:rPr>
              <w:t>Underwriting checker</w:t>
            </w:r>
          </w:p>
        </w:tc>
      </w:tr>
      <w:tr>
        <w:trPr>
          <w:cantSplit/>
        </w:trPr>
        <w:tc>
          <w:tcPr>
            <w:tcW w:type="dxa" w:w="1701"/>
            <w:vAlign w:val="top"/>
            <w:shd w:val="clear" w:color="auto" w:fill="FDF0F7"/>
          </w:tcPr>
          <w:p>
            <w:pPr>
              <w:spacing w:after="20" w:line="252" w:lineRule="auto"/>
            </w:pPr>
            <w:r>
              <w:rPr>
                <w:b/>
                <w:i w:val="0"/>
                <w:sz w:val="15"/>
              </w:rPr>
              <w:t>Finance officer</w:t>
            </w:r>
          </w:p>
        </w:tc>
        <w:tc>
          <w:tcPr>
            <w:tcW w:type="dxa" w:w="1928"/>
            <w:vAlign w:val="top"/>
            <w:shd w:val="clear" w:color="auto" w:fill="FDF0F7"/>
          </w:tcPr>
          <w:p>
            <w:pPr>
              <w:spacing w:after="20" w:line="252" w:lineRule="auto"/>
            </w:pPr>
            <w:r>
              <w:rPr>
                <w:b w:val="0"/>
                <w:i w:val="0"/>
                <w:sz w:val="15"/>
              </w:rPr>
              <w:t>Match every receipt and close each day</w:t>
            </w:r>
          </w:p>
        </w:tc>
        <w:tc>
          <w:tcPr>
            <w:tcW w:type="dxa" w:w="2268"/>
            <w:vAlign w:val="top"/>
            <w:shd w:val="clear" w:color="auto" w:fill="FDF0F7"/>
          </w:tcPr>
          <w:p>
            <w:pPr>
              <w:spacing w:after="20" w:line="252" w:lineRule="auto"/>
            </w:pPr>
            <w:r>
              <w:rPr>
                <w:b w:val="0"/>
                <w:i w:val="0"/>
                <w:sz w:val="15"/>
              </w:rPr>
              <w:t>Verify payment proofs, run EOD, review reconciliation</w:t>
            </w:r>
          </w:p>
        </w:tc>
        <w:tc>
          <w:tcPr>
            <w:tcW w:type="dxa" w:w="2211"/>
            <w:vAlign w:val="top"/>
            <w:shd w:val="clear" w:color="auto" w:fill="FDF0F7"/>
          </w:tcPr>
          <w:p>
            <w:pPr>
              <w:spacing w:after="20" w:line="252" w:lineRule="auto"/>
            </w:pPr>
            <w:r>
              <w:rPr>
                <w:b w:val="0"/>
                <w:i w:val="0"/>
                <w:sz w:val="15"/>
              </w:rPr>
              <w:t>Payments, End of day, Integration monitor, Reports</w:t>
            </w:r>
          </w:p>
        </w:tc>
        <w:tc>
          <w:tcPr>
            <w:tcW w:type="dxa" w:w="1531"/>
            <w:vAlign w:val="top"/>
            <w:shd w:val="clear" w:color="auto" w:fill="FDF0F7"/>
          </w:tcPr>
          <w:p>
            <w:pPr>
              <w:spacing w:after="20" w:line="252" w:lineRule="auto"/>
            </w:pPr>
            <w:r>
              <w:rPr>
                <w:b w:val="0"/>
                <w:i w:val="0"/>
                <w:sz w:val="15"/>
              </w:rPr>
              <w:t>Finance maker or checker</w:t>
            </w:r>
          </w:p>
        </w:tc>
      </w:tr>
      <w:tr>
        <w:trPr>
          <w:cantSplit/>
        </w:trPr>
        <w:tc>
          <w:tcPr>
            <w:tcW w:type="dxa" w:w="1701"/>
            <w:vAlign w:val="top"/>
          </w:tcPr>
          <w:p>
            <w:pPr>
              <w:spacing w:after="20" w:line="252" w:lineRule="auto"/>
            </w:pPr>
            <w:r>
              <w:rPr>
                <w:b/>
                <w:i w:val="0"/>
                <w:sz w:val="15"/>
              </w:rPr>
              <w:t>Compliance officer</w:t>
            </w:r>
          </w:p>
        </w:tc>
        <w:tc>
          <w:tcPr>
            <w:tcW w:type="dxa" w:w="1928"/>
            <w:vAlign w:val="top"/>
          </w:tcPr>
          <w:p>
            <w:pPr>
              <w:spacing w:after="20" w:line="252" w:lineRule="auto"/>
            </w:pPr>
            <w:r>
              <w:rPr>
                <w:b w:val="0"/>
                <w:i w:val="0"/>
                <w:sz w:val="15"/>
              </w:rPr>
              <w:t>Keep AML/KYC risk under control</w:t>
            </w:r>
          </w:p>
        </w:tc>
        <w:tc>
          <w:tcPr>
            <w:tcW w:type="dxa" w:w="2268"/>
            <w:vAlign w:val="top"/>
          </w:tcPr>
          <w:p>
            <w:pPr>
              <w:spacing w:after="20" w:line="252" w:lineRule="auto"/>
            </w:pPr>
            <w:r>
              <w:rPr>
                <w:b w:val="0"/>
                <w:i w:val="0"/>
                <w:sz w:val="15"/>
              </w:rPr>
              <w:t>Review possible matches, maintain watch-lists, compliance reports</w:t>
            </w:r>
          </w:p>
        </w:tc>
        <w:tc>
          <w:tcPr>
            <w:tcW w:type="dxa" w:w="2211"/>
            <w:vAlign w:val="top"/>
          </w:tcPr>
          <w:p>
            <w:pPr>
              <w:spacing w:after="20" w:line="252" w:lineRule="auto"/>
            </w:pPr>
            <w:r>
              <w:rPr>
                <w:b w:val="0"/>
                <w:i w:val="0"/>
                <w:sz w:val="15"/>
              </w:rPr>
              <w:t>AML/KYC cases and watch-lists, Audit trail, Reports</w:t>
            </w:r>
          </w:p>
        </w:tc>
        <w:tc>
          <w:tcPr>
            <w:tcW w:type="dxa" w:w="1531"/>
            <w:vAlign w:val="top"/>
          </w:tcPr>
          <w:p>
            <w:pPr>
              <w:spacing w:after="20" w:line="252" w:lineRule="auto"/>
            </w:pPr>
            <w:r>
              <w:rPr>
                <w:b w:val="0"/>
                <w:i w:val="0"/>
                <w:sz w:val="15"/>
              </w:rPr>
              <w:t>Compliance</w:t>
            </w:r>
          </w:p>
        </w:tc>
      </w:tr>
      <w:tr>
        <w:trPr>
          <w:cantSplit/>
        </w:trPr>
        <w:tc>
          <w:tcPr>
            <w:tcW w:type="dxa" w:w="1701"/>
            <w:vAlign w:val="top"/>
            <w:shd w:val="clear" w:color="auto" w:fill="FDF0F7"/>
          </w:tcPr>
          <w:p>
            <w:pPr>
              <w:spacing w:after="20" w:line="252" w:lineRule="auto"/>
            </w:pPr>
            <w:r>
              <w:rPr>
                <w:b/>
                <w:i w:val="0"/>
                <w:sz w:val="15"/>
              </w:rPr>
              <w:t>Support desk</w:t>
            </w:r>
          </w:p>
        </w:tc>
        <w:tc>
          <w:tcPr>
            <w:tcW w:type="dxa" w:w="1928"/>
            <w:vAlign w:val="top"/>
            <w:shd w:val="clear" w:color="auto" w:fill="FDF0F7"/>
          </w:tcPr>
          <w:p>
            <w:pPr>
              <w:spacing w:after="20" w:line="252" w:lineRule="auto"/>
            </w:pPr>
            <w:r>
              <w:rPr>
                <w:b w:val="0"/>
                <w:i w:val="0"/>
                <w:sz w:val="15"/>
              </w:rPr>
              <w:t>Resolve user problems within SLA</w:t>
            </w:r>
          </w:p>
        </w:tc>
        <w:tc>
          <w:tcPr>
            <w:tcW w:type="dxa" w:w="2268"/>
            <w:vAlign w:val="top"/>
            <w:shd w:val="clear" w:color="auto" w:fill="FDF0F7"/>
          </w:tcPr>
          <w:p>
            <w:pPr>
              <w:spacing w:after="20" w:line="252" w:lineRule="auto"/>
            </w:pPr>
            <w:r>
              <w:rPr>
                <w:b w:val="0"/>
                <w:i w:val="0"/>
                <w:sz w:val="15"/>
              </w:rPr>
              <w:t>Triage, assign and resolve issues; release locked accounts on request</w:t>
            </w:r>
          </w:p>
        </w:tc>
        <w:tc>
          <w:tcPr>
            <w:tcW w:type="dxa" w:w="2211"/>
            <w:vAlign w:val="top"/>
            <w:shd w:val="clear" w:color="auto" w:fill="FDF0F7"/>
          </w:tcPr>
          <w:p>
            <w:pPr>
              <w:spacing w:after="20" w:line="252" w:lineRule="auto"/>
            </w:pPr>
            <w:r>
              <w:rPr>
                <w:b w:val="0"/>
                <w:i w:val="0"/>
                <w:sz w:val="15"/>
              </w:rPr>
              <w:t>Issues, Users, Integration monitor</w:t>
            </w:r>
          </w:p>
        </w:tc>
        <w:tc>
          <w:tcPr>
            <w:tcW w:type="dxa" w:w="1531"/>
            <w:vAlign w:val="top"/>
            <w:shd w:val="clear" w:color="auto" w:fill="FDF0F7"/>
          </w:tcPr>
          <w:p>
            <w:pPr>
              <w:spacing w:after="20" w:line="252" w:lineRule="auto"/>
            </w:pPr>
            <w:r>
              <w:rPr>
                <w:b w:val="0"/>
                <w:i w:val="0"/>
                <w:sz w:val="15"/>
              </w:rPr>
              <w:t>Support</w:t>
            </w:r>
          </w:p>
        </w:tc>
      </w:tr>
      <w:tr>
        <w:trPr>
          <w:cantSplit/>
        </w:trPr>
        <w:tc>
          <w:tcPr>
            <w:tcW w:type="dxa" w:w="1701"/>
            <w:vAlign w:val="top"/>
          </w:tcPr>
          <w:p>
            <w:pPr>
              <w:spacing w:after="20" w:line="252" w:lineRule="auto"/>
            </w:pPr>
            <w:r>
              <w:rPr>
                <w:b/>
                <w:i w:val="0"/>
                <w:sz w:val="15"/>
              </w:rPr>
              <w:t>Management</w:t>
            </w:r>
          </w:p>
        </w:tc>
        <w:tc>
          <w:tcPr>
            <w:tcW w:type="dxa" w:w="1928"/>
            <w:vAlign w:val="top"/>
          </w:tcPr>
          <w:p>
            <w:pPr>
              <w:spacing w:after="20" w:line="252" w:lineRule="auto"/>
            </w:pPr>
            <w:r>
              <w:rPr>
                <w:b w:val="0"/>
                <w:i w:val="0"/>
                <w:sz w:val="15"/>
              </w:rPr>
              <w:t>See production, risk and service at a glance</w:t>
            </w:r>
          </w:p>
        </w:tc>
        <w:tc>
          <w:tcPr>
            <w:tcW w:type="dxa" w:w="2268"/>
            <w:vAlign w:val="top"/>
          </w:tcPr>
          <w:p>
            <w:pPr>
              <w:spacing w:after="20" w:line="252" w:lineRule="auto"/>
            </w:pPr>
            <w:r>
              <w:rPr>
                <w:b w:val="0"/>
                <w:i w:val="0"/>
                <w:sz w:val="15"/>
              </w:rPr>
              <w:t>Read dashboards and scheduled reports</w:t>
            </w:r>
          </w:p>
        </w:tc>
        <w:tc>
          <w:tcPr>
            <w:tcW w:type="dxa" w:w="2211"/>
            <w:vAlign w:val="top"/>
          </w:tcPr>
          <w:p>
            <w:pPr>
              <w:spacing w:after="20" w:line="252" w:lineRule="auto"/>
            </w:pPr>
            <w:r>
              <w:rPr>
                <w:b w:val="0"/>
                <w:i w:val="0"/>
                <w:sz w:val="15"/>
              </w:rPr>
              <w:t>Dashboard (management KPIs), Reports and schedules</w:t>
            </w:r>
          </w:p>
        </w:tc>
        <w:tc>
          <w:tcPr>
            <w:tcW w:type="dxa" w:w="1531"/>
            <w:vAlign w:val="top"/>
          </w:tcPr>
          <w:p>
            <w:pPr>
              <w:spacing w:after="20" w:line="252" w:lineRule="auto"/>
            </w:pPr>
            <w:r>
              <w:rPr>
                <w:b w:val="0"/>
                <w:i w:val="0"/>
                <w:sz w:val="15"/>
              </w:rPr>
              <w:t>Management, read only</w:t>
            </w:r>
          </w:p>
        </w:tc>
      </w:tr>
      <w:tr>
        <w:trPr>
          <w:cantSplit/>
        </w:trPr>
        <w:tc>
          <w:tcPr>
            <w:tcW w:type="dxa" w:w="1701"/>
            <w:vAlign w:val="top"/>
            <w:shd w:val="clear" w:color="auto" w:fill="FDF0F7"/>
          </w:tcPr>
          <w:p>
            <w:pPr>
              <w:spacing w:after="20" w:line="252" w:lineRule="auto"/>
            </w:pPr>
            <w:r>
              <w:rPr>
                <w:b/>
                <w:i w:val="0"/>
                <w:sz w:val="15"/>
              </w:rPr>
              <w:t>System administrator</w:t>
            </w:r>
          </w:p>
        </w:tc>
        <w:tc>
          <w:tcPr>
            <w:tcW w:type="dxa" w:w="1928"/>
            <w:vAlign w:val="top"/>
            <w:shd w:val="clear" w:color="auto" w:fill="FDF0F7"/>
          </w:tcPr>
          <w:p>
            <w:pPr>
              <w:spacing w:after="20" w:line="252" w:lineRule="auto"/>
            </w:pPr>
            <w:r>
              <w:rPr>
                <w:b w:val="0"/>
                <w:i w:val="0"/>
                <w:sz w:val="15"/>
              </w:rPr>
              <w:t>Keep the platform configured and secure</w:t>
            </w:r>
          </w:p>
        </w:tc>
        <w:tc>
          <w:tcPr>
            <w:tcW w:type="dxa" w:w="2268"/>
            <w:vAlign w:val="top"/>
            <w:shd w:val="clear" w:color="auto" w:fill="FDF0F7"/>
          </w:tcPr>
          <w:p>
            <w:pPr>
              <w:spacing w:after="20" w:line="252" w:lineRule="auto"/>
            </w:pPr>
            <w:r>
              <w:rPr>
                <w:b w:val="0"/>
                <w:i w:val="0"/>
                <w:sz w:val="15"/>
              </w:rPr>
              <w:t>Users, roles, workflows, products, parameters</w:t>
            </w:r>
          </w:p>
        </w:tc>
        <w:tc>
          <w:tcPr>
            <w:tcW w:type="dxa" w:w="2211"/>
            <w:vAlign w:val="top"/>
            <w:shd w:val="clear" w:color="auto" w:fill="FDF0F7"/>
          </w:tcPr>
          <w:p>
            <w:pPr>
              <w:spacing w:after="20" w:line="252" w:lineRule="auto"/>
            </w:pPr>
            <w:r>
              <w:rPr>
                <w:b w:val="0"/>
                <w:i w:val="0"/>
                <w:sz w:val="15"/>
              </w:rPr>
              <w:t>Users, Roles and permissions, Workflows, Products, Parameters</w:t>
            </w:r>
          </w:p>
        </w:tc>
        <w:tc>
          <w:tcPr>
            <w:tcW w:type="dxa" w:w="1531"/>
            <w:vAlign w:val="top"/>
            <w:shd w:val="clear" w:color="auto" w:fill="FDF0F7"/>
          </w:tcPr>
          <w:p>
            <w:pPr>
              <w:spacing w:after="20" w:line="252" w:lineRule="auto"/>
            </w:pPr>
            <w:r>
              <w:rPr>
                <w:b w:val="0"/>
                <w:i w:val="0"/>
                <w:sz w:val="15"/>
              </w:rPr>
              <w:t>Administrator</w:t>
            </w:r>
          </w:p>
        </w:tc>
      </w:tr>
      <w:tr>
        <w:trPr>
          <w:cantSplit/>
        </w:trPr>
        <w:tc>
          <w:tcPr>
            <w:tcW w:type="dxa" w:w="1701"/>
            <w:vAlign w:val="top"/>
          </w:tcPr>
          <w:p>
            <w:pPr>
              <w:spacing w:after="20" w:line="252" w:lineRule="auto"/>
            </w:pPr>
            <w:r>
              <w:rPr>
                <w:b/>
                <w:i w:val="0"/>
                <w:sz w:val="15"/>
              </w:rPr>
              <w:t>Participant (remote e-signature)</w:t>
            </w:r>
          </w:p>
        </w:tc>
        <w:tc>
          <w:tcPr>
            <w:tcW w:type="dxa" w:w="1928"/>
            <w:vAlign w:val="top"/>
          </w:tcPr>
          <w:p>
            <w:pPr>
              <w:spacing w:after="20" w:line="252" w:lineRule="auto"/>
            </w:pPr>
            <w:r>
              <w:rPr>
                <w:b w:val="0"/>
                <w:i w:val="0"/>
                <w:sz w:val="15"/>
              </w:rPr>
              <w:t>Sign without visiting a branch</w:t>
            </w:r>
          </w:p>
        </w:tc>
        <w:tc>
          <w:tcPr>
            <w:tcW w:type="dxa" w:w="2268"/>
            <w:vAlign w:val="top"/>
          </w:tcPr>
          <w:p>
            <w:pPr>
              <w:spacing w:after="20" w:line="252" w:lineRule="auto"/>
            </w:pPr>
            <w:r>
              <w:rPr>
                <w:b w:val="0"/>
                <w:i w:val="0"/>
                <w:sz w:val="15"/>
              </w:rPr>
              <w:t>Open link, confirm details, sign</w:t>
            </w:r>
          </w:p>
        </w:tc>
        <w:tc>
          <w:tcPr>
            <w:tcW w:type="dxa" w:w="2211"/>
            <w:vAlign w:val="top"/>
          </w:tcPr>
          <w:p>
            <w:pPr>
              <w:spacing w:after="20" w:line="252" w:lineRule="auto"/>
            </w:pPr>
            <w:r>
              <w:rPr>
                <w:b w:val="0"/>
                <w:i w:val="0"/>
                <w:sz w:val="15"/>
              </w:rPr>
              <w:t>Participant e-signature page</w:t>
            </w:r>
          </w:p>
        </w:tc>
        <w:tc>
          <w:tcPr>
            <w:tcW w:type="dxa" w:w="1531"/>
            <w:vAlign w:val="top"/>
          </w:tcPr>
          <w:p>
            <w:pPr>
              <w:spacing w:after="20" w:line="252" w:lineRule="auto"/>
            </w:pPr>
            <w:r>
              <w:rPr>
                <w:b w:val="0"/>
                <w:i w:val="0"/>
                <w:sz w:val="15"/>
              </w:rPr>
              <w:t>No account; single-use link</w:t>
            </w:r>
          </w:p>
        </w:tc>
      </w:tr>
      <w:tr>
        <w:trPr>
          <w:cantSplit/>
        </w:trPr>
        <w:tc>
          <w:tcPr>
            <w:tcW w:type="dxa" w:w="1701"/>
            <w:vAlign w:val="top"/>
            <w:shd w:val="clear" w:color="auto" w:fill="FDF0F7"/>
          </w:tcPr>
          <w:p>
            <w:pPr>
              <w:spacing w:after="20" w:line="252" w:lineRule="auto"/>
            </w:pPr>
            <w:r>
              <w:rPr>
                <w:b/>
                <w:i w:val="0"/>
                <w:sz w:val="15"/>
              </w:rPr>
              <w:t>IITH core and finance systems (system actors)</w:t>
            </w:r>
          </w:p>
        </w:tc>
        <w:tc>
          <w:tcPr>
            <w:tcW w:type="dxa" w:w="1928"/>
            <w:vAlign w:val="top"/>
            <w:shd w:val="clear" w:color="auto" w:fill="FDF0F7"/>
          </w:tcPr>
          <w:p>
            <w:pPr>
              <w:spacing w:after="20" w:line="252" w:lineRule="auto"/>
            </w:pPr>
            <w:r>
              <w:rPr>
                <w:b w:val="0"/>
                <w:i w:val="0"/>
                <w:sz w:val="15"/>
              </w:rPr>
              <w:t>Receive and send master and financial data</w:t>
            </w:r>
          </w:p>
        </w:tc>
        <w:tc>
          <w:tcPr>
            <w:tcW w:type="dxa" w:w="2268"/>
            <w:vAlign w:val="top"/>
            <w:shd w:val="clear" w:color="auto" w:fill="FDF0F7"/>
          </w:tcPr>
          <w:p>
            <w:pPr>
              <w:spacing w:after="20" w:line="252" w:lineRule="auto"/>
            </w:pPr>
            <w:r>
              <w:rPr>
                <w:b w:val="0"/>
                <w:i w:val="0"/>
                <w:sz w:val="15"/>
              </w:rPr>
              <w:t>Agent master sync, FIN file intake, commission statements</w:t>
            </w:r>
          </w:p>
        </w:tc>
        <w:tc>
          <w:tcPr>
            <w:tcW w:type="dxa" w:w="2211"/>
            <w:vAlign w:val="top"/>
            <w:shd w:val="clear" w:color="auto" w:fill="FDF0F7"/>
          </w:tcPr>
          <w:p>
            <w:pPr>
              <w:spacing w:after="20" w:line="252" w:lineRule="auto"/>
            </w:pPr>
            <w:r>
              <w:rPr>
                <w:b w:val="0"/>
                <w:i w:val="0"/>
                <w:sz w:val="15"/>
              </w:rPr>
              <w:t>Integration monitor (seen by IIFT IT)</w:t>
            </w:r>
          </w:p>
        </w:tc>
        <w:tc>
          <w:tcPr>
            <w:tcW w:type="dxa" w:w="1531"/>
            <w:vAlign w:val="top"/>
            <w:shd w:val="clear" w:color="auto" w:fill="FDF0F7"/>
          </w:tcPr>
          <w:p>
            <w:pPr>
              <w:spacing w:after="20" w:line="252" w:lineRule="auto"/>
            </w:pPr>
            <w:r>
              <w:rPr>
                <w:b w:val="0"/>
                <w:i w:val="0"/>
                <w:sz w:val="15"/>
              </w:rPr>
              <w:t>System credentials; mTLS, API key or SFTP key</w:t>
            </w:r>
          </w:p>
        </w:tc>
      </w:tr>
    </w:tbl>
    <w:p>
      <w:pPr>
        <w:pStyle w:val="Caption"/>
        <w:jc w:val="center"/>
      </w:pPr>
      <w:r>
        <w:rPr>
          <w:b w:val="0"/>
          <w:i w:val="0"/>
        </w:rPr>
        <w:t>Table 11: Personas</w:t>
      </w:r>
    </w:p>
    <w:p>
      <w:pPr>
        <w:pStyle w:val="Heading1"/>
        <w:pageBreakBefore/>
        <w:pBdr>
          <w:bottom w:val="single" w:sz="12" w:space="4" w:color="F58220"/>
        </w:pBdr>
      </w:pPr>
      <w:r>
        <w:t>8. User Journeys</w:t>
      </w:r>
    </w:p>
    <w:p>
      <w:pPr>
        <w:keepNext w:val="0"/>
      </w:pPr>
      <w:r>
        <w:rPr>
          <w:b w:val="0"/>
          <w:i w:val="0"/>
        </w:rPr>
        <w:t>Each journey shows who acts, on which screen, and what the system does. The diagram gives the flow; the table gives the detail. Journeys are rehearsed in the fit-gap workshops and become UAT scenarios.</w:t>
      </w:r>
    </w:p>
    <w:p>
      <w:pPr>
        <w:pStyle w:val="Heading2"/>
      </w:pPr>
      <w:r>
        <w:t>8.1 Agent onboarding</w:t>
      </w:r>
    </w:p>
    <w:p>
      <w:pPr>
        <w:keepNext/>
        <w:spacing w:after="0"/>
        <w:jc w:val="center"/>
      </w:pPr>
      <w:r>
        <w:drawing>
          <wp:inline xmlns:a="http://schemas.openxmlformats.org/drawingml/2006/main" xmlns:pic="http://schemas.openxmlformats.org/drawingml/2006/picture">
            <wp:extent cx="5940000" cy="2376000"/>
            <wp:docPr id="4" name="Picture 4"/>
            <wp:cNvGraphicFramePr>
              <a:graphicFrameLocks noChangeAspect="1"/>
            </wp:cNvGraphicFramePr>
            <a:graphic>
              <a:graphicData uri="http://schemas.openxmlformats.org/drawingml/2006/picture">
                <pic:pic>
                  <pic:nvPicPr>
                    <pic:cNvPr id="0" name="fig-journey-onboarding.png"/>
                    <pic:cNvPicPr/>
                  </pic:nvPicPr>
                  <pic:blipFill>
                    <a:blip r:embed="rId14"/>
                    <a:stretch>
                      <a:fillRect/>
                    </a:stretch>
                  </pic:blipFill>
                  <pic:spPr>
                    <a:xfrm>
                      <a:off x="0" y="0"/>
                      <a:ext cx="5940000" cy="2376000"/>
                    </a:xfrm>
                    <a:prstGeom prst="rect"/>
                  </pic:spPr>
                </pic:pic>
              </a:graphicData>
            </a:graphic>
          </wp:inline>
        </w:drawing>
      </w:r>
    </w:p>
    <w:p>
      <w:pPr>
        <w:pStyle w:val="Caption"/>
        <w:jc w:val="center"/>
      </w:pPr>
      <w:r>
        <w:rPr>
          <w:b w:val="0"/>
          <w:i w:val="0"/>
        </w:rPr>
        <w:t>Figure 1: Agent onboarding</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Applicant</w:t>
            </w:r>
          </w:p>
        </w:tc>
        <w:tc>
          <w:tcPr>
            <w:tcW w:type="dxa" w:w="2268"/>
            <w:vAlign w:val="top"/>
          </w:tcPr>
          <w:p>
            <w:pPr>
              <w:spacing w:after="20" w:line="252" w:lineRule="auto"/>
            </w:pPr>
            <w:r>
              <w:rPr>
                <w:b w:val="0"/>
                <w:i w:val="0"/>
                <w:sz w:val="15"/>
              </w:rPr>
              <w:t>Agent registration</w:t>
            </w:r>
          </w:p>
        </w:tc>
        <w:tc>
          <w:tcPr>
            <w:tcW w:type="dxa" w:w="4819"/>
            <w:vAlign w:val="top"/>
          </w:tcPr>
          <w:p>
            <w:pPr>
              <w:spacing w:after="20" w:line="252" w:lineRule="auto"/>
            </w:pPr>
            <w:r>
              <w:rPr>
                <w:b w:val="0"/>
                <w:i w:val="0"/>
                <w:sz w:val="15"/>
              </w:rPr>
              <w:t>Enters personal, agency or bank and KYC data; uploads documents.</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Screens the name with fuzzy matching; clear results pass straight on.</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Compliance officer</w:t>
            </w:r>
          </w:p>
        </w:tc>
        <w:tc>
          <w:tcPr>
            <w:tcW w:type="dxa" w:w="2268"/>
            <w:vAlign w:val="top"/>
          </w:tcPr>
          <w:p>
            <w:pPr>
              <w:spacing w:after="20" w:line="252" w:lineRule="auto"/>
            </w:pPr>
            <w:r>
              <w:rPr>
                <w:b w:val="0"/>
                <w:i w:val="0"/>
                <w:sz w:val="15"/>
              </w:rPr>
              <w:t>AML/KYC cases</w:t>
            </w:r>
          </w:p>
        </w:tc>
        <w:tc>
          <w:tcPr>
            <w:tcW w:type="dxa" w:w="4819"/>
            <w:vAlign w:val="top"/>
          </w:tcPr>
          <w:p>
            <w:pPr>
              <w:spacing w:after="20" w:line="252" w:lineRule="auto"/>
            </w:pPr>
            <w:r>
              <w:rPr>
                <w:b w:val="0"/>
                <w:i w:val="0"/>
                <w:sz w:val="15"/>
              </w:rPr>
              <w:t>Clears or rejects a possible match with remarks.</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Operations officer</w:t>
            </w:r>
          </w:p>
        </w:tc>
        <w:tc>
          <w:tcPr>
            <w:tcW w:type="dxa" w:w="2268"/>
            <w:vAlign w:val="top"/>
            <w:shd w:val="clear" w:color="auto" w:fill="FDF0F7"/>
          </w:tcPr>
          <w:p>
            <w:pPr>
              <w:spacing w:after="20" w:line="252" w:lineRule="auto"/>
            </w:pPr>
            <w:r>
              <w:rPr>
                <w:b w:val="0"/>
                <w:i w:val="0"/>
                <w:sz w:val="15"/>
              </w:rPr>
              <w:t>Document checks</w:t>
            </w:r>
          </w:p>
        </w:tc>
        <w:tc>
          <w:tcPr>
            <w:tcW w:type="dxa" w:w="4819"/>
            <w:vAlign w:val="top"/>
            <w:shd w:val="clear" w:color="auto" w:fill="FDF0F7"/>
          </w:tcPr>
          <w:p>
            <w:pPr>
              <w:spacing w:after="20" w:line="252" w:lineRule="auto"/>
            </w:pPr>
            <w:r>
              <w:rPr>
                <w:b w:val="0"/>
                <w:i w:val="0"/>
                <w:sz w:val="15"/>
              </w:rPr>
              <w:t>Validates documents and expiry dates.</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Operations supervisor</w:t>
            </w:r>
          </w:p>
        </w:tc>
        <w:tc>
          <w:tcPr>
            <w:tcW w:type="dxa" w:w="2268"/>
            <w:vAlign w:val="top"/>
          </w:tcPr>
          <w:p>
            <w:pPr>
              <w:spacing w:after="20" w:line="252" w:lineRule="auto"/>
            </w:pPr>
            <w:r>
              <w:rPr>
                <w:b w:val="0"/>
                <w:i w:val="0"/>
                <w:sz w:val="15"/>
              </w:rPr>
              <w:t>Approvals inbox</w:t>
            </w:r>
          </w:p>
        </w:tc>
        <w:tc>
          <w:tcPr>
            <w:tcW w:type="dxa" w:w="4819"/>
            <w:vAlign w:val="top"/>
          </w:tcPr>
          <w:p>
            <w:pPr>
              <w:spacing w:after="20" w:line="252" w:lineRule="auto"/>
            </w:pPr>
            <w:r>
              <w:rPr>
                <w:b w:val="0"/>
                <w:i w:val="0"/>
                <w:sz w:val="15"/>
              </w:rPr>
              <w:t>Approves; the maker cannot approve their own request.</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Issues the agent code, activates the account, e-mails the agent.</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Sign-in, Change password</w:t>
            </w:r>
          </w:p>
        </w:tc>
        <w:tc>
          <w:tcPr>
            <w:tcW w:type="dxa" w:w="4819"/>
            <w:vAlign w:val="top"/>
          </w:tcPr>
          <w:p>
            <w:pPr>
              <w:spacing w:after="20" w:line="252" w:lineRule="auto"/>
            </w:pPr>
            <w:r>
              <w:rPr>
                <w:b w:val="0"/>
                <w:i w:val="0"/>
                <w:sz w:val="15"/>
              </w:rPr>
              <w:t>Signs in, sets a new password and lands on the dashboard.</w:t>
            </w:r>
          </w:p>
        </w:tc>
      </w:tr>
    </w:tbl>
    <w:p>
      <w:pPr>
        <w:spacing w:after="0" w:before="0"/>
      </w:pPr>
      <w:r>
        <w:rPr>
          <w:sz w:val="8"/>
        </w:rPr>
      </w:r>
    </w:p>
    <w:p>
      <w:pPr>
        <w:pStyle w:val="Heading2"/>
      </w:pPr>
      <w:r>
        <w:t>8.2 Quotation to e-Policy for an annual product (FFR02 to FFR05)</w:t>
      </w:r>
    </w:p>
    <w:p>
      <w:pPr>
        <w:keepNext/>
        <w:spacing w:after="0"/>
        <w:jc w:val="center"/>
      </w:pPr>
      <w:r>
        <w:drawing>
          <wp:inline xmlns:a="http://schemas.openxmlformats.org/drawingml/2006/main" xmlns:pic="http://schemas.openxmlformats.org/drawingml/2006/picture">
            <wp:extent cx="5940000" cy="1913999"/>
            <wp:docPr id="5" name="Picture 5"/>
            <wp:cNvGraphicFramePr>
              <a:graphicFrameLocks noChangeAspect="1"/>
            </wp:cNvGraphicFramePr>
            <a:graphic>
              <a:graphicData uri="http://schemas.openxmlformats.org/drawingml/2006/picture">
                <pic:pic>
                  <pic:nvPicPr>
                    <pic:cNvPr id="0" name="fig-journey-annual.png"/>
                    <pic:cNvPicPr/>
                  </pic:nvPicPr>
                  <pic:blipFill>
                    <a:blip r:embed="rId15"/>
                    <a:stretch>
                      <a:fillRect/>
                    </a:stretch>
                  </pic:blipFill>
                  <pic:spPr>
                    <a:xfrm>
                      <a:off x="0" y="0"/>
                      <a:ext cx="5940000" cy="1913999"/>
                    </a:xfrm>
                    <a:prstGeom prst="rect"/>
                  </pic:spPr>
                </pic:pic>
              </a:graphicData>
            </a:graphic>
          </wp:inline>
        </w:drawing>
      </w:r>
    </w:p>
    <w:p>
      <w:pPr>
        <w:pStyle w:val="Caption"/>
        <w:jc w:val="center"/>
      </w:pPr>
      <w:r>
        <w:rPr>
          <w:b w:val="0"/>
          <w:i w:val="0"/>
        </w:rPr>
        <w:t>Figure 2: Quotation to e-Policy for an annual product (FFR02 to FFR05)</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New quotation</w:t>
            </w:r>
          </w:p>
        </w:tc>
        <w:tc>
          <w:tcPr>
            <w:tcW w:type="dxa" w:w="4819"/>
            <w:vAlign w:val="top"/>
          </w:tcPr>
          <w:p>
            <w:pPr>
              <w:spacing w:after="20" w:line="252" w:lineRule="auto"/>
            </w:pPr>
            <w:r>
              <w:rPr>
                <w:b w:val="0"/>
                <w:i w:val="0"/>
                <w:sz w:val="15"/>
              </w:rPr>
              <w:t>Chooses PHA, PRO, KHR or OSA from the authorised list.</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New quotation</w:t>
            </w:r>
          </w:p>
        </w:tc>
        <w:tc>
          <w:tcPr>
            <w:tcW w:type="dxa" w:w="4819"/>
            <w:vAlign w:val="top"/>
            <w:shd w:val="clear" w:color="auto" w:fill="FDF0F7"/>
          </w:tcPr>
          <w:p>
            <w:pPr>
              <w:spacing w:after="20" w:line="252" w:lineRule="auto"/>
            </w:pPr>
            <w:r>
              <w:rPr>
                <w:b w:val="0"/>
                <w:i w:val="0"/>
                <w:sz w:val="15"/>
              </w:rPr>
              <w:t>Captures participant and plan; the live quote shows the contribution.</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Participant</w:t>
            </w:r>
          </w:p>
        </w:tc>
        <w:tc>
          <w:tcPr>
            <w:tcW w:type="dxa" w:w="2268"/>
            <w:vAlign w:val="top"/>
          </w:tcPr>
          <w:p>
            <w:pPr>
              <w:spacing w:after="20" w:line="252" w:lineRule="auto"/>
            </w:pPr>
            <w:r>
              <w:rPr>
                <w:b w:val="0"/>
                <w:i w:val="0"/>
                <w:sz w:val="15"/>
              </w:rPr>
              <w:t>Participant e-signature page</w:t>
            </w:r>
          </w:p>
        </w:tc>
        <w:tc>
          <w:tcPr>
            <w:tcW w:type="dxa" w:w="4819"/>
            <w:vAlign w:val="top"/>
          </w:tcPr>
          <w:p>
            <w:pPr>
              <w:spacing w:after="20" w:line="252" w:lineRule="auto"/>
            </w:pPr>
            <w:r>
              <w:rPr>
                <w:b w:val="0"/>
                <w:i w:val="0"/>
                <w:sz w:val="15"/>
              </w:rPr>
              <w:t>Completes the questionnaire and signs on screen or by e-mail link.</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Policy detail</w:t>
            </w:r>
          </w:p>
        </w:tc>
        <w:tc>
          <w:tcPr>
            <w:tcW w:type="dxa" w:w="4819"/>
            <w:vAlign w:val="top"/>
            <w:shd w:val="clear" w:color="auto" w:fill="FDF0F7"/>
          </w:tcPr>
          <w:p>
            <w:pPr>
              <w:spacing w:after="20" w:line="252" w:lineRule="auto"/>
            </w:pPr>
            <w:r>
              <w:rPr>
                <w:b w:val="0"/>
                <w:i w:val="0"/>
                <w:sz w:val="15"/>
              </w:rPr>
              <w:t>Uploads required documents; the checklist must be complete to submit.</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Billing</w:t>
            </w:r>
          </w:p>
        </w:tc>
        <w:tc>
          <w:tcPr>
            <w:tcW w:type="dxa" w:w="4819"/>
            <w:vAlign w:val="top"/>
          </w:tcPr>
          <w:p>
            <w:pPr>
              <w:spacing w:after="20" w:line="252" w:lineRule="auto"/>
            </w:pPr>
            <w:r>
              <w:rPr>
                <w:b w:val="0"/>
                <w:i w:val="0"/>
                <w:sz w:val="15"/>
              </w:rPr>
              <w:t>Pays and uploads proof of payment.</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Finance officer</w:t>
            </w:r>
          </w:p>
        </w:tc>
        <w:tc>
          <w:tcPr>
            <w:tcW w:type="dxa" w:w="2268"/>
            <w:vAlign w:val="top"/>
            <w:shd w:val="clear" w:color="auto" w:fill="FDF0F7"/>
          </w:tcPr>
          <w:p>
            <w:pPr>
              <w:spacing w:after="20" w:line="252" w:lineRule="auto"/>
            </w:pPr>
            <w:r>
              <w:rPr>
                <w:b w:val="0"/>
                <w:i w:val="0"/>
                <w:sz w:val="15"/>
              </w:rPr>
              <w:t>Payments</w:t>
            </w:r>
          </w:p>
        </w:tc>
        <w:tc>
          <w:tcPr>
            <w:tcW w:type="dxa" w:w="4819"/>
            <w:vAlign w:val="top"/>
            <w:shd w:val="clear" w:color="auto" w:fill="FDF0F7"/>
          </w:tcPr>
          <w:p>
            <w:pPr>
              <w:spacing w:after="20" w:line="252" w:lineRule="auto"/>
            </w:pPr>
            <w:r>
              <w:rPr>
                <w:b w:val="0"/>
                <w:i w:val="0"/>
                <w:sz w:val="15"/>
              </w:rPr>
              <w:t>Verifies the proof against the bank statement.</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None</w:t>
            </w:r>
          </w:p>
        </w:tc>
        <w:tc>
          <w:tcPr>
            <w:tcW w:type="dxa" w:w="4819"/>
            <w:vAlign w:val="top"/>
          </w:tcPr>
          <w:p>
            <w:pPr>
              <w:spacing w:after="20" w:line="252" w:lineRule="auto"/>
            </w:pPr>
            <w:r>
              <w:rPr>
                <w:b w:val="0"/>
                <w:i w:val="0"/>
                <w:sz w:val="15"/>
              </w:rPr>
              <w:t>Policy becomes Active; PDFs are produced and e-mailed.</w:t>
            </w:r>
          </w:p>
        </w:tc>
      </w:tr>
      <w:tr>
        <w:trPr>
          <w:cantSplit/>
        </w:trPr>
        <w:tc>
          <w:tcPr>
            <w:tcW w:type="dxa" w:w="624"/>
            <w:vAlign w:val="top"/>
            <w:shd w:val="clear" w:color="auto" w:fill="FDF0F7"/>
          </w:tcPr>
          <w:p>
            <w:pPr>
              <w:spacing w:after="20" w:line="252" w:lineRule="auto"/>
              <w:jc w:val="center"/>
            </w:pPr>
            <w:r>
              <w:rPr>
                <w:b w:val="0"/>
                <w:i w:val="0"/>
                <w:sz w:val="15"/>
              </w:rPr>
              <w:t>8</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End of day</w:t>
            </w:r>
          </w:p>
        </w:tc>
        <w:tc>
          <w:tcPr>
            <w:tcW w:type="dxa" w:w="4819"/>
            <w:vAlign w:val="top"/>
            <w:shd w:val="clear" w:color="auto" w:fill="FDF0F7"/>
          </w:tcPr>
          <w:p>
            <w:pPr>
              <w:spacing w:after="20" w:line="252" w:lineRule="auto"/>
            </w:pPr>
            <w:r>
              <w:rPr>
                <w:b w:val="0"/>
                <w:i w:val="0"/>
                <w:sz w:val="15"/>
              </w:rPr>
              <w:t>The day's issuance goes into the EOD report and FIN file.</w:t>
            </w:r>
          </w:p>
        </w:tc>
      </w:tr>
    </w:tbl>
    <w:p>
      <w:pPr>
        <w:spacing w:after="0" w:before="0"/>
      </w:pPr>
      <w:r>
        <w:rPr>
          <w:sz w:val="8"/>
        </w:rPr>
      </w:r>
    </w:p>
    <w:p>
      <w:pPr>
        <w:pStyle w:val="Heading2"/>
      </w:pPr>
      <w:r>
        <w:t>8.3 Banca hire-purchase financing with referral and grace period (FFR01)</w:t>
      </w:r>
    </w:p>
    <w:p>
      <w:pPr>
        <w:keepNext/>
        <w:spacing w:after="0"/>
        <w:jc w:val="center"/>
      </w:pPr>
      <w:r>
        <w:drawing>
          <wp:inline xmlns:a="http://schemas.openxmlformats.org/drawingml/2006/main" xmlns:pic="http://schemas.openxmlformats.org/drawingml/2006/picture">
            <wp:extent cx="5940000" cy="1913999"/>
            <wp:docPr id="6" name="Picture 6"/>
            <wp:cNvGraphicFramePr>
              <a:graphicFrameLocks noChangeAspect="1"/>
            </wp:cNvGraphicFramePr>
            <a:graphic>
              <a:graphicData uri="http://schemas.openxmlformats.org/drawingml/2006/picture">
                <pic:pic>
                  <pic:nvPicPr>
                    <pic:cNvPr id="0" name="fig-journey-hp.png"/>
                    <pic:cNvPicPr/>
                  </pic:nvPicPr>
                  <pic:blipFill>
                    <a:blip r:embed="rId16"/>
                    <a:stretch>
                      <a:fillRect/>
                    </a:stretch>
                  </pic:blipFill>
                  <pic:spPr>
                    <a:xfrm>
                      <a:off x="0" y="0"/>
                      <a:ext cx="5940000" cy="1913999"/>
                    </a:xfrm>
                    <a:prstGeom prst="rect"/>
                  </pic:spPr>
                </pic:pic>
              </a:graphicData>
            </a:graphic>
          </wp:inline>
        </w:drawing>
      </w:r>
    </w:p>
    <w:p>
      <w:pPr>
        <w:pStyle w:val="Caption"/>
        <w:jc w:val="center"/>
      </w:pPr>
      <w:r>
        <w:rPr>
          <w:b w:val="0"/>
          <w:i w:val="0"/>
        </w:rPr>
        <w:t>Figure 3: Banca hire-purchase financing with referral and grace period (FFR01)</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Bank officer</w:t>
            </w:r>
          </w:p>
        </w:tc>
        <w:tc>
          <w:tcPr>
            <w:tcW w:type="dxa" w:w="2268"/>
            <w:vAlign w:val="top"/>
          </w:tcPr>
          <w:p>
            <w:pPr>
              <w:spacing w:after="20" w:line="252" w:lineRule="auto"/>
            </w:pPr>
            <w:r>
              <w:rPr>
                <w:b w:val="0"/>
                <w:i w:val="0"/>
                <w:sz w:val="15"/>
              </w:rPr>
              <w:t>New quotation</w:t>
            </w:r>
          </w:p>
        </w:tc>
        <w:tc>
          <w:tcPr>
            <w:tcW w:type="dxa" w:w="4819"/>
            <w:vAlign w:val="top"/>
          </w:tcPr>
          <w:p>
            <w:pPr>
              <w:spacing w:after="20" w:line="252" w:lineRule="auto"/>
            </w:pPr>
            <w:r>
              <w:rPr>
                <w:b w:val="0"/>
                <w:i w:val="0"/>
                <w:sz w:val="15"/>
              </w:rPr>
              <w:t>Captures participant, financing amount, tenure and profit rate.</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New quotation</w:t>
            </w:r>
          </w:p>
        </w:tc>
        <w:tc>
          <w:tcPr>
            <w:tcW w:type="dxa" w:w="4819"/>
            <w:vAlign w:val="top"/>
            <w:shd w:val="clear" w:color="auto" w:fill="FDF0F7"/>
          </w:tcPr>
          <w:p>
            <w:pPr>
              <w:spacing w:after="20" w:line="252" w:lineRule="auto"/>
            </w:pPr>
            <w:r>
              <w:rPr>
                <w:b w:val="0"/>
                <w:i w:val="0"/>
                <w:sz w:val="15"/>
              </w:rPr>
              <w:t>Calculates the contribution; above B$150,000 the case is referred.</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IIFT Sales</w:t>
            </w:r>
          </w:p>
        </w:tc>
        <w:tc>
          <w:tcPr>
            <w:tcW w:type="dxa" w:w="2268"/>
            <w:vAlign w:val="top"/>
          </w:tcPr>
          <w:p>
            <w:pPr>
              <w:spacing w:after="20" w:line="252" w:lineRule="auto"/>
            </w:pPr>
            <w:r>
              <w:rPr>
                <w:b w:val="0"/>
                <w:i w:val="0"/>
                <w:sz w:val="15"/>
              </w:rPr>
              <w:t>Approvals inbox</w:t>
            </w:r>
          </w:p>
        </w:tc>
        <w:tc>
          <w:tcPr>
            <w:tcW w:type="dxa" w:w="4819"/>
            <w:vAlign w:val="top"/>
          </w:tcPr>
          <w:p>
            <w:pPr>
              <w:spacing w:after="20" w:line="252" w:lineRule="auto"/>
            </w:pPr>
            <w:r>
              <w:rPr>
                <w:b w:val="0"/>
                <w:i w:val="0"/>
                <w:sz w:val="15"/>
              </w:rPr>
              <w:t>Approves or declines cases above the high-risk limit.</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Bank officer</w:t>
            </w:r>
          </w:p>
        </w:tc>
        <w:tc>
          <w:tcPr>
            <w:tcW w:type="dxa" w:w="2268"/>
            <w:vAlign w:val="top"/>
            <w:shd w:val="clear" w:color="auto" w:fill="FDF0F7"/>
          </w:tcPr>
          <w:p>
            <w:pPr>
              <w:spacing w:after="20" w:line="252" w:lineRule="auto"/>
            </w:pPr>
            <w:r>
              <w:rPr>
                <w:b w:val="0"/>
                <w:i w:val="0"/>
                <w:sz w:val="15"/>
              </w:rPr>
              <w:t>Policy detail</w:t>
            </w:r>
          </w:p>
        </w:tc>
        <w:tc>
          <w:tcPr>
            <w:tcW w:type="dxa" w:w="4819"/>
            <w:vAlign w:val="top"/>
            <w:shd w:val="clear" w:color="auto" w:fill="FDF0F7"/>
          </w:tcPr>
          <w:p>
            <w:pPr>
              <w:spacing w:after="20" w:line="252" w:lineRule="auto"/>
            </w:pPr>
            <w:r>
              <w:rPr>
                <w:b w:val="0"/>
                <w:i w:val="0"/>
                <w:sz w:val="15"/>
              </w:rPr>
              <w:t>Uploads the drawdown letter and remaining documents.</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Underwriter</w:t>
            </w:r>
          </w:p>
        </w:tc>
        <w:tc>
          <w:tcPr>
            <w:tcW w:type="dxa" w:w="2268"/>
            <w:vAlign w:val="top"/>
          </w:tcPr>
          <w:p>
            <w:pPr>
              <w:spacing w:after="20" w:line="252" w:lineRule="auto"/>
            </w:pPr>
            <w:r>
              <w:rPr>
                <w:b w:val="0"/>
                <w:i w:val="0"/>
                <w:sz w:val="15"/>
              </w:rPr>
              <w:t>Approvals inbox</w:t>
            </w:r>
          </w:p>
        </w:tc>
        <w:tc>
          <w:tcPr>
            <w:tcW w:type="dxa" w:w="4819"/>
            <w:vAlign w:val="top"/>
          </w:tcPr>
          <w:p>
            <w:pPr>
              <w:spacing w:after="20" w:line="252" w:lineRule="auto"/>
            </w:pPr>
            <w:r>
              <w:rPr>
                <w:b w:val="0"/>
                <w:i w:val="0"/>
                <w:sz w:val="15"/>
              </w:rPr>
              <w:t>Approves the contract after quality check.</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Issues e-Policy (issue-then-pay); payment due within seven days.</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Bank officer</w:t>
            </w:r>
          </w:p>
        </w:tc>
        <w:tc>
          <w:tcPr>
            <w:tcW w:type="dxa" w:w="2268"/>
            <w:vAlign w:val="top"/>
          </w:tcPr>
          <w:p>
            <w:pPr>
              <w:spacing w:after="20" w:line="252" w:lineRule="auto"/>
            </w:pPr>
            <w:r>
              <w:rPr>
                <w:b w:val="0"/>
                <w:i w:val="0"/>
                <w:sz w:val="15"/>
              </w:rPr>
              <w:t>Billing</w:t>
            </w:r>
          </w:p>
        </w:tc>
        <w:tc>
          <w:tcPr>
            <w:tcW w:type="dxa" w:w="4819"/>
            <w:vAlign w:val="top"/>
          </w:tcPr>
          <w:p>
            <w:pPr>
              <w:spacing w:after="20" w:line="252" w:lineRule="auto"/>
            </w:pPr>
            <w:r>
              <w:rPr>
                <w:b w:val="0"/>
                <w:i w:val="0"/>
                <w:sz w:val="15"/>
              </w:rPr>
              <w:t>Submits payment with proof.</w:t>
            </w:r>
          </w:p>
        </w:tc>
      </w:tr>
      <w:tr>
        <w:trPr>
          <w:cantSplit/>
        </w:trPr>
        <w:tc>
          <w:tcPr>
            <w:tcW w:type="dxa" w:w="624"/>
            <w:vAlign w:val="top"/>
            <w:shd w:val="clear" w:color="auto" w:fill="FDF0F7"/>
          </w:tcPr>
          <w:p>
            <w:pPr>
              <w:spacing w:after="20" w:line="252" w:lineRule="auto"/>
              <w:jc w:val="center"/>
            </w:pPr>
            <w:r>
              <w:rPr>
                <w:b w:val="0"/>
                <w:i w:val="0"/>
                <w:sz w:val="15"/>
              </w:rPr>
              <w:t>8</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Dashboard</w:t>
            </w:r>
          </w:p>
        </w:tc>
        <w:tc>
          <w:tcPr>
            <w:tcW w:type="dxa" w:w="4819"/>
            <w:vAlign w:val="top"/>
            <w:shd w:val="clear" w:color="auto" w:fill="FDF0F7"/>
          </w:tcPr>
          <w:p>
            <w:pPr>
              <w:spacing w:after="20" w:line="252" w:lineRule="auto"/>
            </w:pPr>
            <w:r>
              <w:rPr>
                <w:b w:val="0"/>
                <w:i w:val="0"/>
                <w:sz w:val="15"/>
              </w:rPr>
              <w:t>If unpaid on day 8, blocks issuance for the agency until settled.</w:t>
            </w:r>
          </w:p>
        </w:tc>
      </w:tr>
    </w:tbl>
    <w:p>
      <w:pPr>
        <w:spacing w:after="0" w:before="0"/>
      </w:pPr>
      <w:r>
        <w:rPr>
          <w:sz w:val="8"/>
        </w:rPr>
      </w:r>
    </w:p>
    <w:p>
      <w:pPr>
        <w:pStyle w:val="Heading2"/>
      </w:pPr>
      <w:r>
        <w:t>8.4 Payment submission, verification and e-Receipt</w:t>
      </w:r>
    </w:p>
    <w:p>
      <w:pPr>
        <w:keepNext/>
        <w:spacing w:after="0"/>
        <w:jc w:val="center"/>
      </w:pPr>
      <w:r>
        <w:drawing>
          <wp:inline xmlns:a="http://schemas.openxmlformats.org/drawingml/2006/main" xmlns:pic="http://schemas.openxmlformats.org/drawingml/2006/picture">
            <wp:extent cx="5940000" cy="1913999"/>
            <wp:docPr id="7" name="Picture 7"/>
            <wp:cNvGraphicFramePr>
              <a:graphicFrameLocks noChangeAspect="1"/>
            </wp:cNvGraphicFramePr>
            <a:graphic>
              <a:graphicData uri="http://schemas.openxmlformats.org/drawingml/2006/picture">
                <pic:pic>
                  <pic:nvPicPr>
                    <pic:cNvPr id="0" name="fig-journey-payment.png"/>
                    <pic:cNvPicPr/>
                  </pic:nvPicPr>
                  <pic:blipFill>
                    <a:blip r:embed="rId17"/>
                    <a:stretch>
                      <a:fillRect/>
                    </a:stretch>
                  </pic:blipFill>
                  <pic:spPr>
                    <a:xfrm>
                      <a:off x="0" y="0"/>
                      <a:ext cx="5940000" cy="1913999"/>
                    </a:xfrm>
                    <a:prstGeom prst="rect"/>
                  </pic:spPr>
                </pic:pic>
              </a:graphicData>
            </a:graphic>
          </wp:inline>
        </w:drawing>
      </w:r>
    </w:p>
    <w:p>
      <w:pPr>
        <w:pStyle w:val="Caption"/>
        <w:jc w:val="center"/>
      </w:pPr>
      <w:r>
        <w:rPr>
          <w:b w:val="0"/>
          <w:i w:val="0"/>
        </w:rPr>
        <w:t>Figure 4: Payment submission, verification and e-Receipt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Billing (outstanding)</w:t>
            </w:r>
          </w:p>
        </w:tc>
        <w:tc>
          <w:tcPr>
            <w:tcW w:type="dxa" w:w="4819"/>
            <w:vAlign w:val="top"/>
          </w:tcPr>
          <w:p>
            <w:pPr>
              <w:spacing w:after="20" w:line="252" w:lineRule="auto"/>
            </w:pPr>
            <w:r>
              <w:rPr>
                <w:b w:val="0"/>
                <w:i w:val="0"/>
                <w:sz w:val="15"/>
              </w:rPr>
              <w:t>Selects one or many outstanding policies.</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Billing (bulk payment)</w:t>
            </w:r>
          </w:p>
        </w:tc>
        <w:tc>
          <w:tcPr>
            <w:tcW w:type="dxa" w:w="4819"/>
            <w:vAlign w:val="top"/>
            <w:shd w:val="clear" w:color="auto" w:fill="FDF0F7"/>
          </w:tcPr>
          <w:p>
            <w:pPr>
              <w:spacing w:after="20" w:line="252" w:lineRule="auto"/>
            </w:pPr>
            <w:r>
              <w:rPr>
                <w:b w:val="0"/>
                <w:i w:val="0"/>
                <w:sz w:val="15"/>
              </w:rPr>
              <w:t>Allocates amounts per policy and uploads one proof.</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Payment detail</w:t>
            </w:r>
          </w:p>
        </w:tc>
        <w:tc>
          <w:tcPr>
            <w:tcW w:type="dxa" w:w="4819"/>
            <w:vAlign w:val="top"/>
          </w:tcPr>
          <w:p>
            <w:pPr>
              <w:spacing w:after="20" w:line="252" w:lineRule="auto"/>
            </w:pPr>
            <w:r>
              <w:rPr>
                <w:b w:val="0"/>
                <w:i w:val="0"/>
                <w:sz w:val="15"/>
              </w:rPr>
              <w:t>Marks the payment Pending Verification and queues it.</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Finance officer</w:t>
            </w:r>
          </w:p>
        </w:tc>
        <w:tc>
          <w:tcPr>
            <w:tcW w:type="dxa" w:w="2268"/>
            <w:vAlign w:val="top"/>
            <w:shd w:val="clear" w:color="auto" w:fill="FDF0F7"/>
          </w:tcPr>
          <w:p>
            <w:pPr>
              <w:spacing w:after="20" w:line="252" w:lineRule="auto"/>
            </w:pPr>
            <w:r>
              <w:rPr>
                <w:b w:val="0"/>
                <w:i w:val="0"/>
                <w:sz w:val="15"/>
              </w:rPr>
              <w:t>Payments</w:t>
            </w:r>
          </w:p>
        </w:tc>
        <w:tc>
          <w:tcPr>
            <w:tcW w:type="dxa" w:w="4819"/>
            <w:vAlign w:val="top"/>
            <w:shd w:val="clear" w:color="auto" w:fill="FDF0F7"/>
          </w:tcPr>
          <w:p>
            <w:pPr>
              <w:spacing w:after="20" w:line="252" w:lineRule="auto"/>
            </w:pPr>
            <w:r>
              <w:rPr>
                <w:b w:val="0"/>
                <w:i w:val="0"/>
                <w:sz w:val="15"/>
              </w:rPr>
              <w:t>Checks the proof; approves or rejects with remarks.</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Finance manager</w:t>
            </w:r>
          </w:p>
        </w:tc>
        <w:tc>
          <w:tcPr>
            <w:tcW w:type="dxa" w:w="2268"/>
            <w:vAlign w:val="top"/>
          </w:tcPr>
          <w:p>
            <w:pPr>
              <w:spacing w:after="20" w:line="252" w:lineRule="auto"/>
            </w:pPr>
            <w:r>
              <w:rPr>
                <w:b w:val="0"/>
                <w:i w:val="0"/>
                <w:sz w:val="15"/>
              </w:rPr>
              <w:t>Approvals inbox</w:t>
            </w:r>
          </w:p>
        </w:tc>
        <w:tc>
          <w:tcPr>
            <w:tcW w:type="dxa" w:w="4819"/>
            <w:vAlign w:val="top"/>
          </w:tcPr>
          <w:p>
            <w:pPr>
              <w:spacing w:after="20" w:line="252" w:lineRule="auto"/>
            </w:pPr>
            <w:r>
              <w:rPr>
                <w:b w:val="0"/>
                <w:i w:val="0"/>
                <w:sz w:val="15"/>
              </w:rPr>
              <w:t>Approves when the amount is above the threshold.</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Produces the e-Receipt, marks policies Paid, lifts any agency block.</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Payment detail</w:t>
            </w:r>
          </w:p>
        </w:tc>
        <w:tc>
          <w:tcPr>
            <w:tcW w:type="dxa" w:w="4819"/>
            <w:vAlign w:val="top"/>
          </w:tcPr>
          <w:p>
            <w:pPr>
              <w:spacing w:after="20" w:line="252" w:lineRule="auto"/>
            </w:pPr>
            <w:r>
              <w:rPr>
                <w:b w:val="0"/>
                <w:i w:val="0"/>
                <w:sz w:val="15"/>
              </w:rPr>
              <w:t>Downloads or e-mails the e-Receipt.</w:t>
            </w:r>
          </w:p>
        </w:tc>
      </w:tr>
    </w:tbl>
    <w:p>
      <w:pPr>
        <w:spacing w:after="0" w:before="0"/>
      </w:pPr>
      <w:r>
        <w:rPr>
          <w:sz w:val="8"/>
        </w:rPr>
      </w:r>
    </w:p>
    <w:p>
      <w:pPr>
        <w:pStyle w:val="Heading2"/>
      </w:pPr>
      <w:r>
        <w:t>8.5 Endorsement or cancellation</w:t>
      </w:r>
    </w:p>
    <w:p>
      <w:pPr>
        <w:keepNext/>
        <w:spacing w:after="0"/>
        <w:jc w:val="center"/>
      </w:pPr>
      <w:r>
        <w:drawing>
          <wp:inline xmlns:a="http://schemas.openxmlformats.org/drawingml/2006/main" xmlns:pic="http://schemas.openxmlformats.org/drawingml/2006/picture">
            <wp:extent cx="5940000" cy="1913999"/>
            <wp:docPr id="8" name="Picture 8"/>
            <wp:cNvGraphicFramePr>
              <a:graphicFrameLocks noChangeAspect="1"/>
            </wp:cNvGraphicFramePr>
            <a:graphic>
              <a:graphicData uri="http://schemas.openxmlformats.org/drawingml/2006/picture">
                <pic:pic>
                  <pic:nvPicPr>
                    <pic:cNvPr id="0" name="fig-journey-servicing.png"/>
                    <pic:cNvPicPr/>
                  </pic:nvPicPr>
                  <pic:blipFill>
                    <a:blip r:embed="rId18"/>
                    <a:stretch>
                      <a:fillRect/>
                    </a:stretch>
                  </pic:blipFill>
                  <pic:spPr>
                    <a:xfrm>
                      <a:off x="0" y="0"/>
                      <a:ext cx="5940000" cy="1913999"/>
                    </a:xfrm>
                    <a:prstGeom prst="rect"/>
                  </pic:spPr>
                </pic:pic>
              </a:graphicData>
            </a:graphic>
          </wp:inline>
        </w:drawing>
      </w:r>
    </w:p>
    <w:p>
      <w:pPr>
        <w:pStyle w:val="Caption"/>
        <w:jc w:val="center"/>
      </w:pPr>
      <w:r>
        <w:rPr>
          <w:b w:val="0"/>
          <w:i w:val="0"/>
        </w:rPr>
        <w:t>Figure 5: Endorsement or cancellation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Policy detail (servicing)</w:t>
            </w:r>
          </w:p>
        </w:tc>
        <w:tc>
          <w:tcPr>
            <w:tcW w:type="dxa" w:w="4819"/>
            <w:vAlign w:val="top"/>
          </w:tcPr>
          <w:p>
            <w:pPr>
              <w:spacing w:after="20" w:line="252" w:lineRule="auto"/>
            </w:pPr>
            <w:r>
              <w:rPr>
                <w:b w:val="0"/>
                <w:i w:val="0"/>
                <w:sz w:val="15"/>
              </w:rPr>
              <w:t>Selects Endorse or Cancel on an active policy.</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Policy detail (servicing)</w:t>
            </w:r>
          </w:p>
        </w:tc>
        <w:tc>
          <w:tcPr>
            <w:tcW w:type="dxa" w:w="4819"/>
            <w:vAlign w:val="top"/>
            <w:shd w:val="clear" w:color="auto" w:fill="FDF0F7"/>
          </w:tcPr>
          <w:p>
            <w:pPr>
              <w:spacing w:after="20" w:line="252" w:lineRule="auto"/>
            </w:pPr>
            <w:r>
              <w:rPr>
                <w:b w:val="0"/>
                <w:i w:val="0"/>
                <w:sz w:val="15"/>
              </w:rPr>
              <w:t>Enters changes or reason and attaches documents.</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My requests</w:t>
            </w:r>
          </w:p>
        </w:tc>
        <w:tc>
          <w:tcPr>
            <w:tcW w:type="dxa" w:w="4819"/>
            <w:vAlign w:val="top"/>
          </w:tcPr>
          <w:p>
            <w:pPr>
              <w:spacing w:after="20" w:line="252" w:lineRule="auto"/>
            </w:pPr>
            <w:r>
              <w:rPr>
                <w:b w:val="0"/>
                <w:i w:val="0"/>
                <w:sz w:val="15"/>
              </w:rPr>
              <w:t>Records before and after values; routes by workflow.</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Underwriting officer</w:t>
            </w:r>
          </w:p>
        </w:tc>
        <w:tc>
          <w:tcPr>
            <w:tcW w:type="dxa" w:w="2268"/>
            <w:vAlign w:val="top"/>
            <w:shd w:val="clear" w:color="auto" w:fill="FDF0F7"/>
          </w:tcPr>
          <w:p>
            <w:pPr>
              <w:spacing w:after="20" w:line="252" w:lineRule="auto"/>
            </w:pPr>
            <w:r>
              <w:rPr>
                <w:b w:val="0"/>
                <w:i w:val="0"/>
                <w:sz w:val="15"/>
              </w:rPr>
              <w:t>Approvals inbox</w:t>
            </w:r>
          </w:p>
        </w:tc>
        <w:tc>
          <w:tcPr>
            <w:tcW w:type="dxa" w:w="4819"/>
            <w:vAlign w:val="top"/>
            <w:shd w:val="clear" w:color="auto" w:fill="FDF0F7"/>
          </w:tcPr>
          <w:p>
            <w:pPr>
              <w:spacing w:after="20" w:line="252" w:lineRule="auto"/>
            </w:pPr>
            <w:r>
              <w:rPr>
                <w:b w:val="0"/>
                <w:i w:val="0"/>
                <w:sz w:val="15"/>
              </w:rPr>
              <w:t>Reviews and approves or rejects with remarks.</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Underwriting manager</w:t>
            </w:r>
          </w:p>
        </w:tc>
        <w:tc>
          <w:tcPr>
            <w:tcW w:type="dxa" w:w="2268"/>
            <w:vAlign w:val="top"/>
          </w:tcPr>
          <w:p>
            <w:pPr>
              <w:spacing w:after="20" w:line="252" w:lineRule="auto"/>
            </w:pPr>
            <w:r>
              <w:rPr>
                <w:b w:val="0"/>
                <w:i w:val="0"/>
                <w:sz w:val="15"/>
              </w:rPr>
              <w:t>Approval detail</w:t>
            </w:r>
          </w:p>
        </w:tc>
        <w:tc>
          <w:tcPr>
            <w:tcW w:type="dxa" w:w="4819"/>
            <w:vAlign w:val="top"/>
          </w:tcPr>
          <w:p>
            <w:pPr>
              <w:spacing w:after="20" w:line="252" w:lineRule="auto"/>
            </w:pPr>
            <w:r>
              <w:rPr>
                <w:b w:val="0"/>
                <w:i w:val="0"/>
                <w:sz w:val="15"/>
              </w:rPr>
              <w:t>Approves cancellations and endorsements above threshold.</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Policy detail</w:t>
            </w:r>
          </w:p>
        </w:tc>
        <w:tc>
          <w:tcPr>
            <w:tcW w:type="dxa" w:w="4819"/>
            <w:vAlign w:val="top"/>
            <w:shd w:val="clear" w:color="auto" w:fill="FDF0F7"/>
          </w:tcPr>
          <w:p>
            <w:pPr>
              <w:spacing w:after="20" w:line="252" w:lineRule="auto"/>
            </w:pPr>
            <w:r>
              <w:rPr>
                <w:b w:val="0"/>
                <w:i w:val="0"/>
                <w:sz w:val="15"/>
              </w:rPr>
              <w:t>Applies the change, records audit, notifies the agent.</w:t>
            </w:r>
          </w:p>
        </w:tc>
      </w:tr>
    </w:tbl>
    <w:p>
      <w:pPr>
        <w:spacing w:after="0" w:before="0"/>
      </w:pPr>
      <w:r>
        <w:rPr>
          <w:sz w:val="8"/>
        </w:rPr>
      </w:r>
    </w:p>
    <w:p>
      <w:pPr>
        <w:pStyle w:val="Heading2"/>
      </w:pPr>
      <w:r>
        <w:t>8.6 Claim notification</w:t>
      </w:r>
    </w:p>
    <w:p>
      <w:pPr>
        <w:keepNext/>
        <w:spacing w:after="0"/>
        <w:jc w:val="center"/>
      </w:pPr>
      <w:r>
        <w:drawing>
          <wp:inline xmlns:a="http://schemas.openxmlformats.org/drawingml/2006/main" xmlns:pic="http://schemas.openxmlformats.org/drawingml/2006/picture">
            <wp:extent cx="5940000" cy="1452000"/>
            <wp:docPr id="9" name="Picture 9"/>
            <wp:cNvGraphicFramePr>
              <a:graphicFrameLocks noChangeAspect="1"/>
            </wp:cNvGraphicFramePr>
            <a:graphic>
              <a:graphicData uri="http://schemas.openxmlformats.org/drawingml/2006/picture">
                <pic:pic>
                  <pic:nvPicPr>
                    <pic:cNvPr id="0" name="fig-journey-claim.png"/>
                    <pic:cNvPicPr/>
                  </pic:nvPicPr>
                  <pic:blipFill>
                    <a:blip r:embed="rId19"/>
                    <a:stretch>
                      <a:fillRect/>
                    </a:stretch>
                  </pic:blipFill>
                  <pic:spPr>
                    <a:xfrm>
                      <a:off x="0" y="0"/>
                      <a:ext cx="5940000" cy="1452000"/>
                    </a:xfrm>
                    <a:prstGeom prst="rect"/>
                  </pic:spPr>
                </pic:pic>
              </a:graphicData>
            </a:graphic>
          </wp:inline>
        </w:drawing>
      </w:r>
    </w:p>
    <w:p>
      <w:pPr>
        <w:pStyle w:val="Caption"/>
        <w:jc w:val="center"/>
      </w:pPr>
      <w:r>
        <w:rPr>
          <w:b w:val="0"/>
          <w:i w:val="0"/>
        </w:rPr>
        <w:t>Figure 6: Claim notification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Claims (notification)</w:t>
            </w:r>
          </w:p>
        </w:tc>
        <w:tc>
          <w:tcPr>
            <w:tcW w:type="dxa" w:w="4819"/>
            <w:vAlign w:val="top"/>
          </w:tcPr>
          <w:p>
            <w:pPr>
              <w:spacing w:after="20" w:line="252" w:lineRule="auto"/>
            </w:pPr>
            <w:r>
              <w:rPr>
                <w:b w:val="0"/>
                <w:i w:val="0"/>
                <w:sz w:val="15"/>
              </w:rPr>
              <w:t>Opens a new claim notification.</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Claims (notification)</w:t>
            </w:r>
          </w:p>
        </w:tc>
        <w:tc>
          <w:tcPr>
            <w:tcW w:type="dxa" w:w="4819"/>
            <w:vAlign w:val="top"/>
            <w:shd w:val="clear" w:color="auto" w:fill="FDF0F7"/>
          </w:tcPr>
          <w:p>
            <w:pPr>
              <w:spacing w:after="20" w:line="252" w:lineRule="auto"/>
            </w:pPr>
            <w:r>
              <w:rPr>
                <w:b w:val="0"/>
                <w:i w:val="0"/>
                <w:sz w:val="15"/>
              </w:rPr>
              <w:t>Checks the policy was in force on the event date.</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Agent</w:t>
            </w:r>
          </w:p>
        </w:tc>
        <w:tc>
          <w:tcPr>
            <w:tcW w:type="dxa" w:w="2268"/>
            <w:vAlign w:val="top"/>
          </w:tcPr>
          <w:p>
            <w:pPr>
              <w:spacing w:after="20" w:line="252" w:lineRule="auto"/>
            </w:pPr>
            <w:r>
              <w:rPr>
                <w:b w:val="0"/>
                <w:i w:val="0"/>
                <w:sz w:val="15"/>
              </w:rPr>
              <w:t>Claims (notification)</w:t>
            </w:r>
          </w:p>
        </w:tc>
        <w:tc>
          <w:tcPr>
            <w:tcW w:type="dxa" w:w="4819"/>
            <w:vAlign w:val="top"/>
          </w:tcPr>
          <w:p>
            <w:pPr>
              <w:spacing w:after="20" w:line="252" w:lineRule="auto"/>
            </w:pPr>
            <w:r>
              <w:rPr>
                <w:b w:val="0"/>
                <w:i w:val="0"/>
                <w:sz w:val="15"/>
              </w:rPr>
              <w:t>Enters claim details and uploads documents.</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Claims (notification)</w:t>
            </w:r>
          </w:p>
        </w:tc>
        <w:tc>
          <w:tcPr>
            <w:tcW w:type="dxa" w:w="4819"/>
            <w:vAlign w:val="top"/>
            <w:shd w:val="clear" w:color="auto" w:fill="FDF0F7"/>
          </w:tcPr>
          <w:p>
            <w:pPr>
              <w:spacing w:after="20" w:line="252" w:lineRule="auto"/>
            </w:pPr>
            <w:r>
              <w:rPr>
                <w:b w:val="0"/>
                <w:i w:val="0"/>
                <w:sz w:val="15"/>
              </w:rPr>
              <w:t>Submits; a reference number is issued.</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Claims team</w:t>
            </w:r>
          </w:p>
        </w:tc>
        <w:tc>
          <w:tcPr>
            <w:tcW w:type="dxa" w:w="2268"/>
            <w:vAlign w:val="top"/>
          </w:tcPr>
          <w:p>
            <w:pPr>
              <w:spacing w:after="20" w:line="252" w:lineRule="auto"/>
            </w:pPr>
            <w:r>
              <w:rPr>
                <w:b w:val="0"/>
                <w:i w:val="0"/>
                <w:sz w:val="15"/>
              </w:rPr>
              <w:t>Claims</w:t>
            </w:r>
          </w:p>
        </w:tc>
        <w:tc>
          <w:tcPr>
            <w:tcW w:type="dxa" w:w="4819"/>
            <w:vAlign w:val="top"/>
          </w:tcPr>
          <w:p>
            <w:pPr>
              <w:spacing w:after="20" w:line="252" w:lineRule="auto"/>
            </w:pPr>
            <w:r>
              <w:rPr>
                <w:b w:val="0"/>
                <w:i w:val="0"/>
                <w:sz w:val="15"/>
              </w:rPr>
              <w:t>Reviews the notification and updates its status.</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Agent</w:t>
            </w:r>
          </w:p>
        </w:tc>
        <w:tc>
          <w:tcPr>
            <w:tcW w:type="dxa" w:w="2268"/>
            <w:vAlign w:val="top"/>
            <w:shd w:val="clear" w:color="auto" w:fill="FDF0F7"/>
          </w:tcPr>
          <w:p>
            <w:pPr>
              <w:spacing w:after="20" w:line="252" w:lineRule="auto"/>
            </w:pPr>
            <w:r>
              <w:rPr>
                <w:b w:val="0"/>
                <w:i w:val="0"/>
                <w:sz w:val="15"/>
              </w:rPr>
              <w:t>Claims (detail)</w:t>
            </w:r>
          </w:p>
        </w:tc>
        <w:tc>
          <w:tcPr>
            <w:tcW w:type="dxa" w:w="4819"/>
            <w:vAlign w:val="top"/>
            <w:shd w:val="clear" w:color="auto" w:fill="FDF0F7"/>
          </w:tcPr>
          <w:p>
            <w:pPr>
              <w:spacing w:after="20" w:line="252" w:lineRule="auto"/>
            </w:pPr>
            <w:r>
              <w:rPr>
                <w:b w:val="0"/>
                <w:i w:val="0"/>
                <w:sz w:val="15"/>
              </w:rPr>
              <w:t>Follows status and responds to requests.</w:t>
            </w:r>
          </w:p>
        </w:tc>
      </w:tr>
    </w:tbl>
    <w:p>
      <w:pPr>
        <w:spacing w:after="0" w:before="0"/>
      </w:pPr>
      <w:r>
        <w:rPr>
          <w:sz w:val="8"/>
        </w:rPr>
      </w:r>
    </w:p>
    <w:p>
      <w:pPr>
        <w:pStyle w:val="Heading2"/>
      </w:pPr>
      <w:r>
        <w:t>8.7 Issue reporting with SLA</w:t>
      </w:r>
    </w:p>
    <w:p>
      <w:pPr>
        <w:keepNext/>
        <w:spacing w:after="0"/>
        <w:jc w:val="center"/>
      </w:pPr>
      <w:r>
        <w:drawing>
          <wp:inline xmlns:a="http://schemas.openxmlformats.org/drawingml/2006/main" xmlns:pic="http://schemas.openxmlformats.org/drawingml/2006/picture">
            <wp:extent cx="5940000" cy="1913999"/>
            <wp:docPr id="10" name="Picture 10"/>
            <wp:cNvGraphicFramePr>
              <a:graphicFrameLocks noChangeAspect="1"/>
            </wp:cNvGraphicFramePr>
            <a:graphic>
              <a:graphicData uri="http://schemas.openxmlformats.org/drawingml/2006/picture">
                <pic:pic>
                  <pic:nvPicPr>
                    <pic:cNvPr id="0" name="fig-journey-issue.png"/>
                    <pic:cNvPicPr/>
                  </pic:nvPicPr>
                  <pic:blipFill>
                    <a:blip r:embed="rId20"/>
                    <a:stretch>
                      <a:fillRect/>
                    </a:stretch>
                  </pic:blipFill>
                  <pic:spPr>
                    <a:xfrm>
                      <a:off x="0" y="0"/>
                      <a:ext cx="5940000" cy="1913999"/>
                    </a:xfrm>
                    <a:prstGeom prst="rect"/>
                  </pic:spPr>
                </pic:pic>
              </a:graphicData>
            </a:graphic>
          </wp:inline>
        </w:drawing>
      </w:r>
    </w:p>
    <w:p>
      <w:pPr>
        <w:pStyle w:val="Caption"/>
        <w:jc w:val="center"/>
      </w:pPr>
      <w:r>
        <w:rPr>
          <w:b w:val="0"/>
          <w:i w:val="0"/>
        </w:rPr>
        <w:t>Figure 7: Issue reporting with SLA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Agent or IIFT user</w:t>
            </w:r>
          </w:p>
        </w:tc>
        <w:tc>
          <w:tcPr>
            <w:tcW w:type="dxa" w:w="2268"/>
            <w:vAlign w:val="top"/>
          </w:tcPr>
          <w:p>
            <w:pPr>
              <w:spacing w:after="20" w:line="252" w:lineRule="auto"/>
            </w:pPr>
            <w:r>
              <w:rPr>
                <w:b w:val="0"/>
                <w:i w:val="0"/>
                <w:sz w:val="15"/>
              </w:rPr>
              <w:t>Support issues</w:t>
            </w:r>
          </w:p>
        </w:tc>
        <w:tc>
          <w:tcPr>
            <w:tcW w:type="dxa" w:w="4819"/>
            <w:vAlign w:val="top"/>
          </w:tcPr>
          <w:p>
            <w:pPr>
              <w:spacing w:after="20" w:line="252" w:lineRule="auto"/>
            </w:pPr>
            <w:r>
              <w:rPr>
                <w:b w:val="0"/>
                <w:i w:val="0"/>
                <w:sz w:val="15"/>
              </w:rPr>
              <w:t>Describes the problem and attaches screenshots.</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Issues a reference number and starts SLA timers.</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Support desk</w:t>
            </w:r>
          </w:p>
        </w:tc>
        <w:tc>
          <w:tcPr>
            <w:tcW w:type="dxa" w:w="2268"/>
            <w:vAlign w:val="top"/>
          </w:tcPr>
          <w:p>
            <w:pPr>
              <w:spacing w:after="20" w:line="252" w:lineRule="auto"/>
            </w:pPr>
            <w:r>
              <w:rPr>
                <w:b w:val="0"/>
                <w:i w:val="0"/>
                <w:sz w:val="15"/>
              </w:rPr>
              <w:t>Issues</w:t>
            </w:r>
          </w:p>
        </w:tc>
        <w:tc>
          <w:tcPr>
            <w:tcW w:type="dxa" w:w="4819"/>
            <w:vAlign w:val="top"/>
          </w:tcPr>
          <w:p>
            <w:pPr>
              <w:spacing w:after="20" w:line="252" w:lineRule="auto"/>
            </w:pPr>
            <w:r>
              <w:rPr>
                <w:b w:val="0"/>
                <w:i w:val="0"/>
                <w:sz w:val="15"/>
              </w:rPr>
              <w:t>Sets priority and assigns by rule.</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Resolver</w:t>
            </w:r>
          </w:p>
        </w:tc>
        <w:tc>
          <w:tcPr>
            <w:tcW w:type="dxa" w:w="2268"/>
            <w:vAlign w:val="top"/>
            <w:shd w:val="clear" w:color="auto" w:fill="FDF0F7"/>
          </w:tcPr>
          <w:p>
            <w:pPr>
              <w:spacing w:after="20" w:line="252" w:lineRule="auto"/>
            </w:pPr>
            <w:r>
              <w:rPr>
                <w:b w:val="0"/>
                <w:i w:val="0"/>
                <w:sz w:val="15"/>
              </w:rPr>
              <w:t>Issues</w:t>
            </w:r>
          </w:p>
        </w:tc>
        <w:tc>
          <w:tcPr>
            <w:tcW w:type="dxa" w:w="4819"/>
            <w:vAlign w:val="top"/>
            <w:shd w:val="clear" w:color="auto" w:fill="FDF0F7"/>
          </w:tcPr>
          <w:p>
            <w:pPr>
              <w:spacing w:after="20" w:line="252" w:lineRule="auto"/>
            </w:pPr>
            <w:r>
              <w:rPr>
                <w:b w:val="0"/>
                <w:i w:val="0"/>
                <w:sz w:val="15"/>
              </w:rPr>
              <w:t>Updates the issue and the reporter.</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None</w:t>
            </w:r>
          </w:p>
        </w:tc>
        <w:tc>
          <w:tcPr>
            <w:tcW w:type="dxa" w:w="4819"/>
            <w:vAlign w:val="top"/>
          </w:tcPr>
          <w:p>
            <w:pPr>
              <w:spacing w:after="20" w:line="252" w:lineRule="auto"/>
            </w:pPr>
            <w:r>
              <w:rPr>
                <w:b w:val="0"/>
                <w:i w:val="0"/>
                <w:sz w:val="15"/>
              </w:rPr>
              <w:t>Alerts the supervisor when a target is about to be missed.</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Resolver</w:t>
            </w:r>
          </w:p>
        </w:tc>
        <w:tc>
          <w:tcPr>
            <w:tcW w:type="dxa" w:w="2268"/>
            <w:vAlign w:val="top"/>
            <w:shd w:val="clear" w:color="auto" w:fill="FDF0F7"/>
          </w:tcPr>
          <w:p>
            <w:pPr>
              <w:spacing w:after="20" w:line="252" w:lineRule="auto"/>
            </w:pPr>
            <w:r>
              <w:rPr>
                <w:b w:val="0"/>
                <w:i w:val="0"/>
                <w:sz w:val="15"/>
              </w:rPr>
              <w:t>Issues</w:t>
            </w:r>
          </w:p>
        </w:tc>
        <w:tc>
          <w:tcPr>
            <w:tcW w:type="dxa" w:w="4819"/>
            <w:vAlign w:val="top"/>
            <w:shd w:val="clear" w:color="auto" w:fill="FDF0F7"/>
          </w:tcPr>
          <w:p>
            <w:pPr>
              <w:spacing w:after="20" w:line="252" w:lineRule="auto"/>
            </w:pPr>
            <w:r>
              <w:rPr>
                <w:b w:val="0"/>
                <w:i w:val="0"/>
                <w:sz w:val="15"/>
              </w:rPr>
              <w:t>Records the fix.</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Reporter</w:t>
            </w:r>
          </w:p>
        </w:tc>
        <w:tc>
          <w:tcPr>
            <w:tcW w:type="dxa" w:w="2268"/>
            <w:vAlign w:val="top"/>
          </w:tcPr>
          <w:p>
            <w:pPr>
              <w:spacing w:after="20" w:line="252" w:lineRule="auto"/>
            </w:pPr>
            <w:r>
              <w:rPr>
                <w:b w:val="0"/>
                <w:i w:val="0"/>
                <w:sz w:val="15"/>
              </w:rPr>
              <w:t>Support issues</w:t>
            </w:r>
          </w:p>
        </w:tc>
        <w:tc>
          <w:tcPr>
            <w:tcW w:type="dxa" w:w="4819"/>
            <w:vAlign w:val="top"/>
          </w:tcPr>
          <w:p>
            <w:pPr>
              <w:spacing w:after="20" w:line="252" w:lineRule="auto"/>
            </w:pPr>
            <w:r>
              <w:rPr>
                <w:b w:val="0"/>
                <w:i w:val="0"/>
                <w:sz w:val="15"/>
              </w:rPr>
              <w:t>Confirms or reopens.</w:t>
            </w:r>
          </w:p>
        </w:tc>
      </w:tr>
    </w:tbl>
    <w:p>
      <w:pPr>
        <w:spacing w:after="0" w:before="0"/>
      </w:pPr>
      <w:r>
        <w:rPr>
          <w:sz w:val="8"/>
        </w:rPr>
      </w:r>
    </w:p>
    <w:p>
      <w:pPr>
        <w:pStyle w:val="Heading2"/>
      </w:pPr>
      <w:r>
        <w:t>8.8 End of day and FIN reconciliation</w:t>
      </w:r>
    </w:p>
    <w:p>
      <w:pPr>
        <w:keepNext/>
        <w:spacing w:after="0"/>
        <w:jc w:val="center"/>
      </w:pPr>
      <w:r>
        <w:drawing>
          <wp:inline xmlns:a="http://schemas.openxmlformats.org/drawingml/2006/main" xmlns:pic="http://schemas.openxmlformats.org/drawingml/2006/picture">
            <wp:extent cx="5940000" cy="1913999"/>
            <wp:docPr id="11" name="Picture 11"/>
            <wp:cNvGraphicFramePr>
              <a:graphicFrameLocks noChangeAspect="1"/>
            </wp:cNvGraphicFramePr>
            <a:graphic>
              <a:graphicData uri="http://schemas.openxmlformats.org/drawingml/2006/picture">
                <pic:pic>
                  <pic:nvPicPr>
                    <pic:cNvPr id="0" name="fig-journey-eod.png"/>
                    <pic:cNvPicPr/>
                  </pic:nvPicPr>
                  <pic:blipFill>
                    <a:blip r:embed="rId21"/>
                    <a:stretch>
                      <a:fillRect/>
                    </a:stretch>
                  </pic:blipFill>
                  <pic:spPr>
                    <a:xfrm>
                      <a:off x="0" y="0"/>
                      <a:ext cx="5940000" cy="1913999"/>
                    </a:xfrm>
                    <a:prstGeom prst="rect"/>
                  </pic:spPr>
                </pic:pic>
              </a:graphicData>
            </a:graphic>
          </wp:inline>
        </w:drawing>
      </w:r>
    </w:p>
    <w:p>
      <w:pPr>
        <w:pStyle w:val="Caption"/>
        <w:jc w:val="center"/>
      </w:pPr>
      <w:r>
        <w:rPr>
          <w:b w:val="0"/>
          <w:i w:val="0"/>
        </w:rPr>
        <w:t>Figure 8: End of day and FIN reconciliation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End of day</w:t>
            </w:r>
          </w:p>
        </w:tc>
        <w:tc>
          <w:tcPr>
            <w:tcW w:type="dxa" w:w="4819"/>
            <w:vAlign w:val="top"/>
          </w:tcPr>
          <w:p>
            <w:pPr>
              <w:spacing w:after="20" w:line="252" w:lineRule="auto"/>
            </w:pPr>
            <w:r>
              <w:rPr>
                <w:b w:val="0"/>
                <w:i w:val="0"/>
                <w:sz w:val="15"/>
              </w:rPr>
              <w:t>Closes the business day at the configured time.</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System</w:t>
            </w:r>
          </w:p>
        </w:tc>
        <w:tc>
          <w:tcPr>
            <w:tcW w:type="dxa" w:w="2268"/>
            <w:vAlign w:val="top"/>
            <w:shd w:val="clear" w:color="auto" w:fill="FDF0F7"/>
          </w:tcPr>
          <w:p>
            <w:pPr>
              <w:spacing w:after="20" w:line="252" w:lineRule="auto"/>
            </w:pPr>
            <w:r>
              <w:rPr>
                <w:b w:val="0"/>
                <w:i w:val="0"/>
                <w:sz w:val="15"/>
              </w:rPr>
              <w:t>End of day</w:t>
            </w:r>
          </w:p>
        </w:tc>
        <w:tc>
          <w:tcPr>
            <w:tcW w:type="dxa" w:w="4819"/>
            <w:vAlign w:val="top"/>
            <w:shd w:val="clear" w:color="auto" w:fill="FDF0F7"/>
          </w:tcPr>
          <w:p>
            <w:pPr>
              <w:spacing w:after="20" w:line="252" w:lineRule="auto"/>
            </w:pPr>
            <w:r>
              <w:rPr>
                <w:b w:val="0"/>
                <w:i w:val="0"/>
                <w:sz w:val="15"/>
              </w:rPr>
              <w:t>Builds the issuance report by product, bank and agent.</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Integration monitor</w:t>
            </w:r>
          </w:p>
        </w:tc>
        <w:tc>
          <w:tcPr>
            <w:tcW w:type="dxa" w:w="4819"/>
            <w:vAlign w:val="top"/>
          </w:tcPr>
          <w:p>
            <w:pPr>
              <w:spacing w:after="20" w:line="252" w:lineRule="auto"/>
            </w:pPr>
            <w:r>
              <w:rPr>
                <w:b w:val="0"/>
                <w:i w:val="0"/>
                <w:sz w:val="15"/>
              </w:rPr>
              <w:t>Writes the FIN interface file and queues delivery.</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FIN system</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Receives and posts the entries.</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System</w:t>
            </w:r>
          </w:p>
        </w:tc>
        <w:tc>
          <w:tcPr>
            <w:tcW w:type="dxa" w:w="2268"/>
            <w:vAlign w:val="top"/>
          </w:tcPr>
          <w:p>
            <w:pPr>
              <w:spacing w:after="20" w:line="252" w:lineRule="auto"/>
            </w:pPr>
            <w:r>
              <w:rPr>
                <w:b w:val="0"/>
                <w:i w:val="0"/>
                <w:sz w:val="15"/>
              </w:rPr>
              <w:t>End of day</w:t>
            </w:r>
          </w:p>
        </w:tc>
        <w:tc>
          <w:tcPr>
            <w:tcW w:type="dxa" w:w="4819"/>
            <w:vAlign w:val="top"/>
          </w:tcPr>
          <w:p>
            <w:pPr>
              <w:spacing w:after="20" w:line="252" w:lineRule="auto"/>
            </w:pPr>
            <w:r>
              <w:rPr>
                <w:b w:val="0"/>
                <w:i w:val="0"/>
                <w:sz w:val="15"/>
              </w:rPr>
              <w:t>Reconciles receipts; lists exceptions.</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Finance officer</w:t>
            </w:r>
          </w:p>
        </w:tc>
        <w:tc>
          <w:tcPr>
            <w:tcW w:type="dxa" w:w="2268"/>
            <w:vAlign w:val="top"/>
            <w:shd w:val="clear" w:color="auto" w:fill="FDF0F7"/>
          </w:tcPr>
          <w:p>
            <w:pPr>
              <w:spacing w:after="20" w:line="252" w:lineRule="auto"/>
            </w:pPr>
            <w:r>
              <w:rPr>
                <w:b w:val="0"/>
                <w:i w:val="0"/>
                <w:sz w:val="15"/>
              </w:rPr>
              <w:t>End of day</w:t>
            </w:r>
          </w:p>
        </w:tc>
        <w:tc>
          <w:tcPr>
            <w:tcW w:type="dxa" w:w="4819"/>
            <w:vAlign w:val="top"/>
            <w:shd w:val="clear" w:color="auto" w:fill="FDF0F7"/>
          </w:tcPr>
          <w:p>
            <w:pPr>
              <w:spacing w:after="20" w:line="252" w:lineRule="auto"/>
            </w:pPr>
            <w:r>
              <w:rPr>
                <w:b w:val="0"/>
                <w:i w:val="0"/>
                <w:sz w:val="15"/>
              </w:rPr>
              <w:t>Investigates and comments on exceptions.</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Finance manager</w:t>
            </w:r>
          </w:p>
        </w:tc>
        <w:tc>
          <w:tcPr>
            <w:tcW w:type="dxa" w:w="2268"/>
            <w:vAlign w:val="top"/>
          </w:tcPr>
          <w:p>
            <w:pPr>
              <w:spacing w:after="20" w:line="252" w:lineRule="auto"/>
            </w:pPr>
            <w:r>
              <w:rPr>
                <w:b w:val="0"/>
                <w:i w:val="0"/>
                <w:sz w:val="15"/>
              </w:rPr>
              <w:t>End of day</w:t>
            </w:r>
          </w:p>
        </w:tc>
        <w:tc>
          <w:tcPr>
            <w:tcW w:type="dxa" w:w="4819"/>
            <w:vAlign w:val="top"/>
          </w:tcPr>
          <w:p>
            <w:pPr>
              <w:spacing w:after="20" w:line="252" w:lineRule="auto"/>
            </w:pPr>
            <w:r>
              <w:rPr>
                <w:b w:val="0"/>
                <w:i w:val="0"/>
                <w:sz w:val="15"/>
              </w:rPr>
              <w:t>Signs off the run; history is kept.</w:t>
            </w:r>
          </w:p>
        </w:tc>
      </w:tr>
    </w:tbl>
    <w:p>
      <w:pPr>
        <w:spacing w:after="0" w:before="0"/>
      </w:pPr>
      <w:r>
        <w:rPr>
          <w:sz w:val="8"/>
        </w:rPr>
      </w:r>
    </w:p>
    <w:p>
      <w:pPr>
        <w:pStyle w:val="Heading2"/>
      </w:pPr>
      <w:r>
        <w:t>8.9 Maker-checker approval</w:t>
      </w:r>
    </w:p>
    <w:p>
      <w:pPr>
        <w:keepNext/>
        <w:spacing w:after="0"/>
        <w:jc w:val="center"/>
      </w:pPr>
      <w:r>
        <w:drawing>
          <wp:inline xmlns:a="http://schemas.openxmlformats.org/drawingml/2006/main" xmlns:pic="http://schemas.openxmlformats.org/drawingml/2006/picture">
            <wp:extent cx="5940000" cy="1913999"/>
            <wp:docPr id="12" name="Picture 12"/>
            <wp:cNvGraphicFramePr>
              <a:graphicFrameLocks noChangeAspect="1"/>
            </wp:cNvGraphicFramePr>
            <a:graphic>
              <a:graphicData uri="http://schemas.openxmlformats.org/drawingml/2006/picture">
                <pic:pic>
                  <pic:nvPicPr>
                    <pic:cNvPr id="0" name="fig-journey-makerchecker.png"/>
                    <pic:cNvPicPr/>
                  </pic:nvPicPr>
                  <pic:blipFill>
                    <a:blip r:embed="rId22"/>
                    <a:stretch>
                      <a:fillRect/>
                    </a:stretch>
                  </pic:blipFill>
                  <pic:spPr>
                    <a:xfrm>
                      <a:off x="0" y="0"/>
                      <a:ext cx="5940000" cy="1913999"/>
                    </a:xfrm>
                    <a:prstGeom prst="rect"/>
                  </pic:spPr>
                </pic:pic>
              </a:graphicData>
            </a:graphic>
          </wp:inline>
        </w:drawing>
      </w:r>
    </w:p>
    <w:p>
      <w:pPr>
        <w:pStyle w:val="Caption"/>
        <w:jc w:val="center"/>
      </w:pPr>
      <w:r>
        <w:rPr>
          <w:b w:val="0"/>
          <w:i w:val="0"/>
        </w:rPr>
        <w:t>Figure 9: Maker-checker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623"/>
        <w:gridCol w:w="1927"/>
        <w:gridCol w:w="2268"/>
        <w:gridCol w:w="4819"/>
      </w:tblGrid>
      <w:tr>
        <w:trPr>
          <w:cantSplit/>
          <w:tblHeader/>
        </w:trPr>
        <w:tc>
          <w:tcPr>
            <w:tcW w:type="dxa" w:w="624"/>
            <w:shd w:val="clear" w:color="auto" w:fill="E1058C"/>
            <w:vAlign w:val="center"/>
          </w:tcPr>
          <w:p>
            <w:pPr>
              <w:spacing w:after="0"/>
            </w:pPr>
            <w:r>
              <w:rPr>
                <w:b/>
                <w:i w:val="0"/>
                <w:color w:val="FFFFFF"/>
                <w:sz w:val="15"/>
              </w:rPr>
              <w:t>Step</w:t>
            </w:r>
          </w:p>
        </w:tc>
        <w:tc>
          <w:tcPr>
            <w:tcW w:type="dxa" w:w="1928"/>
            <w:shd w:val="clear" w:color="auto" w:fill="E1058C"/>
            <w:vAlign w:val="center"/>
          </w:tcPr>
          <w:p>
            <w:pPr>
              <w:spacing w:after="0"/>
            </w:pPr>
            <w:r>
              <w:rPr>
                <w:b/>
                <w:i w:val="0"/>
                <w:color w:val="FFFFFF"/>
                <w:sz w:val="15"/>
              </w:rPr>
              <w:t>Actor</w:t>
            </w:r>
          </w:p>
        </w:tc>
        <w:tc>
          <w:tcPr>
            <w:tcW w:type="dxa" w:w="2268"/>
            <w:shd w:val="clear" w:color="auto" w:fill="E1058C"/>
            <w:vAlign w:val="center"/>
          </w:tcPr>
          <w:p>
            <w:pPr>
              <w:spacing w:after="0"/>
            </w:pPr>
            <w:r>
              <w:rPr>
                <w:b/>
                <w:i w:val="0"/>
                <w:color w:val="FFFFFF"/>
                <w:sz w:val="15"/>
              </w:rPr>
              <w:t>Screen</w:t>
            </w:r>
          </w:p>
        </w:tc>
        <w:tc>
          <w:tcPr>
            <w:tcW w:type="dxa" w:w="4819"/>
            <w:shd w:val="clear" w:color="auto" w:fill="E1058C"/>
            <w:vAlign w:val="center"/>
          </w:tcPr>
          <w:p>
            <w:pPr>
              <w:spacing w:after="0"/>
            </w:pPr>
            <w:r>
              <w:rPr>
                <w:b/>
                <w:i w:val="0"/>
                <w:color w:val="FFFFFF"/>
                <w:sz w:val="15"/>
              </w:rPr>
              <w:t>What happens</w:t>
            </w:r>
          </w:p>
        </w:tc>
      </w:tr>
      <w:tr>
        <w:trPr>
          <w:cantSplit/>
        </w:trPr>
        <w:tc>
          <w:tcPr>
            <w:tcW w:type="dxa" w:w="624"/>
            <w:vAlign w:val="top"/>
          </w:tcPr>
          <w:p>
            <w:pPr>
              <w:spacing w:after="20" w:line="252" w:lineRule="auto"/>
              <w:jc w:val="center"/>
            </w:pPr>
            <w:r>
              <w:rPr>
                <w:b w:val="0"/>
                <w:i w:val="0"/>
                <w:sz w:val="15"/>
              </w:rPr>
              <w:t>1</w:t>
            </w:r>
          </w:p>
        </w:tc>
        <w:tc>
          <w:tcPr>
            <w:tcW w:type="dxa" w:w="1928"/>
            <w:vAlign w:val="top"/>
          </w:tcPr>
          <w:p>
            <w:pPr>
              <w:spacing w:after="20" w:line="252" w:lineRule="auto"/>
            </w:pPr>
            <w:r>
              <w:rPr>
                <w:b w:val="0"/>
                <w:i w:val="0"/>
                <w:sz w:val="15"/>
              </w:rPr>
              <w:t>Maker</w:t>
            </w:r>
          </w:p>
        </w:tc>
        <w:tc>
          <w:tcPr>
            <w:tcW w:type="dxa" w:w="2268"/>
            <w:vAlign w:val="top"/>
          </w:tcPr>
          <w:p>
            <w:pPr>
              <w:spacing w:after="20" w:line="252" w:lineRule="auto"/>
            </w:pPr>
            <w:r>
              <w:rPr>
                <w:b w:val="0"/>
                <w:i w:val="0"/>
                <w:sz w:val="15"/>
              </w:rPr>
              <w:t>Any maintenance screen</w:t>
            </w:r>
          </w:p>
        </w:tc>
        <w:tc>
          <w:tcPr>
            <w:tcW w:type="dxa" w:w="4819"/>
            <w:vAlign w:val="top"/>
          </w:tcPr>
          <w:p>
            <w:pPr>
              <w:spacing w:after="20" w:line="252" w:lineRule="auto"/>
            </w:pPr>
            <w:r>
              <w:rPr>
                <w:b w:val="0"/>
                <w:i w:val="0"/>
                <w:sz w:val="15"/>
              </w:rPr>
              <w:t>Submits a change; before and after values are stored.</w:t>
            </w:r>
          </w:p>
        </w:tc>
      </w:tr>
      <w:tr>
        <w:trPr>
          <w:cantSplit/>
        </w:trPr>
        <w:tc>
          <w:tcPr>
            <w:tcW w:type="dxa" w:w="624"/>
            <w:vAlign w:val="top"/>
            <w:shd w:val="clear" w:color="auto" w:fill="FDF0F7"/>
          </w:tcPr>
          <w:p>
            <w:pPr>
              <w:spacing w:after="20" w:line="252" w:lineRule="auto"/>
              <w:jc w:val="center"/>
            </w:pPr>
            <w:r>
              <w:rPr>
                <w:b w:val="0"/>
                <w:i w:val="0"/>
                <w:sz w:val="15"/>
              </w:rPr>
              <w:t>2</w:t>
            </w:r>
          </w:p>
        </w:tc>
        <w:tc>
          <w:tcPr>
            <w:tcW w:type="dxa" w:w="1928"/>
            <w:vAlign w:val="top"/>
            <w:shd w:val="clear" w:color="auto" w:fill="FDF0F7"/>
          </w:tcPr>
          <w:p>
            <w:pPr>
              <w:spacing w:after="20" w:line="252" w:lineRule="auto"/>
            </w:pPr>
            <w:r>
              <w:rPr>
                <w:b w:val="0"/>
                <w:i w:val="0"/>
                <w:sz w:val="15"/>
              </w:rPr>
              <w:t>Workflow engine</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Finds the definition, levels and thresholds.</w:t>
            </w:r>
          </w:p>
        </w:tc>
      </w:tr>
      <w:tr>
        <w:trPr>
          <w:cantSplit/>
        </w:trPr>
        <w:tc>
          <w:tcPr>
            <w:tcW w:type="dxa" w:w="624"/>
            <w:vAlign w:val="top"/>
          </w:tcPr>
          <w:p>
            <w:pPr>
              <w:spacing w:after="20" w:line="252" w:lineRule="auto"/>
              <w:jc w:val="center"/>
            </w:pPr>
            <w:r>
              <w:rPr>
                <w:b w:val="0"/>
                <w:i w:val="0"/>
                <w:sz w:val="15"/>
              </w:rPr>
              <w:t>3</w:t>
            </w:r>
          </w:p>
        </w:tc>
        <w:tc>
          <w:tcPr>
            <w:tcW w:type="dxa" w:w="1928"/>
            <w:vAlign w:val="top"/>
          </w:tcPr>
          <w:p>
            <w:pPr>
              <w:spacing w:after="20" w:line="252" w:lineRule="auto"/>
            </w:pPr>
            <w:r>
              <w:rPr>
                <w:b w:val="0"/>
                <w:i w:val="0"/>
                <w:sz w:val="15"/>
              </w:rPr>
              <w:t>Checker 1</w:t>
            </w:r>
          </w:p>
        </w:tc>
        <w:tc>
          <w:tcPr>
            <w:tcW w:type="dxa" w:w="2268"/>
            <w:vAlign w:val="top"/>
          </w:tcPr>
          <w:p>
            <w:pPr>
              <w:spacing w:after="20" w:line="252" w:lineRule="auto"/>
            </w:pPr>
            <w:r>
              <w:rPr>
                <w:b w:val="0"/>
                <w:i w:val="0"/>
                <w:sz w:val="15"/>
              </w:rPr>
              <w:t>Approval detail</w:t>
            </w:r>
          </w:p>
        </w:tc>
        <w:tc>
          <w:tcPr>
            <w:tcW w:type="dxa" w:w="4819"/>
            <w:vAlign w:val="top"/>
          </w:tcPr>
          <w:p>
            <w:pPr>
              <w:spacing w:after="20" w:line="252" w:lineRule="auto"/>
            </w:pPr>
            <w:r>
              <w:rPr>
                <w:b w:val="0"/>
                <w:i w:val="0"/>
                <w:sz w:val="15"/>
              </w:rPr>
              <w:t>Approves or rejects with mandatory remarks.</w:t>
            </w:r>
          </w:p>
        </w:tc>
      </w:tr>
      <w:tr>
        <w:trPr>
          <w:cantSplit/>
        </w:trPr>
        <w:tc>
          <w:tcPr>
            <w:tcW w:type="dxa" w:w="624"/>
            <w:vAlign w:val="top"/>
            <w:shd w:val="clear" w:color="auto" w:fill="FDF0F7"/>
          </w:tcPr>
          <w:p>
            <w:pPr>
              <w:spacing w:after="20" w:line="252" w:lineRule="auto"/>
              <w:jc w:val="center"/>
            </w:pPr>
            <w:r>
              <w:rPr>
                <w:b w:val="0"/>
                <w:i w:val="0"/>
                <w:sz w:val="15"/>
              </w:rPr>
              <w:t>4</w:t>
            </w:r>
          </w:p>
        </w:tc>
        <w:tc>
          <w:tcPr>
            <w:tcW w:type="dxa" w:w="1928"/>
            <w:vAlign w:val="top"/>
            <w:shd w:val="clear" w:color="auto" w:fill="FDF0F7"/>
          </w:tcPr>
          <w:p>
            <w:pPr>
              <w:spacing w:after="20" w:line="252" w:lineRule="auto"/>
            </w:pPr>
            <w:r>
              <w:rPr>
                <w:b w:val="0"/>
                <w:i w:val="0"/>
                <w:sz w:val="15"/>
              </w:rPr>
              <w:t>Workflow engine</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Adds a level, e.g. sum covered from B$300,000.</w:t>
            </w:r>
          </w:p>
        </w:tc>
      </w:tr>
      <w:tr>
        <w:trPr>
          <w:cantSplit/>
        </w:trPr>
        <w:tc>
          <w:tcPr>
            <w:tcW w:type="dxa" w:w="624"/>
            <w:vAlign w:val="top"/>
          </w:tcPr>
          <w:p>
            <w:pPr>
              <w:spacing w:after="20" w:line="252" w:lineRule="auto"/>
              <w:jc w:val="center"/>
            </w:pPr>
            <w:r>
              <w:rPr>
                <w:b w:val="0"/>
                <w:i w:val="0"/>
                <w:sz w:val="15"/>
              </w:rPr>
              <w:t>5</w:t>
            </w:r>
          </w:p>
        </w:tc>
        <w:tc>
          <w:tcPr>
            <w:tcW w:type="dxa" w:w="1928"/>
            <w:vAlign w:val="top"/>
          </w:tcPr>
          <w:p>
            <w:pPr>
              <w:spacing w:after="20" w:line="252" w:lineRule="auto"/>
            </w:pPr>
            <w:r>
              <w:rPr>
                <w:b w:val="0"/>
                <w:i w:val="0"/>
                <w:sz w:val="15"/>
              </w:rPr>
              <w:t>Checker 2</w:t>
            </w:r>
          </w:p>
        </w:tc>
        <w:tc>
          <w:tcPr>
            <w:tcW w:type="dxa" w:w="2268"/>
            <w:vAlign w:val="top"/>
          </w:tcPr>
          <w:p>
            <w:pPr>
              <w:spacing w:after="20" w:line="252" w:lineRule="auto"/>
            </w:pPr>
            <w:r>
              <w:rPr>
                <w:b w:val="0"/>
                <w:i w:val="0"/>
                <w:sz w:val="15"/>
              </w:rPr>
              <w:t>Approval detail</w:t>
            </w:r>
          </w:p>
        </w:tc>
        <w:tc>
          <w:tcPr>
            <w:tcW w:type="dxa" w:w="4819"/>
            <w:vAlign w:val="top"/>
          </w:tcPr>
          <w:p>
            <w:pPr>
              <w:spacing w:after="20" w:line="252" w:lineRule="auto"/>
            </w:pPr>
            <w:r>
              <w:rPr>
                <w:b w:val="0"/>
                <w:i w:val="0"/>
                <w:sz w:val="15"/>
              </w:rPr>
              <w:t>Approves or rejects with remarks.</w:t>
            </w:r>
          </w:p>
        </w:tc>
      </w:tr>
      <w:tr>
        <w:trPr>
          <w:cantSplit/>
        </w:trPr>
        <w:tc>
          <w:tcPr>
            <w:tcW w:type="dxa" w:w="624"/>
            <w:vAlign w:val="top"/>
            <w:shd w:val="clear" w:color="auto" w:fill="FDF0F7"/>
          </w:tcPr>
          <w:p>
            <w:pPr>
              <w:spacing w:after="20" w:line="252" w:lineRule="auto"/>
              <w:jc w:val="center"/>
            </w:pPr>
            <w:r>
              <w:rPr>
                <w:b w:val="0"/>
                <w:i w:val="0"/>
                <w:sz w:val="15"/>
              </w:rPr>
              <w:t>6</w:t>
            </w:r>
          </w:p>
        </w:tc>
        <w:tc>
          <w:tcPr>
            <w:tcW w:type="dxa" w:w="1928"/>
            <w:vAlign w:val="top"/>
            <w:shd w:val="clear" w:color="auto" w:fill="FDF0F7"/>
          </w:tcPr>
          <w:p>
            <w:pPr>
              <w:spacing w:after="20" w:line="252" w:lineRule="auto"/>
            </w:pPr>
            <w:r>
              <w:rPr>
                <w:b w:val="0"/>
                <w:i w:val="0"/>
                <w:sz w:val="15"/>
              </w:rPr>
              <w:t>Workflow engine</w:t>
            </w:r>
          </w:p>
        </w:tc>
        <w:tc>
          <w:tcPr>
            <w:tcW w:type="dxa" w:w="2268"/>
            <w:vAlign w:val="top"/>
            <w:shd w:val="clear" w:color="auto" w:fill="FDF0F7"/>
          </w:tcPr>
          <w:p>
            <w:pPr>
              <w:spacing w:after="20" w:line="252" w:lineRule="auto"/>
            </w:pPr>
            <w:r>
              <w:rPr>
                <w:b w:val="0"/>
                <w:i w:val="0"/>
                <w:sz w:val="15"/>
              </w:rPr>
              <w:t>None</w:t>
            </w:r>
          </w:p>
        </w:tc>
        <w:tc>
          <w:tcPr>
            <w:tcW w:type="dxa" w:w="4819"/>
            <w:vAlign w:val="top"/>
            <w:shd w:val="clear" w:color="auto" w:fill="FDF0F7"/>
          </w:tcPr>
          <w:p>
            <w:pPr>
              <w:spacing w:after="20" w:line="252" w:lineRule="auto"/>
            </w:pPr>
            <w:r>
              <w:rPr>
                <w:b w:val="0"/>
                <w:i w:val="0"/>
                <w:sz w:val="15"/>
              </w:rPr>
              <w:t>Applies the change with audit record and notification.</w:t>
            </w:r>
          </w:p>
        </w:tc>
      </w:tr>
      <w:tr>
        <w:trPr>
          <w:cantSplit/>
        </w:trPr>
        <w:tc>
          <w:tcPr>
            <w:tcW w:type="dxa" w:w="624"/>
            <w:vAlign w:val="top"/>
          </w:tcPr>
          <w:p>
            <w:pPr>
              <w:spacing w:after="20" w:line="252" w:lineRule="auto"/>
              <w:jc w:val="center"/>
            </w:pPr>
            <w:r>
              <w:rPr>
                <w:b w:val="0"/>
                <w:i w:val="0"/>
                <w:sz w:val="15"/>
              </w:rPr>
              <w:t>7</w:t>
            </w:r>
          </w:p>
        </w:tc>
        <w:tc>
          <w:tcPr>
            <w:tcW w:type="dxa" w:w="1928"/>
            <w:vAlign w:val="top"/>
          </w:tcPr>
          <w:p>
            <w:pPr>
              <w:spacing w:after="20" w:line="252" w:lineRule="auto"/>
            </w:pPr>
            <w:r>
              <w:rPr>
                <w:b w:val="0"/>
                <w:i w:val="0"/>
                <w:sz w:val="15"/>
              </w:rPr>
              <w:t>Maker</w:t>
            </w:r>
          </w:p>
        </w:tc>
        <w:tc>
          <w:tcPr>
            <w:tcW w:type="dxa" w:w="2268"/>
            <w:vAlign w:val="top"/>
          </w:tcPr>
          <w:p>
            <w:pPr>
              <w:spacing w:after="20" w:line="252" w:lineRule="auto"/>
            </w:pPr>
            <w:r>
              <w:rPr>
                <w:b w:val="0"/>
                <w:i w:val="0"/>
                <w:sz w:val="15"/>
              </w:rPr>
              <w:t>My requests</w:t>
            </w:r>
          </w:p>
        </w:tc>
        <w:tc>
          <w:tcPr>
            <w:tcW w:type="dxa" w:w="4819"/>
            <w:vAlign w:val="top"/>
          </w:tcPr>
          <w:p>
            <w:pPr>
              <w:spacing w:after="20" w:line="252" w:lineRule="auto"/>
            </w:pPr>
            <w:r>
              <w:rPr>
                <w:b w:val="0"/>
                <w:i w:val="0"/>
                <w:sz w:val="15"/>
              </w:rPr>
              <w:t>Sees the result and any remarks.</w:t>
            </w:r>
          </w:p>
        </w:tc>
      </w:tr>
    </w:tbl>
    <w:p>
      <w:pPr>
        <w:spacing w:after="0" w:before="0"/>
      </w:pPr>
      <w:r>
        <w:rPr>
          <w:sz w:val="8"/>
        </w:rPr>
      </w:r>
    </w:p>
    <w:p>
      <w:pPr>
        <w:pStyle w:val="Heading1"/>
        <w:pageBreakBefore/>
        <w:pBdr>
          <w:bottom w:val="single" w:sz="12" w:space="4" w:color="F58220"/>
        </w:pBdr>
      </w:pPr>
      <w:r>
        <w:t>9. Functional Solution</w:t>
      </w:r>
    </w:p>
    <w:p>
      <w:pPr>
        <w:keepNext w:val="0"/>
      </w:pPr>
      <w:r>
        <w:rPr>
          <w:b w:val="0"/>
          <w:i w:val="0"/>
        </w:rPr>
        <w:t>SalesVerse 2.0 is iorta TechNXT's distribution platform for Takaful and insurance. For IIFT it is configured as the IIFT Agent/Banca Portal &amp; Back-office: one portal for agents and bank officers and one back-office for IIFT and IITH staff, sharing a single database, workflow engine, document store and audit trail. A transaction submitted in the portal appears in the back-office at once, and every action on it is recorded.</w:t>
      </w:r>
    </w:p>
    <w:p>
      <w:pPr>
        <w:keepNext w:val="0"/>
      </w:pPr>
      <w:r>
        <w:rPr>
          <w:b w:val="0"/>
          <w:i w:val="0"/>
        </w:rPr>
        <w:t>Functions are listed by RFP area in Section 5, users in Section 7, journeys in Section 8 and screens in Section 11. This chapter covers the rules that tie them together.</w:t>
      </w:r>
    </w:p>
    <w:p>
      <w:pPr>
        <w:pStyle w:val="Heading2"/>
      </w:pPr>
      <w:r>
        <w:t>9.1 Policy lifecycle</w:t>
      </w:r>
    </w:p>
    <w:p>
      <w:pPr>
        <w:keepNext w:val="0"/>
      </w:pPr>
      <w:r>
        <w:rPr>
          <w:b w:val="0"/>
          <w:i w:val="0"/>
        </w:rPr>
        <w:t>Only the server changes a policy's status, after validation and any required approval. Validation covers product eligibility, mandatory documents, the AML result, the agency payment block and the authority limit. Each change is written to the policy history and the audit trail.</w:t>
      </w:r>
    </w:p>
    <w:p>
      <w:pPr>
        <w:keepNext/>
        <w:spacing w:after="0"/>
        <w:jc w:val="center"/>
      </w:pPr>
      <w:r>
        <w:drawing>
          <wp:inline xmlns:a="http://schemas.openxmlformats.org/drawingml/2006/main" xmlns:pic="http://schemas.openxmlformats.org/drawingml/2006/picture">
            <wp:extent cx="5760000" cy="2880000"/>
            <wp:docPr id="13" name="Picture 13"/>
            <wp:cNvGraphicFramePr>
              <a:graphicFrameLocks noChangeAspect="1"/>
            </wp:cNvGraphicFramePr>
            <a:graphic>
              <a:graphicData uri="http://schemas.openxmlformats.org/drawingml/2006/picture">
                <pic:pic>
                  <pic:nvPicPr>
                    <pic:cNvPr id="0" name="fig-policy-lifecycle.png"/>
                    <pic:cNvPicPr/>
                  </pic:nvPicPr>
                  <pic:blipFill>
                    <a:blip r:embed="rId23"/>
                    <a:stretch>
                      <a:fillRect/>
                    </a:stretch>
                  </pic:blipFill>
                  <pic:spPr>
                    <a:xfrm>
                      <a:off x="0" y="0"/>
                      <a:ext cx="5760000" cy="2880000"/>
                    </a:xfrm>
                    <a:prstGeom prst="rect"/>
                  </pic:spPr>
                </pic:pic>
              </a:graphicData>
            </a:graphic>
          </wp:inline>
        </w:drawing>
      </w:r>
    </w:p>
    <w:p>
      <w:pPr>
        <w:pStyle w:val="Caption"/>
        <w:jc w:val="center"/>
      </w:pPr>
      <w:r>
        <w:rPr>
          <w:b w:val="0"/>
          <w:i w:val="0"/>
        </w:rPr>
        <w:t>Figure 10: Policy lifecycle and status transitions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5443"/>
        <w:gridCol w:w="2268"/>
      </w:tblGrid>
      <w:tr>
        <w:trPr>
          <w:cantSplit/>
          <w:tblHeader/>
        </w:trPr>
        <w:tc>
          <w:tcPr>
            <w:tcW w:type="dxa" w:w="1928"/>
            <w:shd w:val="clear" w:color="auto" w:fill="E1058C"/>
            <w:vAlign w:val="center"/>
          </w:tcPr>
          <w:p>
            <w:pPr>
              <w:spacing w:after="0"/>
            </w:pPr>
            <w:r>
              <w:rPr>
                <w:b/>
                <w:i w:val="0"/>
                <w:color w:val="FFFFFF"/>
                <w:sz w:val="16"/>
              </w:rPr>
              <w:t>Status</w:t>
            </w:r>
          </w:p>
        </w:tc>
        <w:tc>
          <w:tcPr>
            <w:tcW w:type="dxa" w:w="5443"/>
            <w:shd w:val="clear" w:color="auto" w:fill="E1058C"/>
            <w:vAlign w:val="center"/>
          </w:tcPr>
          <w:p>
            <w:pPr>
              <w:spacing w:after="0"/>
            </w:pPr>
            <w:r>
              <w:rPr>
                <w:b/>
                <w:i w:val="0"/>
                <w:color w:val="FFFFFF"/>
                <w:sz w:val="16"/>
              </w:rPr>
              <w:t>Meaning</w:t>
            </w:r>
          </w:p>
        </w:tc>
        <w:tc>
          <w:tcPr>
            <w:tcW w:type="dxa" w:w="2268"/>
            <w:shd w:val="clear" w:color="auto" w:fill="E1058C"/>
            <w:vAlign w:val="center"/>
          </w:tcPr>
          <w:p>
            <w:pPr>
              <w:spacing w:after="0"/>
            </w:pPr>
            <w:r>
              <w:rPr>
                <w:b/>
                <w:i w:val="0"/>
                <w:color w:val="FFFFFF"/>
                <w:sz w:val="16"/>
              </w:rPr>
              <w:t>Next actions</w:t>
            </w:r>
          </w:p>
        </w:tc>
      </w:tr>
      <w:tr>
        <w:trPr>
          <w:cantSplit/>
        </w:trPr>
        <w:tc>
          <w:tcPr>
            <w:tcW w:type="dxa" w:w="1928"/>
            <w:vAlign w:val="top"/>
          </w:tcPr>
          <w:p>
            <w:pPr>
              <w:spacing w:after="20" w:line="252" w:lineRule="auto"/>
            </w:pPr>
            <w:r>
              <w:rPr>
                <w:b/>
                <w:i w:val="0"/>
                <w:sz w:val="16"/>
              </w:rPr>
              <w:t>DRAFT</w:t>
            </w:r>
          </w:p>
        </w:tc>
        <w:tc>
          <w:tcPr>
            <w:tcW w:type="dxa" w:w="5443"/>
            <w:vAlign w:val="top"/>
          </w:tcPr>
          <w:p>
            <w:pPr>
              <w:spacing w:after="20" w:line="252" w:lineRule="auto"/>
            </w:pPr>
            <w:r>
              <w:rPr>
                <w:b w:val="0"/>
                <w:i w:val="0"/>
                <w:sz w:val="16"/>
              </w:rPr>
              <w:t>Quotation saved; editable by the maker.</w:t>
            </w:r>
          </w:p>
        </w:tc>
        <w:tc>
          <w:tcPr>
            <w:tcW w:type="dxa" w:w="2268"/>
            <w:vAlign w:val="top"/>
          </w:tcPr>
          <w:p>
            <w:pPr>
              <w:spacing w:after="20" w:line="252" w:lineRule="auto"/>
            </w:pPr>
            <w:r>
              <w:rPr>
                <w:b w:val="0"/>
                <w:i w:val="0"/>
                <w:sz w:val="16"/>
              </w:rPr>
              <w:t>Submit</w:t>
            </w:r>
          </w:p>
        </w:tc>
      </w:tr>
      <w:tr>
        <w:trPr>
          <w:cantSplit/>
        </w:trPr>
        <w:tc>
          <w:tcPr>
            <w:tcW w:type="dxa" w:w="1928"/>
            <w:vAlign w:val="top"/>
            <w:shd w:val="clear" w:color="auto" w:fill="FDF0F7"/>
          </w:tcPr>
          <w:p>
            <w:pPr>
              <w:spacing w:after="20" w:line="252" w:lineRule="auto"/>
            </w:pPr>
            <w:r>
              <w:rPr>
                <w:b/>
                <w:i w:val="0"/>
                <w:sz w:val="16"/>
              </w:rPr>
              <w:t>PENDING APPROVAL</w:t>
            </w:r>
          </w:p>
        </w:tc>
        <w:tc>
          <w:tcPr>
            <w:tcW w:type="dxa" w:w="5443"/>
            <w:vAlign w:val="top"/>
            <w:shd w:val="clear" w:color="auto" w:fill="FDF0F7"/>
          </w:tcPr>
          <w:p>
            <w:pPr>
              <w:spacing w:after="20" w:line="252" w:lineRule="auto"/>
            </w:pPr>
            <w:r>
              <w:rPr>
                <w:b w:val="0"/>
                <w:i w:val="0"/>
                <w:sz w:val="16"/>
              </w:rPr>
              <w:t>Referral above the authority limit, quality check or other approval.</w:t>
            </w:r>
          </w:p>
        </w:tc>
        <w:tc>
          <w:tcPr>
            <w:tcW w:type="dxa" w:w="2268"/>
            <w:vAlign w:val="top"/>
            <w:shd w:val="clear" w:color="auto" w:fill="FDF0F7"/>
          </w:tcPr>
          <w:p>
            <w:pPr>
              <w:spacing w:after="20" w:line="252" w:lineRule="auto"/>
            </w:pPr>
            <w:r>
              <w:rPr>
                <w:b w:val="0"/>
                <w:i w:val="0"/>
                <w:sz w:val="16"/>
              </w:rPr>
              <w:t>Approve or reject</w:t>
            </w:r>
          </w:p>
        </w:tc>
      </w:tr>
      <w:tr>
        <w:trPr>
          <w:cantSplit/>
        </w:trPr>
        <w:tc>
          <w:tcPr>
            <w:tcW w:type="dxa" w:w="1928"/>
            <w:vAlign w:val="top"/>
          </w:tcPr>
          <w:p>
            <w:pPr>
              <w:spacing w:after="20" w:line="252" w:lineRule="auto"/>
            </w:pPr>
            <w:r>
              <w:rPr>
                <w:b/>
                <w:i w:val="0"/>
                <w:sz w:val="16"/>
              </w:rPr>
              <w:t>PENDING PAYMENT</w:t>
            </w:r>
          </w:p>
        </w:tc>
        <w:tc>
          <w:tcPr>
            <w:tcW w:type="dxa" w:w="5443"/>
            <w:vAlign w:val="top"/>
          </w:tcPr>
          <w:p>
            <w:pPr>
              <w:spacing w:after="20" w:line="252" w:lineRule="auto"/>
            </w:pPr>
            <w:r>
              <w:rPr>
                <w:b w:val="0"/>
                <w:i w:val="0"/>
                <w:sz w:val="16"/>
              </w:rPr>
              <w:t>Approved; waiting for verified payment (pay-first products).</w:t>
            </w:r>
          </w:p>
        </w:tc>
        <w:tc>
          <w:tcPr>
            <w:tcW w:type="dxa" w:w="2268"/>
            <w:vAlign w:val="top"/>
          </w:tcPr>
          <w:p>
            <w:pPr>
              <w:spacing w:after="20" w:line="252" w:lineRule="auto"/>
            </w:pPr>
            <w:r>
              <w:rPr>
                <w:b w:val="0"/>
                <w:i w:val="0"/>
                <w:sz w:val="16"/>
              </w:rPr>
              <w:t>Payment verified</w:t>
            </w:r>
          </w:p>
        </w:tc>
      </w:tr>
      <w:tr>
        <w:trPr>
          <w:cantSplit/>
        </w:trPr>
        <w:tc>
          <w:tcPr>
            <w:tcW w:type="dxa" w:w="1928"/>
            <w:vAlign w:val="top"/>
            <w:shd w:val="clear" w:color="auto" w:fill="FDF0F7"/>
          </w:tcPr>
          <w:p>
            <w:pPr>
              <w:spacing w:after="20" w:line="252" w:lineRule="auto"/>
            </w:pPr>
            <w:r>
              <w:rPr>
                <w:b/>
                <w:i w:val="0"/>
                <w:sz w:val="16"/>
              </w:rPr>
              <w:t>ACTIVE</w:t>
            </w:r>
          </w:p>
        </w:tc>
        <w:tc>
          <w:tcPr>
            <w:tcW w:type="dxa" w:w="5443"/>
            <w:vAlign w:val="top"/>
            <w:shd w:val="clear" w:color="auto" w:fill="FDF0F7"/>
          </w:tcPr>
          <w:p>
            <w:pPr>
              <w:spacing w:after="20" w:line="252" w:lineRule="auto"/>
            </w:pPr>
            <w:r>
              <w:rPr>
                <w:b w:val="0"/>
                <w:i w:val="0"/>
                <w:sz w:val="16"/>
              </w:rPr>
              <w:t>In force; e-Policy and e-Receipt issued.</w:t>
            </w:r>
          </w:p>
        </w:tc>
        <w:tc>
          <w:tcPr>
            <w:tcW w:type="dxa" w:w="2268"/>
            <w:vAlign w:val="top"/>
            <w:shd w:val="clear" w:color="auto" w:fill="FDF0F7"/>
          </w:tcPr>
          <w:p>
            <w:pPr>
              <w:spacing w:after="20" w:line="252" w:lineRule="auto"/>
            </w:pPr>
            <w:r>
              <w:rPr>
                <w:b w:val="0"/>
                <w:i w:val="0"/>
                <w:sz w:val="16"/>
              </w:rPr>
              <w:t>Endorse, cancel, renew, expire</w:t>
            </w:r>
          </w:p>
        </w:tc>
      </w:tr>
      <w:tr>
        <w:trPr>
          <w:cantSplit/>
        </w:trPr>
        <w:tc>
          <w:tcPr>
            <w:tcW w:type="dxa" w:w="1928"/>
            <w:vAlign w:val="top"/>
          </w:tcPr>
          <w:p>
            <w:pPr>
              <w:spacing w:after="20" w:line="252" w:lineRule="auto"/>
            </w:pPr>
            <w:r>
              <w:rPr>
                <w:b/>
                <w:i w:val="0"/>
                <w:sz w:val="16"/>
              </w:rPr>
              <w:t>REJECTED</w:t>
            </w:r>
          </w:p>
        </w:tc>
        <w:tc>
          <w:tcPr>
            <w:tcW w:type="dxa" w:w="5443"/>
            <w:vAlign w:val="top"/>
          </w:tcPr>
          <w:p>
            <w:pPr>
              <w:spacing w:after="20" w:line="252" w:lineRule="auto"/>
            </w:pPr>
            <w:r>
              <w:rPr>
                <w:b w:val="0"/>
                <w:i w:val="0"/>
                <w:sz w:val="16"/>
              </w:rPr>
              <w:t>Rejected with mandatory remarks.</w:t>
            </w:r>
          </w:p>
        </w:tc>
        <w:tc>
          <w:tcPr>
            <w:tcW w:type="dxa" w:w="2268"/>
            <w:vAlign w:val="top"/>
          </w:tcPr>
          <w:p>
            <w:pPr>
              <w:spacing w:after="20" w:line="252" w:lineRule="auto"/>
            </w:pPr>
            <w:r>
              <w:rPr>
                <w:b w:val="0"/>
                <w:i w:val="0"/>
                <w:sz w:val="16"/>
              </w:rPr>
              <w:t>Amend and resubmit</w:t>
            </w:r>
          </w:p>
        </w:tc>
      </w:tr>
      <w:tr>
        <w:trPr>
          <w:cantSplit/>
        </w:trPr>
        <w:tc>
          <w:tcPr>
            <w:tcW w:type="dxa" w:w="1928"/>
            <w:vAlign w:val="top"/>
            <w:shd w:val="clear" w:color="auto" w:fill="FDF0F7"/>
          </w:tcPr>
          <w:p>
            <w:pPr>
              <w:spacing w:after="20" w:line="252" w:lineRule="auto"/>
            </w:pPr>
            <w:r>
              <w:rPr>
                <w:b/>
                <w:i w:val="0"/>
                <w:sz w:val="16"/>
              </w:rPr>
              <w:t>EXPIRED</w:t>
            </w:r>
          </w:p>
        </w:tc>
        <w:tc>
          <w:tcPr>
            <w:tcW w:type="dxa" w:w="5443"/>
            <w:vAlign w:val="top"/>
            <w:shd w:val="clear" w:color="auto" w:fill="FDF0F7"/>
          </w:tcPr>
          <w:p>
            <w:pPr>
              <w:spacing w:after="20" w:line="252" w:lineRule="auto"/>
            </w:pPr>
            <w:r>
              <w:rPr>
                <w:b w:val="0"/>
                <w:i w:val="0"/>
                <w:sz w:val="16"/>
              </w:rPr>
              <w:t>Cover period ended.</w:t>
            </w:r>
          </w:p>
        </w:tc>
        <w:tc>
          <w:tcPr>
            <w:tcW w:type="dxa" w:w="2268"/>
            <w:vAlign w:val="top"/>
            <w:shd w:val="clear" w:color="auto" w:fill="FDF0F7"/>
          </w:tcPr>
          <w:p>
            <w:pPr>
              <w:spacing w:after="20" w:line="252" w:lineRule="auto"/>
            </w:pPr>
            <w:r>
              <w:rPr>
                <w:b w:val="0"/>
                <w:i w:val="0"/>
                <w:sz w:val="16"/>
              </w:rPr>
              <w:t>Renew where enabled</w:t>
            </w:r>
          </w:p>
        </w:tc>
      </w:tr>
      <w:tr>
        <w:trPr>
          <w:cantSplit/>
        </w:trPr>
        <w:tc>
          <w:tcPr>
            <w:tcW w:type="dxa" w:w="1928"/>
            <w:vAlign w:val="top"/>
          </w:tcPr>
          <w:p>
            <w:pPr>
              <w:spacing w:after="20" w:line="252" w:lineRule="auto"/>
            </w:pPr>
            <w:r>
              <w:rPr>
                <w:b/>
                <w:i w:val="0"/>
                <w:sz w:val="16"/>
              </w:rPr>
              <w:t>CANCELLED</w:t>
            </w:r>
          </w:p>
        </w:tc>
        <w:tc>
          <w:tcPr>
            <w:tcW w:type="dxa" w:w="5443"/>
            <w:vAlign w:val="top"/>
          </w:tcPr>
          <w:p>
            <w:pPr>
              <w:spacing w:after="20" w:line="252" w:lineRule="auto"/>
            </w:pPr>
            <w:r>
              <w:rPr>
                <w:b w:val="0"/>
                <w:i w:val="0"/>
                <w:sz w:val="16"/>
              </w:rPr>
              <w:t>Cancellation approved.</w:t>
            </w:r>
          </w:p>
        </w:tc>
        <w:tc>
          <w:tcPr>
            <w:tcW w:type="dxa" w:w="2268"/>
            <w:vAlign w:val="top"/>
          </w:tcPr>
          <w:p>
            <w:pPr>
              <w:spacing w:after="20" w:line="252" w:lineRule="auto"/>
            </w:pPr>
            <w:r>
              <w:rPr>
                <w:b w:val="0"/>
                <w:i w:val="0"/>
                <w:sz w:val="16"/>
              </w:rPr>
              <w:t>None</w:t>
            </w:r>
          </w:p>
        </w:tc>
      </w:tr>
    </w:tbl>
    <w:p>
      <w:pPr>
        <w:spacing w:after="0" w:before="0"/>
      </w:pPr>
      <w:r>
        <w:rPr>
          <w:sz w:val="8"/>
        </w:rPr>
      </w:r>
    </w:p>
    <w:p>
      <w:pPr>
        <w:pStyle w:val="Heading2"/>
      </w:pPr>
      <w:r>
        <w:t>9.2 Workflow engine and maker-checker</w:t>
      </w:r>
    </w:p>
    <w:p>
      <w:pPr>
        <w:keepNext w:val="0"/>
      </w:pPr>
      <w:r>
        <w:rPr>
          <w:b w:val="0"/>
          <w:i w:val="0"/>
        </w:rPr>
        <w:t>Approvals are data, not code. A workflow definition sets the transaction type, the number of levels, the permission needed at each level and amount thresholds that add a level, for example a second approval from B$300,000 sum covered. On final approval a handler applies the change in the same database transaction as the audit record and the notification event. The API rejects any attempt by the maker to approve their own request. When Compliance confirms an AML match, the pending requests for that agent or participant are rejected automatically with the Compliance remarks and the maker is notified. Journey 9 in Section 8 shows the flow.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2154"/>
        <w:gridCol w:w="2154"/>
        <w:gridCol w:w="2154"/>
      </w:tblGrid>
      <w:tr>
        <w:trPr>
          <w:cantSplit/>
          <w:tblHeader/>
        </w:trPr>
        <w:tc>
          <w:tcPr>
            <w:tcW w:type="dxa" w:w="3175"/>
            <w:shd w:val="clear" w:color="auto" w:fill="E1058C"/>
            <w:vAlign w:val="center"/>
          </w:tcPr>
          <w:p>
            <w:pPr>
              <w:spacing w:after="0"/>
            </w:pPr>
            <w:r>
              <w:rPr>
                <w:b/>
                <w:i w:val="0"/>
                <w:color w:val="FFFFFF"/>
                <w:sz w:val="16"/>
              </w:rPr>
              <w:t>Transaction</w:t>
            </w:r>
          </w:p>
        </w:tc>
        <w:tc>
          <w:tcPr>
            <w:tcW w:type="dxa" w:w="2154"/>
            <w:shd w:val="clear" w:color="auto" w:fill="E1058C"/>
            <w:vAlign w:val="center"/>
          </w:tcPr>
          <w:p>
            <w:pPr>
              <w:spacing w:after="0"/>
            </w:pPr>
            <w:r>
              <w:rPr>
                <w:b/>
                <w:i w:val="0"/>
                <w:color w:val="FFFFFF"/>
                <w:sz w:val="16"/>
              </w:rPr>
              <w:t>Level 1 checker</w:t>
            </w:r>
          </w:p>
        </w:tc>
        <w:tc>
          <w:tcPr>
            <w:tcW w:type="dxa" w:w="2154"/>
            <w:shd w:val="clear" w:color="auto" w:fill="E1058C"/>
            <w:vAlign w:val="center"/>
          </w:tcPr>
          <w:p>
            <w:pPr>
              <w:spacing w:after="0"/>
            </w:pPr>
            <w:r>
              <w:rPr>
                <w:b/>
                <w:i w:val="0"/>
                <w:color w:val="FFFFFF"/>
                <w:sz w:val="16"/>
              </w:rPr>
              <w:t>Level 2 checker</w:t>
            </w:r>
          </w:p>
        </w:tc>
        <w:tc>
          <w:tcPr>
            <w:tcW w:type="dxa" w:w="2154"/>
            <w:shd w:val="clear" w:color="auto" w:fill="E1058C"/>
            <w:vAlign w:val="center"/>
          </w:tcPr>
          <w:p>
            <w:pPr>
              <w:spacing w:after="0"/>
            </w:pPr>
            <w:r>
              <w:rPr>
                <w:b/>
                <w:i w:val="0"/>
                <w:color w:val="FFFFFF"/>
                <w:sz w:val="16"/>
              </w:rPr>
              <w:t>Rule</w:t>
            </w:r>
          </w:p>
        </w:tc>
      </w:tr>
      <w:tr>
        <w:trPr>
          <w:cantSplit/>
        </w:trPr>
        <w:tc>
          <w:tcPr>
            <w:tcW w:type="dxa" w:w="3175"/>
            <w:vAlign w:val="top"/>
          </w:tcPr>
          <w:p>
            <w:pPr>
              <w:spacing w:after="20" w:line="252" w:lineRule="auto"/>
            </w:pPr>
            <w:r>
              <w:rPr>
                <w:b w:val="0"/>
                <w:i w:val="0"/>
                <w:sz w:val="16"/>
              </w:rPr>
              <w:t>Agent / Banca registration</w:t>
            </w:r>
          </w:p>
        </w:tc>
        <w:tc>
          <w:tcPr>
            <w:tcW w:type="dxa" w:w="2154"/>
            <w:vAlign w:val="top"/>
          </w:tcPr>
          <w:p>
            <w:pPr>
              <w:spacing w:after="20" w:line="252" w:lineRule="auto"/>
            </w:pPr>
            <w:r>
              <w:rPr>
                <w:b w:val="0"/>
                <w:i w:val="0"/>
                <w:sz w:val="16"/>
              </w:rPr>
              <w:t>Banca/Sales officer</w:t>
            </w:r>
          </w:p>
        </w:tc>
        <w:tc>
          <w:tcPr>
            <w:tcW w:type="dxa" w:w="2154"/>
            <w:vAlign w:val="top"/>
          </w:tcPr>
          <w:p>
            <w:pPr>
              <w:spacing w:after="20" w:line="252" w:lineRule="auto"/>
            </w:pPr>
            <w:r>
              <w:rPr>
                <w:b w:val="0"/>
                <w:i w:val="0"/>
                <w:sz w:val="16"/>
              </w:rPr>
              <w:t>Banca/Sales manager</w:t>
            </w:r>
          </w:p>
        </w:tc>
        <w:tc>
          <w:tcPr>
            <w:tcW w:type="dxa" w:w="2154"/>
            <w:vAlign w:val="top"/>
          </w:tcPr>
          <w:p>
            <w:pPr>
              <w:spacing w:after="20" w:line="252" w:lineRule="auto"/>
            </w:pPr>
            <w:r>
              <w:rPr>
                <w:b w:val="0"/>
                <w:i w:val="0"/>
                <w:sz w:val="16"/>
              </w:rPr>
              <w:t>Always two levels</w:t>
            </w:r>
          </w:p>
        </w:tc>
      </w:tr>
      <w:tr>
        <w:trPr>
          <w:cantSplit/>
        </w:trPr>
        <w:tc>
          <w:tcPr>
            <w:tcW w:type="dxa" w:w="3175"/>
            <w:vAlign w:val="top"/>
            <w:shd w:val="clear" w:color="auto" w:fill="FDF0F7"/>
          </w:tcPr>
          <w:p>
            <w:pPr>
              <w:spacing w:after="20" w:line="252" w:lineRule="auto"/>
            </w:pPr>
            <w:r>
              <w:rPr>
                <w:b w:val="0"/>
                <w:i w:val="0"/>
                <w:sz w:val="16"/>
              </w:rPr>
              <w:t>Agent profile update</w:t>
            </w:r>
          </w:p>
        </w:tc>
        <w:tc>
          <w:tcPr>
            <w:tcW w:type="dxa" w:w="2154"/>
            <w:vAlign w:val="top"/>
            <w:shd w:val="clear" w:color="auto" w:fill="FDF0F7"/>
          </w:tcPr>
          <w:p>
            <w:pPr>
              <w:spacing w:after="20" w:line="252" w:lineRule="auto"/>
            </w:pPr>
            <w:r>
              <w:rPr>
                <w:b w:val="0"/>
                <w:i w:val="0"/>
                <w:sz w:val="16"/>
              </w:rPr>
              <w:t>Banca/Sales officer</w:t>
            </w:r>
          </w:p>
        </w:tc>
        <w:tc>
          <w:tcPr>
            <w:tcW w:type="dxa" w:w="2154"/>
            <w:vAlign w:val="top"/>
            <w:shd w:val="clear" w:color="auto" w:fill="FDF0F7"/>
          </w:tcPr>
          <w:p>
            <w:pPr>
              <w:spacing w:after="20" w:line="252" w:lineRule="auto"/>
            </w:pPr>
            <w:r>
              <w:rPr>
                <w:b w:val="0"/>
                <w:i w:val="0"/>
                <w:sz w:val="16"/>
              </w:rPr>
              <w:t>None</w:t>
            </w:r>
          </w:p>
        </w:tc>
        <w:tc>
          <w:tcPr>
            <w:tcW w:type="dxa" w:w="2154"/>
            <w:vAlign w:val="top"/>
            <w:shd w:val="clear" w:color="auto" w:fill="FDF0F7"/>
          </w:tcPr>
          <w:p>
            <w:pPr>
              <w:spacing w:after="20" w:line="252" w:lineRule="auto"/>
            </w:pPr>
            <w:r>
              <w:rPr>
                <w:b w:val="0"/>
                <w:i w:val="0"/>
                <w:sz w:val="16"/>
              </w:rPr>
              <w:t>None</w:t>
            </w:r>
          </w:p>
        </w:tc>
      </w:tr>
      <w:tr>
        <w:trPr>
          <w:cantSplit/>
        </w:trPr>
        <w:tc>
          <w:tcPr>
            <w:tcW w:type="dxa" w:w="3175"/>
            <w:vAlign w:val="top"/>
          </w:tcPr>
          <w:p>
            <w:pPr>
              <w:spacing w:after="20" w:line="252" w:lineRule="auto"/>
            </w:pPr>
            <w:r>
              <w:rPr>
                <w:b w:val="0"/>
                <w:i w:val="0"/>
                <w:sz w:val="16"/>
              </w:rPr>
              <w:t>Participant update</w:t>
            </w:r>
          </w:p>
        </w:tc>
        <w:tc>
          <w:tcPr>
            <w:tcW w:type="dxa" w:w="2154"/>
            <w:vAlign w:val="top"/>
          </w:tcPr>
          <w:p>
            <w:pPr>
              <w:spacing w:after="20" w:line="252" w:lineRule="auto"/>
            </w:pPr>
            <w:r>
              <w:rPr>
                <w:b w:val="0"/>
                <w:i w:val="0"/>
                <w:sz w:val="16"/>
              </w:rPr>
              <w:t>Underwriting officer</w:t>
            </w:r>
          </w:p>
        </w:tc>
        <w:tc>
          <w:tcPr>
            <w:tcW w:type="dxa" w:w="2154"/>
            <w:vAlign w:val="top"/>
          </w:tcPr>
          <w:p>
            <w:pPr>
              <w:spacing w:after="20" w:line="252" w:lineRule="auto"/>
            </w:pPr>
            <w:r>
              <w:rPr>
                <w:b w:val="0"/>
                <w:i w:val="0"/>
                <w:sz w:val="16"/>
              </w:rPr>
              <w:t>None</w:t>
            </w:r>
          </w:p>
        </w:tc>
        <w:tc>
          <w:tcPr>
            <w:tcW w:type="dxa" w:w="2154"/>
            <w:vAlign w:val="top"/>
          </w:tcPr>
          <w:p>
            <w:pPr>
              <w:spacing w:after="20" w:line="252" w:lineRule="auto"/>
            </w:pPr>
            <w:r>
              <w:rPr>
                <w:b w:val="0"/>
                <w:i w:val="0"/>
                <w:sz w:val="16"/>
              </w:rPr>
              <w:t>None</w:t>
            </w:r>
          </w:p>
        </w:tc>
      </w:tr>
      <w:tr>
        <w:trPr>
          <w:cantSplit/>
        </w:trPr>
        <w:tc>
          <w:tcPr>
            <w:tcW w:type="dxa" w:w="3175"/>
            <w:vAlign w:val="top"/>
            <w:shd w:val="clear" w:color="auto" w:fill="FDF0F7"/>
          </w:tcPr>
          <w:p>
            <w:pPr>
              <w:spacing w:after="20" w:line="252" w:lineRule="auto"/>
            </w:pPr>
            <w:r>
              <w:rPr>
                <w:b w:val="0"/>
                <w:i w:val="0"/>
                <w:sz w:val="16"/>
              </w:rPr>
              <w:t>Quotation above B$150,000 financing</w:t>
            </w:r>
          </w:p>
        </w:tc>
        <w:tc>
          <w:tcPr>
            <w:tcW w:type="dxa" w:w="2154"/>
            <w:vAlign w:val="top"/>
            <w:shd w:val="clear" w:color="auto" w:fill="FDF0F7"/>
          </w:tcPr>
          <w:p>
            <w:pPr>
              <w:spacing w:after="20" w:line="252" w:lineRule="auto"/>
            </w:pPr>
            <w:r>
              <w:rPr>
                <w:b w:val="0"/>
                <w:i w:val="0"/>
                <w:sz w:val="16"/>
              </w:rPr>
              <w:t>IIFT Sales</w:t>
            </w:r>
          </w:p>
        </w:tc>
        <w:tc>
          <w:tcPr>
            <w:tcW w:type="dxa" w:w="2154"/>
            <w:vAlign w:val="top"/>
            <w:shd w:val="clear" w:color="auto" w:fill="FDF0F7"/>
          </w:tcPr>
          <w:p>
            <w:pPr>
              <w:spacing w:after="20" w:line="252" w:lineRule="auto"/>
            </w:pPr>
            <w:r>
              <w:rPr>
                <w:b w:val="0"/>
                <w:i w:val="0"/>
                <w:sz w:val="16"/>
              </w:rPr>
              <w:t>Underwriting manager</w:t>
            </w:r>
          </w:p>
        </w:tc>
        <w:tc>
          <w:tcPr>
            <w:tcW w:type="dxa" w:w="2154"/>
            <w:vAlign w:val="top"/>
            <w:shd w:val="clear" w:color="auto" w:fill="FDF0F7"/>
          </w:tcPr>
          <w:p>
            <w:pPr>
              <w:spacing w:after="20" w:line="252" w:lineRule="auto"/>
            </w:pPr>
            <w:r>
              <w:rPr>
                <w:b w:val="0"/>
                <w:i w:val="0"/>
                <w:sz w:val="16"/>
              </w:rPr>
              <w:t>Referral rule</w:t>
            </w:r>
          </w:p>
        </w:tc>
      </w:tr>
      <w:tr>
        <w:trPr>
          <w:cantSplit/>
        </w:trPr>
        <w:tc>
          <w:tcPr>
            <w:tcW w:type="dxa" w:w="3175"/>
            <w:vAlign w:val="top"/>
          </w:tcPr>
          <w:p>
            <w:pPr>
              <w:spacing w:after="20" w:line="252" w:lineRule="auto"/>
            </w:pPr>
            <w:r>
              <w:rPr>
                <w:b w:val="0"/>
                <w:i w:val="0"/>
                <w:sz w:val="16"/>
              </w:rPr>
              <w:t>New policy, sum covered from B$300,000</w:t>
            </w:r>
          </w:p>
        </w:tc>
        <w:tc>
          <w:tcPr>
            <w:tcW w:type="dxa" w:w="2154"/>
            <w:vAlign w:val="top"/>
          </w:tcPr>
          <w:p>
            <w:pPr>
              <w:spacing w:after="20" w:line="252" w:lineRule="auto"/>
            </w:pPr>
            <w:r>
              <w:rPr>
                <w:b w:val="0"/>
                <w:i w:val="0"/>
                <w:sz w:val="16"/>
              </w:rPr>
              <w:t>Underwriting officer</w:t>
            </w:r>
          </w:p>
        </w:tc>
        <w:tc>
          <w:tcPr>
            <w:tcW w:type="dxa" w:w="2154"/>
            <w:vAlign w:val="top"/>
          </w:tcPr>
          <w:p>
            <w:pPr>
              <w:spacing w:after="20" w:line="252" w:lineRule="auto"/>
            </w:pPr>
            <w:r>
              <w:rPr>
                <w:b w:val="0"/>
                <w:i w:val="0"/>
                <w:sz w:val="16"/>
              </w:rPr>
              <w:t>Underwriting manager</w:t>
            </w:r>
          </w:p>
        </w:tc>
        <w:tc>
          <w:tcPr>
            <w:tcW w:type="dxa" w:w="2154"/>
            <w:vAlign w:val="top"/>
          </w:tcPr>
          <w:p>
            <w:pPr>
              <w:spacing w:after="20" w:line="252" w:lineRule="auto"/>
            </w:pPr>
            <w:r>
              <w:rPr>
                <w:b w:val="0"/>
                <w:i w:val="0"/>
                <w:sz w:val="16"/>
              </w:rPr>
              <w:t>Amount threshold</w:t>
            </w:r>
          </w:p>
        </w:tc>
      </w:tr>
      <w:tr>
        <w:trPr>
          <w:cantSplit/>
        </w:trPr>
        <w:tc>
          <w:tcPr>
            <w:tcW w:type="dxa" w:w="3175"/>
            <w:vAlign w:val="top"/>
            <w:shd w:val="clear" w:color="auto" w:fill="FDF0F7"/>
          </w:tcPr>
          <w:p>
            <w:pPr>
              <w:spacing w:after="20" w:line="252" w:lineRule="auto"/>
            </w:pPr>
            <w:r>
              <w:rPr>
                <w:b w:val="0"/>
                <w:i w:val="0"/>
                <w:sz w:val="16"/>
              </w:rPr>
              <w:t>Quality check (Mortgage Takaful)</w:t>
            </w:r>
          </w:p>
        </w:tc>
        <w:tc>
          <w:tcPr>
            <w:tcW w:type="dxa" w:w="2154"/>
            <w:vAlign w:val="top"/>
            <w:shd w:val="clear" w:color="auto" w:fill="FDF0F7"/>
          </w:tcPr>
          <w:p>
            <w:pPr>
              <w:spacing w:after="20" w:line="252" w:lineRule="auto"/>
            </w:pPr>
            <w:r>
              <w:rPr>
                <w:b w:val="0"/>
                <w:i w:val="0"/>
                <w:sz w:val="16"/>
              </w:rPr>
              <w:t>Underwriting / QC</w:t>
            </w:r>
          </w:p>
        </w:tc>
        <w:tc>
          <w:tcPr>
            <w:tcW w:type="dxa" w:w="2154"/>
            <w:vAlign w:val="top"/>
            <w:shd w:val="clear" w:color="auto" w:fill="FDF0F7"/>
          </w:tcPr>
          <w:p>
            <w:pPr>
              <w:spacing w:after="20" w:line="252" w:lineRule="auto"/>
            </w:pPr>
            <w:r>
              <w:rPr>
                <w:b w:val="0"/>
                <w:i w:val="0"/>
                <w:sz w:val="16"/>
              </w:rPr>
              <w:t>None</w:t>
            </w:r>
          </w:p>
        </w:tc>
        <w:tc>
          <w:tcPr>
            <w:tcW w:type="dxa" w:w="2154"/>
            <w:vAlign w:val="top"/>
            <w:shd w:val="clear" w:color="auto" w:fill="FDF0F7"/>
          </w:tcPr>
          <w:p>
            <w:pPr>
              <w:spacing w:after="20" w:line="252" w:lineRule="auto"/>
            </w:pPr>
            <w:r>
              <w:rPr>
                <w:b w:val="0"/>
                <w:i w:val="0"/>
                <w:sz w:val="16"/>
              </w:rPr>
              <w:t>Product rule</w:t>
            </w:r>
          </w:p>
        </w:tc>
      </w:tr>
      <w:tr>
        <w:trPr>
          <w:cantSplit/>
        </w:trPr>
        <w:tc>
          <w:tcPr>
            <w:tcW w:type="dxa" w:w="3175"/>
            <w:vAlign w:val="top"/>
          </w:tcPr>
          <w:p>
            <w:pPr>
              <w:spacing w:after="20" w:line="252" w:lineRule="auto"/>
            </w:pPr>
            <w:r>
              <w:rPr>
                <w:b w:val="0"/>
                <w:i w:val="0"/>
                <w:sz w:val="16"/>
              </w:rPr>
              <w:t>Endorsement</w:t>
            </w:r>
          </w:p>
        </w:tc>
        <w:tc>
          <w:tcPr>
            <w:tcW w:type="dxa" w:w="2154"/>
            <w:vAlign w:val="top"/>
          </w:tcPr>
          <w:p>
            <w:pPr>
              <w:spacing w:after="20" w:line="252" w:lineRule="auto"/>
            </w:pPr>
            <w:r>
              <w:rPr>
                <w:b w:val="0"/>
                <w:i w:val="0"/>
                <w:sz w:val="16"/>
              </w:rPr>
              <w:t>Underwriting officer</w:t>
            </w:r>
          </w:p>
        </w:tc>
        <w:tc>
          <w:tcPr>
            <w:tcW w:type="dxa" w:w="2154"/>
            <w:vAlign w:val="top"/>
          </w:tcPr>
          <w:p>
            <w:pPr>
              <w:spacing w:after="20" w:line="252" w:lineRule="auto"/>
            </w:pPr>
            <w:r>
              <w:rPr>
                <w:b w:val="0"/>
                <w:i w:val="0"/>
                <w:sz w:val="16"/>
              </w:rPr>
              <w:t>Underwriting manager</w:t>
            </w:r>
          </w:p>
        </w:tc>
        <w:tc>
          <w:tcPr>
            <w:tcW w:type="dxa" w:w="2154"/>
            <w:vAlign w:val="top"/>
          </w:tcPr>
          <w:p>
            <w:pPr>
              <w:spacing w:after="20" w:line="252" w:lineRule="auto"/>
            </w:pPr>
            <w:r>
              <w:rPr>
                <w:b w:val="0"/>
                <w:i w:val="0"/>
                <w:sz w:val="16"/>
              </w:rPr>
              <w:t>Contribution change threshold</w:t>
            </w:r>
          </w:p>
        </w:tc>
      </w:tr>
      <w:tr>
        <w:trPr>
          <w:cantSplit/>
        </w:trPr>
        <w:tc>
          <w:tcPr>
            <w:tcW w:type="dxa" w:w="3175"/>
            <w:vAlign w:val="top"/>
            <w:shd w:val="clear" w:color="auto" w:fill="FDF0F7"/>
          </w:tcPr>
          <w:p>
            <w:pPr>
              <w:spacing w:after="20" w:line="252" w:lineRule="auto"/>
            </w:pPr>
            <w:r>
              <w:rPr>
                <w:b w:val="0"/>
                <w:i w:val="0"/>
                <w:sz w:val="16"/>
              </w:rPr>
              <w:t>Cancellation</w:t>
            </w:r>
          </w:p>
        </w:tc>
        <w:tc>
          <w:tcPr>
            <w:tcW w:type="dxa" w:w="2154"/>
            <w:vAlign w:val="top"/>
            <w:shd w:val="clear" w:color="auto" w:fill="FDF0F7"/>
          </w:tcPr>
          <w:p>
            <w:pPr>
              <w:spacing w:after="20" w:line="252" w:lineRule="auto"/>
            </w:pPr>
            <w:r>
              <w:rPr>
                <w:b w:val="0"/>
                <w:i w:val="0"/>
                <w:sz w:val="16"/>
              </w:rPr>
              <w:t>Underwriting officer</w:t>
            </w:r>
          </w:p>
        </w:tc>
        <w:tc>
          <w:tcPr>
            <w:tcW w:type="dxa" w:w="2154"/>
            <w:vAlign w:val="top"/>
            <w:shd w:val="clear" w:color="auto" w:fill="FDF0F7"/>
          </w:tcPr>
          <w:p>
            <w:pPr>
              <w:spacing w:after="20" w:line="252" w:lineRule="auto"/>
            </w:pPr>
            <w:r>
              <w:rPr>
                <w:b w:val="0"/>
                <w:i w:val="0"/>
                <w:sz w:val="16"/>
              </w:rPr>
              <w:t>Underwriting manager</w:t>
            </w:r>
          </w:p>
        </w:tc>
        <w:tc>
          <w:tcPr>
            <w:tcW w:type="dxa" w:w="2154"/>
            <w:vAlign w:val="top"/>
            <w:shd w:val="clear" w:color="auto" w:fill="FDF0F7"/>
          </w:tcPr>
          <w:p>
            <w:pPr>
              <w:spacing w:after="20" w:line="252" w:lineRule="auto"/>
            </w:pPr>
            <w:r>
              <w:rPr>
                <w:b w:val="0"/>
                <w:i w:val="0"/>
                <w:sz w:val="16"/>
              </w:rPr>
              <w:t>Always two levels</w:t>
            </w:r>
          </w:p>
        </w:tc>
      </w:tr>
      <w:tr>
        <w:trPr>
          <w:cantSplit/>
        </w:trPr>
        <w:tc>
          <w:tcPr>
            <w:tcW w:type="dxa" w:w="3175"/>
            <w:vAlign w:val="top"/>
          </w:tcPr>
          <w:p>
            <w:pPr>
              <w:spacing w:after="20" w:line="252" w:lineRule="auto"/>
            </w:pPr>
            <w:r>
              <w:rPr>
                <w:b w:val="0"/>
                <w:i w:val="0"/>
                <w:sz w:val="16"/>
              </w:rPr>
              <w:t>Payment verification</w:t>
            </w:r>
          </w:p>
        </w:tc>
        <w:tc>
          <w:tcPr>
            <w:tcW w:type="dxa" w:w="2154"/>
            <w:vAlign w:val="top"/>
          </w:tcPr>
          <w:p>
            <w:pPr>
              <w:spacing w:after="20" w:line="252" w:lineRule="auto"/>
            </w:pPr>
            <w:r>
              <w:rPr>
                <w:b w:val="0"/>
                <w:i w:val="0"/>
                <w:sz w:val="16"/>
              </w:rPr>
              <w:t>Finance officer</w:t>
            </w:r>
          </w:p>
        </w:tc>
        <w:tc>
          <w:tcPr>
            <w:tcW w:type="dxa" w:w="2154"/>
            <w:vAlign w:val="top"/>
          </w:tcPr>
          <w:p>
            <w:pPr>
              <w:spacing w:after="20" w:line="252" w:lineRule="auto"/>
            </w:pPr>
            <w:r>
              <w:rPr>
                <w:b w:val="0"/>
                <w:i w:val="0"/>
                <w:sz w:val="16"/>
              </w:rPr>
              <w:t>Finance manager</w:t>
            </w:r>
          </w:p>
        </w:tc>
        <w:tc>
          <w:tcPr>
            <w:tcW w:type="dxa" w:w="2154"/>
            <w:vAlign w:val="top"/>
          </w:tcPr>
          <w:p>
            <w:pPr>
              <w:spacing w:after="20" w:line="252" w:lineRule="auto"/>
            </w:pPr>
            <w:r>
              <w:rPr>
                <w:b w:val="0"/>
                <w:i w:val="0"/>
                <w:sz w:val="16"/>
              </w:rPr>
              <w:t>Amount threshold</w:t>
            </w:r>
          </w:p>
        </w:tc>
      </w:tr>
      <w:tr>
        <w:trPr>
          <w:cantSplit/>
        </w:trPr>
        <w:tc>
          <w:tcPr>
            <w:tcW w:type="dxa" w:w="3175"/>
            <w:vAlign w:val="top"/>
            <w:shd w:val="clear" w:color="auto" w:fill="FDF0F7"/>
          </w:tcPr>
          <w:p>
            <w:pPr>
              <w:spacing w:after="20" w:line="252" w:lineRule="auto"/>
            </w:pPr>
            <w:r>
              <w:rPr>
                <w:b w:val="0"/>
                <w:i w:val="0"/>
                <w:sz w:val="16"/>
              </w:rPr>
              <w:t>AML possible match</w:t>
            </w:r>
          </w:p>
        </w:tc>
        <w:tc>
          <w:tcPr>
            <w:tcW w:type="dxa" w:w="2154"/>
            <w:vAlign w:val="top"/>
            <w:shd w:val="clear" w:color="auto" w:fill="FDF0F7"/>
          </w:tcPr>
          <w:p>
            <w:pPr>
              <w:spacing w:after="20" w:line="252" w:lineRule="auto"/>
            </w:pPr>
            <w:r>
              <w:rPr>
                <w:b w:val="0"/>
                <w:i w:val="0"/>
                <w:sz w:val="16"/>
              </w:rPr>
              <w:t>Compliance officer</w:t>
            </w:r>
          </w:p>
        </w:tc>
        <w:tc>
          <w:tcPr>
            <w:tcW w:type="dxa" w:w="2154"/>
            <w:vAlign w:val="top"/>
            <w:shd w:val="clear" w:color="auto" w:fill="FDF0F7"/>
          </w:tcPr>
          <w:p>
            <w:pPr>
              <w:spacing w:after="20" w:line="252" w:lineRule="auto"/>
            </w:pPr>
            <w:r>
              <w:rPr>
                <w:b w:val="0"/>
                <w:i w:val="0"/>
                <w:sz w:val="16"/>
              </w:rPr>
              <w:t>Compliance manager</w:t>
            </w:r>
          </w:p>
        </w:tc>
        <w:tc>
          <w:tcPr>
            <w:tcW w:type="dxa" w:w="2154"/>
            <w:vAlign w:val="top"/>
            <w:shd w:val="clear" w:color="auto" w:fill="FDF0F7"/>
          </w:tcPr>
          <w:p>
            <w:pPr>
              <w:spacing w:after="20" w:line="252" w:lineRule="auto"/>
            </w:pPr>
            <w:r>
              <w:rPr>
                <w:b w:val="0"/>
                <w:i w:val="0"/>
                <w:sz w:val="16"/>
              </w:rPr>
              <w:t>On escalation</w:t>
            </w:r>
          </w:p>
        </w:tc>
      </w:tr>
    </w:tbl>
    <w:p>
      <w:pPr>
        <w:pStyle w:val="Caption"/>
        <w:jc w:val="center"/>
      </w:pPr>
      <w:r>
        <w:rPr>
          <w:b w:val="0"/>
          <w:i w:val="0"/>
        </w:rPr>
        <w:t>Table 12: Default workflow definitions, confirmed in design</w:t>
      </w:r>
    </w:p>
    <w:p>
      <w:pPr>
        <w:pStyle w:val="Heading2"/>
      </w:pPr>
      <w:r>
        <w:t>9.3 Seven-day grace period</w:t>
      </w:r>
    </w:p>
    <w:p>
      <w:pPr>
        <w:keepNext w:val="0"/>
      </w:pPr>
      <w:r>
        <w:rPr>
          <w:b w:val="0"/>
          <w:i w:val="0"/>
        </w:rPr>
        <w:t>A nightly job finds issued policies unpaid for more than seven days and blocks issuance for every agent of that agency. Agents see the reason on their dashboard. The block lifts automatically once Finance verifies the payment.</w:t>
      </w:r>
    </w:p>
    <w:p>
      <w:pPr>
        <w:pStyle w:val="Heading2"/>
      </w:pPr>
      <w:r>
        <w:t>9.4 Notifications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3118"/>
        <w:gridCol w:w="2551"/>
      </w:tblGrid>
      <w:tr>
        <w:trPr>
          <w:cantSplit/>
          <w:tblHeader/>
        </w:trPr>
        <w:tc>
          <w:tcPr>
            <w:tcW w:type="dxa" w:w="3969"/>
            <w:shd w:val="clear" w:color="auto" w:fill="E1058C"/>
            <w:vAlign w:val="center"/>
          </w:tcPr>
          <w:p>
            <w:pPr>
              <w:spacing w:after="0"/>
            </w:pPr>
            <w:r>
              <w:rPr>
                <w:b/>
                <w:i w:val="0"/>
                <w:color w:val="FFFFFF"/>
                <w:sz w:val="16"/>
              </w:rPr>
              <w:t>Event</w:t>
            </w:r>
          </w:p>
        </w:tc>
        <w:tc>
          <w:tcPr>
            <w:tcW w:type="dxa" w:w="3118"/>
            <w:shd w:val="clear" w:color="auto" w:fill="E1058C"/>
            <w:vAlign w:val="center"/>
          </w:tcPr>
          <w:p>
            <w:pPr>
              <w:spacing w:after="0"/>
            </w:pPr>
            <w:r>
              <w:rPr>
                <w:b/>
                <w:i w:val="0"/>
                <w:color w:val="FFFFFF"/>
                <w:sz w:val="16"/>
              </w:rPr>
              <w:t>Recipients</w:t>
            </w:r>
          </w:p>
        </w:tc>
        <w:tc>
          <w:tcPr>
            <w:tcW w:type="dxa" w:w="2551"/>
            <w:shd w:val="clear" w:color="auto" w:fill="E1058C"/>
            <w:vAlign w:val="center"/>
          </w:tcPr>
          <w:p>
            <w:pPr>
              <w:spacing w:after="0"/>
            </w:pPr>
            <w:r>
              <w:rPr>
                <w:b/>
                <w:i w:val="0"/>
                <w:color w:val="FFFFFF"/>
                <w:sz w:val="16"/>
              </w:rPr>
              <w:t>Channels</w:t>
            </w:r>
          </w:p>
        </w:tc>
      </w:tr>
      <w:tr>
        <w:trPr>
          <w:cantSplit/>
        </w:trPr>
        <w:tc>
          <w:tcPr>
            <w:tcW w:type="dxa" w:w="3969"/>
            <w:vAlign w:val="top"/>
          </w:tcPr>
          <w:p>
            <w:pPr>
              <w:spacing w:after="20" w:line="252" w:lineRule="auto"/>
            </w:pPr>
            <w:r>
              <w:rPr>
                <w:b w:val="0"/>
                <w:i w:val="0"/>
                <w:sz w:val="16"/>
              </w:rPr>
              <w:t>Request submitted, approved or rejected (with remarks)</w:t>
            </w:r>
          </w:p>
        </w:tc>
        <w:tc>
          <w:tcPr>
            <w:tcW w:type="dxa" w:w="3118"/>
            <w:vAlign w:val="top"/>
          </w:tcPr>
          <w:p>
            <w:pPr>
              <w:spacing w:after="20" w:line="252" w:lineRule="auto"/>
            </w:pPr>
            <w:r>
              <w:rPr>
                <w:b w:val="0"/>
                <w:i w:val="0"/>
                <w:sz w:val="16"/>
              </w:rPr>
              <w:t>Maker; checker queue</w:t>
            </w:r>
          </w:p>
        </w:tc>
        <w:tc>
          <w:tcPr>
            <w:tcW w:type="dxa" w:w="2551"/>
            <w:vAlign w:val="top"/>
          </w:tcPr>
          <w:p>
            <w:pPr>
              <w:spacing w:after="20" w:line="252" w:lineRule="auto"/>
            </w:pPr>
            <w:r>
              <w:rPr>
                <w:b w:val="0"/>
                <w:i w:val="0"/>
                <w:sz w:val="16"/>
              </w:rPr>
              <w:t>Portal, e-mail</w:t>
            </w:r>
          </w:p>
        </w:tc>
      </w:tr>
      <w:tr>
        <w:trPr>
          <w:cantSplit/>
        </w:trPr>
        <w:tc>
          <w:tcPr>
            <w:tcW w:type="dxa" w:w="3969"/>
            <w:vAlign w:val="top"/>
            <w:shd w:val="clear" w:color="auto" w:fill="FDF0F7"/>
          </w:tcPr>
          <w:p>
            <w:pPr>
              <w:spacing w:after="20" w:line="252" w:lineRule="auto"/>
            </w:pPr>
            <w:r>
              <w:rPr>
                <w:b w:val="0"/>
                <w:i w:val="0"/>
                <w:sz w:val="16"/>
              </w:rPr>
              <w:t>Policy issued with e-Policy and e-Receipt</w:t>
            </w:r>
          </w:p>
        </w:tc>
        <w:tc>
          <w:tcPr>
            <w:tcW w:type="dxa" w:w="3118"/>
            <w:vAlign w:val="top"/>
            <w:shd w:val="clear" w:color="auto" w:fill="FDF0F7"/>
          </w:tcPr>
          <w:p>
            <w:pPr>
              <w:spacing w:after="20" w:line="252" w:lineRule="auto"/>
            </w:pPr>
            <w:r>
              <w:rPr>
                <w:b w:val="0"/>
                <w:i w:val="0"/>
                <w:sz w:val="16"/>
              </w:rPr>
              <w:t>Agent; participant</w:t>
            </w:r>
          </w:p>
        </w:tc>
        <w:tc>
          <w:tcPr>
            <w:tcW w:type="dxa" w:w="2551"/>
            <w:vAlign w:val="top"/>
            <w:shd w:val="clear" w:color="auto" w:fill="FDF0F7"/>
          </w:tcPr>
          <w:p>
            <w:pPr>
              <w:spacing w:after="20" w:line="252" w:lineRule="auto"/>
            </w:pPr>
            <w:r>
              <w:rPr>
                <w:b w:val="0"/>
                <w:i w:val="0"/>
                <w:sz w:val="16"/>
              </w:rPr>
              <w:t>E-mail with PDF, portal</w:t>
            </w:r>
          </w:p>
        </w:tc>
      </w:tr>
      <w:tr>
        <w:trPr>
          <w:cantSplit/>
        </w:trPr>
        <w:tc>
          <w:tcPr>
            <w:tcW w:type="dxa" w:w="3969"/>
            <w:vAlign w:val="top"/>
          </w:tcPr>
          <w:p>
            <w:pPr>
              <w:spacing w:after="20" w:line="252" w:lineRule="auto"/>
            </w:pPr>
            <w:r>
              <w:rPr>
                <w:b w:val="0"/>
                <w:i w:val="0"/>
                <w:sz w:val="16"/>
              </w:rPr>
              <w:t>Payment overdue: reminder on day 5, block on day 8</w:t>
            </w:r>
          </w:p>
        </w:tc>
        <w:tc>
          <w:tcPr>
            <w:tcW w:type="dxa" w:w="3118"/>
            <w:vAlign w:val="top"/>
          </w:tcPr>
          <w:p>
            <w:pPr>
              <w:spacing w:after="20" w:line="252" w:lineRule="auto"/>
            </w:pPr>
            <w:r>
              <w:rPr>
                <w:b w:val="0"/>
                <w:i w:val="0"/>
                <w:sz w:val="16"/>
              </w:rPr>
              <w:t>Agent; agency principal; Finance</w:t>
            </w:r>
          </w:p>
        </w:tc>
        <w:tc>
          <w:tcPr>
            <w:tcW w:type="dxa" w:w="2551"/>
            <w:vAlign w:val="top"/>
          </w:tcPr>
          <w:p>
            <w:pPr>
              <w:spacing w:after="20" w:line="252" w:lineRule="auto"/>
            </w:pPr>
            <w:r>
              <w:rPr>
                <w:b w:val="0"/>
                <w:i w:val="0"/>
                <w:sz w:val="16"/>
              </w:rPr>
              <w:t>Portal, e-mail, SMS</w:t>
            </w:r>
          </w:p>
        </w:tc>
      </w:tr>
      <w:tr>
        <w:trPr>
          <w:cantSplit/>
        </w:trPr>
        <w:tc>
          <w:tcPr>
            <w:tcW w:type="dxa" w:w="3969"/>
            <w:vAlign w:val="top"/>
            <w:shd w:val="clear" w:color="auto" w:fill="FDF0F7"/>
          </w:tcPr>
          <w:p>
            <w:pPr>
              <w:spacing w:after="20" w:line="252" w:lineRule="auto"/>
            </w:pPr>
            <w:r>
              <w:rPr>
                <w:b w:val="0"/>
                <w:i w:val="0"/>
                <w:sz w:val="16"/>
              </w:rPr>
              <w:t>Agency block lifted</w:t>
            </w:r>
          </w:p>
        </w:tc>
        <w:tc>
          <w:tcPr>
            <w:tcW w:type="dxa" w:w="3118"/>
            <w:vAlign w:val="top"/>
            <w:shd w:val="clear" w:color="auto" w:fill="FDF0F7"/>
          </w:tcPr>
          <w:p>
            <w:pPr>
              <w:spacing w:after="20" w:line="252" w:lineRule="auto"/>
            </w:pPr>
            <w:r>
              <w:rPr>
                <w:b w:val="0"/>
                <w:i w:val="0"/>
                <w:sz w:val="16"/>
              </w:rPr>
              <w:t>All agents of the agency</w:t>
            </w:r>
          </w:p>
        </w:tc>
        <w:tc>
          <w:tcPr>
            <w:tcW w:type="dxa" w:w="2551"/>
            <w:vAlign w:val="top"/>
            <w:shd w:val="clear" w:color="auto" w:fill="FDF0F7"/>
          </w:tcPr>
          <w:p>
            <w:pPr>
              <w:spacing w:after="20" w:line="252" w:lineRule="auto"/>
            </w:pPr>
            <w:r>
              <w:rPr>
                <w:b w:val="0"/>
                <w:i w:val="0"/>
                <w:sz w:val="16"/>
              </w:rPr>
              <w:t>Portal, e-mail</w:t>
            </w:r>
          </w:p>
        </w:tc>
      </w:tr>
      <w:tr>
        <w:trPr>
          <w:cantSplit/>
        </w:trPr>
        <w:tc>
          <w:tcPr>
            <w:tcW w:type="dxa" w:w="3969"/>
            <w:vAlign w:val="top"/>
          </w:tcPr>
          <w:p>
            <w:pPr>
              <w:spacing w:after="20" w:line="252" w:lineRule="auto"/>
            </w:pPr>
            <w:r>
              <w:rPr>
                <w:b w:val="0"/>
                <w:i w:val="0"/>
                <w:sz w:val="16"/>
              </w:rPr>
              <w:t>Renewal due (60, 30 and 7 days) and expiry</w:t>
            </w:r>
          </w:p>
        </w:tc>
        <w:tc>
          <w:tcPr>
            <w:tcW w:type="dxa" w:w="3118"/>
            <w:vAlign w:val="top"/>
          </w:tcPr>
          <w:p>
            <w:pPr>
              <w:spacing w:after="20" w:line="252" w:lineRule="auto"/>
            </w:pPr>
            <w:r>
              <w:rPr>
                <w:b w:val="0"/>
                <w:i w:val="0"/>
                <w:sz w:val="16"/>
              </w:rPr>
              <w:t>Agent</w:t>
            </w:r>
          </w:p>
        </w:tc>
        <w:tc>
          <w:tcPr>
            <w:tcW w:type="dxa" w:w="2551"/>
            <w:vAlign w:val="top"/>
          </w:tcPr>
          <w:p>
            <w:pPr>
              <w:spacing w:after="20" w:line="252" w:lineRule="auto"/>
            </w:pPr>
            <w:r>
              <w:rPr>
                <w:b w:val="0"/>
                <w:i w:val="0"/>
                <w:sz w:val="16"/>
              </w:rPr>
              <w:t>Portal, e-mail</w:t>
            </w:r>
          </w:p>
        </w:tc>
      </w:tr>
      <w:tr>
        <w:trPr>
          <w:cantSplit/>
        </w:trPr>
        <w:tc>
          <w:tcPr>
            <w:tcW w:type="dxa" w:w="3969"/>
            <w:vAlign w:val="top"/>
            <w:shd w:val="clear" w:color="auto" w:fill="FDF0F7"/>
          </w:tcPr>
          <w:p>
            <w:pPr>
              <w:spacing w:after="20" w:line="252" w:lineRule="auto"/>
            </w:pPr>
            <w:r>
              <w:rPr>
                <w:b w:val="0"/>
                <w:i w:val="0"/>
                <w:sz w:val="16"/>
              </w:rPr>
              <w:t>Agent document expiring</w:t>
            </w:r>
          </w:p>
        </w:tc>
        <w:tc>
          <w:tcPr>
            <w:tcW w:type="dxa" w:w="3118"/>
            <w:vAlign w:val="top"/>
            <w:shd w:val="clear" w:color="auto" w:fill="FDF0F7"/>
          </w:tcPr>
          <w:p>
            <w:pPr>
              <w:spacing w:after="20" w:line="252" w:lineRule="auto"/>
            </w:pPr>
            <w:r>
              <w:rPr>
                <w:b w:val="0"/>
                <w:i w:val="0"/>
                <w:sz w:val="16"/>
              </w:rPr>
              <w:t>Agent; Banca/Sales officer</w:t>
            </w:r>
          </w:p>
        </w:tc>
        <w:tc>
          <w:tcPr>
            <w:tcW w:type="dxa" w:w="2551"/>
            <w:vAlign w:val="top"/>
            <w:shd w:val="clear" w:color="auto" w:fill="FDF0F7"/>
          </w:tcPr>
          <w:p>
            <w:pPr>
              <w:spacing w:after="20" w:line="252" w:lineRule="auto"/>
            </w:pPr>
            <w:r>
              <w:rPr>
                <w:b w:val="0"/>
                <w:i w:val="0"/>
                <w:sz w:val="16"/>
              </w:rPr>
              <w:t>Portal, e-mail</w:t>
            </w:r>
          </w:p>
        </w:tc>
      </w:tr>
      <w:tr>
        <w:trPr>
          <w:cantSplit/>
        </w:trPr>
        <w:tc>
          <w:tcPr>
            <w:tcW w:type="dxa" w:w="3969"/>
            <w:vAlign w:val="top"/>
          </w:tcPr>
          <w:p>
            <w:pPr>
              <w:spacing w:after="20" w:line="252" w:lineRule="auto"/>
            </w:pPr>
            <w:r>
              <w:rPr>
                <w:b w:val="0"/>
                <w:i w:val="0"/>
                <w:sz w:val="16"/>
              </w:rPr>
              <w:t>AML possible match</w:t>
            </w:r>
          </w:p>
        </w:tc>
        <w:tc>
          <w:tcPr>
            <w:tcW w:type="dxa" w:w="3118"/>
            <w:vAlign w:val="top"/>
          </w:tcPr>
          <w:p>
            <w:pPr>
              <w:spacing w:after="20" w:line="252" w:lineRule="auto"/>
            </w:pPr>
            <w:r>
              <w:rPr>
                <w:b w:val="0"/>
                <w:i w:val="0"/>
                <w:sz w:val="16"/>
              </w:rPr>
              <w:t>Compliance</w:t>
            </w:r>
          </w:p>
        </w:tc>
        <w:tc>
          <w:tcPr>
            <w:tcW w:type="dxa" w:w="2551"/>
            <w:vAlign w:val="top"/>
          </w:tcPr>
          <w:p>
            <w:pPr>
              <w:spacing w:after="20" w:line="252" w:lineRule="auto"/>
            </w:pPr>
            <w:r>
              <w:rPr>
                <w:b w:val="0"/>
                <w:i w:val="0"/>
                <w:sz w:val="16"/>
              </w:rPr>
              <w:t>Back-office, e-mail</w:t>
            </w:r>
          </w:p>
        </w:tc>
      </w:tr>
      <w:tr>
        <w:trPr>
          <w:cantSplit/>
        </w:trPr>
        <w:tc>
          <w:tcPr>
            <w:tcW w:type="dxa" w:w="3969"/>
            <w:vAlign w:val="top"/>
            <w:shd w:val="clear" w:color="auto" w:fill="FDF0F7"/>
          </w:tcPr>
          <w:p>
            <w:pPr>
              <w:spacing w:after="20" w:line="252" w:lineRule="auto"/>
            </w:pPr>
            <w:r>
              <w:rPr>
                <w:b w:val="0"/>
                <w:i w:val="0"/>
                <w:sz w:val="16"/>
              </w:rPr>
              <w:t>Issue assigned, updated or SLA breached</w:t>
            </w:r>
          </w:p>
        </w:tc>
        <w:tc>
          <w:tcPr>
            <w:tcW w:type="dxa" w:w="3118"/>
            <w:vAlign w:val="top"/>
            <w:shd w:val="clear" w:color="auto" w:fill="FDF0F7"/>
          </w:tcPr>
          <w:p>
            <w:pPr>
              <w:spacing w:after="20" w:line="252" w:lineRule="auto"/>
            </w:pPr>
            <w:r>
              <w:rPr>
                <w:b w:val="0"/>
                <w:i w:val="0"/>
                <w:sz w:val="16"/>
              </w:rPr>
              <w:t>Assignee; reporter; supervisor</w:t>
            </w:r>
          </w:p>
        </w:tc>
        <w:tc>
          <w:tcPr>
            <w:tcW w:type="dxa" w:w="2551"/>
            <w:vAlign w:val="top"/>
            <w:shd w:val="clear" w:color="auto" w:fill="FDF0F7"/>
          </w:tcPr>
          <w:p>
            <w:pPr>
              <w:spacing w:after="20" w:line="252" w:lineRule="auto"/>
            </w:pPr>
            <w:r>
              <w:rPr>
                <w:b w:val="0"/>
                <w:i w:val="0"/>
                <w:sz w:val="16"/>
              </w:rPr>
              <w:t>Portal, e-mail</w:t>
            </w:r>
          </w:p>
        </w:tc>
      </w:tr>
      <w:tr>
        <w:trPr>
          <w:cantSplit/>
        </w:trPr>
        <w:tc>
          <w:tcPr>
            <w:tcW w:type="dxa" w:w="3969"/>
            <w:vAlign w:val="top"/>
          </w:tcPr>
          <w:p>
            <w:pPr>
              <w:spacing w:after="20" w:line="252" w:lineRule="auto"/>
            </w:pPr>
            <w:r>
              <w:rPr>
                <w:b w:val="0"/>
                <w:i w:val="0"/>
                <w:sz w:val="16"/>
              </w:rPr>
              <w:t>Dead-letter or EOD failure</w:t>
            </w:r>
          </w:p>
        </w:tc>
        <w:tc>
          <w:tcPr>
            <w:tcW w:type="dxa" w:w="3118"/>
            <w:vAlign w:val="top"/>
          </w:tcPr>
          <w:p>
            <w:pPr>
              <w:spacing w:after="20" w:line="252" w:lineRule="auto"/>
            </w:pPr>
            <w:r>
              <w:rPr>
                <w:b w:val="0"/>
                <w:i w:val="0"/>
                <w:sz w:val="16"/>
              </w:rPr>
              <w:t>Support team; IIFT IT</w:t>
            </w:r>
          </w:p>
        </w:tc>
        <w:tc>
          <w:tcPr>
            <w:tcW w:type="dxa" w:w="2551"/>
            <w:vAlign w:val="top"/>
          </w:tcPr>
          <w:p>
            <w:pPr>
              <w:spacing w:after="20" w:line="252" w:lineRule="auto"/>
            </w:pPr>
            <w:r>
              <w:rPr>
                <w:b w:val="0"/>
                <w:i w:val="0"/>
                <w:sz w:val="16"/>
              </w:rPr>
              <w:t>E-mail, monitoring alert</w:t>
            </w:r>
          </w:p>
        </w:tc>
      </w:tr>
    </w:tbl>
    <w:p>
      <w:pPr>
        <w:pStyle w:val="Caption"/>
        <w:jc w:val="center"/>
      </w:pPr>
      <w:r>
        <w:rPr>
          <w:b w:val="0"/>
          <w:i w:val="0"/>
        </w:rPr>
        <w:t>Table 13: Notification events (templates and channels configurable)</w:t>
      </w:r>
    </w:p>
    <w:p>
      <w:pPr>
        <w:pStyle w:val="Heading2"/>
      </w:pPr>
      <w:r>
        <w:t>9.5 Reports</w:t>
      </w:r>
    </w:p>
    <w:p>
      <w:pPr>
        <w:keepNext w:val="0"/>
      </w:pPr>
      <w:r>
        <w:rPr>
          <w:b w:val="0"/>
          <w:i w:val="0"/>
        </w:rPr>
        <w:t>The platform has 12 standard reports with filters, Excel, CSV and PDF export and scheduled e-mail delivery. The go-live catalogue below is confirmed in design; reports not yet built are delivered during implementation within the fixed price.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18"/>
        <w:gridCol w:w="1984"/>
        <w:gridCol w:w="4536"/>
      </w:tblGrid>
      <w:tr>
        <w:trPr>
          <w:cantSplit/>
          <w:tblHeader/>
        </w:trPr>
        <w:tc>
          <w:tcPr>
            <w:tcW w:type="dxa" w:w="3118"/>
            <w:shd w:val="clear" w:color="auto" w:fill="E1058C"/>
            <w:vAlign w:val="center"/>
          </w:tcPr>
          <w:p>
            <w:pPr>
              <w:spacing w:after="0"/>
            </w:pPr>
            <w:r>
              <w:rPr>
                <w:b/>
                <w:i w:val="0"/>
                <w:color w:val="FFFFFF"/>
                <w:sz w:val="16"/>
              </w:rPr>
              <w:t>Report</w:t>
            </w:r>
          </w:p>
        </w:tc>
        <w:tc>
          <w:tcPr>
            <w:tcW w:type="dxa" w:w="1984"/>
            <w:shd w:val="clear" w:color="auto" w:fill="E1058C"/>
            <w:vAlign w:val="center"/>
          </w:tcPr>
          <w:p>
            <w:pPr>
              <w:spacing w:after="0"/>
            </w:pPr>
            <w:r>
              <w:rPr>
                <w:b/>
                <w:i w:val="0"/>
                <w:color w:val="FFFFFF"/>
                <w:sz w:val="16"/>
              </w:rPr>
              <w:t>Primary users</w:t>
            </w:r>
          </w:p>
        </w:tc>
        <w:tc>
          <w:tcPr>
            <w:tcW w:type="dxa" w:w="4535"/>
            <w:shd w:val="clear" w:color="auto" w:fill="E1058C"/>
            <w:vAlign w:val="center"/>
          </w:tcPr>
          <w:p>
            <w:pPr>
              <w:spacing w:after="0"/>
            </w:pPr>
            <w:r>
              <w:rPr>
                <w:b/>
                <w:i w:val="0"/>
                <w:color w:val="FFFFFF"/>
                <w:sz w:val="16"/>
              </w:rPr>
              <w:t>Content</w:t>
            </w:r>
          </w:p>
        </w:tc>
      </w:tr>
      <w:tr>
        <w:trPr>
          <w:cantSplit/>
        </w:trPr>
        <w:tc>
          <w:tcPr>
            <w:tcW w:type="dxa" w:w="3118"/>
            <w:vAlign w:val="top"/>
          </w:tcPr>
          <w:p>
            <w:pPr>
              <w:spacing w:after="20" w:line="252" w:lineRule="auto"/>
            </w:pPr>
            <w:r>
              <w:rPr>
                <w:b w:val="0"/>
                <w:i w:val="0"/>
                <w:sz w:val="16"/>
              </w:rPr>
              <w:t>Daily issuance (EOD) report</w:t>
            </w:r>
          </w:p>
        </w:tc>
        <w:tc>
          <w:tcPr>
            <w:tcW w:type="dxa" w:w="1984"/>
            <w:vAlign w:val="top"/>
          </w:tcPr>
          <w:p>
            <w:pPr>
              <w:spacing w:after="20" w:line="252" w:lineRule="auto"/>
            </w:pPr>
            <w:r>
              <w:rPr>
                <w:b w:val="0"/>
                <w:i w:val="0"/>
                <w:sz w:val="16"/>
              </w:rPr>
              <w:t>Finance, Banca</w:t>
            </w:r>
          </w:p>
        </w:tc>
        <w:tc>
          <w:tcPr>
            <w:tcW w:type="dxa" w:w="4535"/>
            <w:vAlign w:val="top"/>
          </w:tcPr>
          <w:p>
            <w:pPr>
              <w:spacing w:after="20" w:line="252" w:lineRule="auto"/>
            </w:pPr>
            <w:r>
              <w:rPr>
                <w:b w:val="0"/>
                <w:i w:val="0"/>
                <w:sz w:val="16"/>
              </w:rPr>
              <w:t>Issued policies by product, bank and agent</w:t>
            </w:r>
          </w:p>
        </w:tc>
      </w:tr>
      <w:tr>
        <w:trPr>
          <w:cantSplit/>
        </w:trPr>
        <w:tc>
          <w:tcPr>
            <w:tcW w:type="dxa" w:w="3118"/>
            <w:vAlign w:val="top"/>
            <w:shd w:val="clear" w:color="auto" w:fill="FDF0F7"/>
          </w:tcPr>
          <w:p>
            <w:pPr>
              <w:spacing w:after="20" w:line="252" w:lineRule="auto"/>
            </w:pPr>
            <w:r>
              <w:rPr>
                <w:b w:val="0"/>
                <w:i w:val="0"/>
                <w:sz w:val="16"/>
              </w:rPr>
              <w:t>FIN interface report</w:t>
            </w:r>
          </w:p>
        </w:tc>
        <w:tc>
          <w:tcPr>
            <w:tcW w:type="dxa" w:w="1984"/>
            <w:vAlign w:val="top"/>
            <w:shd w:val="clear" w:color="auto" w:fill="FDF0F7"/>
          </w:tcPr>
          <w:p>
            <w:pPr>
              <w:spacing w:after="20" w:line="252" w:lineRule="auto"/>
            </w:pPr>
            <w:r>
              <w:rPr>
                <w:b w:val="0"/>
                <w:i w:val="0"/>
                <w:sz w:val="16"/>
              </w:rPr>
              <w:t>Finance</w:t>
            </w:r>
          </w:p>
        </w:tc>
        <w:tc>
          <w:tcPr>
            <w:tcW w:type="dxa" w:w="4535"/>
            <w:vAlign w:val="top"/>
            <w:shd w:val="clear" w:color="auto" w:fill="FDF0F7"/>
          </w:tcPr>
          <w:p>
            <w:pPr>
              <w:spacing w:after="20" w:line="252" w:lineRule="auto"/>
            </w:pPr>
            <w:r>
              <w:rPr>
                <w:b w:val="0"/>
                <w:i w:val="0"/>
                <w:sz w:val="16"/>
              </w:rPr>
              <w:t>Entries sent to FIN with control totals</w:t>
            </w:r>
          </w:p>
        </w:tc>
      </w:tr>
      <w:tr>
        <w:trPr>
          <w:cantSplit/>
        </w:trPr>
        <w:tc>
          <w:tcPr>
            <w:tcW w:type="dxa" w:w="3118"/>
            <w:vAlign w:val="top"/>
          </w:tcPr>
          <w:p>
            <w:pPr>
              <w:spacing w:after="20" w:line="252" w:lineRule="auto"/>
            </w:pPr>
            <w:r>
              <w:rPr>
                <w:b w:val="0"/>
                <w:i w:val="0"/>
                <w:sz w:val="16"/>
              </w:rPr>
              <w:t>Receipt and BRR reconciliation</w:t>
            </w:r>
          </w:p>
        </w:tc>
        <w:tc>
          <w:tcPr>
            <w:tcW w:type="dxa" w:w="1984"/>
            <w:vAlign w:val="top"/>
          </w:tcPr>
          <w:p>
            <w:pPr>
              <w:spacing w:after="20" w:line="252" w:lineRule="auto"/>
            </w:pPr>
            <w:r>
              <w:rPr>
                <w:b w:val="0"/>
                <w:i w:val="0"/>
                <w:sz w:val="16"/>
              </w:rPr>
              <w:t>Finance</w:t>
            </w:r>
          </w:p>
        </w:tc>
        <w:tc>
          <w:tcPr>
            <w:tcW w:type="dxa" w:w="4535"/>
            <w:vAlign w:val="top"/>
          </w:tcPr>
          <w:p>
            <w:pPr>
              <w:spacing w:after="20" w:line="252" w:lineRule="auto"/>
            </w:pPr>
            <w:r>
              <w:rPr>
                <w:b w:val="0"/>
                <w:i w:val="0"/>
                <w:sz w:val="16"/>
              </w:rPr>
              <w:t>Matched and unmatched receipts and issuance</w:t>
            </w:r>
          </w:p>
        </w:tc>
      </w:tr>
      <w:tr>
        <w:trPr>
          <w:cantSplit/>
        </w:trPr>
        <w:tc>
          <w:tcPr>
            <w:tcW w:type="dxa" w:w="3118"/>
            <w:vAlign w:val="top"/>
            <w:shd w:val="clear" w:color="auto" w:fill="FDF0F7"/>
          </w:tcPr>
          <w:p>
            <w:pPr>
              <w:spacing w:after="20" w:line="252" w:lineRule="auto"/>
            </w:pPr>
            <w:r>
              <w:rPr>
                <w:b w:val="0"/>
                <w:i w:val="0"/>
                <w:sz w:val="16"/>
              </w:rPr>
              <w:t>Policy register by status</w:t>
            </w:r>
          </w:p>
        </w:tc>
        <w:tc>
          <w:tcPr>
            <w:tcW w:type="dxa" w:w="1984"/>
            <w:vAlign w:val="top"/>
            <w:shd w:val="clear" w:color="auto" w:fill="FDF0F7"/>
          </w:tcPr>
          <w:p>
            <w:pPr>
              <w:spacing w:after="20" w:line="252" w:lineRule="auto"/>
            </w:pPr>
            <w:r>
              <w:rPr>
                <w:b w:val="0"/>
                <w:i w:val="0"/>
                <w:sz w:val="16"/>
              </w:rPr>
              <w:t>Banca, Underwriting</w:t>
            </w:r>
          </w:p>
        </w:tc>
        <w:tc>
          <w:tcPr>
            <w:tcW w:type="dxa" w:w="4535"/>
            <w:vAlign w:val="top"/>
            <w:shd w:val="clear" w:color="auto" w:fill="FDF0F7"/>
          </w:tcPr>
          <w:p>
            <w:pPr>
              <w:spacing w:after="20" w:line="252" w:lineRule="auto"/>
            </w:pPr>
            <w:r>
              <w:rPr>
                <w:b w:val="0"/>
                <w:i w:val="0"/>
                <w:sz w:val="16"/>
              </w:rPr>
              <w:t>Policies with status, dates and contribution</w:t>
            </w:r>
          </w:p>
        </w:tc>
      </w:tr>
      <w:tr>
        <w:trPr>
          <w:cantSplit/>
        </w:trPr>
        <w:tc>
          <w:tcPr>
            <w:tcW w:type="dxa" w:w="3118"/>
            <w:vAlign w:val="top"/>
          </w:tcPr>
          <w:p>
            <w:pPr>
              <w:spacing w:after="20" w:line="252" w:lineRule="auto"/>
            </w:pPr>
            <w:r>
              <w:rPr>
                <w:b w:val="0"/>
                <w:i w:val="0"/>
                <w:sz w:val="16"/>
              </w:rPr>
              <w:t>Production report</w:t>
            </w:r>
          </w:p>
        </w:tc>
        <w:tc>
          <w:tcPr>
            <w:tcW w:type="dxa" w:w="1984"/>
            <w:vAlign w:val="top"/>
          </w:tcPr>
          <w:p>
            <w:pPr>
              <w:spacing w:after="20" w:line="252" w:lineRule="auto"/>
            </w:pPr>
            <w:r>
              <w:rPr>
                <w:b w:val="0"/>
                <w:i w:val="0"/>
                <w:sz w:val="16"/>
              </w:rPr>
              <w:t>Management, Banca</w:t>
            </w:r>
          </w:p>
        </w:tc>
        <w:tc>
          <w:tcPr>
            <w:tcW w:type="dxa" w:w="4535"/>
            <w:vAlign w:val="top"/>
          </w:tcPr>
          <w:p>
            <w:pPr>
              <w:spacing w:after="20" w:line="252" w:lineRule="auto"/>
            </w:pPr>
            <w:r>
              <w:rPr>
                <w:b w:val="0"/>
                <w:i w:val="0"/>
                <w:sz w:val="16"/>
              </w:rPr>
              <w:t>Production by agent, agency, bank, product, period</w:t>
            </w:r>
          </w:p>
        </w:tc>
      </w:tr>
      <w:tr>
        <w:trPr>
          <w:cantSplit/>
        </w:trPr>
        <w:tc>
          <w:tcPr>
            <w:tcW w:type="dxa" w:w="3118"/>
            <w:vAlign w:val="top"/>
            <w:shd w:val="clear" w:color="auto" w:fill="FDF0F7"/>
          </w:tcPr>
          <w:p>
            <w:pPr>
              <w:spacing w:after="20" w:line="252" w:lineRule="auto"/>
            </w:pPr>
            <w:r>
              <w:rPr>
                <w:b w:val="0"/>
                <w:i w:val="0"/>
                <w:sz w:val="16"/>
              </w:rPr>
              <w:t>Outstanding payments and ageing</w:t>
            </w:r>
          </w:p>
        </w:tc>
        <w:tc>
          <w:tcPr>
            <w:tcW w:type="dxa" w:w="1984"/>
            <w:vAlign w:val="top"/>
            <w:shd w:val="clear" w:color="auto" w:fill="FDF0F7"/>
          </w:tcPr>
          <w:p>
            <w:pPr>
              <w:spacing w:after="20" w:line="252" w:lineRule="auto"/>
            </w:pPr>
            <w:r>
              <w:rPr>
                <w:b w:val="0"/>
                <w:i w:val="0"/>
                <w:sz w:val="16"/>
              </w:rPr>
              <w:t>Finance, Banca</w:t>
            </w:r>
          </w:p>
        </w:tc>
        <w:tc>
          <w:tcPr>
            <w:tcW w:type="dxa" w:w="4535"/>
            <w:vAlign w:val="top"/>
            <w:shd w:val="clear" w:color="auto" w:fill="FDF0F7"/>
          </w:tcPr>
          <w:p>
            <w:pPr>
              <w:spacing w:after="20" w:line="252" w:lineRule="auto"/>
            </w:pPr>
            <w:r>
              <w:rPr>
                <w:b w:val="0"/>
                <w:i w:val="0"/>
                <w:sz w:val="16"/>
              </w:rPr>
              <w:t>Unpaid policies by ageing bucket</w:t>
            </w:r>
          </w:p>
        </w:tc>
      </w:tr>
      <w:tr>
        <w:trPr>
          <w:cantSplit/>
        </w:trPr>
        <w:tc>
          <w:tcPr>
            <w:tcW w:type="dxa" w:w="3118"/>
            <w:vAlign w:val="top"/>
          </w:tcPr>
          <w:p>
            <w:pPr>
              <w:spacing w:after="20" w:line="252" w:lineRule="auto"/>
            </w:pPr>
            <w:r>
              <w:rPr>
                <w:b w:val="0"/>
                <w:i w:val="0"/>
                <w:sz w:val="16"/>
              </w:rPr>
              <w:t>Grace-period breaches and agency blocks</w:t>
            </w:r>
          </w:p>
        </w:tc>
        <w:tc>
          <w:tcPr>
            <w:tcW w:type="dxa" w:w="1984"/>
            <w:vAlign w:val="top"/>
          </w:tcPr>
          <w:p>
            <w:pPr>
              <w:spacing w:after="20" w:line="252" w:lineRule="auto"/>
            </w:pPr>
            <w:r>
              <w:rPr>
                <w:b w:val="0"/>
                <w:i w:val="0"/>
                <w:sz w:val="16"/>
              </w:rPr>
              <w:t>Finance, Banca</w:t>
            </w:r>
          </w:p>
        </w:tc>
        <w:tc>
          <w:tcPr>
            <w:tcW w:type="dxa" w:w="4535"/>
            <w:vAlign w:val="top"/>
          </w:tcPr>
          <w:p>
            <w:pPr>
              <w:spacing w:after="20" w:line="252" w:lineRule="auto"/>
            </w:pPr>
            <w:r>
              <w:rPr>
                <w:b w:val="0"/>
                <w:i w:val="0"/>
                <w:sz w:val="16"/>
              </w:rPr>
              <w:t>Policies unpaid over 7 days; blocked agencies</w:t>
            </w:r>
          </w:p>
        </w:tc>
      </w:tr>
      <w:tr>
        <w:trPr>
          <w:cantSplit/>
        </w:trPr>
        <w:tc>
          <w:tcPr>
            <w:tcW w:type="dxa" w:w="3118"/>
            <w:vAlign w:val="top"/>
            <w:shd w:val="clear" w:color="auto" w:fill="FDF0F7"/>
          </w:tcPr>
          <w:p>
            <w:pPr>
              <w:spacing w:after="20" w:line="252" w:lineRule="auto"/>
            </w:pPr>
            <w:r>
              <w:rPr>
                <w:b w:val="0"/>
                <w:i w:val="0"/>
                <w:sz w:val="16"/>
              </w:rPr>
              <w:t>Renewals due and expiries</w:t>
            </w:r>
          </w:p>
        </w:tc>
        <w:tc>
          <w:tcPr>
            <w:tcW w:type="dxa" w:w="1984"/>
            <w:vAlign w:val="top"/>
            <w:shd w:val="clear" w:color="auto" w:fill="FDF0F7"/>
          </w:tcPr>
          <w:p>
            <w:pPr>
              <w:spacing w:after="20" w:line="252" w:lineRule="auto"/>
            </w:pPr>
            <w:r>
              <w:rPr>
                <w:b w:val="0"/>
                <w:i w:val="0"/>
                <w:sz w:val="16"/>
              </w:rPr>
              <w:t>Banca, agents</w:t>
            </w:r>
          </w:p>
        </w:tc>
        <w:tc>
          <w:tcPr>
            <w:tcW w:type="dxa" w:w="4535"/>
            <w:vAlign w:val="top"/>
            <w:shd w:val="clear" w:color="auto" w:fill="FDF0F7"/>
          </w:tcPr>
          <w:p>
            <w:pPr>
              <w:spacing w:after="20" w:line="252" w:lineRule="auto"/>
            </w:pPr>
            <w:r>
              <w:rPr>
                <w:b w:val="0"/>
                <w:i w:val="0"/>
                <w:sz w:val="16"/>
              </w:rPr>
              <w:t>Policies due for renewal or expired</w:t>
            </w:r>
          </w:p>
        </w:tc>
      </w:tr>
      <w:tr>
        <w:trPr>
          <w:cantSplit/>
        </w:trPr>
        <w:tc>
          <w:tcPr>
            <w:tcW w:type="dxa" w:w="3118"/>
            <w:vAlign w:val="top"/>
          </w:tcPr>
          <w:p>
            <w:pPr>
              <w:spacing w:after="20" w:line="252" w:lineRule="auto"/>
            </w:pPr>
            <w:r>
              <w:rPr>
                <w:b w:val="0"/>
                <w:i w:val="0"/>
                <w:sz w:val="16"/>
              </w:rPr>
              <w:t>Claims notification register</w:t>
            </w:r>
          </w:p>
        </w:tc>
        <w:tc>
          <w:tcPr>
            <w:tcW w:type="dxa" w:w="1984"/>
            <w:vAlign w:val="top"/>
          </w:tcPr>
          <w:p>
            <w:pPr>
              <w:spacing w:after="20" w:line="252" w:lineRule="auto"/>
            </w:pPr>
            <w:r>
              <w:rPr>
                <w:b w:val="0"/>
                <w:i w:val="0"/>
                <w:sz w:val="16"/>
              </w:rPr>
              <w:t>Claims, Banca</w:t>
            </w:r>
          </w:p>
        </w:tc>
        <w:tc>
          <w:tcPr>
            <w:tcW w:type="dxa" w:w="4535"/>
            <w:vAlign w:val="top"/>
          </w:tcPr>
          <w:p>
            <w:pPr>
              <w:spacing w:after="20" w:line="252" w:lineRule="auto"/>
            </w:pPr>
            <w:r>
              <w:rPr>
                <w:b w:val="0"/>
                <w:i w:val="0"/>
                <w:sz w:val="16"/>
              </w:rPr>
              <w:t>Notifications and their status</w:t>
            </w:r>
          </w:p>
        </w:tc>
      </w:tr>
      <w:tr>
        <w:trPr>
          <w:cantSplit/>
        </w:trPr>
        <w:tc>
          <w:tcPr>
            <w:tcW w:type="dxa" w:w="3118"/>
            <w:vAlign w:val="top"/>
            <w:shd w:val="clear" w:color="auto" w:fill="FDF0F7"/>
          </w:tcPr>
          <w:p>
            <w:pPr>
              <w:spacing w:after="20" w:line="252" w:lineRule="auto"/>
            </w:pPr>
            <w:r>
              <w:rPr>
                <w:b w:val="0"/>
                <w:i w:val="0"/>
                <w:sz w:val="16"/>
              </w:rPr>
              <w:t>AML screening and review</w:t>
            </w:r>
          </w:p>
        </w:tc>
        <w:tc>
          <w:tcPr>
            <w:tcW w:type="dxa" w:w="1984"/>
            <w:vAlign w:val="top"/>
            <w:shd w:val="clear" w:color="auto" w:fill="FDF0F7"/>
          </w:tcPr>
          <w:p>
            <w:pPr>
              <w:spacing w:after="20" w:line="252" w:lineRule="auto"/>
            </w:pPr>
            <w:r>
              <w:rPr>
                <w:b w:val="0"/>
                <w:i w:val="0"/>
                <w:sz w:val="16"/>
              </w:rPr>
              <w:t>Compliance</w:t>
            </w:r>
          </w:p>
        </w:tc>
        <w:tc>
          <w:tcPr>
            <w:tcW w:type="dxa" w:w="4535"/>
            <w:vAlign w:val="top"/>
            <w:shd w:val="clear" w:color="auto" w:fill="FDF0F7"/>
          </w:tcPr>
          <w:p>
            <w:pPr>
              <w:spacing w:after="20" w:line="252" w:lineRule="auto"/>
            </w:pPr>
            <w:r>
              <w:rPr>
                <w:b w:val="0"/>
                <w:i w:val="0"/>
                <w:sz w:val="16"/>
              </w:rPr>
              <w:t>Screenings, possible matches, outcomes</w:t>
            </w:r>
          </w:p>
        </w:tc>
      </w:tr>
      <w:tr>
        <w:trPr>
          <w:cantSplit/>
        </w:trPr>
        <w:tc>
          <w:tcPr>
            <w:tcW w:type="dxa" w:w="3118"/>
            <w:vAlign w:val="top"/>
          </w:tcPr>
          <w:p>
            <w:pPr>
              <w:spacing w:after="20" w:line="252" w:lineRule="auto"/>
            </w:pPr>
            <w:r>
              <w:rPr>
                <w:b w:val="0"/>
                <w:i w:val="0"/>
                <w:sz w:val="16"/>
              </w:rPr>
              <w:t>Agent register and document expiry</w:t>
            </w:r>
          </w:p>
        </w:tc>
        <w:tc>
          <w:tcPr>
            <w:tcW w:type="dxa" w:w="1984"/>
            <w:vAlign w:val="top"/>
          </w:tcPr>
          <w:p>
            <w:pPr>
              <w:spacing w:after="20" w:line="252" w:lineRule="auto"/>
            </w:pPr>
            <w:r>
              <w:rPr>
                <w:b w:val="0"/>
                <w:i w:val="0"/>
                <w:sz w:val="16"/>
              </w:rPr>
              <w:t>Banca/Sales</w:t>
            </w:r>
          </w:p>
        </w:tc>
        <w:tc>
          <w:tcPr>
            <w:tcW w:type="dxa" w:w="4535"/>
            <w:vAlign w:val="top"/>
          </w:tcPr>
          <w:p>
            <w:pPr>
              <w:spacing w:after="20" w:line="252" w:lineRule="auto"/>
            </w:pPr>
            <w:r>
              <w:rPr>
                <w:b w:val="0"/>
                <w:i w:val="0"/>
                <w:sz w:val="16"/>
              </w:rPr>
              <w:t>Agents, hierarchy, status, licence and document validity</w:t>
            </w:r>
          </w:p>
        </w:tc>
      </w:tr>
      <w:tr>
        <w:trPr>
          <w:cantSplit/>
        </w:trPr>
        <w:tc>
          <w:tcPr>
            <w:tcW w:type="dxa" w:w="3118"/>
            <w:vAlign w:val="top"/>
            <w:shd w:val="clear" w:color="auto" w:fill="FDF0F7"/>
          </w:tcPr>
          <w:p>
            <w:pPr>
              <w:spacing w:after="20" w:line="252" w:lineRule="auto"/>
            </w:pPr>
            <w:r>
              <w:rPr>
                <w:b w:val="0"/>
                <w:i w:val="0"/>
                <w:sz w:val="16"/>
              </w:rPr>
              <w:t>Approval turnaround</w:t>
            </w:r>
          </w:p>
        </w:tc>
        <w:tc>
          <w:tcPr>
            <w:tcW w:type="dxa" w:w="1984"/>
            <w:vAlign w:val="top"/>
            <w:shd w:val="clear" w:color="auto" w:fill="FDF0F7"/>
          </w:tcPr>
          <w:p>
            <w:pPr>
              <w:spacing w:after="20" w:line="252" w:lineRule="auto"/>
            </w:pPr>
            <w:r>
              <w:rPr>
                <w:b w:val="0"/>
                <w:i w:val="0"/>
                <w:sz w:val="16"/>
              </w:rPr>
              <w:t>Management</w:t>
            </w:r>
          </w:p>
        </w:tc>
        <w:tc>
          <w:tcPr>
            <w:tcW w:type="dxa" w:w="4535"/>
            <w:vAlign w:val="top"/>
            <w:shd w:val="clear" w:color="auto" w:fill="FDF0F7"/>
          </w:tcPr>
          <w:p>
            <w:pPr>
              <w:spacing w:after="20" w:line="252" w:lineRule="auto"/>
            </w:pPr>
            <w:r>
              <w:rPr>
                <w:b w:val="0"/>
                <w:i w:val="0"/>
                <w:sz w:val="16"/>
              </w:rPr>
              <w:t>Requests by type, ageing and turnaround</w:t>
            </w:r>
          </w:p>
        </w:tc>
      </w:tr>
      <w:tr>
        <w:trPr>
          <w:cantSplit/>
        </w:trPr>
        <w:tc>
          <w:tcPr>
            <w:tcW w:type="dxa" w:w="3118"/>
            <w:vAlign w:val="top"/>
          </w:tcPr>
          <w:p>
            <w:pPr>
              <w:spacing w:after="20" w:line="252" w:lineRule="auto"/>
            </w:pPr>
            <w:r>
              <w:rPr>
                <w:b w:val="0"/>
                <w:i w:val="0"/>
                <w:sz w:val="16"/>
              </w:rPr>
              <w:t>Issue log and SLA</w:t>
            </w:r>
          </w:p>
        </w:tc>
        <w:tc>
          <w:tcPr>
            <w:tcW w:type="dxa" w:w="1984"/>
            <w:vAlign w:val="top"/>
          </w:tcPr>
          <w:p>
            <w:pPr>
              <w:spacing w:after="20" w:line="252" w:lineRule="auto"/>
            </w:pPr>
            <w:r>
              <w:rPr>
                <w:b w:val="0"/>
                <w:i w:val="0"/>
                <w:sz w:val="16"/>
              </w:rPr>
              <w:t>IT, Management</w:t>
            </w:r>
          </w:p>
        </w:tc>
        <w:tc>
          <w:tcPr>
            <w:tcW w:type="dxa" w:w="4535"/>
            <w:vAlign w:val="top"/>
          </w:tcPr>
          <w:p>
            <w:pPr>
              <w:spacing w:after="20" w:line="252" w:lineRule="auto"/>
            </w:pPr>
            <w:r>
              <w:rPr>
                <w:b w:val="0"/>
                <w:i w:val="0"/>
                <w:sz w:val="16"/>
              </w:rPr>
              <w:t>Issues by priority, status and SLA result</w:t>
            </w:r>
          </w:p>
        </w:tc>
      </w:tr>
      <w:tr>
        <w:trPr>
          <w:cantSplit/>
        </w:trPr>
        <w:tc>
          <w:tcPr>
            <w:tcW w:type="dxa" w:w="3118"/>
            <w:vAlign w:val="top"/>
            <w:shd w:val="clear" w:color="auto" w:fill="FDF0F7"/>
          </w:tcPr>
          <w:p>
            <w:pPr>
              <w:spacing w:after="20" w:line="252" w:lineRule="auto"/>
            </w:pPr>
            <w:r>
              <w:rPr>
                <w:b w:val="0"/>
                <w:i w:val="0"/>
                <w:sz w:val="16"/>
              </w:rPr>
              <w:t>User access review</w:t>
            </w:r>
          </w:p>
        </w:tc>
        <w:tc>
          <w:tcPr>
            <w:tcW w:type="dxa" w:w="1984"/>
            <w:vAlign w:val="top"/>
            <w:shd w:val="clear" w:color="auto" w:fill="FDF0F7"/>
          </w:tcPr>
          <w:p>
            <w:pPr>
              <w:spacing w:after="20" w:line="252" w:lineRule="auto"/>
            </w:pPr>
            <w:r>
              <w:rPr>
                <w:b w:val="0"/>
                <w:i w:val="0"/>
                <w:sz w:val="16"/>
              </w:rPr>
              <w:t>IT security, Audit</w:t>
            </w:r>
          </w:p>
        </w:tc>
        <w:tc>
          <w:tcPr>
            <w:tcW w:type="dxa" w:w="4535"/>
            <w:vAlign w:val="top"/>
            <w:shd w:val="clear" w:color="auto" w:fill="FDF0F7"/>
          </w:tcPr>
          <w:p>
            <w:pPr>
              <w:spacing w:after="20" w:line="252" w:lineRule="auto"/>
            </w:pPr>
            <w:r>
              <w:rPr>
                <w:b w:val="0"/>
                <w:i w:val="0"/>
                <w:sz w:val="16"/>
              </w:rPr>
              <w:t>Users, roles, last login, dormant accounts</w:t>
            </w:r>
          </w:p>
        </w:tc>
      </w:tr>
      <w:tr>
        <w:trPr>
          <w:cantSplit/>
        </w:trPr>
        <w:tc>
          <w:tcPr>
            <w:tcW w:type="dxa" w:w="3118"/>
            <w:vAlign w:val="top"/>
          </w:tcPr>
          <w:p>
            <w:pPr>
              <w:spacing w:after="20" w:line="252" w:lineRule="auto"/>
            </w:pPr>
            <w:r>
              <w:rPr>
                <w:b w:val="0"/>
                <w:i w:val="0"/>
                <w:sz w:val="16"/>
              </w:rPr>
              <w:t>Commission / referral fee statement</w:t>
            </w:r>
          </w:p>
        </w:tc>
        <w:tc>
          <w:tcPr>
            <w:tcW w:type="dxa" w:w="1984"/>
            <w:vAlign w:val="top"/>
          </w:tcPr>
          <w:p>
            <w:pPr>
              <w:spacing w:after="20" w:line="252" w:lineRule="auto"/>
            </w:pPr>
            <w:r>
              <w:rPr>
                <w:b w:val="0"/>
                <w:i w:val="0"/>
                <w:sz w:val="16"/>
              </w:rPr>
              <w:t>Agents, Finance</w:t>
            </w:r>
          </w:p>
        </w:tc>
        <w:tc>
          <w:tcPr>
            <w:tcW w:type="dxa" w:w="4535"/>
            <w:vAlign w:val="top"/>
          </w:tcPr>
          <w:p>
            <w:pPr>
              <w:spacing w:after="20" w:line="252" w:lineRule="auto"/>
            </w:pPr>
            <w:r>
              <w:rPr>
                <w:b w:val="0"/>
                <w:i w:val="0"/>
                <w:sz w:val="16"/>
              </w:rPr>
              <w:t>Statement retrieved from FIN (INT-05)</w:t>
            </w:r>
          </w:p>
        </w:tc>
      </w:tr>
    </w:tbl>
    <w:p>
      <w:pPr>
        <w:pStyle w:val="Caption"/>
        <w:jc w:val="center"/>
      </w:pPr>
      <w:r>
        <w:rPr>
          <w:b w:val="0"/>
          <w:i w:val="0"/>
        </w:rPr>
        <w:t>Table 14: Report catalogue for go-live</w:t>
      </w:r>
    </w:p>
    <w:p>
      <w:pPr>
        <w:pStyle w:val="Heading1"/>
        <w:pageBreakBefore/>
        <w:pBdr>
          <w:bottom w:val="single" w:sz="12" w:space="4" w:color="F58220"/>
        </w:pBdr>
      </w:pPr>
      <w:r>
        <w:t>10. Products, Rating and Process Flows</w:t>
      </w:r>
    </w:p>
    <w:p>
      <w:pPr>
        <w:keepNext w:val="0"/>
      </w:pPr>
      <w:r>
        <w:rPr>
          <w:b w:val="0"/>
          <w:i w:val="0"/>
        </w:rPr>
        <w:t>All seven products in RFP section 1.1 and Appendix 3 are configured in the working application. Each product definition holds plans, sums covered, eligibility, required documents, questionnaires, renewal availability, payment mode (pay first, or issue then pay within the grace period) and its rating engine.</w:t>
      </w:r>
    </w:p>
    <w:p>
      <w:pPr>
        <w:pStyle w:val="Heading2"/>
      </w:pPr>
      <w:r>
        <w:t>10.1 Product configuration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850"/>
        <w:gridCol w:w="2268"/>
        <w:gridCol w:w="907"/>
        <w:gridCol w:w="2721"/>
        <w:gridCol w:w="2891"/>
      </w:tblGrid>
      <w:tr>
        <w:trPr>
          <w:cantSplit/>
          <w:tblHeader/>
        </w:trPr>
        <w:tc>
          <w:tcPr>
            <w:tcW w:type="dxa" w:w="850"/>
            <w:shd w:val="clear" w:color="auto" w:fill="E1058C"/>
            <w:vAlign w:val="center"/>
          </w:tcPr>
          <w:p>
            <w:pPr>
              <w:spacing w:after="0"/>
            </w:pPr>
            <w:r>
              <w:rPr>
                <w:b/>
                <w:i w:val="0"/>
                <w:color w:val="FFFFFF"/>
                <w:sz w:val="16"/>
              </w:rPr>
              <w:t>Code</w:t>
            </w:r>
          </w:p>
        </w:tc>
        <w:tc>
          <w:tcPr>
            <w:tcW w:type="dxa" w:w="2268"/>
            <w:shd w:val="clear" w:color="auto" w:fill="E1058C"/>
            <w:vAlign w:val="center"/>
          </w:tcPr>
          <w:p>
            <w:pPr>
              <w:spacing w:after="0"/>
            </w:pPr>
            <w:r>
              <w:rPr>
                <w:b/>
                <w:i w:val="0"/>
                <w:color w:val="FFFFFF"/>
                <w:sz w:val="16"/>
              </w:rPr>
              <w:t>Product</w:t>
            </w:r>
          </w:p>
        </w:tc>
        <w:tc>
          <w:tcPr>
            <w:tcW w:type="dxa" w:w="907"/>
            <w:shd w:val="clear" w:color="auto" w:fill="E1058C"/>
            <w:vAlign w:val="center"/>
          </w:tcPr>
          <w:p>
            <w:pPr>
              <w:spacing w:after="0"/>
            </w:pPr>
            <w:r>
              <w:rPr>
                <w:b/>
                <w:i w:val="0"/>
                <w:color w:val="FFFFFF"/>
                <w:sz w:val="16"/>
              </w:rPr>
              <w:t>Line</w:t>
            </w:r>
          </w:p>
        </w:tc>
        <w:tc>
          <w:tcPr>
            <w:tcW w:type="dxa" w:w="2721"/>
            <w:shd w:val="clear" w:color="auto" w:fill="E1058C"/>
            <w:vAlign w:val="center"/>
          </w:tcPr>
          <w:p>
            <w:pPr>
              <w:spacing w:after="0"/>
            </w:pPr>
            <w:r>
              <w:rPr>
                <w:b/>
                <w:i w:val="0"/>
                <w:color w:val="FFFFFF"/>
                <w:sz w:val="16"/>
              </w:rPr>
              <w:t>Rating inputs</w:t>
            </w:r>
          </w:p>
        </w:tc>
        <w:tc>
          <w:tcPr>
            <w:tcW w:type="dxa" w:w="2891"/>
            <w:shd w:val="clear" w:color="auto" w:fill="E1058C"/>
            <w:vAlign w:val="center"/>
          </w:tcPr>
          <w:p>
            <w:pPr>
              <w:spacing w:after="0"/>
            </w:pPr>
            <w:r>
              <w:rPr>
                <w:b/>
                <w:i w:val="0"/>
                <w:color w:val="FFFFFF"/>
                <w:sz w:val="16"/>
              </w:rPr>
              <w:t>Key rules</w:t>
            </w:r>
          </w:p>
        </w:tc>
      </w:tr>
      <w:tr>
        <w:trPr>
          <w:cantSplit/>
        </w:trPr>
        <w:tc>
          <w:tcPr>
            <w:tcW w:type="dxa" w:w="850"/>
            <w:vAlign w:val="top"/>
          </w:tcPr>
          <w:p>
            <w:pPr>
              <w:spacing w:after="20" w:line="252" w:lineRule="auto"/>
            </w:pPr>
            <w:r>
              <w:rPr>
                <w:b w:val="0"/>
                <w:i w:val="0"/>
                <w:sz w:val="16"/>
              </w:rPr>
              <w:t>FTP-HP</w:t>
            </w:r>
          </w:p>
        </w:tc>
        <w:tc>
          <w:tcPr>
            <w:tcW w:type="dxa" w:w="2268"/>
            <w:vAlign w:val="top"/>
          </w:tcPr>
          <w:p>
            <w:pPr>
              <w:spacing w:after="20" w:line="252" w:lineRule="auto"/>
            </w:pPr>
            <w:r>
              <w:rPr>
                <w:b w:val="0"/>
                <w:i w:val="0"/>
                <w:sz w:val="16"/>
              </w:rPr>
              <w:t>Financing Takaful Plan – Hire Purchaser</w:t>
            </w:r>
          </w:p>
        </w:tc>
        <w:tc>
          <w:tcPr>
            <w:tcW w:type="dxa" w:w="907"/>
            <w:vAlign w:val="top"/>
          </w:tcPr>
          <w:p>
            <w:pPr>
              <w:spacing w:after="20" w:line="252" w:lineRule="auto"/>
            </w:pPr>
            <w:r>
              <w:rPr>
                <w:b w:val="0"/>
                <w:i w:val="0"/>
                <w:sz w:val="16"/>
              </w:rPr>
              <w:t>Mortgage</w:t>
            </w:r>
          </w:p>
        </w:tc>
        <w:tc>
          <w:tcPr>
            <w:tcW w:type="dxa" w:w="2721"/>
            <w:vAlign w:val="top"/>
          </w:tcPr>
          <w:p>
            <w:pPr>
              <w:spacing w:after="20" w:line="252" w:lineRule="auto"/>
            </w:pPr>
            <w:r>
              <w:rPr>
                <w:b w:val="0"/>
                <w:i w:val="0"/>
                <w:sz w:val="16"/>
              </w:rPr>
              <w:t>Financing amount, tenure, profit rate, age next birthday</w:t>
            </w:r>
          </w:p>
        </w:tc>
        <w:tc>
          <w:tcPr>
            <w:tcW w:type="dxa" w:w="2891"/>
            <w:vAlign w:val="top"/>
          </w:tcPr>
          <w:p>
            <w:pPr>
              <w:spacing w:after="20" w:line="252" w:lineRule="auto"/>
            </w:pPr>
            <w:r>
              <w:rPr>
                <w:b w:val="0"/>
                <w:i w:val="0"/>
                <w:sz w:val="16"/>
              </w:rPr>
              <w:t>Above B$150,000 referred to IIFT Sales; QC before contract; issue-then-pay with 7-day grace</w:t>
            </w:r>
          </w:p>
        </w:tc>
      </w:tr>
      <w:tr>
        <w:trPr>
          <w:cantSplit/>
        </w:trPr>
        <w:tc>
          <w:tcPr>
            <w:tcW w:type="dxa" w:w="850"/>
            <w:vAlign w:val="top"/>
            <w:shd w:val="clear" w:color="auto" w:fill="FDF0F7"/>
          </w:tcPr>
          <w:p>
            <w:pPr>
              <w:spacing w:after="20" w:line="252" w:lineRule="auto"/>
            </w:pPr>
            <w:r>
              <w:rPr>
                <w:b w:val="0"/>
                <w:i w:val="0"/>
                <w:sz w:val="16"/>
              </w:rPr>
              <w:t>FTP-NP</w:t>
            </w:r>
          </w:p>
        </w:tc>
        <w:tc>
          <w:tcPr>
            <w:tcW w:type="dxa" w:w="2268"/>
            <w:vAlign w:val="top"/>
            <w:shd w:val="clear" w:color="auto" w:fill="FDF0F7"/>
          </w:tcPr>
          <w:p>
            <w:pPr>
              <w:spacing w:after="20" w:line="252" w:lineRule="auto"/>
            </w:pPr>
            <w:r>
              <w:rPr>
                <w:b w:val="0"/>
                <w:i w:val="0"/>
                <w:sz w:val="16"/>
              </w:rPr>
              <w:t>Financing Takaful Plan – Non-Participating</w:t>
            </w:r>
          </w:p>
        </w:tc>
        <w:tc>
          <w:tcPr>
            <w:tcW w:type="dxa" w:w="907"/>
            <w:vAlign w:val="top"/>
            <w:shd w:val="clear" w:color="auto" w:fill="FDF0F7"/>
          </w:tcPr>
          <w:p>
            <w:pPr>
              <w:spacing w:after="20" w:line="252" w:lineRule="auto"/>
            </w:pPr>
            <w:r>
              <w:rPr>
                <w:b w:val="0"/>
                <w:i w:val="0"/>
                <w:sz w:val="16"/>
              </w:rPr>
              <w:t>Mortgage</w:t>
            </w:r>
          </w:p>
        </w:tc>
        <w:tc>
          <w:tcPr>
            <w:tcW w:type="dxa" w:w="2721"/>
            <w:vAlign w:val="top"/>
            <w:shd w:val="clear" w:color="auto" w:fill="FDF0F7"/>
          </w:tcPr>
          <w:p>
            <w:pPr>
              <w:spacing w:after="20" w:line="252" w:lineRule="auto"/>
            </w:pPr>
            <w:r>
              <w:rPr>
                <w:b w:val="0"/>
                <w:i w:val="0"/>
                <w:sz w:val="16"/>
              </w:rPr>
              <w:t>As FTP-HP</w:t>
            </w:r>
          </w:p>
        </w:tc>
        <w:tc>
          <w:tcPr>
            <w:tcW w:type="dxa" w:w="2891"/>
            <w:vAlign w:val="top"/>
            <w:shd w:val="clear" w:color="auto" w:fill="FDF0F7"/>
          </w:tcPr>
          <w:p>
            <w:pPr>
              <w:spacing w:after="20" w:line="252" w:lineRule="auto"/>
            </w:pPr>
            <w:r>
              <w:rPr>
                <w:b w:val="0"/>
                <w:i w:val="0"/>
                <w:sz w:val="16"/>
              </w:rPr>
              <w:t>Same engine and referral rule</w:t>
            </w:r>
          </w:p>
        </w:tc>
      </w:tr>
      <w:tr>
        <w:trPr>
          <w:cantSplit/>
        </w:trPr>
        <w:tc>
          <w:tcPr>
            <w:tcW w:type="dxa" w:w="850"/>
            <w:vAlign w:val="top"/>
          </w:tcPr>
          <w:p>
            <w:pPr>
              <w:spacing w:after="20" w:line="252" w:lineRule="auto"/>
            </w:pPr>
            <w:r>
              <w:rPr>
                <w:b w:val="0"/>
                <w:i w:val="0"/>
                <w:sz w:val="16"/>
              </w:rPr>
              <w:t>PFT</w:t>
            </w:r>
          </w:p>
        </w:tc>
        <w:tc>
          <w:tcPr>
            <w:tcW w:type="dxa" w:w="2268"/>
            <w:vAlign w:val="top"/>
          </w:tcPr>
          <w:p>
            <w:pPr>
              <w:spacing w:after="20" w:line="252" w:lineRule="auto"/>
            </w:pPr>
            <w:r>
              <w:rPr>
                <w:b w:val="0"/>
                <w:i w:val="0"/>
                <w:sz w:val="16"/>
              </w:rPr>
              <w:t>Property Financing Takaful Plan</w:t>
            </w:r>
          </w:p>
        </w:tc>
        <w:tc>
          <w:tcPr>
            <w:tcW w:type="dxa" w:w="907"/>
            <w:vAlign w:val="top"/>
          </w:tcPr>
          <w:p>
            <w:pPr>
              <w:spacing w:after="20" w:line="252" w:lineRule="auto"/>
            </w:pPr>
            <w:r>
              <w:rPr>
                <w:b w:val="0"/>
                <w:i w:val="0"/>
                <w:sz w:val="16"/>
              </w:rPr>
              <w:t>Mortgage</w:t>
            </w:r>
          </w:p>
        </w:tc>
        <w:tc>
          <w:tcPr>
            <w:tcW w:type="dxa" w:w="2721"/>
            <w:vAlign w:val="top"/>
          </w:tcPr>
          <w:p>
            <w:pPr>
              <w:spacing w:after="20" w:line="252" w:lineRule="auto"/>
            </w:pPr>
            <w:r>
              <w:rPr>
                <w:b w:val="0"/>
                <w:i w:val="0"/>
                <w:sz w:val="16"/>
              </w:rPr>
              <w:t>As FTP-HP (decreasing term)</w:t>
            </w:r>
          </w:p>
        </w:tc>
        <w:tc>
          <w:tcPr>
            <w:tcW w:type="dxa" w:w="2891"/>
            <w:vAlign w:val="top"/>
          </w:tcPr>
          <w:p>
            <w:pPr>
              <w:spacing w:after="20" w:line="252" w:lineRule="auto"/>
            </w:pPr>
            <w:r>
              <w:rPr>
                <w:b w:val="0"/>
                <w:i w:val="0"/>
                <w:sz w:val="16"/>
              </w:rPr>
              <w:t>Same engine; property financing documents</w:t>
            </w:r>
          </w:p>
        </w:tc>
      </w:tr>
      <w:tr>
        <w:trPr>
          <w:cantSplit/>
        </w:trPr>
        <w:tc>
          <w:tcPr>
            <w:tcW w:type="dxa" w:w="850"/>
            <w:vAlign w:val="top"/>
            <w:shd w:val="clear" w:color="auto" w:fill="FDF0F7"/>
          </w:tcPr>
          <w:p>
            <w:pPr>
              <w:spacing w:after="20" w:line="252" w:lineRule="auto"/>
            </w:pPr>
            <w:r>
              <w:rPr>
                <w:b w:val="0"/>
                <w:i w:val="0"/>
                <w:sz w:val="16"/>
              </w:rPr>
              <w:t>PHA</w:t>
            </w:r>
          </w:p>
        </w:tc>
        <w:tc>
          <w:tcPr>
            <w:tcW w:type="dxa" w:w="2268"/>
            <w:vAlign w:val="top"/>
            <w:shd w:val="clear" w:color="auto" w:fill="FDF0F7"/>
          </w:tcPr>
          <w:p>
            <w:pPr>
              <w:spacing w:after="20" w:line="252" w:lineRule="auto"/>
            </w:pPr>
            <w:r>
              <w:rPr>
                <w:b w:val="0"/>
                <w:i w:val="0"/>
                <w:sz w:val="16"/>
              </w:rPr>
              <w:t>Personal Home Assistant Takaful Plan</w:t>
            </w:r>
          </w:p>
        </w:tc>
        <w:tc>
          <w:tcPr>
            <w:tcW w:type="dxa" w:w="907"/>
            <w:vAlign w:val="top"/>
            <w:shd w:val="clear" w:color="auto" w:fill="FDF0F7"/>
          </w:tcPr>
          <w:p>
            <w:pPr>
              <w:spacing w:after="20" w:line="252" w:lineRule="auto"/>
            </w:pPr>
            <w:r>
              <w:rPr>
                <w:b w:val="0"/>
                <w:i w:val="0"/>
                <w:sz w:val="16"/>
              </w:rPr>
              <w:t>Annual</w:t>
            </w:r>
          </w:p>
        </w:tc>
        <w:tc>
          <w:tcPr>
            <w:tcW w:type="dxa" w:w="2721"/>
            <w:vAlign w:val="top"/>
            <w:shd w:val="clear" w:color="auto" w:fill="FDF0F7"/>
          </w:tcPr>
          <w:p>
            <w:pPr>
              <w:spacing w:after="20" w:line="252" w:lineRule="auto"/>
            </w:pPr>
            <w:r>
              <w:rPr>
                <w:b w:val="0"/>
                <w:i w:val="0"/>
                <w:sz w:val="16"/>
              </w:rPr>
              <w:t>Cover period 1 or 2 years</w:t>
            </w:r>
          </w:p>
        </w:tc>
        <w:tc>
          <w:tcPr>
            <w:tcW w:type="dxa" w:w="2891"/>
            <w:vAlign w:val="top"/>
            <w:shd w:val="clear" w:color="auto" w:fill="FDF0F7"/>
          </w:tcPr>
          <w:p>
            <w:pPr>
              <w:spacing w:after="20" w:line="252" w:lineRule="auto"/>
            </w:pPr>
            <w:r>
              <w:rPr>
                <w:b w:val="0"/>
                <w:i w:val="0"/>
                <w:sz w:val="16"/>
              </w:rPr>
              <w:t>Employer IC, employee IC and details, passport, labour licence</w:t>
            </w:r>
          </w:p>
        </w:tc>
      </w:tr>
      <w:tr>
        <w:trPr>
          <w:cantSplit/>
        </w:trPr>
        <w:tc>
          <w:tcPr>
            <w:tcW w:type="dxa" w:w="850"/>
            <w:vAlign w:val="top"/>
          </w:tcPr>
          <w:p>
            <w:pPr>
              <w:spacing w:after="20" w:line="252" w:lineRule="auto"/>
            </w:pPr>
            <w:r>
              <w:rPr>
                <w:b w:val="0"/>
                <w:i w:val="0"/>
                <w:sz w:val="16"/>
              </w:rPr>
              <w:t>PRO</w:t>
            </w:r>
          </w:p>
        </w:tc>
        <w:tc>
          <w:tcPr>
            <w:tcW w:type="dxa" w:w="2268"/>
            <w:vAlign w:val="top"/>
          </w:tcPr>
          <w:p>
            <w:pPr>
              <w:spacing w:after="20" w:line="252" w:lineRule="auto"/>
            </w:pPr>
            <w:r>
              <w:rPr>
                <w:b w:val="0"/>
                <w:i w:val="0"/>
                <w:sz w:val="16"/>
              </w:rPr>
              <w:t>Professional Takaful Plan</w:t>
            </w:r>
          </w:p>
        </w:tc>
        <w:tc>
          <w:tcPr>
            <w:tcW w:type="dxa" w:w="907"/>
            <w:vAlign w:val="top"/>
          </w:tcPr>
          <w:p>
            <w:pPr>
              <w:spacing w:after="20" w:line="252" w:lineRule="auto"/>
            </w:pPr>
            <w:r>
              <w:rPr>
                <w:b w:val="0"/>
                <w:i w:val="0"/>
                <w:sz w:val="16"/>
              </w:rPr>
              <w:t>Annual</w:t>
            </w:r>
          </w:p>
        </w:tc>
        <w:tc>
          <w:tcPr>
            <w:tcW w:type="dxa" w:w="2721"/>
            <w:vAlign w:val="top"/>
          </w:tcPr>
          <w:p>
            <w:pPr>
              <w:spacing w:after="20" w:line="252" w:lineRule="auto"/>
            </w:pPr>
            <w:r>
              <w:rPr>
                <w:b w:val="0"/>
                <w:i w:val="0"/>
                <w:sz w:val="16"/>
              </w:rPr>
              <w:t>Plan A/B/C B$15k/30k/50k; additional cover B$90/120/140</w:t>
            </w:r>
          </w:p>
        </w:tc>
        <w:tc>
          <w:tcPr>
            <w:tcW w:type="dxa" w:w="2891"/>
            <w:vAlign w:val="top"/>
          </w:tcPr>
          <w:p>
            <w:pPr>
              <w:spacing w:after="20" w:line="252" w:lineRule="auto"/>
            </w:pPr>
            <w:r>
              <w:rPr>
                <w:b w:val="0"/>
                <w:i w:val="0"/>
                <w:sz w:val="16"/>
              </w:rPr>
              <w:t>Occupational Class I only; nominee, beneficiary or executor IC</w:t>
            </w:r>
          </w:p>
        </w:tc>
      </w:tr>
      <w:tr>
        <w:trPr>
          <w:cantSplit/>
        </w:trPr>
        <w:tc>
          <w:tcPr>
            <w:tcW w:type="dxa" w:w="850"/>
            <w:vAlign w:val="top"/>
            <w:shd w:val="clear" w:color="auto" w:fill="FDF0F7"/>
          </w:tcPr>
          <w:p>
            <w:pPr>
              <w:spacing w:after="20" w:line="252" w:lineRule="auto"/>
            </w:pPr>
            <w:r>
              <w:rPr>
                <w:b w:val="0"/>
                <w:i w:val="0"/>
                <w:sz w:val="16"/>
              </w:rPr>
              <w:t>KHR</w:t>
            </w:r>
          </w:p>
        </w:tc>
        <w:tc>
          <w:tcPr>
            <w:tcW w:type="dxa" w:w="2268"/>
            <w:vAlign w:val="top"/>
            <w:shd w:val="clear" w:color="auto" w:fill="FDF0F7"/>
          </w:tcPr>
          <w:p>
            <w:pPr>
              <w:spacing w:after="20" w:line="252" w:lineRule="auto"/>
            </w:pPr>
            <w:r>
              <w:rPr>
                <w:b w:val="0"/>
                <w:i w:val="0"/>
                <w:sz w:val="16"/>
              </w:rPr>
              <w:t>Khairat Takaful Plan</w:t>
            </w:r>
          </w:p>
        </w:tc>
        <w:tc>
          <w:tcPr>
            <w:tcW w:type="dxa" w:w="907"/>
            <w:vAlign w:val="top"/>
            <w:shd w:val="clear" w:color="auto" w:fill="FDF0F7"/>
          </w:tcPr>
          <w:p>
            <w:pPr>
              <w:spacing w:after="20" w:line="252" w:lineRule="auto"/>
            </w:pPr>
            <w:r>
              <w:rPr>
                <w:b w:val="0"/>
                <w:i w:val="0"/>
                <w:sz w:val="16"/>
              </w:rPr>
              <w:t>Annual</w:t>
            </w:r>
          </w:p>
        </w:tc>
        <w:tc>
          <w:tcPr>
            <w:tcW w:type="dxa" w:w="2721"/>
            <w:vAlign w:val="top"/>
            <w:shd w:val="clear" w:color="auto" w:fill="FDF0F7"/>
          </w:tcPr>
          <w:p>
            <w:pPr>
              <w:spacing w:after="20" w:line="252" w:lineRule="auto"/>
            </w:pPr>
            <w:r>
              <w:rPr>
                <w:b w:val="0"/>
                <w:i w:val="0"/>
                <w:sz w:val="16"/>
              </w:rPr>
              <w:t>Plan A/B/C B$5k/10k/15k; Individual or Wider (Child)</w:t>
            </w:r>
          </w:p>
        </w:tc>
        <w:tc>
          <w:tcPr>
            <w:tcW w:type="dxa" w:w="2891"/>
            <w:vAlign w:val="top"/>
            <w:shd w:val="clear" w:color="auto" w:fill="FDF0F7"/>
          </w:tcPr>
          <w:p>
            <w:pPr>
              <w:spacing w:after="20" w:line="252" w:lineRule="auto"/>
            </w:pPr>
            <w:r>
              <w:rPr>
                <w:b w:val="0"/>
                <w:i w:val="0"/>
                <w:sz w:val="16"/>
              </w:rPr>
              <w:t>Renewal switched off</w:t>
            </w:r>
          </w:p>
        </w:tc>
      </w:tr>
      <w:tr>
        <w:trPr>
          <w:cantSplit/>
        </w:trPr>
        <w:tc>
          <w:tcPr>
            <w:tcW w:type="dxa" w:w="850"/>
            <w:vAlign w:val="top"/>
          </w:tcPr>
          <w:p>
            <w:pPr>
              <w:spacing w:after="20" w:line="252" w:lineRule="auto"/>
            </w:pPr>
            <w:r>
              <w:rPr>
                <w:b w:val="0"/>
                <w:i w:val="0"/>
                <w:sz w:val="16"/>
              </w:rPr>
              <w:t>OSA</w:t>
            </w:r>
          </w:p>
        </w:tc>
        <w:tc>
          <w:tcPr>
            <w:tcW w:type="dxa" w:w="2268"/>
            <w:vAlign w:val="top"/>
          </w:tcPr>
          <w:p>
            <w:pPr>
              <w:spacing w:after="20" w:line="252" w:lineRule="auto"/>
            </w:pPr>
            <w:r>
              <w:rPr>
                <w:b w:val="0"/>
                <w:i w:val="0"/>
                <w:sz w:val="16"/>
              </w:rPr>
              <w:t>Overseas Student Assist Takaful Plan</w:t>
            </w:r>
          </w:p>
        </w:tc>
        <w:tc>
          <w:tcPr>
            <w:tcW w:type="dxa" w:w="907"/>
            <w:vAlign w:val="top"/>
          </w:tcPr>
          <w:p>
            <w:pPr>
              <w:spacing w:after="20" w:line="252" w:lineRule="auto"/>
            </w:pPr>
            <w:r>
              <w:rPr>
                <w:b w:val="0"/>
                <w:i w:val="0"/>
                <w:sz w:val="16"/>
              </w:rPr>
              <w:t>Annual</w:t>
            </w:r>
          </w:p>
        </w:tc>
        <w:tc>
          <w:tcPr>
            <w:tcW w:type="dxa" w:w="2721"/>
            <w:vAlign w:val="top"/>
          </w:tcPr>
          <w:p>
            <w:pPr>
              <w:spacing w:after="20" w:line="252" w:lineRule="auto"/>
            </w:pPr>
            <w:r>
              <w:rPr>
                <w:b w:val="0"/>
                <w:i w:val="0"/>
                <w:sz w:val="16"/>
              </w:rPr>
              <w:t>Basic B$20k or Tertiary B$50k</w:t>
            </w:r>
          </w:p>
        </w:tc>
        <w:tc>
          <w:tcPr>
            <w:tcW w:type="dxa" w:w="2891"/>
            <w:vAlign w:val="top"/>
          </w:tcPr>
          <w:p>
            <w:pPr>
              <w:spacing w:after="20" w:line="252" w:lineRule="auto"/>
            </w:pPr>
            <w:r>
              <w:rPr>
                <w:b w:val="0"/>
                <w:i w:val="0"/>
                <w:sz w:val="16"/>
              </w:rPr>
              <w:t>Brunei citizen, registered student, age 65 or under; student ID</w:t>
            </w:r>
          </w:p>
        </w:tc>
      </w:tr>
    </w:tbl>
    <w:p>
      <w:pPr>
        <w:pStyle w:val="Caption"/>
        <w:jc w:val="center"/>
      </w:pPr>
      <w:r>
        <w:rPr>
          <w:b w:val="0"/>
          <w:i w:val="0"/>
        </w:rPr>
        <w:t>Table 15: Product configuration</w:t>
      </w:r>
    </w:p>
    <w:p>
      <w:pPr>
        <w:pStyle w:val="Heading2"/>
      </w:pPr>
      <w:r>
        <w:t>10.2 Contribution calculation</w:t>
      </w:r>
    </w:p>
    <w:p>
      <w:pPr>
        <w:keepNext w:val="0"/>
      </w:pPr>
      <w:r>
        <w:rPr>
          <w:b w:val="0"/>
          <w:i w:val="0"/>
        </w:rPr>
        <w:t>The Mortgage Takaful engine (FTP-HP, FTP-NP, PFT) calculates contribution from financing amount, financing period, profit rate and age next birthday using decreasing-term rate tables. Annual products use plan-based tables with riders and cover periods.</w:t>
      </w:r>
    </w:p>
    <w:p>
      <w:pPr>
        <w:keepNext w:val="0"/>
      </w:pPr>
      <w:r>
        <w:rPr>
          <w:b w:val="0"/>
          <w:i w:val="0"/>
        </w:rPr>
        <w:t>Rate tables, loadings, minimum contributions, rounding and authority limits are master data, changed in the back-office with every change audited. Maker-checker approval and effective-dated versions of rate tables, with the version recorded on each quotation, are added during implementation; until then a second person checks each rate change against IIFT's signed rate sheet. The working application holds indicative rates; IIFT's actuarial rates and wakalah fee and tabarru' split are loaded and verified during design and SIT.</w:t>
      </w:r>
    </w:p>
    <w:p>
      <w:pPr>
        <w:pStyle w:val="Heading2"/>
      </w:pPr>
      <w:r>
        <w:t>10.3 Process flows (Appendix 3)</w:t>
      </w:r>
    </w:p>
    <w:p>
      <w:pPr>
        <w:pStyle w:val="Heading3"/>
      </w:pPr>
      <w:r>
        <w:t>FFR01: Financing Takaful Plan, Hire Purchaser (FTPHP)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077"/>
        <w:gridCol w:w="1871"/>
        <w:gridCol w:w="3628"/>
        <w:gridCol w:w="3061"/>
      </w:tblGrid>
      <w:tr>
        <w:trPr>
          <w:cantSplit/>
          <w:tblHeader/>
        </w:trPr>
        <w:tc>
          <w:tcPr>
            <w:tcW w:type="dxa" w:w="1077"/>
            <w:shd w:val="clear" w:color="auto" w:fill="E1058C"/>
            <w:vAlign w:val="center"/>
          </w:tcPr>
          <w:p>
            <w:pPr>
              <w:spacing w:after="0"/>
            </w:pPr>
            <w:r>
              <w:rPr>
                <w:b/>
                <w:i w:val="0"/>
                <w:color w:val="FFFFFF"/>
                <w:sz w:val="16"/>
              </w:rPr>
              <w:t>Step</w:t>
            </w:r>
          </w:p>
        </w:tc>
        <w:tc>
          <w:tcPr>
            <w:tcW w:type="dxa" w:w="1871"/>
            <w:shd w:val="clear" w:color="auto" w:fill="E1058C"/>
            <w:vAlign w:val="center"/>
          </w:tcPr>
          <w:p>
            <w:pPr>
              <w:spacing w:after="0"/>
            </w:pPr>
            <w:r>
              <w:rPr>
                <w:b/>
                <w:i w:val="0"/>
                <w:color w:val="FFFFFF"/>
                <w:sz w:val="16"/>
              </w:rPr>
              <w:t>RFP step</w:t>
            </w:r>
          </w:p>
        </w:tc>
        <w:tc>
          <w:tcPr>
            <w:tcW w:type="dxa" w:w="3628"/>
            <w:shd w:val="clear" w:color="auto" w:fill="E1058C"/>
            <w:vAlign w:val="center"/>
          </w:tcPr>
          <w:p>
            <w:pPr>
              <w:spacing w:after="0"/>
            </w:pPr>
            <w:r>
              <w:rPr>
                <w:b/>
                <w:i w:val="0"/>
                <w:color w:val="FFFFFF"/>
                <w:sz w:val="16"/>
              </w:rPr>
              <w:t>Portal / participant</w:t>
            </w:r>
          </w:p>
        </w:tc>
        <w:tc>
          <w:tcPr>
            <w:tcW w:type="dxa" w:w="3061"/>
            <w:shd w:val="clear" w:color="auto" w:fill="E1058C"/>
            <w:vAlign w:val="center"/>
          </w:tcPr>
          <w:p>
            <w:pPr>
              <w:spacing w:after="0"/>
            </w:pPr>
            <w:r>
              <w:rPr>
                <w:b/>
                <w:i w:val="0"/>
                <w:color w:val="FFFFFF"/>
                <w:sz w:val="16"/>
              </w:rPr>
              <w:t>Back-office / system</w:t>
            </w:r>
          </w:p>
        </w:tc>
      </w:tr>
      <w:tr>
        <w:trPr>
          <w:cantSplit/>
        </w:trPr>
        <w:tc>
          <w:tcPr>
            <w:tcW w:type="dxa" w:w="1077"/>
            <w:vAlign w:val="top"/>
          </w:tcPr>
          <w:p>
            <w:pPr>
              <w:spacing w:after="20" w:line="252" w:lineRule="auto"/>
            </w:pPr>
            <w:r>
              <w:rPr>
                <w:b w:val="0"/>
                <w:i w:val="0"/>
                <w:sz w:val="16"/>
              </w:rPr>
              <w:t>FTPHP01</w:t>
            </w:r>
          </w:p>
        </w:tc>
        <w:tc>
          <w:tcPr>
            <w:tcW w:type="dxa" w:w="1871"/>
            <w:vAlign w:val="top"/>
          </w:tcPr>
          <w:p>
            <w:pPr>
              <w:spacing w:after="20" w:line="252" w:lineRule="auto"/>
            </w:pPr>
            <w:r>
              <w:rPr>
                <w:b w:val="0"/>
                <w:i w:val="0"/>
                <w:sz w:val="16"/>
              </w:rPr>
              <w:t>Capture participant details</w:t>
            </w:r>
          </w:p>
        </w:tc>
        <w:tc>
          <w:tcPr>
            <w:tcW w:type="dxa" w:w="3628"/>
            <w:vAlign w:val="top"/>
          </w:tcPr>
          <w:p>
            <w:pPr>
              <w:spacing w:after="20" w:line="252" w:lineRule="auto"/>
            </w:pPr>
            <w:r>
              <w:rPr>
                <w:b w:val="0"/>
                <w:i w:val="0"/>
                <w:sz w:val="16"/>
              </w:rPr>
              <w:t>Full name, IC number, address, phone; duplicate check and AML screening.</w:t>
            </w:r>
          </w:p>
        </w:tc>
        <w:tc>
          <w:tcPr>
            <w:tcW w:type="dxa" w:w="3061"/>
            <w:vAlign w:val="top"/>
          </w:tcPr>
          <w:p>
            <w:pPr>
              <w:spacing w:after="20" w:line="252" w:lineRule="auto"/>
            </w:pPr>
            <w:r>
              <w:rPr>
                <w:b w:val="0"/>
                <w:i w:val="0"/>
                <w:sz w:val="16"/>
              </w:rPr>
              <w:t>Possible matches go to Compliance.</w:t>
            </w:r>
          </w:p>
        </w:tc>
      </w:tr>
      <w:tr>
        <w:trPr>
          <w:cantSplit/>
        </w:trPr>
        <w:tc>
          <w:tcPr>
            <w:tcW w:type="dxa" w:w="1077"/>
            <w:vAlign w:val="top"/>
            <w:shd w:val="clear" w:color="auto" w:fill="FDF0F7"/>
          </w:tcPr>
          <w:p>
            <w:pPr>
              <w:spacing w:after="20" w:line="252" w:lineRule="auto"/>
            </w:pPr>
            <w:r>
              <w:rPr>
                <w:b w:val="0"/>
                <w:i w:val="0"/>
                <w:sz w:val="16"/>
              </w:rPr>
              <w:t>FTPHP02</w:t>
            </w:r>
          </w:p>
        </w:tc>
        <w:tc>
          <w:tcPr>
            <w:tcW w:type="dxa" w:w="1871"/>
            <w:vAlign w:val="top"/>
            <w:shd w:val="clear" w:color="auto" w:fill="FDF0F7"/>
          </w:tcPr>
          <w:p>
            <w:pPr>
              <w:spacing w:after="20" w:line="252" w:lineRule="auto"/>
            </w:pPr>
            <w:r>
              <w:rPr>
                <w:b w:val="0"/>
                <w:i w:val="0"/>
                <w:sz w:val="16"/>
              </w:rPr>
              <w:t>Attach documents</w:t>
            </w:r>
          </w:p>
        </w:tc>
        <w:tc>
          <w:tcPr>
            <w:tcW w:type="dxa" w:w="3628"/>
            <w:vAlign w:val="top"/>
            <w:shd w:val="clear" w:color="auto" w:fill="FDF0F7"/>
          </w:tcPr>
          <w:p>
            <w:pPr>
              <w:spacing w:after="20" w:line="252" w:lineRule="auto"/>
            </w:pPr>
            <w:r>
              <w:rPr>
                <w:b w:val="0"/>
                <w:i w:val="0"/>
                <w:sz w:val="16"/>
              </w:rPr>
              <w:t>Proposal form, product disclosure sheet, IC copy, HP agreement or financier approval; HP statement for existing HP.</w:t>
            </w:r>
          </w:p>
        </w:tc>
        <w:tc>
          <w:tcPr>
            <w:tcW w:type="dxa" w:w="3061"/>
            <w:vAlign w:val="top"/>
            <w:shd w:val="clear" w:color="auto" w:fill="FDF0F7"/>
          </w:tcPr>
          <w:p>
            <w:pPr>
              <w:spacing w:after="20" w:line="252" w:lineRule="auto"/>
            </w:pPr>
            <w:r>
              <w:rPr>
                <w:b w:val="0"/>
                <w:i w:val="0"/>
                <w:sz w:val="16"/>
              </w:rPr>
              <w:t>Checklist enforces mandatory documents per case.</w:t>
            </w:r>
          </w:p>
        </w:tc>
      </w:tr>
      <w:tr>
        <w:trPr>
          <w:cantSplit/>
        </w:trPr>
        <w:tc>
          <w:tcPr>
            <w:tcW w:type="dxa" w:w="1077"/>
            <w:vAlign w:val="top"/>
          </w:tcPr>
          <w:p>
            <w:pPr>
              <w:spacing w:after="20" w:line="252" w:lineRule="auto"/>
            </w:pPr>
            <w:r>
              <w:rPr>
                <w:b w:val="0"/>
                <w:i w:val="0"/>
                <w:sz w:val="16"/>
              </w:rPr>
              <w:t>FTPHP03</w:t>
            </w:r>
          </w:p>
        </w:tc>
        <w:tc>
          <w:tcPr>
            <w:tcW w:type="dxa" w:w="1871"/>
            <w:vAlign w:val="top"/>
          </w:tcPr>
          <w:p>
            <w:pPr>
              <w:spacing w:after="20" w:line="252" w:lineRule="auto"/>
            </w:pPr>
            <w:r>
              <w:rPr>
                <w:b w:val="0"/>
                <w:i w:val="0"/>
                <w:sz w:val="16"/>
              </w:rPr>
              <w:t>Contribution</w:t>
            </w:r>
          </w:p>
        </w:tc>
        <w:tc>
          <w:tcPr>
            <w:tcW w:type="dxa" w:w="3628"/>
            <w:vAlign w:val="top"/>
          </w:tcPr>
          <w:p>
            <w:pPr>
              <w:spacing w:after="20" w:line="252" w:lineRule="auto"/>
            </w:pPr>
            <w:r>
              <w:rPr>
                <w:b w:val="0"/>
                <w:i w:val="0"/>
                <w:sz w:val="16"/>
              </w:rPr>
              <w:t>Calculated from financing amount, period, profit rate and age next birthday.</w:t>
            </w:r>
          </w:p>
        </w:tc>
        <w:tc>
          <w:tcPr>
            <w:tcW w:type="dxa" w:w="3061"/>
            <w:vAlign w:val="top"/>
          </w:tcPr>
          <w:p>
            <w:pPr>
              <w:spacing w:after="20" w:line="252" w:lineRule="auto"/>
            </w:pPr>
            <w:r>
              <w:rPr>
                <w:b w:val="0"/>
                <w:i w:val="0"/>
                <w:sz w:val="16"/>
              </w:rPr>
              <w:t>Above B$150,000: referred to IIFT Sales.</w:t>
            </w:r>
          </w:p>
        </w:tc>
      </w:tr>
      <w:tr>
        <w:trPr>
          <w:cantSplit/>
        </w:trPr>
        <w:tc>
          <w:tcPr>
            <w:tcW w:type="dxa" w:w="1077"/>
            <w:vAlign w:val="top"/>
            <w:shd w:val="clear" w:color="auto" w:fill="FDF0F7"/>
          </w:tcPr>
          <w:p>
            <w:pPr>
              <w:spacing w:after="20" w:line="252" w:lineRule="auto"/>
            </w:pPr>
            <w:r>
              <w:rPr>
                <w:b w:val="0"/>
                <w:i w:val="0"/>
                <w:sz w:val="16"/>
              </w:rPr>
              <w:t>FTPHP04</w:t>
            </w:r>
          </w:p>
        </w:tc>
        <w:tc>
          <w:tcPr>
            <w:tcW w:type="dxa" w:w="1871"/>
            <w:vAlign w:val="top"/>
            <w:shd w:val="clear" w:color="auto" w:fill="FDF0F7"/>
          </w:tcPr>
          <w:p>
            <w:pPr>
              <w:spacing w:after="20" w:line="252" w:lineRule="auto"/>
            </w:pPr>
            <w:r>
              <w:rPr>
                <w:b w:val="0"/>
                <w:i w:val="0"/>
                <w:sz w:val="16"/>
              </w:rPr>
              <w:t>Drawdown letter</w:t>
            </w:r>
          </w:p>
        </w:tc>
        <w:tc>
          <w:tcPr>
            <w:tcW w:type="dxa" w:w="3628"/>
            <w:vAlign w:val="top"/>
            <w:shd w:val="clear" w:color="auto" w:fill="FDF0F7"/>
          </w:tcPr>
          <w:p>
            <w:pPr>
              <w:spacing w:after="20" w:line="252" w:lineRule="auto"/>
            </w:pPr>
            <w:r>
              <w:rPr>
                <w:b w:val="0"/>
                <w:i w:val="0"/>
                <w:sz w:val="16"/>
              </w:rPr>
              <w:t>Agent uploads the drawdown letter and remaining documents and enters drawdown details.</w:t>
            </w:r>
          </w:p>
        </w:tc>
        <w:tc>
          <w:tcPr>
            <w:tcW w:type="dxa" w:w="3061"/>
            <w:vAlign w:val="top"/>
            <w:shd w:val="clear" w:color="auto" w:fill="FDF0F7"/>
          </w:tcPr>
          <w:p>
            <w:pPr>
              <w:spacing w:after="20" w:line="252" w:lineRule="auto"/>
            </w:pPr>
            <w:r>
              <w:rPr>
                <w:b w:val="0"/>
                <w:i w:val="0"/>
                <w:sz w:val="16"/>
              </w:rPr>
              <w:t>Back-office validates documents.</w:t>
            </w:r>
          </w:p>
        </w:tc>
      </w:tr>
      <w:tr>
        <w:trPr>
          <w:cantSplit/>
        </w:trPr>
        <w:tc>
          <w:tcPr>
            <w:tcW w:type="dxa" w:w="1077"/>
            <w:vAlign w:val="top"/>
          </w:tcPr>
          <w:p>
            <w:pPr>
              <w:spacing w:after="20" w:line="252" w:lineRule="auto"/>
            </w:pPr>
            <w:r>
              <w:rPr>
                <w:b w:val="0"/>
                <w:i w:val="0"/>
                <w:sz w:val="16"/>
              </w:rPr>
              <w:t>FTPHP05</w:t>
            </w:r>
          </w:p>
        </w:tc>
        <w:tc>
          <w:tcPr>
            <w:tcW w:type="dxa" w:w="1871"/>
            <w:vAlign w:val="top"/>
          </w:tcPr>
          <w:p>
            <w:pPr>
              <w:spacing w:after="20" w:line="252" w:lineRule="auto"/>
            </w:pPr>
            <w:r>
              <w:rPr>
                <w:b w:val="0"/>
                <w:i w:val="0"/>
                <w:sz w:val="16"/>
              </w:rPr>
              <w:t>Issue receipt</w:t>
            </w:r>
          </w:p>
        </w:tc>
        <w:tc>
          <w:tcPr>
            <w:tcW w:type="dxa" w:w="3628"/>
            <w:vAlign w:val="top"/>
          </w:tcPr>
          <w:p>
            <w:pPr>
              <w:spacing w:after="20" w:line="252" w:lineRule="auto"/>
            </w:pPr>
            <w:r>
              <w:rPr>
                <w:b w:val="0"/>
                <w:i w:val="0"/>
                <w:sz w:val="16"/>
              </w:rPr>
              <w:t>e-Receipt issued for the contribution collected.</w:t>
            </w:r>
          </w:p>
        </w:tc>
        <w:tc>
          <w:tcPr>
            <w:tcW w:type="dxa" w:w="3061"/>
            <w:vAlign w:val="top"/>
          </w:tcPr>
          <w:p>
            <w:pPr>
              <w:spacing w:after="20" w:line="252" w:lineRule="auto"/>
            </w:pPr>
            <w:r>
              <w:rPr>
                <w:b w:val="0"/>
                <w:i w:val="0"/>
                <w:sz w:val="16"/>
              </w:rPr>
              <w:t>Receipt number assigned; FIN entry queued.</w:t>
            </w:r>
          </w:p>
        </w:tc>
      </w:tr>
      <w:tr>
        <w:trPr>
          <w:cantSplit/>
        </w:trPr>
        <w:tc>
          <w:tcPr>
            <w:tcW w:type="dxa" w:w="1077"/>
            <w:vAlign w:val="top"/>
            <w:shd w:val="clear" w:color="auto" w:fill="FDF0F7"/>
          </w:tcPr>
          <w:p>
            <w:pPr>
              <w:spacing w:after="20" w:line="252" w:lineRule="auto"/>
            </w:pPr>
            <w:r>
              <w:rPr>
                <w:b w:val="0"/>
                <w:i w:val="0"/>
                <w:sz w:val="16"/>
              </w:rPr>
              <w:t>FTPHP06</w:t>
            </w:r>
          </w:p>
        </w:tc>
        <w:tc>
          <w:tcPr>
            <w:tcW w:type="dxa" w:w="1871"/>
            <w:vAlign w:val="top"/>
            <w:shd w:val="clear" w:color="auto" w:fill="FDF0F7"/>
          </w:tcPr>
          <w:p>
            <w:pPr>
              <w:spacing w:after="20" w:line="252" w:lineRule="auto"/>
            </w:pPr>
            <w:r>
              <w:rPr>
                <w:b w:val="0"/>
                <w:i w:val="0"/>
                <w:sz w:val="16"/>
              </w:rPr>
              <w:t>Quality check</w:t>
            </w:r>
          </w:p>
        </w:tc>
        <w:tc>
          <w:tcPr>
            <w:tcW w:type="dxa" w:w="3628"/>
            <w:vAlign w:val="top"/>
            <w:shd w:val="clear" w:color="auto" w:fill="FDF0F7"/>
          </w:tcPr>
          <w:p>
            <w:pPr>
              <w:spacing w:after="20" w:line="252" w:lineRule="auto"/>
            </w:pPr>
            <w:r>
              <w:rPr>
                <w:b w:val="0"/>
                <w:i w:val="0"/>
                <w:sz w:val="16"/>
              </w:rPr>
              <w:t>Status shows Pending Approval (QC).</w:t>
            </w:r>
          </w:p>
        </w:tc>
        <w:tc>
          <w:tcPr>
            <w:tcW w:type="dxa" w:w="3061"/>
            <w:vAlign w:val="top"/>
            <w:shd w:val="clear" w:color="auto" w:fill="FDF0F7"/>
          </w:tcPr>
          <w:p>
            <w:pPr>
              <w:spacing w:after="20" w:line="252" w:lineRule="auto"/>
            </w:pPr>
            <w:r>
              <w:rPr>
                <w:b w:val="0"/>
                <w:i w:val="0"/>
                <w:sz w:val="16"/>
              </w:rPr>
              <w:t>Underwriting approves or rejects with remarks.</w:t>
            </w:r>
          </w:p>
        </w:tc>
      </w:tr>
      <w:tr>
        <w:trPr>
          <w:cantSplit/>
        </w:trPr>
        <w:tc>
          <w:tcPr>
            <w:tcW w:type="dxa" w:w="1077"/>
            <w:vAlign w:val="top"/>
          </w:tcPr>
          <w:p>
            <w:pPr>
              <w:spacing w:after="20" w:line="252" w:lineRule="auto"/>
            </w:pPr>
            <w:r>
              <w:rPr>
                <w:b w:val="0"/>
                <w:i w:val="0"/>
                <w:sz w:val="16"/>
              </w:rPr>
              <w:t>FTPHP07</w:t>
            </w:r>
          </w:p>
        </w:tc>
        <w:tc>
          <w:tcPr>
            <w:tcW w:type="dxa" w:w="1871"/>
            <w:vAlign w:val="top"/>
          </w:tcPr>
          <w:p>
            <w:pPr>
              <w:spacing w:after="20" w:line="252" w:lineRule="auto"/>
            </w:pPr>
            <w:r>
              <w:rPr>
                <w:b w:val="0"/>
                <w:i w:val="0"/>
                <w:sz w:val="16"/>
              </w:rPr>
              <w:t>e-Policy and e-Receipt</w:t>
            </w:r>
          </w:p>
        </w:tc>
        <w:tc>
          <w:tcPr>
            <w:tcW w:type="dxa" w:w="3628"/>
            <w:vAlign w:val="top"/>
          </w:tcPr>
          <w:p>
            <w:pPr>
              <w:spacing w:after="20" w:line="252" w:lineRule="auto"/>
            </w:pPr>
            <w:r>
              <w:rPr>
                <w:b w:val="0"/>
                <w:i w:val="0"/>
                <w:sz w:val="16"/>
              </w:rPr>
              <w:t>PDFs available to download and e-mailed to the participant.</w:t>
            </w:r>
          </w:p>
        </w:tc>
        <w:tc>
          <w:tcPr>
            <w:tcW w:type="dxa" w:w="3061"/>
            <w:vAlign w:val="top"/>
          </w:tcPr>
          <w:p>
            <w:pPr>
              <w:spacing w:after="20" w:line="252" w:lineRule="auto"/>
            </w:pPr>
            <w:r>
              <w:rPr>
                <w:b w:val="0"/>
                <w:i w:val="0"/>
                <w:sz w:val="16"/>
              </w:rPr>
              <w:t>Stored in the encrypted document store.</w:t>
            </w:r>
          </w:p>
        </w:tc>
      </w:tr>
      <w:tr>
        <w:trPr>
          <w:cantSplit/>
        </w:trPr>
        <w:tc>
          <w:tcPr>
            <w:tcW w:type="dxa" w:w="1077"/>
            <w:vAlign w:val="top"/>
            <w:shd w:val="clear" w:color="auto" w:fill="FDF0F7"/>
          </w:tcPr>
          <w:p>
            <w:pPr>
              <w:spacing w:after="20" w:line="252" w:lineRule="auto"/>
            </w:pPr>
            <w:r>
              <w:rPr>
                <w:b w:val="0"/>
                <w:i w:val="0"/>
                <w:sz w:val="16"/>
              </w:rPr>
              <w:t>FTPHP08</w:t>
            </w:r>
          </w:p>
        </w:tc>
        <w:tc>
          <w:tcPr>
            <w:tcW w:type="dxa" w:w="1871"/>
            <w:vAlign w:val="top"/>
            <w:shd w:val="clear" w:color="auto" w:fill="FDF0F7"/>
          </w:tcPr>
          <w:p>
            <w:pPr>
              <w:spacing w:after="20" w:line="252" w:lineRule="auto"/>
            </w:pPr>
            <w:r>
              <w:rPr>
                <w:b w:val="0"/>
                <w:i w:val="0"/>
                <w:sz w:val="16"/>
              </w:rPr>
              <w:t>EOD and final issuance</w:t>
            </w:r>
          </w:p>
        </w:tc>
        <w:tc>
          <w:tcPr>
            <w:tcW w:type="dxa" w:w="3628"/>
            <w:vAlign w:val="top"/>
            <w:shd w:val="clear" w:color="auto" w:fill="FDF0F7"/>
          </w:tcPr>
          <w:p>
            <w:pPr>
              <w:spacing w:after="20" w:line="252" w:lineRule="auto"/>
            </w:pPr>
            <w:r>
              <w:rPr>
                <w:b w:val="0"/>
                <w:i w:val="0"/>
                <w:sz w:val="16"/>
              </w:rPr>
              <w:t>None</w:t>
            </w:r>
          </w:p>
        </w:tc>
        <w:tc>
          <w:tcPr>
            <w:tcW w:type="dxa" w:w="3061"/>
            <w:vAlign w:val="top"/>
            <w:shd w:val="clear" w:color="auto" w:fill="FDF0F7"/>
          </w:tcPr>
          <w:p>
            <w:pPr>
              <w:spacing w:after="20" w:line="252" w:lineRule="auto"/>
            </w:pPr>
            <w:r>
              <w:rPr>
                <w:b w:val="0"/>
                <w:i w:val="0"/>
                <w:sz w:val="16"/>
              </w:rPr>
              <w:t>EOD report, master report, FIN file, reconciliation.</w:t>
            </w:r>
          </w:p>
        </w:tc>
      </w:tr>
    </w:tbl>
    <w:p>
      <w:pPr>
        <w:spacing w:after="0" w:before="0"/>
      </w:pPr>
      <w:r>
        <w:rPr>
          <w:sz w:val="8"/>
        </w:rPr>
      </w:r>
    </w:p>
    <w:p>
      <w:pPr>
        <w:pStyle w:val="Heading3"/>
      </w:pPr>
      <w:r>
        <w:t>FFR02: Personal Home Assistant Takaful Plan (APHA)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077"/>
        <w:gridCol w:w="1871"/>
        <w:gridCol w:w="3628"/>
        <w:gridCol w:w="3061"/>
      </w:tblGrid>
      <w:tr>
        <w:trPr>
          <w:cantSplit/>
          <w:tblHeader/>
        </w:trPr>
        <w:tc>
          <w:tcPr>
            <w:tcW w:type="dxa" w:w="1077"/>
            <w:shd w:val="clear" w:color="auto" w:fill="E1058C"/>
            <w:vAlign w:val="center"/>
          </w:tcPr>
          <w:p>
            <w:pPr>
              <w:spacing w:after="0"/>
            </w:pPr>
            <w:r>
              <w:rPr>
                <w:b/>
                <w:i w:val="0"/>
                <w:color w:val="FFFFFF"/>
                <w:sz w:val="16"/>
              </w:rPr>
              <w:t>Step</w:t>
            </w:r>
          </w:p>
        </w:tc>
        <w:tc>
          <w:tcPr>
            <w:tcW w:type="dxa" w:w="1871"/>
            <w:shd w:val="clear" w:color="auto" w:fill="E1058C"/>
            <w:vAlign w:val="center"/>
          </w:tcPr>
          <w:p>
            <w:pPr>
              <w:spacing w:after="0"/>
            </w:pPr>
            <w:r>
              <w:rPr>
                <w:b/>
                <w:i w:val="0"/>
                <w:color w:val="FFFFFF"/>
                <w:sz w:val="16"/>
              </w:rPr>
              <w:t>RFP step</w:t>
            </w:r>
          </w:p>
        </w:tc>
        <w:tc>
          <w:tcPr>
            <w:tcW w:type="dxa" w:w="3628"/>
            <w:shd w:val="clear" w:color="auto" w:fill="E1058C"/>
            <w:vAlign w:val="center"/>
          </w:tcPr>
          <w:p>
            <w:pPr>
              <w:spacing w:after="0"/>
            </w:pPr>
            <w:r>
              <w:rPr>
                <w:b/>
                <w:i w:val="0"/>
                <w:color w:val="FFFFFF"/>
                <w:sz w:val="16"/>
              </w:rPr>
              <w:t>Portal / participant</w:t>
            </w:r>
          </w:p>
        </w:tc>
        <w:tc>
          <w:tcPr>
            <w:tcW w:type="dxa" w:w="3061"/>
            <w:shd w:val="clear" w:color="auto" w:fill="E1058C"/>
            <w:vAlign w:val="center"/>
          </w:tcPr>
          <w:p>
            <w:pPr>
              <w:spacing w:after="0"/>
            </w:pPr>
            <w:r>
              <w:rPr>
                <w:b/>
                <w:i w:val="0"/>
                <w:color w:val="FFFFFF"/>
                <w:sz w:val="16"/>
              </w:rPr>
              <w:t>Back-office / system</w:t>
            </w:r>
          </w:p>
        </w:tc>
      </w:tr>
      <w:tr>
        <w:trPr>
          <w:cantSplit/>
        </w:trPr>
        <w:tc>
          <w:tcPr>
            <w:tcW w:type="dxa" w:w="1077"/>
            <w:vAlign w:val="top"/>
          </w:tcPr>
          <w:p>
            <w:pPr>
              <w:spacing w:after="20" w:line="252" w:lineRule="auto"/>
            </w:pPr>
            <w:r>
              <w:rPr>
                <w:b w:val="0"/>
                <w:i w:val="0"/>
                <w:sz w:val="16"/>
              </w:rPr>
              <w:t>APHA01</w:t>
            </w:r>
          </w:p>
        </w:tc>
        <w:tc>
          <w:tcPr>
            <w:tcW w:type="dxa" w:w="1871"/>
            <w:vAlign w:val="top"/>
          </w:tcPr>
          <w:p>
            <w:pPr>
              <w:spacing w:after="20" w:line="252" w:lineRule="auto"/>
            </w:pPr>
            <w:r>
              <w:rPr>
                <w:b w:val="0"/>
                <w:i w:val="0"/>
                <w:sz w:val="16"/>
              </w:rPr>
              <w:t>Capture participant details</w:t>
            </w:r>
          </w:p>
        </w:tc>
        <w:tc>
          <w:tcPr>
            <w:tcW w:type="dxa" w:w="3628"/>
            <w:vAlign w:val="top"/>
          </w:tcPr>
          <w:p>
            <w:pPr>
              <w:spacing w:after="20" w:line="252" w:lineRule="auto"/>
            </w:pPr>
            <w:r>
              <w:rPr>
                <w:b w:val="0"/>
                <w:i w:val="0"/>
                <w:sz w:val="16"/>
              </w:rPr>
              <w:t>Full name, IC number, address, phone.</w:t>
            </w:r>
          </w:p>
        </w:tc>
        <w:tc>
          <w:tcPr>
            <w:tcW w:type="dxa" w:w="3061"/>
            <w:vAlign w:val="top"/>
          </w:tcPr>
          <w:p>
            <w:pPr>
              <w:spacing w:after="20" w:line="252" w:lineRule="auto"/>
            </w:pPr>
            <w:r>
              <w:rPr>
                <w:b w:val="0"/>
                <w:i w:val="0"/>
                <w:sz w:val="16"/>
              </w:rPr>
              <w:t>Duplicate check, AML screening.</w:t>
            </w:r>
          </w:p>
        </w:tc>
      </w:tr>
      <w:tr>
        <w:trPr>
          <w:cantSplit/>
        </w:trPr>
        <w:tc>
          <w:tcPr>
            <w:tcW w:type="dxa" w:w="1077"/>
            <w:vAlign w:val="top"/>
            <w:shd w:val="clear" w:color="auto" w:fill="FDF0F7"/>
          </w:tcPr>
          <w:p>
            <w:pPr>
              <w:spacing w:after="20" w:line="252" w:lineRule="auto"/>
            </w:pPr>
            <w:r>
              <w:rPr>
                <w:b w:val="0"/>
                <w:i w:val="0"/>
                <w:sz w:val="16"/>
              </w:rPr>
              <w:t>APHA02</w:t>
            </w:r>
          </w:p>
        </w:tc>
        <w:tc>
          <w:tcPr>
            <w:tcW w:type="dxa" w:w="1871"/>
            <w:vAlign w:val="top"/>
            <w:shd w:val="clear" w:color="auto" w:fill="FDF0F7"/>
          </w:tcPr>
          <w:p>
            <w:pPr>
              <w:spacing w:after="20" w:line="252" w:lineRule="auto"/>
            </w:pPr>
            <w:r>
              <w:rPr>
                <w:b w:val="0"/>
                <w:i w:val="0"/>
                <w:sz w:val="16"/>
              </w:rPr>
              <w:t>Select cover</w:t>
            </w:r>
          </w:p>
        </w:tc>
        <w:tc>
          <w:tcPr>
            <w:tcW w:type="dxa" w:w="3628"/>
            <w:vAlign w:val="top"/>
            <w:shd w:val="clear" w:color="auto" w:fill="FDF0F7"/>
          </w:tcPr>
          <w:p>
            <w:pPr>
              <w:spacing w:after="20" w:line="252" w:lineRule="auto"/>
            </w:pPr>
            <w:r>
              <w:rPr>
                <w:b w:val="0"/>
                <w:i w:val="0"/>
                <w:sz w:val="16"/>
              </w:rPr>
              <w:t>New or renewal; 1 or 2 years.</w:t>
            </w:r>
          </w:p>
        </w:tc>
        <w:tc>
          <w:tcPr>
            <w:tcW w:type="dxa" w:w="3061"/>
            <w:vAlign w:val="top"/>
            <w:shd w:val="clear" w:color="auto" w:fill="FDF0F7"/>
          </w:tcPr>
          <w:p>
            <w:pPr>
              <w:spacing w:after="20" w:line="252" w:lineRule="auto"/>
            </w:pPr>
            <w:r>
              <w:rPr>
                <w:b w:val="0"/>
                <w:i w:val="0"/>
                <w:sz w:val="16"/>
              </w:rPr>
              <w:t>Plan rules from configuration.</w:t>
            </w:r>
          </w:p>
        </w:tc>
      </w:tr>
      <w:tr>
        <w:trPr>
          <w:cantSplit/>
        </w:trPr>
        <w:tc>
          <w:tcPr>
            <w:tcW w:type="dxa" w:w="1077"/>
            <w:vAlign w:val="top"/>
          </w:tcPr>
          <w:p>
            <w:pPr>
              <w:spacing w:after="20" w:line="252" w:lineRule="auto"/>
            </w:pPr>
            <w:r>
              <w:rPr>
                <w:b w:val="0"/>
                <w:i w:val="0"/>
                <w:sz w:val="16"/>
              </w:rPr>
              <w:t>APHA03</w:t>
            </w:r>
          </w:p>
        </w:tc>
        <w:tc>
          <w:tcPr>
            <w:tcW w:type="dxa" w:w="1871"/>
            <w:vAlign w:val="top"/>
          </w:tcPr>
          <w:p>
            <w:pPr>
              <w:spacing w:after="20" w:line="252" w:lineRule="auto"/>
            </w:pPr>
            <w:r>
              <w:rPr>
                <w:b w:val="0"/>
                <w:i w:val="0"/>
                <w:sz w:val="16"/>
              </w:rPr>
              <w:t>Quotation and questionnaire</w:t>
            </w:r>
          </w:p>
        </w:tc>
        <w:tc>
          <w:tcPr>
            <w:tcW w:type="dxa" w:w="3628"/>
            <w:vAlign w:val="top"/>
          </w:tcPr>
          <w:p>
            <w:pPr>
              <w:spacing w:after="20" w:line="252" w:lineRule="auto"/>
            </w:pPr>
            <w:r>
              <w:rPr>
                <w:b w:val="0"/>
                <w:i w:val="0"/>
                <w:sz w:val="16"/>
              </w:rPr>
              <w:t>Summary shown; Appendix II questionnaire completed.</w:t>
            </w:r>
          </w:p>
        </w:tc>
        <w:tc>
          <w:tcPr>
            <w:tcW w:type="dxa" w:w="3061"/>
            <w:vAlign w:val="top"/>
          </w:tcPr>
          <w:p>
            <w:pPr>
              <w:spacing w:after="20" w:line="252" w:lineRule="auto"/>
            </w:pPr>
            <w:r>
              <w:rPr>
                <w:b w:val="0"/>
                <w:i w:val="0"/>
                <w:sz w:val="16"/>
              </w:rPr>
              <w:t>Questionnaire version stored.</w:t>
            </w:r>
          </w:p>
        </w:tc>
      </w:tr>
      <w:tr>
        <w:trPr>
          <w:cantSplit/>
        </w:trPr>
        <w:tc>
          <w:tcPr>
            <w:tcW w:type="dxa" w:w="1077"/>
            <w:vAlign w:val="top"/>
            <w:shd w:val="clear" w:color="auto" w:fill="FDF0F7"/>
          </w:tcPr>
          <w:p>
            <w:pPr>
              <w:spacing w:after="20" w:line="252" w:lineRule="auto"/>
            </w:pPr>
            <w:r>
              <w:rPr>
                <w:b w:val="0"/>
                <w:i w:val="0"/>
                <w:sz w:val="16"/>
              </w:rPr>
              <w:t>APHA04</w:t>
            </w:r>
          </w:p>
        </w:tc>
        <w:tc>
          <w:tcPr>
            <w:tcW w:type="dxa" w:w="1871"/>
            <w:vAlign w:val="top"/>
            <w:shd w:val="clear" w:color="auto" w:fill="FDF0F7"/>
          </w:tcPr>
          <w:p>
            <w:pPr>
              <w:spacing w:after="20" w:line="252" w:lineRule="auto"/>
            </w:pPr>
            <w:r>
              <w:rPr>
                <w:b w:val="0"/>
                <w:i w:val="0"/>
                <w:sz w:val="16"/>
              </w:rPr>
              <w:t>Requirements</w:t>
            </w:r>
          </w:p>
        </w:tc>
        <w:tc>
          <w:tcPr>
            <w:tcW w:type="dxa" w:w="3628"/>
            <w:vAlign w:val="top"/>
            <w:shd w:val="clear" w:color="auto" w:fill="FDF0F7"/>
          </w:tcPr>
          <w:p>
            <w:pPr>
              <w:spacing w:after="20" w:line="252" w:lineRule="auto"/>
            </w:pPr>
            <w:r>
              <w:rPr>
                <w:b w:val="0"/>
                <w:i w:val="0"/>
                <w:sz w:val="16"/>
              </w:rPr>
              <w:t>Employer IC, employee IC, employee details, passport, labour licence.</w:t>
            </w:r>
          </w:p>
        </w:tc>
        <w:tc>
          <w:tcPr>
            <w:tcW w:type="dxa" w:w="3061"/>
            <w:vAlign w:val="top"/>
            <w:shd w:val="clear" w:color="auto" w:fill="FDF0F7"/>
          </w:tcPr>
          <w:p>
            <w:pPr>
              <w:spacing w:after="20" w:line="252" w:lineRule="auto"/>
            </w:pPr>
            <w:r>
              <w:rPr>
                <w:b w:val="0"/>
                <w:i w:val="0"/>
                <w:sz w:val="16"/>
              </w:rPr>
              <w:t>Checklist and expiry dates.</w:t>
            </w:r>
          </w:p>
        </w:tc>
      </w:tr>
      <w:tr>
        <w:trPr>
          <w:cantSplit/>
        </w:trPr>
        <w:tc>
          <w:tcPr>
            <w:tcW w:type="dxa" w:w="1077"/>
            <w:vAlign w:val="top"/>
          </w:tcPr>
          <w:p>
            <w:pPr>
              <w:spacing w:after="20" w:line="252" w:lineRule="auto"/>
            </w:pPr>
            <w:r>
              <w:rPr>
                <w:b w:val="0"/>
                <w:i w:val="0"/>
                <w:sz w:val="16"/>
              </w:rPr>
              <w:t>APHA05</w:t>
            </w:r>
          </w:p>
        </w:tc>
        <w:tc>
          <w:tcPr>
            <w:tcW w:type="dxa" w:w="1871"/>
            <w:vAlign w:val="top"/>
          </w:tcPr>
          <w:p>
            <w:pPr>
              <w:spacing w:after="20" w:line="252" w:lineRule="auto"/>
            </w:pPr>
            <w:r>
              <w:rPr>
                <w:b w:val="0"/>
                <w:i w:val="0"/>
                <w:sz w:val="16"/>
              </w:rPr>
              <w:t>Payment</w:t>
            </w:r>
          </w:p>
        </w:tc>
        <w:tc>
          <w:tcPr>
            <w:tcW w:type="dxa" w:w="3628"/>
            <w:vAlign w:val="top"/>
          </w:tcPr>
          <w:p>
            <w:pPr>
              <w:spacing w:after="20" w:line="252" w:lineRule="auto"/>
            </w:pPr>
            <w:r>
              <w:rPr>
                <w:b w:val="0"/>
                <w:i w:val="0"/>
                <w:sz w:val="16"/>
              </w:rPr>
              <w:t>Single or bulk payment with proof.</w:t>
            </w:r>
          </w:p>
        </w:tc>
        <w:tc>
          <w:tcPr>
            <w:tcW w:type="dxa" w:w="3061"/>
            <w:vAlign w:val="top"/>
          </w:tcPr>
          <w:p>
            <w:pPr>
              <w:spacing w:after="20" w:line="252" w:lineRule="auto"/>
            </w:pPr>
            <w:r>
              <w:rPr>
                <w:b w:val="0"/>
                <w:i w:val="0"/>
                <w:sz w:val="16"/>
              </w:rPr>
              <w:t>Finance verifies.</w:t>
            </w:r>
          </w:p>
        </w:tc>
      </w:tr>
      <w:tr>
        <w:trPr>
          <w:cantSplit/>
        </w:trPr>
        <w:tc>
          <w:tcPr>
            <w:tcW w:type="dxa" w:w="1077"/>
            <w:vAlign w:val="top"/>
            <w:shd w:val="clear" w:color="auto" w:fill="FDF0F7"/>
          </w:tcPr>
          <w:p>
            <w:pPr>
              <w:spacing w:after="20" w:line="252" w:lineRule="auto"/>
            </w:pPr>
            <w:r>
              <w:rPr>
                <w:b w:val="0"/>
                <w:i w:val="0"/>
                <w:sz w:val="16"/>
              </w:rPr>
              <w:t>APHA06</w:t>
            </w:r>
          </w:p>
        </w:tc>
        <w:tc>
          <w:tcPr>
            <w:tcW w:type="dxa" w:w="1871"/>
            <w:vAlign w:val="top"/>
            <w:shd w:val="clear" w:color="auto" w:fill="FDF0F7"/>
          </w:tcPr>
          <w:p>
            <w:pPr>
              <w:spacing w:after="20" w:line="252" w:lineRule="auto"/>
            </w:pPr>
            <w:r>
              <w:rPr>
                <w:b w:val="0"/>
                <w:i w:val="0"/>
                <w:sz w:val="16"/>
              </w:rPr>
              <w:t>e-Policy and e-Receipt</w:t>
            </w:r>
          </w:p>
        </w:tc>
        <w:tc>
          <w:tcPr>
            <w:tcW w:type="dxa" w:w="3628"/>
            <w:vAlign w:val="top"/>
            <w:shd w:val="clear" w:color="auto" w:fill="FDF0F7"/>
          </w:tcPr>
          <w:p>
            <w:pPr>
              <w:spacing w:after="20" w:line="252" w:lineRule="auto"/>
            </w:pPr>
            <w:r>
              <w:rPr>
                <w:b w:val="0"/>
                <w:i w:val="0"/>
                <w:sz w:val="16"/>
              </w:rPr>
              <w:t>Issued on payment confirmation.</w:t>
            </w:r>
          </w:p>
        </w:tc>
        <w:tc>
          <w:tcPr>
            <w:tcW w:type="dxa" w:w="3061"/>
            <w:vAlign w:val="top"/>
            <w:shd w:val="clear" w:color="auto" w:fill="FDF0F7"/>
          </w:tcPr>
          <w:p>
            <w:pPr>
              <w:spacing w:after="20" w:line="252" w:lineRule="auto"/>
            </w:pPr>
            <w:r>
              <w:rPr>
                <w:b w:val="0"/>
                <w:i w:val="0"/>
                <w:sz w:val="16"/>
              </w:rPr>
              <w:t>Policy becomes ACTIVE.</w:t>
            </w:r>
          </w:p>
        </w:tc>
      </w:tr>
      <w:tr>
        <w:trPr>
          <w:cantSplit/>
        </w:trPr>
        <w:tc>
          <w:tcPr>
            <w:tcW w:type="dxa" w:w="1077"/>
            <w:vAlign w:val="top"/>
          </w:tcPr>
          <w:p>
            <w:pPr>
              <w:spacing w:after="20" w:line="252" w:lineRule="auto"/>
            </w:pPr>
            <w:r>
              <w:rPr>
                <w:b w:val="0"/>
                <w:i w:val="0"/>
                <w:sz w:val="16"/>
              </w:rPr>
              <w:t>APHA07</w:t>
            </w:r>
          </w:p>
        </w:tc>
        <w:tc>
          <w:tcPr>
            <w:tcW w:type="dxa" w:w="1871"/>
            <w:vAlign w:val="top"/>
          </w:tcPr>
          <w:p>
            <w:pPr>
              <w:spacing w:after="20" w:line="252" w:lineRule="auto"/>
            </w:pPr>
            <w:r>
              <w:rPr>
                <w:b w:val="0"/>
                <w:i w:val="0"/>
                <w:sz w:val="16"/>
              </w:rPr>
              <w:t>FIN reporting</w:t>
            </w:r>
          </w:p>
        </w:tc>
        <w:tc>
          <w:tcPr>
            <w:tcW w:type="dxa" w:w="3628"/>
            <w:vAlign w:val="top"/>
          </w:tcPr>
          <w:p>
            <w:pPr>
              <w:spacing w:after="20" w:line="252" w:lineRule="auto"/>
            </w:pPr>
            <w:r>
              <w:rPr>
                <w:b w:val="0"/>
                <w:i w:val="0"/>
                <w:sz w:val="16"/>
              </w:rPr>
              <w:t>None</w:t>
            </w:r>
          </w:p>
        </w:tc>
        <w:tc>
          <w:tcPr>
            <w:tcW w:type="dxa" w:w="3061"/>
            <w:vAlign w:val="top"/>
          </w:tcPr>
          <w:p>
            <w:pPr>
              <w:spacing w:after="20" w:line="252" w:lineRule="auto"/>
            </w:pPr>
            <w:r>
              <w:rPr>
                <w:b w:val="0"/>
                <w:i w:val="0"/>
                <w:sz w:val="16"/>
              </w:rPr>
              <w:t>Daily report, FIN file, BRR reconciliation.</w:t>
            </w:r>
          </w:p>
        </w:tc>
      </w:tr>
    </w:tbl>
    <w:p>
      <w:pPr>
        <w:spacing w:after="0" w:before="0"/>
      </w:pPr>
      <w:r>
        <w:rPr>
          <w:sz w:val="8"/>
        </w:rPr>
      </w:r>
    </w:p>
    <w:p>
      <w:pPr>
        <w:pStyle w:val="Heading3"/>
      </w:pPr>
      <w:r>
        <w:t>FFR03: Professional Takaful Plan (APPT)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077"/>
        <w:gridCol w:w="1871"/>
        <w:gridCol w:w="3628"/>
        <w:gridCol w:w="3061"/>
      </w:tblGrid>
      <w:tr>
        <w:trPr>
          <w:cantSplit/>
          <w:tblHeader/>
        </w:trPr>
        <w:tc>
          <w:tcPr>
            <w:tcW w:type="dxa" w:w="1077"/>
            <w:shd w:val="clear" w:color="auto" w:fill="E1058C"/>
            <w:vAlign w:val="center"/>
          </w:tcPr>
          <w:p>
            <w:pPr>
              <w:spacing w:after="0"/>
            </w:pPr>
            <w:r>
              <w:rPr>
                <w:b/>
                <w:i w:val="0"/>
                <w:color w:val="FFFFFF"/>
                <w:sz w:val="16"/>
              </w:rPr>
              <w:t>Step</w:t>
            </w:r>
          </w:p>
        </w:tc>
        <w:tc>
          <w:tcPr>
            <w:tcW w:type="dxa" w:w="1871"/>
            <w:shd w:val="clear" w:color="auto" w:fill="E1058C"/>
            <w:vAlign w:val="center"/>
          </w:tcPr>
          <w:p>
            <w:pPr>
              <w:spacing w:after="0"/>
            </w:pPr>
            <w:r>
              <w:rPr>
                <w:b/>
                <w:i w:val="0"/>
                <w:color w:val="FFFFFF"/>
                <w:sz w:val="16"/>
              </w:rPr>
              <w:t>RFP step</w:t>
            </w:r>
          </w:p>
        </w:tc>
        <w:tc>
          <w:tcPr>
            <w:tcW w:type="dxa" w:w="3628"/>
            <w:shd w:val="clear" w:color="auto" w:fill="E1058C"/>
            <w:vAlign w:val="center"/>
          </w:tcPr>
          <w:p>
            <w:pPr>
              <w:spacing w:after="0"/>
            </w:pPr>
            <w:r>
              <w:rPr>
                <w:b/>
                <w:i w:val="0"/>
                <w:color w:val="FFFFFF"/>
                <w:sz w:val="16"/>
              </w:rPr>
              <w:t>Portal / participant</w:t>
            </w:r>
          </w:p>
        </w:tc>
        <w:tc>
          <w:tcPr>
            <w:tcW w:type="dxa" w:w="3061"/>
            <w:shd w:val="clear" w:color="auto" w:fill="E1058C"/>
            <w:vAlign w:val="center"/>
          </w:tcPr>
          <w:p>
            <w:pPr>
              <w:spacing w:after="0"/>
            </w:pPr>
            <w:r>
              <w:rPr>
                <w:b/>
                <w:i w:val="0"/>
                <w:color w:val="FFFFFF"/>
                <w:sz w:val="16"/>
              </w:rPr>
              <w:t>Back-office / system</w:t>
            </w:r>
          </w:p>
        </w:tc>
      </w:tr>
      <w:tr>
        <w:trPr>
          <w:cantSplit/>
        </w:trPr>
        <w:tc>
          <w:tcPr>
            <w:tcW w:type="dxa" w:w="1077"/>
            <w:vAlign w:val="top"/>
          </w:tcPr>
          <w:p>
            <w:pPr>
              <w:spacing w:after="20" w:line="252" w:lineRule="auto"/>
            </w:pPr>
            <w:r>
              <w:rPr>
                <w:b w:val="0"/>
                <w:i w:val="0"/>
                <w:sz w:val="16"/>
              </w:rPr>
              <w:t>APPT01</w:t>
            </w:r>
          </w:p>
        </w:tc>
        <w:tc>
          <w:tcPr>
            <w:tcW w:type="dxa" w:w="1871"/>
            <w:vAlign w:val="top"/>
          </w:tcPr>
          <w:p>
            <w:pPr>
              <w:spacing w:after="20" w:line="252" w:lineRule="auto"/>
            </w:pPr>
            <w:r>
              <w:rPr>
                <w:b w:val="0"/>
                <w:i w:val="0"/>
                <w:sz w:val="16"/>
              </w:rPr>
              <w:t>Capture participant details</w:t>
            </w:r>
          </w:p>
        </w:tc>
        <w:tc>
          <w:tcPr>
            <w:tcW w:type="dxa" w:w="3628"/>
            <w:vAlign w:val="top"/>
          </w:tcPr>
          <w:p>
            <w:pPr>
              <w:spacing w:after="20" w:line="252" w:lineRule="auto"/>
            </w:pPr>
            <w:r>
              <w:rPr>
                <w:b w:val="0"/>
                <w:i w:val="0"/>
                <w:sz w:val="16"/>
              </w:rPr>
              <w:t>Full name, IC number, address, phone.</w:t>
            </w:r>
          </w:p>
        </w:tc>
        <w:tc>
          <w:tcPr>
            <w:tcW w:type="dxa" w:w="3061"/>
            <w:vAlign w:val="top"/>
          </w:tcPr>
          <w:p>
            <w:pPr>
              <w:spacing w:after="20" w:line="252" w:lineRule="auto"/>
            </w:pPr>
            <w:r>
              <w:rPr>
                <w:b w:val="0"/>
                <w:i w:val="0"/>
                <w:sz w:val="16"/>
              </w:rPr>
              <w:t>Duplicate check, AML screening.</w:t>
            </w:r>
          </w:p>
        </w:tc>
      </w:tr>
      <w:tr>
        <w:trPr>
          <w:cantSplit/>
        </w:trPr>
        <w:tc>
          <w:tcPr>
            <w:tcW w:type="dxa" w:w="1077"/>
            <w:vAlign w:val="top"/>
            <w:shd w:val="clear" w:color="auto" w:fill="FDF0F7"/>
          </w:tcPr>
          <w:p>
            <w:pPr>
              <w:spacing w:after="20" w:line="252" w:lineRule="auto"/>
            </w:pPr>
            <w:r>
              <w:rPr>
                <w:b w:val="0"/>
                <w:i w:val="0"/>
                <w:sz w:val="16"/>
              </w:rPr>
              <w:t>APPT02</w:t>
            </w:r>
          </w:p>
        </w:tc>
        <w:tc>
          <w:tcPr>
            <w:tcW w:type="dxa" w:w="1871"/>
            <w:vAlign w:val="top"/>
            <w:shd w:val="clear" w:color="auto" w:fill="FDF0F7"/>
          </w:tcPr>
          <w:p>
            <w:pPr>
              <w:spacing w:after="20" w:line="252" w:lineRule="auto"/>
            </w:pPr>
            <w:r>
              <w:rPr>
                <w:b w:val="0"/>
                <w:i w:val="0"/>
                <w:sz w:val="16"/>
              </w:rPr>
              <w:t>Quotation, new or renewal</w:t>
            </w:r>
          </w:p>
        </w:tc>
        <w:tc>
          <w:tcPr>
            <w:tcW w:type="dxa" w:w="3628"/>
            <w:vAlign w:val="top"/>
            <w:shd w:val="clear" w:color="auto" w:fill="FDF0F7"/>
          </w:tcPr>
          <w:p>
            <w:pPr>
              <w:spacing w:after="20" w:line="252" w:lineRule="auto"/>
            </w:pPr>
            <w:r>
              <w:rPr>
                <w:b w:val="0"/>
                <w:i w:val="0"/>
                <w:sz w:val="16"/>
              </w:rPr>
              <w:t>Plan A B$15,000, Plan B B$30,000, Plan C B$50,000.</w:t>
            </w:r>
          </w:p>
        </w:tc>
        <w:tc>
          <w:tcPr>
            <w:tcW w:type="dxa" w:w="3061"/>
            <w:vAlign w:val="top"/>
            <w:shd w:val="clear" w:color="auto" w:fill="FDF0F7"/>
          </w:tcPr>
          <w:p>
            <w:pPr>
              <w:spacing w:after="20" w:line="252" w:lineRule="auto"/>
            </w:pPr>
            <w:r>
              <w:rPr>
                <w:b w:val="0"/>
                <w:i w:val="0"/>
                <w:sz w:val="16"/>
              </w:rPr>
              <w:t>Occupational Class I only.</w:t>
            </w:r>
          </w:p>
        </w:tc>
      </w:tr>
      <w:tr>
        <w:trPr>
          <w:cantSplit/>
        </w:trPr>
        <w:tc>
          <w:tcPr>
            <w:tcW w:type="dxa" w:w="1077"/>
            <w:vAlign w:val="top"/>
          </w:tcPr>
          <w:p>
            <w:pPr>
              <w:spacing w:after="20" w:line="252" w:lineRule="auto"/>
            </w:pPr>
            <w:r>
              <w:rPr>
                <w:b w:val="0"/>
                <w:i w:val="0"/>
                <w:sz w:val="16"/>
              </w:rPr>
              <w:t>APPT03</w:t>
            </w:r>
          </w:p>
        </w:tc>
        <w:tc>
          <w:tcPr>
            <w:tcW w:type="dxa" w:w="1871"/>
            <w:vAlign w:val="top"/>
          </w:tcPr>
          <w:p>
            <w:pPr>
              <w:spacing w:after="20" w:line="252" w:lineRule="auto"/>
            </w:pPr>
            <w:r>
              <w:rPr>
                <w:b w:val="0"/>
                <w:i w:val="0"/>
                <w:sz w:val="16"/>
              </w:rPr>
              <w:t>Additional cover</w:t>
            </w:r>
          </w:p>
        </w:tc>
        <w:tc>
          <w:tcPr>
            <w:tcW w:type="dxa" w:w="3628"/>
            <w:vAlign w:val="top"/>
          </w:tcPr>
          <w:p>
            <w:pPr>
              <w:spacing w:after="20" w:line="252" w:lineRule="auto"/>
            </w:pPr>
            <w:r>
              <w:rPr>
                <w:b w:val="0"/>
                <w:i w:val="0"/>
                <w:sz w:val="16"/>
              </w:rPr>
              <w:t>Optional: Plan A B$90, Plan B B$120, Plan C B$140.</w:t>
            </w:r>
          </w:p>
        </w:tc>
        <w:tc>
          <w:tcPr>
            <w:tcW w:type="dxa" w:w="3061"/>
            <w:vAlign w:val="top"/>
          </w:tcPr>
          <w:p>
            <w:pPr>
              <w:spacing w:after="20" w:line="252" w:lineRule="auto"/>
            </w:pPr>
            <w:r>
              <w:rPr>
                <w:b w:val="0"/>
                <w:i w:val="0"/>
                <w:sz w:val="16"/>
              </w:rPr>
              <w:t>Configured as rider.</w:t>
            </w:r>
          </w:p>
        </w:tc>
      </w:tr>
      <w:tr>
        <w:trPr>
          <w:cantSplit/>
        </w:trPr>
        <w:tc>
          <w:tcPr>
            <w:tcW w:type="dxa" w:w="1077"/>
            <w:vAlign w:val="top"/>
            <w:shd w:val="clear" w:color="auto" w:fill="FDF0F7"/>
          </w:tcPr>
          <w:p>
            <w:pPr>
              <w:spacing w:after="20" w:line="252" w:lineRule="auto"/>
            </w:pPr>
            <w:r>
              <w:rPr>
                <w:b w:val="0"/>
                <w:i w:val="0"/>
                <w:sz w:val="16"/>
              </w:rPr>
              <w:t>APPT04</w:t>
            </w:r>
          </w:p>
        </w:tc>
        <w:tc>
          <w:tcPr>
            <w:tcW w:type="dxa" w:w="1871"/>
            <w:vAlign w:val="top"/>
            <w:shd w:val="clear" w:color="auto" w:fill="FDF0F7"/>
          </w:tcPr>
          <w:p>
            <w:pPr>
              <w:spacing w:after="20" w:line="252" w:lineRule="auto"/>
            </w:pPr>
            <w:r>
              <w:rPr>
                <w:b w:val="0"/>
                <w:i w:val="0"/>
                <w:sz w:val="16"/>
              </w:rPr>
              <w:t>Summary and questionnaire</w:t>
            </w:r>
          </w:p>
        </w:tc>
        <w:tc>
          <w:tcPr>
            <w:tcW w:type="dxa" w:w="3628"/>
            <w:vAlign w:val="top"/>
            <w:shd w:val="clear" w:color="auto" w:fill="FDF0F7"/>
          </w:tcPr>
          <w:p>
            <w:pPr>
              <w:spacing w:after="20" w:line="252" w:lineRule="auto"/>
            </w:pPr>
            <w:r>
              <w:rPr>
                <w:b w:val="0"/>
                <w:i w:val="0"/>
                <w:sz w:val="16"/>
              </w:rPr>
              <w:t>Summary shown; questionnaires completed.</w:t>
            </w:r>
          </w:p>
        </w:tc>
        <w:tc>
          <w:tcPr>
            <w:tcW w:type="dxa" w:w="3061"/>
            <w:vAlign w:val="top"/>
            <w:shd w:val="clear" w:color="auto" w:fill="FDF0F7"/>
          </w:tcPr>
          <w:p>
            <w:pPr>
              <w:spacing w:after="20" w:line="252" w:lineRule="auto"/>
            </w:pPr>
            <w:r>
              <w:rPr>
                <w:b w:val="0"/>
                <w:i w:val="0"/>
                <w:sz w:val="16"/>
              </w:rPr>
              <w:t>Answers can trigger referral rules.</w:t>
            </w:r>
          </w:p>
        </w:tc>
      </w:tr>
      <w:tr>
        <w:trPr>
          <w:cantSplit/>
        </w:trPr>
        <w:tc>
          <w:tcPr>
            <w:tcW w:type="dxa" w:w="1077"/>
            <w:vAlign w:val="top"/>
          </w:tcPr>
          <w:p>
            <w:pPr>
              <w:spacing w:after="20" w:line="252" w:lineRule="auto"/>
            </w:pPr>
            <w:r>
              <w:rPr>
                <w:b w:val="0"/>
                <w:i w:val="0"/>
                <w:sz w:val="16"/>
              </w:rPr>
              <w:t>APPT05</w:t>
            </w:r>
          </w:p>
        </w:tc>
        <w:tc>
          <w:tcPr>
            <w:tcW w:type="dxa" w:w="1871"/>
            <w:vAlign w:val="top"/>
          </w:tcPr>
          <w:p>
            <w:pPr>
              <w:spacing w:after="20" w:line="252" w:lineRule="auto"/>
            </w:pPr>
            <w:r>
              <w:rPr>
                <w:b w:val="0"/>
                <w:i w:val="0"/>
                <w:sz w:val="16"/>
              </w:rPr>
              <w:t>Documents</w:t>
            </w:r>
          </w:p>
        </w:tc>
        <w:tc>
          <w:tcPr>
            <w:tcW w:type="dxa" w:w="3628"/>
            <w:vAlign w:val="top"/>
          </w:tcPr>
          <w:p>
            <w:pPr>
              <w:spacing w:after="20" w:line="252" w:lineRule="auto"/>
            </w:pPr>
            <w:r>
              <w:rPr>
                <w:b w:val="0"/>
                <w:i w:val="0"/>
                <w:sz w:val="16"/>
              </w:rPr>
              <w:t>Questionnaire, IC copy, IC of nominee, beneficiary or executor.</w:t>
            </w:r>
          </w:p>
        </w:tc>
        <w:tc>
          <w:tcPr>
            <w:tcW w:type="dxa" w:w="3061"/>
            <w:vAlign w:val="top"/>
          </w:tcPr>
          <w:p>
            <w:pPr>
              <w:spacing w:after="20" w:line="252" w:lineRule="auto"/>
            </w:pPr>
            <w:r>
              <w:rPr>
                <w:b w:val="0"/>
                <w:i w:val="0"/>
                <w:sz w:val="16"/>
              </w:rPr>
              <w:t>Checklist validation.</w:t>
            </w:r>
          </w:p>
        </w:tc>
      </w:tr>
      <w:tr>
        <w:trPr>
          <w:cantSplit/>
        </w:trPr>
        <w:tc>
          <w:tcPr>
            <w:tcW w:type="dxa" w:w="1077"/>
            <w:vAlign w:val="top"/>
            <w:shd w:val="clear" w:color="auto" w:fill="FDF0F7"/>
          </w:tcPr>
          <w:p>
            <w:pPr>
              <w:spacing w:after="20" w:line="252" w:lineRule="auto"/>
            </w:pPr>
            <w:r>
              <w:rPr>
                <w:b w:val="0"/>
                <w:i w:val="0"/>
                <w:sz w:val="16"/>
              </w:rPr>
              <w:t>APPT06</w:t>
            </w:r>
          </w:p>
        </w:tc>
        <w:tc>
          <w:tcPr>
            <w:tcW w:type="dxa" w:w="1871"/>
            <w:vAlign w:val="top"/>
            <w:shd w:val="clear" w:color="auto" w:fill="FDF0F7"/>
          </w:tcPr>
          <w:p>
            <w:pPr>
              <w:spacing w:after="20" w:line="252" w:lineRule="auto"/>
            </w:pPr>
            <w:r>
              <w:rPr>
                <w:b w:val="0"/>
                <w:i w:val="0"/>
                <w:sz w:val="16"/>
              </w:rPr>
              <w:t>Payment</w:t>
            </w:r>
          </w:p>
        </w:tc>
        <w:tc>
          <w:tcPr>
            <w:tcW w:type="dxa" w:w="3628"/>
            <w:vAlign w:val="top"/>
            <w:shd w:val="clear" w:color="auto" w:fill="FDF0F7"/>
          </w:tcPr>
          <w:p>
            <w:pPr>
              <w:spacing w:after="20" w:line="252" w:lineRule="auto"/>
            </w:pPr>
            <w:r>
              <w:rPr>
                <w:b w:val="0"/>
                <w:i w:val="0"/>
                <w:sz w:val="16"/>
              </w:rPr>
              <w:t>Payment with proof.</w:t>
            </w:r>
          </w:p>
        </w:tc>
        <w:tc>
          <w:tcPr>
            <w:tcW w:type="dxa" w:w="3061"/>
            <w:vAlign w:val="top"/>
            <w:shd w:val="clear" w:color="auto" w:fill="FDF0F7"/>
          </w:tcPr>
          <w:p>
            <w:pPr>
              <w:spacing w:after="20" w:line="252" w:lineRule="auto"/>
            </w:pPr>
            <w:r>
              <w:rPr>
                <w:b w:val="0"/>
                <w:i w:val="0"/>
                <w:sz w:val="16"/>
              </w:rPr>
              <w:t>Finance verifies.</w:t>
            </w:r>
          </w:p>
        </w:tc>
      </w:tr>
      <w:tr>
        <w:trPr>
          <w:cantSplit/>
        </w:trPr>
        <w:tc>
          <w:tcPr>
            <w:tcW w:type="dxa" w:w="1077"/>
            <w:vAlign w:val="top"/>
          </w:tcPr>
          <w:p>
            <w:pPr>
              <w:spacing w:after="20" w:line="252" w:lineRule="auto"/>
            </w:pPr>
            <w:r>
              <w:rPr>
                <w:b w:val="0"/>
                <w:i w:val="0"/>
                <w:sz w:val="16"/>
              </w:rPr>
              <w:t>APPT07</w:t>
            </w:r>
          </w:p>
        </w:tc>
        <w:tc>
          <w:tcPr>
            <w:tcW w:type="dxa" w:w="1871"/>
            <w:vAlign w:val="top"/>
          </w:tcPr>
          <w:p>
            <w:pPr>
              <w:spacing w:after="20" w:line="252" w:lineRule="auto"/>
            </w:pPr>
            <w:r>
              <w:rPr>
                <w:b w:val="0"/>
                <w:i w:val="0"/>
                <w:sz w:val="16"/>
              </w:rPr>
              <w:t>Policy and receipt</w:t>
            </w:r>
          </w:p>
        </w:tc>
        <w:tc>
          <w:tcPr>
            <w:tcW w:type="dxa" w:w="3628"/>
            <w:vAlign w:val="top"/>
          </w:tcPr>
          <w:p>
            <w:pPr>
              <w:spacing w:after="20" w:line="252" w:lineRule="auto"/>
            </w:pPr>
            <w:r>
              <w:rPr>
                <w:b w:val="0"/>
                <w:i w:val="0"/>
                <w:sz w:val="16"/>
              </w:rPr>
              <w:t>e-Policy and e-Receipt on confirmation.</w:t>
            </w:r>
          </w:p>
        </w:tc>
        <w:tc>
          <w:tcPr>
            <w:tcW w:type="dxa" w:w="3061"/>
            <w:vAlign w:val="top"/>
          </w:tcPr>
          <w:p>
            <w:pPr>
              <w:spacing w:after="20" w:line="252" w:lineRule="auto"/>
            </w:pPr>
            <w:r>
              <w:rPr>
                <w:b w:val="0"/>
                <w:i w:val="0"/>
                <w:sz w:val="16"/>
              </w:rPr>
              <w:t>Policy becomes ACTIVE.</w:t>
            </w:r>
          </w:p>
        </w:tc>
      </w:tr>
      <w:tr>
        <w:trPr>
          <w:cantSplit/>
        </w:trPr>
        <w:tc>
          <w:tcPr>
            <w:tcW w:type="dxa" w:w="1077"/>
            <w:vAlign w:val="top"/>
            <w:shd w:val="clear" w:color="auto" w:fill="FDF0F7"/>
          </w:tcPr>
          <w:p>
            <w:pPr>
              <w:spacing w:after="20" w:line="252" w:lineRule="auto"/>
            </w:pPr>
            <w:r>
              <w:rPr>
                <w:b w:val="0"/>
                <w:i w:val="0"/>
                <w:sz w:val="16"/>
              </w:rPr>
              <w:t>APPT08</w:t>
            </w:r>
          </w:p>
        </w:tc>
        <w:tc>
          <w:tcPr>
            <w:tcW w:type="dxa" w:w="1871"/>
            <w:vAlign w:val="top"/>
            <w:shd w:val="clear" w:color="auto" w:fill="FDF0F7"/>
          </w:tcPr>
          <w:p>
            <w:pPr>
              <w:spacing w:after="20" w:line="252" w:lineRule="auto"/>
            </w:pPr>
            <w:r>
              <w:rPr>
                <w:b w:val="0"/>
                <w:i w:val="0"/>
                <w:sz w:val="16"/>
              </w:rPr>
              <w:t>EOD reporting</w:t>
            </w:r>
          </w:p>
        </w:tc>
        <w:tc>
          <w:tcPr>
            <w:tcW w:type="dxa" w:w="3628"/>
            <w:vAlign w:val="top"/>
            <w:shd w:val="clear" w:color="auto" w:fill="FDF0F7"/>
          </w:tcPr>
          <w:p>
            <w:pPr>
              <w:spacing w:after="20" w:line="252" w:lineRule="auto"/>
            </w:pPr>
            <w:r>
              <w:rPr>
                <w:b w:val="0"/>
                <w:i w:val="0"/>
                <w:sz w:val="16"/>
              </w:rPr>
              <w:t>None</w:t>
            </w:r>
          </w:p>
        </w:tc>
        <w:tc>
          <w:tcPr>
            <w:tcW w:type="dxa" w:w="3061"/>
            <w:vAlign w:val="top"/>
            <w:shd w:val="clear" w:color="auto" w:fill="FDF0F7"/>
          </w:tcPr>
          <w:p>
            <w:pPr>
              <w:spacing w:after="20" w:line="252" w:lineRule="auto"/>
            </w:pPr>
            <w:r>
              <w:rPr>
                <w:b w:val="0"/>
                <w:i w:val="0"/>
                <w:sz w:val="16"/>
              </w:rPr>
              <w:t>EOD report, FIN entries, BRR reconciliation.</w:t>
            </w:r>
          </w:p>
        </w:tc>
      </w:tr>
    </w:tbl>
    <w:p>
      <w:pPr>
        <w:spacing w:after="0" w:before="0"/>
      </w:pPr>
      <w:r>
        <w:rPr>
          <w:sz w:val="8"/>
        </w:rPr>
      </w:r>
    </w:p>
    <w:p>
      <w:pPr>
        <w:pStyle w:val="Heading3"/>
      </w:pPr>
      <w:r>
        <w:t>FFR04: Khairat Takaful Plan (APKT)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077"/>
        <w:gridCol w:w="1871"/>
        <w:gridCol w:w="3628"/>
        <w:gridCol w:w="3061"/>
      </w:tblGrid>
      <w:tr>
        <w:trPr>
          <w:cantSplit/>
          <w:tblHeader/>
        </w:trPr>
        <w:tc>
          <w:tcPr>
            <w:tcW w:type="dxa" w:w="1077"/>
            <w:shd w:val="clear" w:color="auto" w:fill="E1058C"/>
            <w:vAlign w:val="center"/>
          </w:tcPr>
          <w:p>
            <w:pPr>
              <w:spacing w:after="0"/>
            </w:pPr>
            <w:r>
              <w:rPr>
                <w:b/>
                <w:i w:val="0"/>
                <w:color w:val="FFFFFF"/>
                <w:sz w:val="16"/>
              </w:rPr>
              <w:t>Step</w:t>
            </w:r>
          </w:p>
        </w:tc>
        <w:tc>
          <w:tcPr>
            <w:tcW w:type="dxa" w:w="1871"/>
            <w:shd w:val="clear" w:color="auto" w:fill="E1058C"/>
            <w:vAlign w:val="center"/>
          </w:tcPr>
          <w:p>
            <w:pPr>
              <w:spacing w:after="0"/>
            </w:pPr>
            <w:r>
              <w:rPr>
                <w:b/>
                <w:i w:val="0"/>
                <w:color w:val="FFFFFF"/>
                <w:sz w:val="16"/>
              </w:rPr>
              <w:t>RFP step</w:t>
            </w:r>
          </w:p>
        </w:tc>
        <w:tc>
          <w:tcPr>
            <w:tcW w:type="dxa" w:w="3628"/>
            <w:shd w:val="clear" w:color="auto" w:fill="E1058C"/>
            <w:vAlign w:val="center"/>
          </w:tcPr>
          <w:p>
            <w:pPr>
              <w:spacing w:after="0"/>
            </w:pPr>
            <w:r>
              <w:rPr>
                <w:b/>
                <w:i w:val="0"/>
                <w:color w:val="FFFFFF"/>
                <w:sz w:val="16"/>
              </w:rPr>
              <w:t>Portal / participant</w:t>
            </w:r>
          </w:p>
        </w:tc>
        <w:tc>
          <w:tcPr>
            <w:tcW w:type="dxa" w:w="3061"/>
            <w:shd w:val="clear" w:color="auto" w:fill="E1058C"/>
            <w:vAlign w:val="center"/>
          </w:tcPr>
          <w:p>
            <w:pPr>
              <w:spacing w:after="0"/>
            </w:pPr>
            <w:r>
              <w:rPr>
                <w:b/>
                <w:i w:val="0"/>
                <w:color w:val="FFFFFF"/>
                <w:sz w:val="16"/>
              </w:rPr>
              <w:t>Back-office / system</w:t>
            </w:r>
          </w:p>
        </w:tc>
      </w:tr>
      <w:tr>
        <w:trPr>
          <w:cantSplit/>
        </w:trPr>
        <w:tc>
          <w:tcPr>
            <w:tcW w:type="dxa" w:w="1077"/>
            <w:vAlign w:val="top"/>
          </w:tcPr>
          <w:p>
            <w:pPr>
              <w:spacing w:after="20" w:line="252" w:lineRule="auto"/>
            </w:pPr>
            <w:r>
              <w:rPr>
                <w:b w:val="0"/>
                <w:i w:val="0"/>
                <w:sz w:val="16"/>
              </w:rPr>
              <w:t>APKT01</w:t>
            </w:r>
          </w:p>
        </w:tc>
        <w:tc>
          <w:tcPr>
            <w:tcW w:type="dxa" w:w="1871"/>
            <w:vAlign w:val="top"/>
          </w:tcPr>
          <w:p>
            <w:pPr>
              <w:spacing w:after="20" w:line="252" w:lineRule="auto"/>
            </w:pPr>
            <w:r>
              <w:rPr>
                <w:b w:val="0"/>
                <w:i w:val="0"/>
                <w:sz w:val="16"/>
              </w:rPr>
              <w:t>Capture participant details</w:t>
            </w:r>
          </w:p>
        </w:tc>
        <w:tc>
          <w:tcPr>
            <w:tcW w:type="dxa" w:w="3628"/>
            <w:vAlign w:val="top"/>
          </w:tcPr>
          <w:p>
            <w:pPr>
              <w:spacing w:after="20" w:line="252" w:lineRule="auto"/>
            </w:pPr>
            <w:r>
              <w:rPr>
                <w:b w:val="0"/>
                <w:i w:val="0"/>
                <w:sz w:val="16"/>
              </w:rPr>
              <w:t>Full name, IC number, address, phone.</w:t>
            </w:r>
          </w:p>
        </w:tc>
        <w:tc>
          <w:tcPr>
            <w:tcW w:type="dxa" w:w="3061"/>
            <w:vAlign w:val="top"/>
          </w:tcPr>
          <w:p>
            <w:pPr>
              <w:spacing w:after="20" w:line="252" w:lineRule="auto"/>
            </w:pPr>
            <w:r>
              <w:rPr>
                <w:b w:val="0"/>
                <w:i w:val="0"/>
                <w:sz w:val="16"/>
              </w:rPr>
              <w:t>Duplicate check, AML screening.</w:t>
            </w:r>
          </w:p>
        </w:tc>
      </w:tr>
      <w:tr>
        <w:trPr>
          <w:cantSplit/>
        </w:trPr>
        <w:tc>
          <w:tcPr>
            <w:tcW w:type="dxa" w:w="1077"/>
            <w:vAlign w:val="top"/>
            <w:shd w:val="clear" w:color="auto" w:fill="FDF0F7"/>
          </w:tcPr>
          <w:p>
            <w:pPr>
              <w:spacing w:after="20" w:line="252" w:lineRule="auto"/>
            </w:pPr>
            <w:r>
              <w:rPr>
                <w:b w:val="0"/>
                <w:i w:val="0"/>
                <w:sz w:val="16"/>
              </w:rPr>
              <w:t>APKT02</w:t>
            </w:r>
          </w:p>
        </w:tc>
        <w:tc>
          <w:tcPr>
            <w:tcW w:type="dxa" w:w="1871"/>
            <w:vAlign w:val="top"/>
            <w:shd w:val="clear" w:color="auto" w:fill="FDF0F7"/>
          </w:tcPr>
          <w:p>
            <w:pPr>
              <w:spacing w:after="20" w:line="252" w:lineRule="auto"/>
            </w:pPr>
            <w:r>
              <w:rPr>
                <w:b w:val="0"/>
                <w:i w:val="0"/>
                <w:sz w:val="16"/>
              </w:rPr>
              <w:t>Quotation</w:t>
            </w:r>
          </w:p>
        </w:tc>
        <w:tc>
          <w:tcPr>
            <w:tcW w:type="dxa" w:w="3628"/>
            <w:vAlign w:val="top"/>
            <w:shd w:val="clear" w:color="auto" w:fill="FDF0F7"/>
          </w:tcPr>
          <w:p>
            <w:pPr>
              <w:spacing w:after="20" w:line="252" w:lineRule="auto"/>
            </w:pPr>
            <w:r>
              <w:rPr>
                <w:b w:val="0"/>
                <w:i w:val="0"/>
                <w:sz w:val="16"/>
              </w:rPr>
              <w:t>Plan A B$5,000, B B$10,000, C B$15,000; Individual or Wider (Child).</w:t>
            </w:r>
          </w:p>
        </w:tc>
        <w:tc>
          <w:tcPr>
            <w:tcW w:type="dxa" w:w="3061"/>
            <w:vAlign w:val="top"/>
            <w:shd w:val="clear" w:color="auto" w:fill="FDF0F7"/>
          </w:tcPr>
          <w:p>
            <w:pPr>
              <w:spacing w:after="20" w:line="252" w:lineRule="auto"/>
            </w:pPr>
            <w:r>
              <w:rPr>
                <w:b w:val="0"/>
                <w:i w:val="0"/>
                <w:sz w:val="16"/>
              </w:rPr>
              <w:t>Renewal switched off.</w:t>
            </w:r>
          </w:p>
        </w:tc>
      </w:tr>
      <w:tr>
        <w:trPr>
          <w:cantSplit/>
        </w:trPr>
        <w:tc>
          <w:tcPr>
            <w:tcW w:type="dxa" w:w="1077"/>
            <w:vAlign w:val="top"/>
          </w:tcPr>
          <w:p>
            <w:pPr>
              <w:spacing w:after="20" w:line="252" w:lineRule="auto"/>
            </w:pPr>
            <w:r>
              <w:rPr>
                <w:b w:val="0"/>
                <w:i w:val="0"/>
                <w:sz w:val="16"/>
              </w:rPr>
              <w:t>APKT03</w:t>
            </w:r>
          </w:p>
        </w:tc>
        <w:tc>
          <w:tcPr>
            <w:tcW w:type="dxa" w:w="1871"/>
            <w:vAlign w:val="top"/>
          </w:tcPr>
          <w:p>
            <w:pPr>
              <w:spacing w:after="20" w:line="252" w:lineRule="auto"/>
            </w:pPr>
            <w:r>
              <w:rPr>
                <w:b w:val="0"/>
                <w:i w:val="0"/>
                <w:sz w:val="16"/>
              </w:rPr>
              <w:t>Summary and questionnaire</w:t>
            </w:r>
          </w:p>
        </w:tc>
        <w:tc>
          <w:tcPr>
            <w:tcW w:type="dxa" w:w="3628"/>
            <w:vAlign w:val="top"/>
          </w:tcPr>
          <w:p>
            <w:pPr>
              <w:spacing w:after="20" w:line="252" w:lineRule="auto"/>
            </w:pPr>
            <w:r>
              <w:rPr>
                <w:b w:val="0"/>
                <w:i w:val="0"/>
                <w:sz w:val="16"/>
              </w:rPr>
              <w:t>Summary shown; questionnaires completed.</w:t>
            </w:r>
          </w:p>
        </w:tc>
        <w:tc>
          <w:tcPr>
            <w:tcW w:type="dxa" w:w="3061"/>
            <w:vAlign w:val="top"/>
          </w:tcPr>
          <w:p>
            <w:pPr>
              <w:spacing w:after="20" w:line="252" w:lineRule="auto"/>
            </w:pPr>
            <w:r>
              <w:rPr>
                <w:b w:val="0"/>
                <w:i w:val="0"/>
                <w:sz w:val="16"/>
              </w:rPr>
              <w:t>Stored with quotation.</w:t>
            </w:r>
          </w:p>
        </w:tc>
      </w:tr>
      <w:tr>
        <w:trPr>
          <w:cantSplit/>
        </w:trPr>
        <w:tc>
          <w:tcPr>
            <w:tcW w:type="dxa" w:w="1077"/>
            <w:vAlign w:val="top"/>
            <w:shd w:val="clear" w:color="auto" w:fill="FDF0F7"/>
          </w:tcPr>
          <w:p>
            <w:pPr>
              <w:spacing w:after="20" w:line="252" w:lineRule="auto"/>
            </w:pPr>
            <w:r>
              <w:rPr>
                <w:b w:val="0"/>
                <w:i w:val="0"/>
                <w:sz w:val="16"/>
              </w:rPr>
              <w:t>APKT04</w:t>
            </w:r>
          </w:p>
        </w:tc>
        <w:tc>
          <w:tcPr>
            <w:tcW w:type="dxa" w:w="1871"/>
            <w:vAlign w:val="top"/>
            <w:shd w:val="clear" w:color="auto" w:fill="FDF0F7"/>
          </w:tcPr>
          <w:p>
            <w:pPr>
              <w:spacing w:after="20" w:line="252" w:lineRule="auto"/>
            </w:pPr>
            <w:r>
              <w:rPr>
                <w:b w:val="0"/>
                <w:i w:val="0"/>
                <w:sz w:val="16"/>
              </w:rPr>
              <w:t>Documents</w:t>
            </w:r>
          </w:p>
        </w:tc>
        <w:tc>
          <w:tcPr>
            <w:tcW w:type="dxa" w:w="3628"/>
            <w:vAlign w:val="top"/>
            <w:shd w:val="clear" w:color="auto" w:fill="FDF0F7"/>
          </w:tcPr>
          <w:p>
            <w:pPr>
              <w:spacing w:after="20" w:line="252" w:lineRule="auto"/>
            </w:pPr>
            <w:r>
              <w:rPr>
                <w:b w:val="0"/>
                <w:i w:val="0"/>
                <w:sz w:val="16"/>
              </w:rPr>
              <w:t>Questionnaires, IC copy, nominee's IC copy.</w:t>
            </w:r>
          </w:p>
        </w:tc>
        <w:tc>
          <w:tcPr>
            <w:tcW w:type="dxa" w:w="3061"/>
            <w:vAlign w:val="top"/>
            <w:shd w:val="clear" w:color="auto" w:fill="FDF0F7"/>
          </w:tcPr>
          <w:p>
            <w:pPr>
              <w:spacing w:after="20" w:line="252" w:lineRule="auto"/>
            </w:pPr>
            <w:r>
              <w:rPr>
                <w:b w:val="0"/>
                <w:i w:val="0"/>
                <w:sz w:val="16"/>
              </w:rPr>
              <w:t>Checklist validation.</w:t>
            </w:r>
          </w:p>
        </w:tc>
      </w:tr>
      <w:tr>
        <w:trPr>
          <w:cantSplit/>
        </w:trPr>
        <w:tc>
          <w:tcPr>
            <w:tcW w:type="dxa" w:w="1077"/>
            <w:vAlign w:val="top"/>
          </w:tcPr>
          <w:p>
            <w:pPr>
              <w:spacing w:after="20" w:line="252" w:lineRule="auto"/>
            </w:pPr>
            <w:r>
              <w:rPr>
                <w:b w:val="0"/>
                <w:i w:val="0"/>
                <w:sz w:val="16"/>
              </w:rPr>
              <w:t>APKT05</w:t>
            </w:r>
          </w:p>
        </w:tc>
        <w:tc>
          <w:tcPr>
            <w:tcW w:type="dxa" w:w="1871"/>
            <w:vAlign w:val="top"/>
          </w:tcPr>
          <w:p>
            <w:pPr>
              <w:spacing w:after="20" w:line="252" w:lineRule="auto"/>
            </w:pPr>
            <w:r>
              <w:rPr>
                <w:b w:val="0"/>
                <w:i w:val="0"/>
                <w:sz w:val="16"/>
              </w:rPr>
              <w:t>Payment</w:t>
            </w:r>
          </w:p>
        </w:tc>
        <w:tc>
          <w:tcPr>
            <w:tcW w:type="dxa" w:w="3628"/>
            <w:vAlign w:val="top"/>
          </w:tcPr>
          <w:p>
            <w:pPr>
              <w:spacing w:after="20" w:line="252" w:lineRule="auto"/>
            </w:pPr>
            <w:r>
              <w:rPr>
                <w:b w:val="0"/>
                <w:i w:val="0"/>
                <w:sz w:val="16"/>
              </w:rPr>
              <w:t>Payment with proof.</w:t>
            </w:r>
          </w:p>
        </w:tc>
        <w:tc>
          <w:tcPr>
            <w:tcW w:type="dxa" w:w="3061"/>
            <w:vAlign w:val="top"/>
          </w:tcPr>
          <w:p>
            <w:pPr>
              <w:spacing w:after="20" w:line="252" w:lineRule="auto"/>
            </w:pPr>
            <w:r>
              <w:rPr>
                <w:b w:val="0"/>
                <w:i w:val="0"/>
                <w:sz w:val="16"/>
              </w:rPr>
              <w:t>Finance verifies.</w:t>
            </w:r>
          </w:p>
        </w:tc>
      </w:tr>
      <w:tr>
        <w:trPr>
          <w:cantSplit/>
        </w:trPr>
        <w:tc>
          <w:tcPr>
            <w:tcW w:type="dxa" w:w="1077"/>
            <w:vAlign w:val="top"/>
            <w:shd w:val="clear" w:color="auto" w:fill="FDF0F7"/>
          </w:tcPr>
          <w:p>
            <w:pPr>
              <w:spacing w:after="20" w:line="252" w:lineRule="auto"/>
            </w:pPr>
            <w:r>
              <w:rPr>
                <w:b w:val="0"/>
                <w:i w:val="0"/>
                <w:sz w:val="16"/>
              </w:rPr>
              <w:t>APKT06</w:t>
            </w:r>
          </w:p>
        </w:tc>
        <w:tc>
          <w:tcPr>
            <w:tcW w:type="dxa" w:w="1871"/>
            <w:vAlign w:val="top"/>
            <w:shd w:val="clear" w:color="auto" w:fill="FDF0F7"/>
          </w:tcPr>
          <w:p>
            <w:pPr>
              <w:spacing w:after="20" w:line="252" w:lineRule="auto"/>
            </w:pPr>
            <w:r>
              <w:rPr>
                <w:b w:val="0"/>
                <w:i w:val="0"/>
                <w:sz w:val="16"/>
              </w:rPr>
              <w:t>Policy issuance</w:t>
            </w:r>
          </w:p>
        </w:tc>
        <w:tc>
          <w:tcPr>
            <w:tcW w:type="dxa" w:w="3628"/>
            <w:vAlign w:val="top"/>
            <w:shd w:val="clear" w:color="auto" w:fill="FDF0F7"/>
          </w:tcPr>
          <w:p>
            <w:pPr>
              <w:spacing w:after="20" w:line="252" w:lineRule="auto"/>
            </w:pPr>
            <w:r>
              <w:rPr>
                <w:b w:val="0"/>
                <w:i w:val="0"/>
                <w:sz w:val="16"/>
              </w:rPr>
              <w:t>e-Policy and e-Receipt on confirmation.</w:t>
            </w:r>
          </w:p>
        </w:tc>
        <w:tc>
          <w:tcPr>
            <w:tcW w:type="dxa" w:w="3061"/>
            <w:vAlign w:val="top"/>
            <w:shd w:val="clear" w:color="auto" w:fill="FDF0F7"/>
          </w:tcPr>
          <w:p>
            <w:pPr>
              <w:spacing w:after="20" w:line="252" w:lineRule="auto"/>
            </w:pPr>
            <w:r>
              <w:rPr>
                <w:b w:val="0"/>
                <w:i w:val="0"/>
                <w:sz w:val="16"/>
              </w:rPr>
              <w:t>Policy becomes ACTIVE.</w:t>
            </w:r>
          </w:p>
        </w:tc>
      </w:tr>
      <w:tr>
        <w:trPr>
          <w:cantSplit/>
        </w:trPr>
        <w:tc>
          <w:tcPr>
            <w:tcW w:type="dxa" w:w="1077"/>
            <w:vAlign w:val="top"/>
          </w:tcPr>
          <w:p>
            <w:pPr>
              <w:spacing w:after="20" w:line="252" w:lineRule="auto"/>
            </w:pPr>
            <w:r>
              <w:rPr>
                <w:b w:val="0"/>
                <w:i w:val="0"/>
                <w:sz w:val="16"/>
              </w:rPr>
              <w:t>APKT07</w:t>
            </w:r>
          </w:p>
        </w:tc>
        <w:tc>
          <w:tcPr>
            <w:tcW w:type="dxa" w:w="1871"/>
            <w:vAlign w:val="top"/>
          </w:tcPr>
          <w:p>
            <w:pPr>
              <w:spacing w:after="20" w:line="252" w:lineRule="auto"/>
            </w:pPr>
            <w:r>
              <w:rPr>
                <w:b w:val="0"/>
                <w:i w:val="0"/>
                <w:sz w:val="16"/>
              </w:rPr>
              <w:t>EOD reporting</w:t>
            </w:r>
          </w:p>
        </w:tc>
        <w:tc>
          <w:tcPr>
            <w:tcW w:type="dxa" w:w="3628"/>
            <w:vAlign w:val="top"/>
          </w:tcPr>
          <w:p>
            <w:pPr>
              <w:spacing w:after="20" w:line="252" w:lineRule="auto"/>
            </w:pPr>
            <w:r>
              <w:rPr>
                <w:b w:val="0"/>
                <w:i w:val="0"/>
                <w:sz w:val="16"/>
              </w:rPr>
              <w:t>None</w:t>
            </w:r>
          </w:p>
        </w:tc>
        <w:tc>
          <w:tcPr>
            <w:tcW w:type="dxa" w:w="3061"/>
            <w:vAlign w:val="top"/>
          </w:tcPr>
          <w:p>
            <w:pPr>
              <w:spacing w:after="20" w:line="252" w:lineRule="auto"/>
            </w:pPr>
            <w:r>
              <w:rPr>
                <w:b w:val="0"/>
                <w:i w:val="0"/>
                <w:sz w:val="16"/>
              </w:rPr>
              <w:t>EOD report to FIN; BRR reconciliation.</w:t>
            </w:r>
          </w:p>
        </w:tc>
      </w:tr>
    </w:tbl>
    <w:p>
      <w:pPr>
        <w:spacing w:after="0" w:before="0"/>
      </w:pPr>
      <w:r>
        <w:rPr>
          <w:sz w:val="8"/>
        </w:rPr>
      </w:r>
    </w:p>
    <w:p>
      <w:pPr>
        <w:pStyle w:val="Heading3"/>
      </w:pPr>
      <w:r>
        <w:t>FFR05: Overseas Student Assist Takaful Plan (APAOS)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1077"/>
        <w:gridCol w:w="1871"/>
        <w:gridCol w:w="3628"/>
        <w:gridCol w:w="3061"/>
      </w:tblGrid>
      <w:tr>
        <w:trPr>
          <w:cantSplit/>
          <w:tblHeader/>
        </w:trPr>
        <w:tc>
          <w:tcPr>
            <w:tcW w:type="dxa" w:w="1077"/>
            <w:shd w:val="clear" w:color="auto" w:fill="E1058C"/>
            <w:vAlign w:val="center"/>
          </w:tcPr>
          <w:p>
            <w:pPr>
              <w:spacing w:after="0"/>
            </w:pPr>
            <w:r>
              <w:rPr>
                <w:b/>
                <w:i w:val="0"/>
                <w:color w:val="FFFFFF"/>
                <w:sz w:val="16"/>
              </w:rPr>
              <w:t>Step</w:t>
            </w:r>
          </w:p>
        </w:tc>
        <w:tc>
          <w:tcPr>
            <w:tcW w:type="dxa" w:w="1871"/>
            <w:shd w:val="clear" w:color="auto" w:fill="E1058C"/>
            <w:vAlign w:val="center"/>
          </w:tcPr>
          <w:p>
            <w:pPr>
              <w:spacing w:after="0"/>
            </w:pPr>
            <w:r>
              <w:rPr>
                <w:b/>
                <w:i w:val="0"/>
                <w:color w:val="FFFFFF"/>
                <w:sz w:val="16"/>
              </w:rPr>
              <w:t>RFP step</w:t>
            </w:r>
          </w:p>
        </w:tc>
        <w:tc>
          <w:tcPr>
            <w:tcW w:type="dxa" w:w="3628"/>
            <w:shd w:val="clear" w:color="auto" w:fill="E1058C"/>
            <w:vAlign w:val="center"/>
          </w:tcPr>
          <w:p>
            <w:pPr>
              <w:spacing w:after="0"/>
            </w:pPr>
            <w:r>
              <w:rPr>
                <w:b/>
                <w:i w:val="0"/>
                <w:color w:val="FFFFFF"/>
                <w:sz w:val="16"/>
              </w:rPr>
              <w:t>Portal / participant</w:t>
            </w:r>
          </w:p>
        </w:tc>
        <w:tc>
          <w:tcPr>
            <w:tcW w:type="dxa" w:w="3061"/>
            <w:shd w:val="clear" w:color="auto" w:fill="E1058C"/>
            <w:vAlign w:val="center"/>
          </w:tcPr>
          <w:p>
            <w:pPr>
              <w:spacing w:after="0"/>
            </w:pPr>
            <w:r>
              <w:rPr>
                <w:b/>
                <w:i w:val="0"/>
                <w:color w:val="FFFFFF"/>
                <w:sz w:val="16"/>
              </w:rPr>
              <w:t>Back-office / system</w:t>
            </w:r>
          </w:p>
        </w:tc>
      </w:tr>
      <w:tr>
        <w:trPr>
          <w:cantSplit/>
        </w:trPr>
        <w:tc>
          <w:tcPr>
            <w:tcW w:type="dxa" w:w="1077"/>
            <w:vAlign w:val="top"/>
          </w:tcPr>
          <w:p>
            <w:pPr>
              <w:spacing w:after="20" w:line="252" w:lineRule="auto"/>
            </w:pPr>
            <w:r>
              <w:rPr>
                <w:b w:val="0"/>
                <w:i w:val="0"/>
                <w:sz w:val="16"/>
              </w:rPr>
              <w:t>APAOS01</w:t>
            </w:r>
          </w:p>
        </w:tc>
        <w:tc>
          <w:tcPr>
            <w:tcW w:type="dxa" w:w="1871"/>
            <w:vAlign w:val="top"/>
          </w:tcPr>
          <w:p>
            <w:pPr>
              <w:spacing w:after="20" w:line="252" w:lineRule="auto"/>
            </w:pPr>
            <w:r>
              <w:rPr>
                <w:b w:val="0"/>
                <w:i w:val="0"/>
                <w:sz w:val="16"/>
              </w:rPr>
              <w:t>Capture participant details</w:t>
            </w:r>
          </w:p>
        </w:tc>
        <w:tc>
          <w:tcPr>
            <w:tcW w:type="dxa" w:w="3628"/>
            <w:vAlign w:val="top"/>
          </w:tcPr>
          <w:p>
            <w:pPr>
              <w:spacing w:after="20" w:line="252" w:lineRule="auto"/>
            </w:pPr>
            <w:r>
              <w:rPr>
                <w:b w:val="0"/>
                <w:i w:val="0"/>
                <w:sz w:val="16"/>
              </w:rPr>
              <w:t>Full name, IC number, address, phone.</w:t>
            </w:r>
          </w:p>
        </w:tc>
        <w:tc>
          <w:tcPr>
            <w:tcW w:type="dxa" w:w="3061"/>
            <w:vAlign w:val="top"/>
          </w:tcPr>
          <w:p>
            <w:pPr>
              <w:spacing w:after="20" w:line="252" w:lineRule="auto"/>
            </w:pPr>
            <w:r>
              <w:rPr>
                <w:b w:val="0"/>
                <w:i w:val="0"/>
                <w:sz w:val="16"/>
              </w:rPr>
              <w:t>Duplicate check, AML screening.</w:t>
            </w:r>
          </w:p>
        </w:tc>
      </w:tr>
      <w:tr>
        <w:trPr>
          <w:cantSplit/>
        </w:trPr>
        <w:tc>
          <w:tcPr>
            <w:tcW w:type="dxa" w:w="1077"/>
            <w:vAlign w:val="top"/>
            <w:shd w:val="clear" w:color="auto" w:fill="FDF0F7"/>
          </w:tcPr>
          <w:p>
            <w:pPr>
              <w:spacing w:after="20" w:line="252" w:lineRule="auto"/>
            </w:pPr>
            <w:r>
              <w:rPr>
                <w:b w:val="0"/>
                <w:i w:val="0"/>
                <w:sz w:val="16"/>
              </w:rPr>
              <w:t>APAOS02</w:t>
            </w:r>
          </w:p>
        </w:tc>
        <w:tc>
          <w:tcPr>
            <w:tcW w:type="dxa" w:w="1871"/>
            <w:vAlign w:val="top"/>
            <w:shd w:val="clear" w:color="auto" w:fill="FDF0F7"/>
          </w:tcPr>
          <w:p>
            <w:pPr>
              <w:spacing w:after="20" w:line="252" w:lineRule="auto"/>
            </w:pPr>
            <w:r>
              <w:rPr>
                <w:b w:val="0"/>
                <w:i w:val="0"/>
                <w:sz w:val="16"/>
              </w:rPr>
              <w:t>Select cover</w:t>
            </w:r>
          </w:p>
        </w:tc>
        <w:tc>
          <w:tcPr>
            <w:tcW w:type="dxa" w:w="3628"/>
            <w:vAlign w:val="top"/>
            <w:shd w:val="clear" w:color="auto" w:fill="FDF0F7"/>
          </w:tcPr>
          <w:p>
            <w:pPr>
              <w:spacing w:after="20" w:line="252" w:lineRule="auto"/>
            </w:pPr>
            <w:r>
              <w:rPr>
                <w:b w:val="0"/>
                <w:i w:val="0"/>
                <w:sz w:val="16"/>
              </w:rPr>
              <w:t>Basic B$20,000 or Tertiary B$50,000.</w:t>
            </w:r>
          </w:p>
        </w:tc>
        <w:tc>
          <w:tcPr>
            <w:tcW w:type="dxa" w:w="3061"/>
            <w:vAlign w:val="top"/>
            <w:shd w:val="clear" w:color="auto" w:fill="FDF0F7"/>
          </w:tcPr>
          <w:p>
            <w:pPr>
              <w:spacing w:after="20" w:line="252" w:lineRule="auto"/>
            </w:pPr>
            <w:r>
              <w:rPr>
                <w:b w:val="0"/>
                <w:i w:val="0"/>
                <w:sz w:val="16"/>
              </w:rPr>
              <w:t>Plan rules from configuration.</w:t>
            </w:r>
          </w:p>
        </w:tc>
      </w:tr>
      <w:tr>
        <w:trPr>
          <w:cantSplit/>
        </w:trPr>
        <w:tc>
          <w:tcPr>
            <w:tcW w:type="dxa" w:w="1077"/>
            <w:vAlign w:val="top"/>
          </w:tcPr>
          <w:p>
            <w:pPr>
              <w:spacing w:after="20" w:line="252" w:lineRule="auto"/>
            </w:pPr>
            <w:r>
              <w:rPr>
                <w:b w:val="0"/>
                <w:i w:val="0"/>
                <w:sz w:val="16"/>
              </w:rPr>
              <w:t>APAOS03</w:t>
            </w:r>
          </w:p>
        </w:tc>
        <w:tc>
          <w:tcPr>
            <w:tcW w:type="dxa" w:w="1871"/>
            <w:vAlign w:val="top"/>
          </w:tcPr>
          <w:p>
            <w:pPr>
              <w:spacing w:after="20" w:line="252" w:lineRule="auto"/>
            </w:pPr>
            <w:r>
              <w:rPr>
                <w:b w:val="0"/>
                <w:i w:val="0"/>
                <w:sz w:val="16"/>
              </w:rPr>
              <w:t>Eligibility</w:t>
            </w:r>
          </w:p>
        </w:tc>
        <w:tc>
          <w:tcPr>
            <w:tcW w:type="dxa" w:w="3628"/>
            <w:vAlign w:val="top"/>
          </w:tcPr>
          <w:p>
            <w:pPr>
              <w:spacing w:after="20" w:line="252" w:lineRule="auto"/>
            </w:pPr>
            <w:r>
              <w:rPr>
                <w:b w:val="0"/>
                <w:i w:val="0"/>
                <w:sz w:val="16"/>
              </w:rPr>
              <w:t>Brunei citizen, registered student, age 65 or under.</w:t>
            </w:r>
          </w:p>
        </w:tc>
        <w:tc>
          <w:tcPr>
            <w:tcW w:type="dxa" w:w="3061"/>
            <w:vAlign w:val="top"/>
          </w:tcPr>
          <w:p>
            <w:pPr>
              <w:spacing w:after="20" w:line="252" w:lineRule="auto"/>
            </w:pPr>
            <w:r>
              <w:rPr>
                <w:b w:val="0"/>
                <w:i w:val="0"/>
                <w:sz w:val="16"/>
              </w:rPr>
              <w:t>Ineligible cases cannot proceed.</w:t>
            </w:r>
          </w:p>
        </w:tc>
      </w:tr>
      <w:tr>
        <w:trPr>
          <w:cantSplit/>
        </w:trPr>
        <w:tc>
          <w:tcPr>
            <w:tcW w:type="dxa" w:w="1077"/>
            <w:vAlign w:val="top"/>
            <w:shd w:val="clear" w:color="auto" w:fill="FDF0F7"/>
          </w:tcPr>
          <w:p>
            <w:pPr>
              <w:spacing w:after="20" w:line="252" w:lineRule="auto"/>
            </w:pPr>
            <w:r>
              <w:rPr>
                <w:b w:val="0"/>
                <w:i w:val="0"/>
                <w:sz w:val="16"/>
              </w:rPr>
              <w:t>APAOS04</w:t>
            </w:r>
          </w:p>
        </w:tc>
        <w:tc>
          <w:tcPr>
            <w:tcW w:type="dxa" w:w="1871"/>
            <w:vAlign w:val="top"/>
            <w:shd w:val="clear" w:color="auto" w:fill="FDF0F7"/>
          </w:tcPr>
          <w:p>
            <w:pPr>
              <w:spacing w:after="20" w:line="252" w:lineRule="auto"/>
            </w:pPr>
            <w:r>
              <w:rPr>
                <w:b w:val="0"/>
                <w:i w:val="0"/>
                <w:sz w:val="16"/>
              </w:rPr>
              <w:t>Summary and questionnaire</w:t>
            </w:r>
          </w:p>
        </w:tc>
        <w:tc>
          <w:tcPr>
            <w:tcW w:type="dxa" w:w="3628"/>
            <w:vAlign w:val="top"/>
            <w:shd w:val="clear" w:color="auto" w:fill="FDF0F7"/>
          </w:tcPr>
          <w:p>
            <w:pPr>
              <w:spacing w:after="20" w:line="252" w:lineRule="auto"/>
            </w:pPr>
            <w:r>
              <w:rPr>
                <w:b w:val="0"/>
                <w:i w:val="0"/>
                <w:sz w:val="16"/>
              </w:rPr>
              <w:t>Summary shown; Appendix IV questionnaire.</w:t>
            </w:r>
          </w:p>
        </w:tc>
        <w:tc>
          <w:tcPr>
            <w:tcW w:type="dxa" w:w="3061"/>
            <w:vAlign w:val="top"/>
            <w:shd w:val="clear" w:color="auto" w:fill="FDF0F7"/>
          </w:tcPr>
          <w:p>
            <w:pPr>
              <w:spacing w:after="20" w:line="252" w:lineRule="auto"/>
            </w:pPr>
            <w:r>
              <w:rPr>
                <w:b w:val="0"/>
                <w:i w:val="0"/>
                <w:sz w:val="16"/>
              </w:rPr>
              <w:t>Stored with quotation.</w:t>
            </w:r>
          </w:p>
        </w:tc>
      </w:tr>
      <w:tr>
        <w:trPr>
          <w:cantSplit/>
        </w:trPr>
        <w:tc>
          <w:tcPr>
            <w:tcW w:type="dxa" w:w="1077"/>
            <w:vAlign w:val="top"/>
          </w:tcPr>
          <w:p>
            <w:pPr>
              <w:spacing w:after="20" w:line="252" w:lineRule="auto"/>
            </w:pPr>
            <w:r>
              <w:rPr>
                <w:b w:val="0"/>
                <w:i w:val="0"/>
                <w:sz w:val="16"/>
              </w:rPr>
              <w:t>APAOS05</w:t>
            </w:r>
          </w:p>
        </w:tc>
        <w:tc>
          <w:tcPr>
            <w:tcW w:type="dxa" w:w="1871"/>
            <w:vAlign w:val="top"/>
          </w:tcPr>
          <w:p>
            <w:pPr>
              <w:spacing w:after="20" w:line="252" w:lineRule="auto"/>
            </w:pPr>
            <w:r>
              <w:rPr>
                <w:b w:val="0"/>
                <w:i w:val="0"/>
                <w:sz w:val="16"/>
              </w:rPr>
              <w:t>Documents</w:t>
            </w:r>
          </w:p>
        </w:tc>
        <w:tc>
          <w:tcPr>
            <w:tcW w:type="dxa" w:w="3628"/>
            <w:vAlign w:val="top"/>
          </w:tcPr>
          <w:p>
            <w:pPr>
              <w:spacing w:after="20" w:line="252" w:lineRule="auto"/>
            </w:pPr>
            <w:r>
              <w:rPr>
                <w:b w:val="0"/>
                <w:i w:val="0"/>
                <w:sz w:val="16"/>
              </w:rPr>
              <w:t>Questionnaires, IC copy, student ID, IC of nominee, beneficiary or executor.</w:t>
            </w:r>
          </w:p>
        </w:tc>
        <w:tc>
          <w:tcPr>
            <w:tcW w:type="dxa" w:w="3061"/>
            <w:vAlign w:val="top"/>
          </w:tcPr>
          <w:p>
            <w:pPr>
              <w:spacing w:after="20" w:line="252" w:lineRule="auto"/>
            </w:pPr>
            <w:r>
              <w:rPr>
                <w:b w:val="0"/>
                <w:i w:val="0"/>
                <w:sz w:val="16"/>
              </w:rPr>
              <w:t>Checklist validation.</w:t>
            </w:r>
          </w:p>
        </w:tc>
      </w:tr>
      <w:tr>
        <w:trPr>
          <w:cantSplit/>
        </w:trPr>
        <w:tc>
          <w:tcPr>
            <w:tcW w:type="dxa" w:w="1077"/>
            <w:vAlign w:val="top"/>
            <w:shd w:val="clear" w:color="auto" w:fill="FDF0F7"/>
          </w:tcPr>
          <w:p>
            <w:pPr>
              <w:spacing w:after="20" w:line="252" w:lineRule="auto"/>
            </w:pPr>
            <w:r>
              <w:rPr>
                <w:b w:val="0"/>
                <w:i w:val="0"/>
                <w:sz w:val="16"/>
              </w:rPr>
              <w:t>APAOS06</w:t>
            </w:r>
          </w:p>
        </w:tc>
        <w:tc>
          <w:tcPr>
            <w:tcW w:type="dxa" w:w="1871"/>
            <w:vAlign w:val="top"/>
            <w:shd w:val="clear" w:color="auto" w:fill="FDF0F7"/>
          </w:tcPr>
          <w:p>
            <w:pPr>
              <w:spacing w:after="20" w:line="252" w:lineRule="auto"/>
            </w:pPr>
            <w:r>
              <w:rPr>
                <w:b w:val="0"/>
                <w:i w:val="0"/>
                <w:sz w:val="16"/>
              </w:rPr>
              <w:t>Payment</w:t>
            </w:r>
          </w:p>
        </w:tc>
        <w:tc>
          <w:tcPr>
            <w:tcW w:type="dxa" w:w="3628"/>
            <w:vAlign w:val="top"/>
            <w:shd w:val="clear" w:color="auto" w:fill="FDF0F7"/>
          </w:tcPr>
          <w:p>
            <w:pPr>
              <w:spacing w:after="20" w:line="252" w:lineRule="auto"/>
            </w:pPr>
            <w:r>
              <w:rPr>
                <w:b w:val="0"/>
                <w:i w:val="0"/>
                <w:sz w:val="16"/>
              </w:rPr>
              <w:t>Payment with proof.</w:t>
            </w:r>
          </w:p>
        </w:tc>
        <w:tc>
          <w:tcPr>
            <w:tcW w:type="dxa" w:w="3061"/>
            <w:vAlign w:val="top"/>
            <w:shd w:val="clear" w:color="auto" w:fill="FDF0F7"/>
          </w:tcPr>
          <w:p>
            <w:pPr>
              <w:spacing w:after="20" w:line="252" w:lineRule="auto"/>
            </w:pPr>
            <w:r>
              <w:rPr>
                <w:b w:val="0"/>
                <w:i w:val="0"/>
                <w:sz w:val="16"/>
              </w:rPr>
              <w:t>Finance verifies.</w:t>
            </w:r>
          </w:p>
        </w:tc>
      </w:tr>
      <w:tr>
        <w:trPr>
          <w:cantSplit/>
        </w:trPr>
        <w:tc>
          <w:tcPr>
            <w:tcW w:type="dxa" w:w="1077"/>
            <w:vAlign w:val="top"/>
          </w:tcPr>
          <w:p>
            <w:pPr>
              <w:spacing w:after="20" w:line="252" w:lineRule="auto"/>
            </w:pPr>
            <w:r>
              <w:rPr>
                <w:b w:val="0"/>
                <w:i w:val="0"/>
                <w:sz w:val="16"/>
              </w:rPr>
              <w:t>APAOS07</w:t>
            </w:r>
          </w:p>
        </w:tc>
        <w:tc>
          <w:tcPr>
            <w:tcW w:type="dxa" w:w="1871"/>
            <w:vAlign w:val="top"/>
          </w:tcPr>
          <w:p>
            <w:pPr>
              <w:spacing w:after="20" w:line="252" w:lineRule="auto"/>
            </w:pPr>
            <w:r>
              <w:rPr>
                <w:b w:val="0"/>
                <w:i w:val="0"/>
                <w:sz w:val="16"/>
              </w:rPr>
              <w:t>e-Policy and e-Receipt</w:t>
            </w:r>
          </w:p>
        </w:tc>
        <w:tc>
          <w:tcPr>
            <w:tcW w:type="dxa" w:w="3628"/>
            <w:vAlign w:val="top"/>
          </w:tcPr>
          <w:p>
            <w:pPr>
              <w:spacing w:after="20" w:line="252" w:lineRule="auto"/>
            </w:pPr>
            <w:r>
              <w:rPr>
                <w:b w:val="0"/>
                <w:i w:val="0"/>
                <w:sz w:val="16"/>
              </w:rPr>
              <w:t>Issued on confirmation.</w:t>
            </w:r>
          </w:p>
        </w:tc>
        <w:tc>
          <w:tcPr>
            <w:tcW w:type="dxa" w:w="3061"/>
            <w:vAlign w:val="top"/>
          </w:tcPr>
          <w:p>
            <w:pPr>
              <w:spacing w:after="20" w:line="252" w:lineRule="auto"/>
            </w:pPr>
            <w:r>
              <w:rPr>
                <w:b w:val="0"/>
                <w:i w:val="0"/>
                <w:sz w:val="16"/>
              </w:rPr>
              <w:t>Policy becomes ACTIVE.</w:t>
            </w:r>
          </w:p>
        </w:tc>
      </w:tr>
      <w:tr>
        <w:trPr>
          <w:cantSplit/>
        </w:trPr>
        <w:tc>
          <w:tcPr>
            <w:tcW w:type="dxa" w:w="1077"/>
            <w:vAlign w:val="top"/>
            <w:shd w:val="clear" w:color="auto" w:fill="FDF0F7"/>
          </w:tcPr>
          <w:p>
            <w:pPr>
              <w:spacing w:after="20" w:line="252" w:lineRule="auto"/>
            </w:pPr>
            <w:r>
              <w:rPr>
                <w:b w:val="0"/>
                <w:i w:val="0"/>
                <w:sz w:val="16"/>
              </w:rPr>
              <w:t>APAOS08</w:t>
            </w:r>
          </w:p>
        </w:tc>
        <w:tc>
          <w:tcPr>
            <w:tcW w:type="dxa" w:w="1871"/>
            <w:vAlign w:val="top"/>
            <w:shd w:val="clear" w:color="auto" w:fill="FDF0F7"/>
          </w:tcPr>
          <w:p>
            <w:pPr>
              <w:spacing w:after="20" w:line="252" w:lineRule="auto"/>
            </w:pPr>
            <w:r>
              <w:rPr>
                <w:b w:val="0"/>
                <w:i w:val="0"/>
                <w:sz w:val="16"/>
              </w:rPr>
              <w:t>EOD reporting</w:t>
            </w:r>
          </w:p>
        </w:tc>
        <w:tc>
          <w:tcPr>
            <w:tcW w:type="dxa" w:w="3628"/>
            <w:vAlign w:val="top"/>
            <w:shd w:val="clear" w:color="auto" w:fill="FDF0F7"/>
          </w:tcPr>
          <w:p>
            <w:pPr>
              <w:spacing w:after="20" w:line="252" w:lineRule="auto"/>
            </w:pPr>
            <w:r>
              <w:rPr>
                <w:b w:val="0"/>
                <w:i w:val="0"/>
                <w:sz w:val="16"/>
              </w:rPr>
              <w:t>None</w:t>
            </w:r>
          </w:p>
        </w:tc>
        <w:tc>
          <w:tcPr>
            <w:tcW w:type="dxa" w:w="3061"/>
            <w:vAlign w:val="top"/>
            <w:shd w:val="clear" w:color="auto" w:fill="FDF0F7"/>
          </w:tcPr>
          <w:p>
            <w:pPr>
              <w:spacing w:after="20" w:line="252" w:lineRule="auto"/>
            </w:pPr>
            <w:r>
              <w:rPr>
                <w:b w:val="0"/>
                <w:i w:val="0"/>
                <w:sz w:val="16"/>
              </w:rPr>
              <w:t>EOD report, FIN file, BRR reconciliation.</w:t>
            </w:r>
          </w:p>
        </w:tc>
      </w:tr>
    </w:tbl>
    <w:p>
      <w:pPr>
        <w:spacing w:after="0" w:before="0"/>
      </w:pPr>
      <w:r>
        <w:rPr>
          <w:sz w:val="8"/>
        </w:rPr>
      </w:r>
    </w:p>
    <w:p>
      <w:pPr>
        <w:pStyle w:val="Heading2"/>
      </w:pPr>
      <w:r>
        <w:t>10.4 End-of-day processing</w:t>
      </w:r>
    </w:p>
    <w:p>
      <w:pPr>
        <w:keepNext w:val="0"/>
      </w:pPr>
      <w:r>
        <w:rPr>
          <w:b w:val="0"/>
          <w:i w:val="0"/>
        </w:rPr>
        <w:t>EOD runs on a schedule and can be re-run from the back-office. One locked job runs across application nodes. Each posting to FIN carries a revision number and its own idempotency key, and a re-run is marked as replacing the previous revision, so FIN can reject duplicates and keep only the latest figures for the day.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
        <w:gridCol w:w="2041"/>
        <w:gridCol w:w="7144"/>
      </w:tblGrid>
      <w:tr>
        <w:trPr>
          <w:cantSplit/>
          <w:tblHeader/>
        </w:trPr>
        <w:tc>
          <w:tcPr>
            <w:tcW w:type="dxa" w:w="454"/>
            <w:shd w:val="clear" w:color="auto" w:fill="E1058C"/>
            <w:vAlign w:val="center"/>
          </w:tcPr>
          <w:p>
            <w:pPr>
              <w:spacing w:after="0"/>
            </w:pPr>
            <w:r>
              <w:rPr>
                <w:b/>
                <w:i w:val="0"/>
                <w:color w:val="FFFFFF"/>
                <w:sz w:val="16"/>
              </w:rPr>
              <w:t>#</w:t>
            </w:r>
          </w:p>
        </w:tc>
        <w:tc>
          <w:tcPr>
            <w:tcW w:type="dxa" w:w="2041"/>
            <w:shd w:val="clear" w:color="auto" w:fill="E1058C"/>
            <w:vAlign w:val="center"/>
          </w:tcPr>
          <w:p>
            <w:pPr>
              <w:spacing w:after="0"/>
            </w:pPr>
            <w:r>
              <w:rPr>
                <w:b/>
                <w:i w:val="0"/>
                <w:color w:val="FFFFFF"/>
                <w:sz w:val="16"/>
              </w:rPr>
              <w:t>Step</w:t>
            </w:r>
          </w:p>
        </w:tc>
        <w:tc>
          <w:tcPr>
            <w:tcW w:type="dxa" w:w="7143"/>
            <w:shd w:val="clear" w:color="auto" w:fill="E1058C"/>
            <w:vAlign w:val="center"/>
          </w:tcPr>
          <w:p>
            <w:pPr>
              <w:spacing w:after="0"/>
            </w:pPr>
            <w:r>
              <w:rPr>
                <w:b/>
                <w:i w:val="0"/>
                <w:color w:val="FFFFFF"/>
                <w:sz w:val="16"/>
              </w:rPr>
              <w:t>Description</w:t>
            </w:r>
          </w:p>
        </w:tc>
      </w:tr>
      <w:tr>
        <w:trPr>
          <w:cantSplit/>
        </w:trPr>
        <w:tc>
          <w:tcPr>
            <w:tcW w:type="dxa" w:w="454"/>
            <w:vAlign w:val="top"/>
          </w:tcPr>
          <w:p>
            <w:pPr>
              <w:spacing w:after="20" w:line="252" w:lineRule="auto"/>
              <w:jc w:val="center"/>
            </w:pPr>
            <w:r>
              <w:rPr>
                <w:b w:val="0"/>
                <w:i w:val="0"/>
                <w:sz w:val="16"/>
              </w:rPr>
              <w:t>1</w:t>
            </w:r>
          </w:p>
        </w:tc>
        <w:tc>
          <w:tcPr>
            <w:tcW w:type="dxa" w:w="2041"/>
            <w:vAlign w:val="top"/>
          </w:tcPr>
          <w:p>
            <w:pPr>
              <w:spacing w:after="20" w:line="252" w:lineRule="auto"/>
            </w:pPr>
            <w:r>
              <w:rPr>
                <w:b w:val="0"/>
                <w:i w:val="0"/>
                <w:sz w:val="16"/>
              </w:rPr>
              <w:t>Cut-off</w:t>
            </w:r>
          </w:p>
        </w:tc>
        <w:tc>
          <w:tcPr>
            <w:tcW w:type="dxa" w:w="7143"/>
            <w:vAlign w:val="top"/>
          </w:tcPr>
          <w:p>
            <w:pPr>
              <w:spacing w:after="20" w:line="252" w:lineRule="auto"/>
            </w:pPr>
            <w:r>
              <w:rPr>
                <w:b w:val="0"/>
                <w:i w:val="0"/>
                <w:sz w:val="16"/>
              </w:rPr>
              <w:t>Configurable daily cut-off; later transactions roll to the next business day.</w:t>
            </w:r>
          </w:p>
        </w:tc>
      </w:tr>
      <w:tr>
        <w:trPr>
          <w:cantSplit/>
        </w:trPr>
        <w:tc>
          <w:tcPr>
            <w:tcW w:type="dxa" w:w="454"/>
            <w:vAlign w:val="top"/>
            <w:shd w:val="clear" w:color="auto" w:fill="FDF0F7"/>
          </w:tcPr>
          <w:p>
            <w:pPr>
              <w:spacing w:after="20" w:line="252" w:lineRule="auto"/>
              <w:jc w:val="center"/>
            </w:pPr>
            <w:r>
              <w:rPr>
                <w:b w:val="0"/>
                <w:i w:val="0"/>
                <w:sz w:val="16"/>
              </w:rPr>
              <w:t>2</w:t>
            </w:r>
          </w:p>
        </w:tc>
        <w:tc>
          <w:tcPr>
            <w:tcW w:type="dxa" w:w="2041"/>
            <w:vAlign w:val="top"/>
            <w:shd w:val="clear" w:color="auto" w:fill="FDF0F7"/>
          </w:tcPr>
          <w:p>
            <w:pPr>
              <w:spacing w:after="20" w:line="252" w:lineRule="auto"/>
            </w:pPr>
            <w:r>
              <w:rPr>
                <w:b w:val="0"/>
                <w:i w:val="0"/>
                <w:sz w:val="16"/>
              </w:rPr>
              <w:t>Issuance report</w:t>
            </w:r>
          </w:p>
        </w:tc>
        <w:tc>
          <w:tcPr>
            <w:tcW w:type="dxa" w:w="7143"/>
            <w:vAlign w:val="top"/>
            <w:shd w:val="clear" w:color="auto" w:fill="FDF0F7"/>
          </w:tcPr>
          <w:p>
            <w:pPr>
              <w:spacing w:after="20" w:line="252" w:lineRule="auto"/>
            </w:pPr>
            <w:r>
              <w:rPr>
                <w:b w:val="0"/>
                <w:i w:val="0"/>
                <w:sz w:val="16"/>
              </w:rPr>
              <w:t>Policies issued, endorsed and cancelled and receipts approved, by product, bank and agent.</w:t>
            </w:r>
          </w:p>
        </w:tc>
      </w:tr>
      <w:tr>
        <w:trPr>
          <w:cantSplit/>
        </w:trPr>
        <w:tc>
          <w:tcPr>
            <w:tcW w:type="dxa" w:w="454"/>
            <w:vAlign w:val="top"/>
          </w:tcPr>
          <w:p>
            <w:pPr>
              <w:spacing w:after="20" w:line="252" w:lineRule="auto"/>
              <w:jc w:val="center"/>
            </w:pPr>
            <w:r>
              <w:rPr>
                <w:b w:val="0"/>
                <w:i w:val="0"/>
                <w:sz w:val="16"/>
              </w:rPr>
              <w:t>3</w:t>
            </w:r>
          </w:p>
        </w:tc>
        <w:tc>
          <w:tcPr>
            <w:tcW w:type="dxa" w:w="2041"/>
            <w:vAlign w:val="top"/>
          </w:tcPr>
          <w:p>
            <w:pPr>
              <w:spacing w:after="20" w:line="252" w:lineRule="auto"/>
            </w:pPr>
            <w:r>
              <w:rPr>
                <w:b w:val="0"/>
                <w:i w:val="0"/>
                <w:sz w:val="16"/>
              </w:rPr>
              <w:t>Final issuance</w:t>
            </w:r>
          </w:p>
        </w:tc>
        <w:tc>
          <w:tcPr>
            <w:tcW w:type="dxa" w:w="7143"/>
            <w:vAlign w:val="top"/>
          </w:tcPr>
          <w:p>
            <w:pPr>
              <w:spacing w:after="20" w:line="252" w:lineRule="auto"/>
            </w:pPr>
            <w:r>
              <w:rPr>
                <w:b w:val="0"/>
                <w:i w:val="0"/>
                <w:sz w:val="16"/>
              </w:rPr>
              <w:t>Master report for Mortgage Takaful final issuance (FFR01 step 8).</w:t>
            </w:r>
          </w:p>
        </w:tc>
      </w:tr>
      <w:tr>
        <w:trPr>
          <w:cantSplit/>
        </w:trPr>
        <w:tc>
          <w:tcPr>
            <w:tcW w:type="dxa" w:w="454"/>
            <w:vAlign w:val="top"/>
            <w:shd w:val="clear" w:color="auto" w:fill="FDF0F7"/>
          </w:tcPr>
          <w:p>
            <w:pPr>
              <w:spacing w:after="20" w:line="252" w:lineRule="auto"/>
              <w:jc w:val="center"/>
            </w:pPr>
            <w:r>
              <w:rPr>
                <w:b w:val="0"/>
                <w:i w:val="0"/>
                <w:sz w:val="16"/>
              </w:rPr>
              <w:t>4</w:t>
            </w:r>
          </w:p>
        </w:tc>
        <w:tc>
          <w:tcPr>
            <w:tcW w:type="dxa" w:w="2041"/>
            <w:vAlign w:val="top"/>
            <w:shd w:val="clear" w:color="auto" w:fill="FDF0F7"/>
          </w:tcPr>
          <w:p>
            <w:pPr>
              <w:spacing w:after="20" w:line="252" w:lineRule="auto"/>
            </w:pPr>
            <w:r>
              <w:rPr>
                <w:b w:val="0"/>
                <w:i w:val="0"/>
                <w:sz w:val="16"/>
              </w:rPr>
              <w:t>FIN interface file</w:t>
            </w:r>
          </w:p>
        </w:tc>
        <w:tc>
          <w:tcPr>
            <w:tcW w:type="dxa" w:w="7143"/>
            <w:vAlign w:val="top"/>
            <w:shd w:val="clear" w:color="auto" w:fill="FDF0F7"/>
          </w:tcPr>
          <w:p>
            <w:pPr>
              <w:spacing w:after="20" w:line="252" w:lineRule="auto"/>
            </w:pPr>
            <w:r>
              <w:rPr>
                <w:b w:val="0"/>
                <w:i w:val="0"/>
                <w:sz w:val="16"/>
              </w:rPr>
              <w:t>Contribution and receipt entries, with wakalah fee and tabarru' split where applicable.</w:t>
            </w:r>
          </w:p>
        </w:tc>
      </w:tr>
      <w:tr>
        <w:trPr>
          <w:cantSplit/>
        </w:trPr>
        <w:tc>
          <w:tcPr>
            <w:tcW w:type="dxa" w:w="454"/>
            <w:vAlign w:val="top"/>
          </w:tcPr>
          <w:p>
            <w:pPr>
              <w:spacing w:after="20" w:line="252" w:lineRule="auto"/>
              <w:jc w:val="center"/>
            </w:pPr>
            <w:r>
              <w:rPr>
                <w:b w:val="0"/>
                <w:i w:val="0"/>
                <w:sz w:val="16"/>
              </w:rPr>
              <w:t>5</w:t>
            </w:r>
          </w:p>
        </w:tc>
        <w:tc>
          <w:tcPr>
            <w:tcW w:type="dxa" w:w="2041"/>
            <w:vAlign w:val="top"/>
          </w:tcPr>
          <w:p>
            <w:pPr>
              <w:spacing w:after="20" w:line="252" w:lineRule="auto"/>
            </w:pPr>
            <w:r>
              <w:rPr>
                <w:b w:val="0"/>
                <w:i w:val="0"/>
                <w:sz w:val="16"/>
              </w:rPr>
              <w:t>Reconciliation</w:t>
            </w:r>
          </w:p>
        </w:tc>
        <w:tc>
          <w:tcPr>
            <w:tcW w:type="dxa" w:w="7143"/>
            <w:vAlign w:val="top"/>
          </w:tcPr>
          <w:p>
            <w:pPr>
              <w:spacing w:after="20" w:line="252" w:lineRule="auto"/>
            </w:pPr>
            <w:r>
              <w:rPr>
                <w:b w:val="0"/>
                <w:i w:val="0"/>
                <w:sz w:val="16"/>
              </w:rPr>
              <w:t>Receipts reconciled today; BRR reconciliation added once IIFT confirms the BRR format.</w:t>
            </w:r>
          </w:p>
        </w:tc>
      </w:tr>
      <w:tr>
        <w:trPr>
          <w:cantSplit/>
        </w:trPr>
        <w:tc>
          <w:tcPr>
            <w:tcW w:type="dxa" w:w="454"/>
            <w:vAlign w:val="top"/>
            <w:shd w:val="clear" w:color="auto" w:fill="FDF0F7"/>
          </w:tcPr>
          <w:p>
            <w:pPr>
              <w:spacing w:after="20" w:line="252" w:lineRule="auto"/>
              <w:jc w:val="center"/>
            </w:pPr>
            <w:r>
              <w:rPr>
                <w:b w:val="0"/>
                <w:i w:val="0"/>
                <w:sz w:val="16"/>
              </w:rPr>
              <w:t>6</w:t>
            </w:r>
          </w:p>
        </w:tc>
        <w:tc>
          <w:tcPr>
            <w:tcW w:type="dxa" w:w="2041"/>
            <w:vAlign w:val="top"/>
            <w:shd w:val="clear" w:color="auto" w:fill="FDF0F7"/>
          </w:tcPr>
          <w:p>
            <w:pPr>
              <w:spacing w:after="20" w:line="252" w:lineRule="auto"/>
            </w:pPr>
            <w:r>
              <w:rPr>
                <w:b w:val="0"/>
                <w:i w:val="0"/>
                <w:sz w:val="16"/>
              </w:rPr>
              <w:t>Grace-period check</w:t>
            </w:r>
          </w:p>
        </w:tc>
        <w:tc>
          <w:tcPr>
            <w:tcW w:type="dxa" w:w="7143"/>
            <w:vAlign w:val="top"/>
            <w:shd w:val="clear" w:color="auto" w:fill="FDF0F7"/>
          </w:tcPr>
          <w:p>
            <w:pPr>
              <w:spacing w:after="20" w:line="252" w:lineRule="auto"/>
            </w:pPr>
            <w:r>
              <w:rPr>
                <w:b w:val="0"/>
                <w:i w:val="0"/>
                <w:sz w:val="16"/>
              </w:rPr>
              <w:t>Policies unpaid for more than seven days found; agency blocks applied or lifted.</w:t>
            </w:r>
          </w:p>
        </w:tc>
      </w:tr>
      <w:tr>
        <w:trPr>
          <w:cantSplit/>
        </w:trPr>
        <w:tc>
          <w:tcPr>
            <w:tcW w:type="dxa" w:w="454"/>
            <w:vAlign w:val="top"/>
          </w:tcPr>
          <w:p>
            <w:pPr>
              <w:spacing w:after="20" w:line="252" w:lineRule="auto"/>
              <w:jc w:val="center"/>
            </w:pPr>
            <w:r>
              <w:rPr>
                <w:b w:val="0"/>
                <w:i w:val="0"/>
                <w:sz w:val="16"/>
              </w:rPr>
              <w:t>7</w:t>
            </w:r>
          </w:p>
        </w:tc>
        <w:tc>
          <w:tcPr>
            <w:tcW w:type="dxa" w:w="2041"/>
            <w:vAlign w:val="top"/>
          </w:tcPr>
          <w:p>
            <w:pPr>
              <w:spacing w:after="20" w:line="252" w:lineRule="auto"/>
            </w:pPr>
            <w:r>
              <w:rPr>
                <w:b w:val="0"/>
                <w:i w:val="0"/>
                <w:sz w:val="16"/>
              </w:rPr>
              <w:t>Sign-off</w:t>
            </w:r>
          </w:p>
        </w:tc>
        <w:tc>
          <w:tcPr>
            <w:tcW w:type="dxa" w:w="7143"/>
            <w:vAlign w:val="top"/>
          </w:tcPr>
          <w:p>
            <w:pPr>
              <w:spacing w:after="20" w:line="252" w:lineRule="auto"/>
            </w:pPr>
            <w:r>
              <w:rPr>
                <w:b w:val="0"/>
                <w:i w:val="0"/>
                <w:sz w:val="16"/>
              </w:rPr>
              <w:t>Finance reviews exceptions and signs off the run; run history kept.</w:t>
            </w:r>
          </w:p>
        </w:tc>
      </w:tr>
    </w:tbl>
    <w:p>
      <w:pPr>
        <w:spacing w:after="0" w:before="0"/>
      </w:pPr>
      <w:r>
        <w:rPr>
          <w:sz w:val="8"/>
        </w:rPr>
      </w:r>
    </w:p>
    <w:p>
      <w:pPr>
        <w:pStyle w:val="Heading1"/>
        <w:pageBreakBefore/>
        <w:pBdr>
          <w:bottom w:val="single" w:sz="12" w:space="4" w:color="F58220"/>
        </w:pBdr>
      </w:pPr>
      <w:r>
        <w:t>11. Screen Catalogue</w:t>
      </w:r>
    </w:p>
    <w:p>
      <w:pPr>
        <w:keepNext w:val="0"/>
      </w:pPr>
      <w:r>
        <w:rPr>
          <w:b w:val="0"/>
          <w:i w:val="0"/>
        </w:rPr>
        <w:t>The tables list every screen in SalesVerse 2.0 as configured for IIFT, with its purpose and the RFP requirements it serves. Sample screens follow; all data shown is test data.</w:t>
      </w:r>
    </w:p>
    <w:p>
      <w:pPr>
        <w:pStyle w:val="Heading2"/>
      </w:pPr>
      <w:r>
        <w:t>11.1 Agent/Banca Portal screens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2381"/>
        <w:gridCol w:w="4876"/>
        <w:gridCol w:w="2381"/>
      </w:tblGrid>
      <w:tr>
        <w:trPr>
          <w:cantSplit/>
          <w:tblHeader/>
        </w:trPr>
        <w:tc>
          <w:tcPr>
            <w:tcW w:type="dxa" w:w="2381"/>
            <w:shd w:val="clear" w:color="auto" w:fill="E1058C"/>
            <w:vAlign w:val="center"/>
          </w:tcPr>
          <w:p>
            <w:pPr>
              <w:spacing w:after="0"/>
            </w:pPr>
            <w:r>
              <w:rPr>
                <w:b/>
                <w:i w:val="0"/>
                <w:color w:val="FFFFFF"/>
                <w:sz w:val="15"/>
              </w:rPr>
              <w:t>Screen</w:t>
            </w:r>
          </w:p>
        </w:tc>
        <w:tc>
          <w:tcPr>
            <w:tcW w:type="dxa" w:w="4876"/>
            <w:shd w:val="clear" w:color="auto" w:fill="E1058C"/>
            <w:vAlign w:val="center"/>
          </w:tcPr>
          <w:p>
            <w:pPr>
              <w:spacing w:after="0"/>
            </w:pPr>
            <w:r>
              <w:rPr>
                <w:b/>
                <w:i w:val="0"/>
                <w:color w:val="FFFFFF"/>
                <w:sz w:val="15"/>
              </w:rPr>
              <w:t>Purpose</w:t>
            </w:r>
          </w:p>
        </w:tc>
        <w:tc>
          <w:tcPr>
            <w:tcW w:type="dxa" w:w="2381"/>
            <w:shd w:val="clear" w:color="auto" w:fill="E1058C"/>
            <w:vAlign w:val="center"/>
          </w:tcPr>
          <w:p>
            <w:pPr>
              <w:spacing w:after="0"/>
            </w:pPr>
            <w:r>
              <w:rPr>
                <w:b/>
                <w:i w:val="0"/>
                <w:color w:val="FFFFFF"/>
                <w:sz w:val="15"/>
              </w:rPr>
              <w:t>RFP IDs</w:t>
            </w:r>
          </w:p>
        </w:tc>
      </w:tr>
      <w:tr>
        <w:trPr>
          <w:cantSplit/>
        </w:trPr>
        <w:tc>
          <w:tcPr>
            <w:tcW w:type="dxa" w:w="2381"/>
            <w:vAlign w:val="top"/>
          </w:tcPr>
          <w:p>
            <w:pPr>
              <w:spacing w:after="20" w:line="252" w:lineRule="auto"/>
            </w:pPr>
            <w:r>
              <w:rPr>
                <w:b/>
                <w:i w:val="0"/>
                <w:sz w:val="15"/>
              </w:rPr>
              <w:t>Sign-in</w:t>
            </w:r>
          </w:p>
        </w:tc>
        <w:tc>
          <w:tcPr>
            <w:tcW w:type="dxa" w:w="4876"/>
            <w:vAlign w:val="top"/>
          </w:tcPr>
          <w:p>
            <w:pPr>
              <w:spacing w:after="20" w:line="252" w:lineRule="auto"/>
            </w:pPr>
            <w:r>
              <w:rPr>
                <w:b w:val="0"/>
                <w:i w:val="0"/>
                <w:sz w:val="15"/>
              </w:rPr>
              <w:t>Secure login</w:t>
            </w:r>
          </w:p>
        </w:tc>
        <w:tc>
          <w:tcPr>
            <w:tcW w:type="dxa" w:w="2381"/>
            <w:vAlign w:val="top"/>
          </w:tcPr>
          <w:p>
            <w:pPr>
              <w:spacing w:after="20" w:line="252" w:lineRule="auto"/>
            </w:pPr>
            <w:r>
              <w:rPr>
                <w:b w:val="0"/>
                <w:i w:val="0"/>
                <w:sz w:val="15"/>
              </w:rPr>
              <w:t>AP-01, AP-03, AP-04</w:t>
            </w:r>
          </w:p>
        </w:tc>
      </w:tr>
      <w:tr>
        <w:trPr>
          <w:cantSplit/>
        </w:trPr>
        <w:tc>
          <w:tcPr>
            <w:tcW w:type="dxa" w:w="2381"/>
            <w:vAlign w:val="top"/>
            <w:shd w:val="clear" w:color="auto" w:fill="FDF0F7"/>
          </w:tcPr>
          <w:p>
            <w:pPr>
              <w:spacing w:after="20" w:line="252" w:lineRule="auto"/>
            </w:pPr>
            <w:r>
              <w:rPr>
                <w:b/>
                <w:i w:val="0"/>
                <w:sz w:val="15"/>
              </w:rPr>
              <w:t>Change password</w:t>
            </w:r>
          </w:p>
        </w:tc>
        <w:tc>
          <w:tcPr>
            <w:tcW w:type="dxa" w:w="4876"/>
            <w:vAlign w:val="top"/>
            <w:shd w:val="clear" w:color="auto" w:fill="FDF0F7"/>
          </w:tcPr>
          <w:p>
            <w:pPr>
              <w:spacing w:after="20" w:line="252" w:lineRule="auto"/>
            </w:pPr>
            <w:r>
              <w:rPr>
                <w:b w:val="0"/>
                <w:i w:val="0"/>
                <w:sz w:val="15"/>
              </w:rPr>
              <w:t>Password change under policy</w:t>
            </w:r>
          </w:p>
        </w:tc>
        <w:tc>
          <w:tcPr>
            <w:tcW w:type="dxa" w:w="2381"/>
            <w:vAlign w:val="top"/>
            <w:shd w:val="clear" w:color="auto" w:fill="FDF0F7"/>
          </w:tcPr>
          <w:p>
            <w:pPr>
              <w:spacing w:after="20" w:line="252" w:lineRule="auto"/>
            </w:pPr>
            <w:r>
              <w:rPr>
                <w:b w:val="0"/>
                <w:i w:val="0"/>
                <w:sz w:val="15"/>
              </w:rPr>
              <w:t>AP-02</w:t>
            </w:r>
          </w:p>
        </w:tc>
      </w:tr>
      <w:tr>
        <w:trPr>
          <w:cantSplit/>
        </w:trPr>
        <w:tc>
          <w:tcPr>
            <w:tcW w:type="dxa" w:w="2381"/>
            <w:vAlign w:val="top"/>
          </w:tcPr>
          <w:p>
            <w:pPr>
              <w:spacing w:after="20" w:line="252" w:lineRule="auto"/>
            </w:pPr>
            <w:r>
              <w:rPr>
                <w:b/>
                <w:i w:val="0"/>
                <w:sz w:val="15"/>
              </w:rPr>
              <w:t>Dashboard</w:t>
            </w:r>
          </w:p>
        </w:tc>
        <w:tc>
          <w:tcPr>
            <w:tcW w:type="dxa" w:w="4876"/>
            <w:vAlign w:val="top"/>
          </w:tcPr>
          <w:p>
            <w:pPr>
              <w:spacing w:after="20" w:line="252" w:lineRule="auto"/>
            </w:pPr>
            <w:r>
              <w:rPr>
                <w:b w:val="0"/>
                <w:i w:val="0"/>
                <w:sz w:val="15"/>
              </w:rPr>
              <w:t>Profile summary, pending actions, production, payments</w:t>
            </w:r>
          </w:p>
        </w:tc>
        <w:tc>
          <w:tcPr>
            <w:tcW w:type="dxa" w:w="2381"/>
            <w:vAlign w:val="top"/>
          </w:tcPr>
          <w:p>
            <w:pPr>
              <w:spacing w:after="20" w:line="252" w:lineRule="auto"/>
            </w:pPr>
            <w:r>
              <w:rPr>
                <w:b w:val="0"/>
                <w:i w:val="0"/>
                <w:sz w:val="15"/>
              </w:rPr>
              <w:t>AP-37, AP-52, AP-53</w:t>
            </w:r>
          </w:p>
        </w:tc>
      </w:tr>
      <w:tr>
        <w:trPr>
          <w:cantSplit/>
        </w:trPr>
        <w:tc>
          <w:tcPr>
            <w:tcW w:type="dxa" w:w="2381"/>
            <w:vAlign w:val="top"/>
            <w:shd w:val="clear" w:color="auto" w:fill="FDF0F7"/>
          </w:tcPr>
          <w:p>
            <w:pPr>
              <w:spacing w:after="20" w:line="252" w:lineRule="auto"/>
            </w:pPr>
            <w:r>
              <w:rPr>
                <w:b/>
                <w:i w:val="0"/>
                <w:sz w:val="15"/>
              </w:rPr>
              <w:t>New quotation</w:t>
            </w:r>
          </w:p>
        </w:tc>
        <w:tc>
          <w:tcPr>
            <w:tcW w:type="dxa" w:w="4876"/>
            <w:vAlign w:val="top"/>
            <w:shd w:val="clear" w:color="auto" w:fill="FDF0F7"/>
          </w:tcPr>
          <w:p>
            <w:pPr>
              <w:spacing w:after="20" w:line="252" w:lineRule="auto"/>
            </w:pPr>
            <w:r>
              <w:rPr>
                <w:b w:val="0"/>
                <w:i w:val="0"/>
                <w:sz w:val="15"/>
              </w:rPr>
              <w:t>Product, participant, coverage and live quote</w:t>
            </w:r>
          </w:p>
        </w:tc>
        <w:tc>
          <w:tcPr>
            <w:tcW w:type="dxa" w:w="2381"/>
            <w:vAlign w:val="top"/>
            <w:shd w:val="clear" w:color="auto" w:fill="FDF0F7"/>
          </w:tcPr>
          <w:p>
            <w:pPr>
              <w:spacing w:after="20" w:line="252" w:lineRule="auto"/>
            </w:pPr>
            <w:r>
              <w:rPr>
                <w:b w:val="0"/>
                <w:i w:val="0"/>
                <w:sz w:val="15"/>
              </w:rPr>
              <w:t>AP-17 to AP-20</w:t>
            </w:r>
          </w:p>
        </w:tc>
      </w:tr>
      <w:tr>
        <w:trPr>
          <w:cantSplit/>
        </w:trPr>
        <w:tc>
          <w:tcPr>
            <w:tcW w:type="dxa" w:w="2381"/>
            <w:vAlign w:val="top"/>
          </w:tcPr>
          <w:p>
            <w:pPr>
              <w:spacing w:after="20" w:line="252" w:lineRule="auto"/>
            </w:pPr>
            <w:r>
              <w:rPr>
                <w:b/>
                <w:i w:val="0"/>
                <w:sz w:val="15"/>
              </w:rPr>
              <w:t>Quotations and policies</w:t>
            </w:r>
          </w:p>
        </w:tc>
        <w:tc>
          <w:tcPr>
            <w:tcW w:type="dxa" w:w="4876"/>
            <w:vAlign w:val="top"/>
          </w:tcPr>
          <w:p>
            <w:pPr>
              <w:spacing w:after="20" w:line="252" w:lineRule="auto"/>
            </w:pPr>
            <w:r>
              <w:rPr>
                <w:b w:val="0"/>
                <w:i w:val="0"/>
                <w:sz w:val="15"/>
              </w:rPr>
              <w:t>List and search by status</w:t>
            </w:r>
          </w:p>
        </w:tc>
        <w:tc>
          <w:tcPr>
            <w:tcW w:type="dxa" w:w="2381"/>
            <w:vAlign w:val="top"/>
          </w:tcPr>
          <w:p>
            <w:pPr>
              <w:spacing w:after="20" w:line="252" w:lineRule="auto"/>
            </w:pPr>
            <w:r>
              <w:rPr>
                <w:b w:val="0"/>
                <w:i w:val="0"/>
                <w:sz w:val="15"/>
              </w:rPr>
              <w:t>AP-21 to AP-23</w:t>
            </w:r>
          </w:p>
        </w:tc>
      </w:tr>
      <w:tr>
        <w:trPr>
          <w:cantSplit/>
        </w:trPr>
        <w:tc>
          <w:tcPr>
            <w:tcW w:type="dxa" w:w="2381"/>
            <w:vAlign w:val="top"/>
            <w:shd w:val="clear" w:color="auto" w:fill="FDF0F7"/>
          </w:tcPr>
          <w:p>
            <w:pPr>
              <w:spacing w:after="20" w:line="252" w:lineRule="auto"/>
            </w:pPr>
            <w:r>
              <w:rPr>
                <w:b/>
                <w:i w:val="0"/>
                <w:sz w:val="15"/>
              </w:rPr>
              <w:t>Policy detail</w:t>
            </w:r>
          </w:p>
        </w:tc>
        <w:tc>
          <w:tcPr>
            <w:tcW w:type="dxa" w:w="4876"/>
            <w:vAlign w:val="top"/>
            <w:shd w:val="clear" w:color="auto" w:fill="FDF0F7"/>
          </w:tcPr>
          <w:p>
            <w:pPr>
              <w:spacing w:after="20" w:line="252" w:lineRule="auto"/>
            </w:pPr>
            <w:r>
              <w:rPr>
                <w:b w:val="0"/>
                <w:i w:val="0"/>
                <w:sz w:val="15"/>
              </w:rPr>
              <w:t>Checklist, questionnaire, nominees, documents, signatures, submit; servicing actions; history tabs</w:t>
            </w:r>
          </w:p>
        </w:tc>
        <w:tc>
          <w:tcPr>
            <w:tcW w:type="dxa" w:w="2381"/>
            <w:vAlign w:val="top"/>
            <w:shd w:val="clear" w:color="auto" w:fill="FDF0F7"/>
          </w:tcPr>
          <w:p>
            <w:pPr>
              <w:spacing w:after="20" w:line="252" w:lineRule="auto"/>
            </w:pPr>
            <w:r>
              <w:rPr>
                <w:b w:val="0"/>
                <w:i w:val="0"/>
                <w:sz w:val="15"/>
              </w:rPr>
              <w:t>AP-24 to AP-36, AP-44 to AP-47, AP-62</w:t>
            </w:r>
          </w:p>
        </w:tc>
      </w:tr>
      <w:tr>
        <w:trPr>
          <w:cantSplit/>
        </w:trPr>
        <w:tc>
          <w:tcPr>
            <w:tcW w:type="dxa" w:w="2381"/>
            <w:vAlign w:val="top"/>
          </w:tcPr>
          <w:p>
            <w:pPr>
              <w:spacing w:after="20" w:line="252" w:lineRule="auto"/>
            </w:pPr>
            <w:r>
              <w:rPr>
                <w:b/>
                <w:i w:val="0"/>
                <w:sz w:val="15"/>
              </w:rPr>
              <w:t>Renewals</w:t>
            </w:r>
          </w:p>
        </w:tc>
        <w:tc>
          <w:tcPr>
            <w:tcW w:type="dxa" w:w="4876"/>
            <w:vAlign w:val="top"/>
          </w:tcPr>
          <w:p>
            <w:pPr>
              <w:spacing w:after="20" w:line="252" w:lineRule="auto"/>
            </w:pPr>
            <w:r>
              <w:rPr>
                <w:b w:val="0"/>
                <w:i w:val="0"/>
                <w:sz w:val="15"/>
              </w:rPr>
              <w:t>Policies due for renewal</w:t>
            </w:r>
          </w:p>
        </w:tc>
        <w:tc>
          <w:tcPr>
            <w:tcW w:type="dxa" w:w="2381"/>
            <w:vAlign w:val="top"/>
          </w:tcPr>
          <w:p>
            <w:pPr>
              <w:spacing w:after="20" w:line="252" w:lineRule="auto"/>
            </w:pPr>
            <w:r>
              <w:rPr>
                <w:b w:val="0"/>
                <w:i w:val="0"/>
                <w:sz w:val="15"/>
              </w:rPr>
              <w:t>AP-26</w:t>
            </w:r>
          </w:p>
        </w:tc>
      </w:tr>
      <w:tr>
        <w:trPr>
          <w:cantSplit/>
        </w:trPr>
        <w:tc>
          <w:tcPr>
            <w:tcW w:type="dxa" w:w="2381"/>
            <w:vAlign w:val="top"/>
            <w:shd w:val="clear" w:color="auto" w:fill="FDF0F7"/>
          </w:tcPr>
          <w:p>
            <w:pPr>
              <w:spacing w:after="20" w:line="252" w:lineRule="auto"/>
            </w:pPr>
            <w:r>
              <w:rPr>
                <w:b/>
                <w:i w:val="0"/>
                <w:sz w:val="15"/>
              </w:rPr>
              <w:t>Participants</w:t>
            </w:r>
          </w:p>
        </w:tc>
        <w:tc>
          <w:tcPr>
            <w:tcW w:type="dxa" w:w="4876"/>
            <w:vAlign w:val="top"/>
            <w:shd w:val="clear" w:color="auto" w:fill="FDF0F7"/>
          </w:tcPr>
          <w:p>
            <w:pPr>
              <w:spacing w:after="20" w:line="252" w:lineRule="auto"/>
            </w:pPr>
            <w:r>
              <w:rPr>
                <w:b w:val="0"/>
                <w:i w:val="0"/>
                <w:sz w:val="15"/>
              </w:rPr>
              <w:t>List, registration and detail</w:t>
            </w:r>
          </w:p>
        </w:tc>
        <w:tc>
          <w:tcPr>
            <w:tcW w:type="dxa" w:w="2381"/>
            <w:vAlign w:val="top"/>
            <w:shd w:val="clear" w:color="auto" w:fill="FDF0F7"/>
          </w:tcPr>
          <w:p>
            <w:pPr>
              <w:spacing w:after="20" w:line="252" w:lineRule="auto"/>
            </w:pPr>
            <w:r>
              <w:rPr>
                <w:b w:val="0"/>
                <w:i w:val="0"/>
                <w:sz w:val="15"/>
              </w:rPr>
              <w:t>AP-11 to AP-16</w:t>
            </w:r>
          </w:p>
        </w:tc>
      </w:tr>
      <w:tr>
        <w:trPr>
          <w:cantSplit/>
        </w:trPr>
        <w:tc>
          <w:tcPr>
            <w:tcW w:type="dxa" w:w="2381"/>
            <w:vAlign w:val="top"/>
          </w:tcPr>
          <w:p>
            <w:pPr>
              <w:spacing w:after="20" w:line="252" w:lineRule="auto"/>
            </w:pPr>
            <w:r>
              <w:rPr>
                <w:b/>
                <w:i w:val="0"/>
                <w:sz w:val="15"/>
              </w:rPr>
              <w:t>Billing</w:t>
            </w:r>
          </w:p>
        </w:tc>
        <w:tc>
          <w:tcPr>
            <w:tcW w:type="dxa" w:w="4876"/>
            <w:vAlign w:val="top"/>
          </w:tcPr>
          <w:p>
            <w:pPr>
              <w:spacing w:after="20" w:line="252" w:lineRule="auto"/>
            </w:pPr>
            <w:r>
              <w:rPr>
                <w:b w:val="0"/>
                <w:i w:val="0"/>
                <w:sz w:val="15"/>
              </w:rPr>
              <w:t>Outstanding, bulk payment, history</w:t>
            </w:r>
          </w:p>
        </w:tc>
        <w:tc>
          <w:tcPr>
            <w:tcW w:type="dxa" w:w="2381"/>
            <w:vAlign w:val="top"/>
          </w:tcPr>
          <w:p>
            <w:pPr>
              <w:spacing w:after="20" w:line="252" w:lineRule="auto"/>
            </w:pPr>
            <w:r>
              <w:rPr>
                <w:b w:val="0"/>
                <w:i w:val="0"/>
                <w:sz w:val="15"/>
              </w:rPr>
              <w:t>AP-37 to AP-42</w:t>
            </w:r>
          </w:p>
        </w:tc>
      </w:tr>
      <w:tr>
        <w:trPr>
          <w:cantSplit/>
        </w:trPr>
        <w:tc>
          <w:tcPr>
            <w:tcW w:type="dxa" w:w="2381"/>
            <w:vAlign w:val="top"/>
            <w:shd w:val="clear" w:color="auto" w:fill="FDF0F7"/>
          </w:tcPr>
          <w:p>
            <w:pPr>
              <w:spacing w:after="20" w:line="252" w:lineRule="auto"/>
            </w:pPr>
            <w:r>
              <w:rPr>
                <w:b/>
                <w:i w:val="0"/>
                <w:sz w:val="15"/>
              </w:rPr>
              <w:t>Payment detail</w:t>
            </w:r>
          </w:p>
        </w:tc>
        <w:tc>
          <w:tcPr>
            <w:tcW w:type="dxa" w:w="4876"/>
            <w:vAlign w:val="top"/>
            <w:shd w:val="clear" w:color="auto" w:fill="FDF0F7"/>
          </w:tcPr>
          <w:p>
            <w:pPr>
              <w:spacing w:after="20" w:line="252" w:lineRule="auto"/>
            </w:pPr>
            <w:r>
              <w:rPr>
                <w:b w:val="0"/>
                <w:i w:val="0"/>
                <w:sz w:val="15"/>
              </w:rPr>
              <w:t>Allocation, proof, status, e-Receipt</w:t>
            </w:r>
          </w:p>
        </w:tc>
        <w:tc>
          <w:tcPr>
            <w:tcW w:type="dxa" w:w="2381"/>
            <w:vAlign w:val="top"/>
            <w:shd w:val="clear" w:color="auto" w:fill="FDF0F7"/>
          </w:tcPr>
          <w:p>
            <w:pPr>
              <w:spacing w:after="20" w:line="252" w:lineRule="auto"/>
            </w:pPr>
            <w:r>
              <w:rPr>
                <w:b w:val="0"/>
                <w:i w:val="0"/>
                <w:sz w:val="15"/>
              </w:rPr>
              <w:t>AP-39 to AP-41</w:t>
            </w:r>
          </w:p>
        </w:tc>
      </w:tr>
      <w:tr>
        <w:trPr>
          <w:cantSplit/>
        </w:trPr>
        <w:tc>
          <w:tcPr>
            <w:tcW w:type="dxa" w:w="2381"/>
            <w:vAlign w:val="top"/>
          </w:tcPr>
          <w:p>
            <w:pPr>
              <w:spacing w:after="20" w:line="252" w:lineRule="auto"/>
            </w:pPr>
            <w:r>
              <w:rPr>
                <w:b/>
                <w:i w:val="0"/>
                <w:sz w:val="15"/>
              </w:rPr>
              <w:t>Claims</w:t>
            </w:r>
          </w:p>
        </w:tc>
        <w:tc>
          <w:tcPr>
            <w:tcW w:type="dxa" w:w="4876"/>
            <w:vAlign w:val="top"/>
          </w:tcPr>
          <w:p>
            <w:pPr>
              <w:spacing w:after="20" w:line="252" w:lineRule="auto"/>
            </w:pPr>
            <w:r>
              <w:rPr>
                <w:b w:val="0"/>
                <w:i w:val="0"/>
                <w:sz w:val="15"/>
              </w:rPr>
              <w:t>List, notification and detail</w:t>
            </w:r>
          </w:p>
        </w:tc>
        <w:tc>
          <w:tcPr>
            <w:tcW w:type="dxa" w:w="2381"/>
            <w:vAlign w:val="top"/>
          </w:tcPr>
          <w:p>
            <w:pPr>
              <w:spacing w:after="20" w:line="252" w:lineRule="auto"/>
            </w:pPr>
            <w:r>
              <w:rPr>
                <w:b w:val="0"/>
                <w:i w:val="0"/>
                <w:sz w:val="15"/>
              </w:rPr>
              <w:t>AP-43</w:t>
            </w:r>
          </w:p>
        </w:tc>
      </w:tr>
      <w:tr>
        <w:trPr>
          <w:cantSplit/>
        </w:trPr>
        <w:tc>
          <w:tcPr>
            <w:tcW w:type="dxa" w:w="2381"/>
            <w:vAlign w:val="top"/>
            <w:shd w:val="clear" w:color="auto" w:fill="FDF0F7"/>
          </w:tcPr>
          <w:p>
            <w:pPr>
              <w:spacing w:after="20" w:line="252" w:lineRule="auto"/>
            </w:pPr>
            <w:r>
              <w:rPr>
                <w:b/>
                <w:i w:val="0"/>
                <w:sz w:val="15"/>
              </w:rPr>
              <w:t>My requests</w:t>
            </w:r>
          </w:p>
        </w:tc>
        <w:tc>
          <w:tcPr>
            <w:tcW w:type="dxa" w:w="4876"/>
            <w:vAlign w:val="top"/>
            <w:shd w:val="clear" w:color="auto" w:fill="FDF0F7"/>
          </w:tcPr>
          <w:p>
            <w:pPr>
              <w:spacing w:after="20" w:line="252" w:lineRule="auto"/>
            </w:pPr>
            <w:r>
              <w:rPr>
                <w:b w:val="0"/>
                <w:i w:val="0"/>
                <w:sz w:val="15"/>
              </w:rPr>
              <w:t>Status of submitted requests and rejection remarks</w:t>
            </w:r>
          </w:p>
        </w:tc>
        <w:tc>
          <w:tcPr>
            <w:tcW w:type="dxa" w:w="2381"/>
            <w:vAlign w:val="top"/>
            <w:shd w:val="clear" w:color="auto" w:fill="FDF0F7"/>
          </w:tcPr>
          <w:p>
            <w:pPr>
              <w:spacing w:after="20" w:line="252" w:lineRule="auto"/>
            </w:pPr>
            <w:r>
              <w:rPr>
                <w:b w:val="0"/>
                <w:i w:val="0"/>
                <w:sz w:val="15"/>
              </w:rPr>
              <w:t>AP-49 to AP-51</w:t>
            </w:r>
          </w:p>
        </w:tc>
      </w:tr>
      <w:tr>
        <w:trPr>
          <w:cantSplit/>
        </w:trPr>
        <w:tc>
          <w:tcPr>
            <w:tcW w:type="dxa" w:w="2381"/>
            <w:vAlign w:val="top"/>
          </w:tcPr>
          <w:p>
            <w:pPr>
              <w:spacing w:after="20" w:line="252" w:lineRule="auto"/>
            </w:pPr>
            <w:r>
              <w:rPr>
                <w:b/>
                <w:i w:val="0"/>
                <w:sz w:val="15"/>
              </w:rPr>
              <w:t>Team and hierarchy</w:t>
            </w:r>
          </w:p>
        </w:tc>
        <w:tc>
          <w:tcPr>
            <w:tcW w:type="dxa" w:w="4876"/>
            <w:vAlign w:val="top"/>
          </w:tcPr>
          <w:p>
            <w:pPr>
              <w:spacing w:after="20" w:line="252" w:lineRule="auto"/>
            </w:pPr>
            <w:r>
              <w:rPr>
                <w:b w:val="0"/>
                <w:i w:val="0"/>
                <w:sz w:val="15"/>
              </w:rPr>
              <w:t>Main agent, sub-agents and bank officers</w:t>
            </w:r>
          </w:p>
        </w:tc>
        <w:tc>
          <w:tcPr>
            <w:tcW w:type="dxa" w:w="2381"/>
            <w:vAlign w:val="top"/>
          </w:tcPr>
          <w:p>
            <w:pPr>
              <w:spacing w:after="20" w:line="252" w:lineRule="auto"/>
            </w:pPr>
            <w:r>
              <w:rPr>
                <w:b w:val="0"/>
                <w:i w:val="0"/>
                <w:sz w:val="15"/>
              </w:rPr>
              <w:t>AP-09, AP-10</w:t>
            </w:r>
          </w:p>
        </w:tc>
      </w:tr>
      <w:tr>
        <w:trPr>
          <w:cantSplit/>
        </w:trPr>
        <w:tc>
          <w:tcPr>
            <w:tcW w:type="dxa" w:w="2381"/>
            <w:vAlign w:val="top"/>
            <w:shd w:val="clear" w:color="auto" w:fill="FDF0F7"/>
          </w:tcPr>
          <w:p>
            <w:pPr>
              <w:spacing w:after="20" w:line="252" w:lineRule="auto"/>
            </w:pPr>
            <w:r>
              <w:rPr>
                <w:b/>
                <w:i w:val="0"/>
                <w:sz w:val="15"/>
              </w:rPr>
              <w:t>Agent registration</w:t>
            </w:r>
          </w:p>
        </w:tc>
        <w:tc>
          <w:tcPr>
            <w:tcW w:type="dxa" w:w="4876"/>
            <w:vAlign w:val="top"/>
            <w:shd w:val="clear" w:color="auto" w:fill="FDF0F7"/>
          </w:tcPr>
          <w:p>
            <w:pPr>
              <w:spacing w:after="20" w:line="252" w:lineRule="auto"/>
            </w:pPr>
            <w:r>
              <w:rPr>
                <w:b w:val="0"/>
                <w:i w:val="0"/>
                <w:sz w:val="15"/>
              </w:rPr>
              <w:t>Online registration and onboarding</w:t>
            </w:r>
          </w:p>
        </w:tc>
        <w:tc>
          <w:tcPr>
            <w:tcW w:type="dxa" w:w="2381"/>
            <w:vAlign w:val="top"/>
            <w:shd w:val="clear" w:color="auto" w:fill="FDF0F7"/>
          </w:tcPr>
          <w:p>
            <w:pPr>
              <w:spacing w:after="20" w:line="252" w:lineRule="auto"/>
            </w:pPr>
            <w:r>
              <w:rPr>
                <w:b w:val="0"/>
                <w:i w:val="0"/>
                <w:sz w:val="15"/>
              </w:rPr>
              <w:t>AP-07, AP-08, AP-46, AP-48</w:t>
            </w:r>
          </w:p>
        </w:tc>
      </w:tr>
      <w:tr>
        <w:trPr>
          <w:cantSplit/>
        </w:trPr>
        <w:tc>
          <w:tcPr>
            <w:tcW w:type="dxa" w:w="2381"/>
            <w:vAlign w:val="top"/>
          </w:tcPr>
          <w:p>
            <w:pPr>
              <w:spacing w:after="20" w:line="252" w:lineRule="auto"/>
            </w:pPr>
            <w:r>
              <w:rPr>
                <w:b/>
                <w:i w:val="0"/>
                <w:sz w:val="15"/>
              </w:rPr>
              <w:t>Profile</w:t>
            </w:r>
          </w:p>
        </w:tc>
        <w:tc>
          <w:tcPr>
            <w:tcW w:type="dxa" w:w="4876"/>
            <w:vAlign w:val="top"/>
          </w:tcPr>
          <w:p>
            <w:pPr>
              <w:spacing w:after="20" w:line="252" w:lineRule="auto"/>
            </w:pPr>
            <w:r>
              <w:rPr>
                <w:b w:val="0"/>
                <w:i w:val="0"/>
                <w:sz w:val="15"/>
              </w:rPr>
              <w:t>Profile and change requests</w:t>
            </w:r>
          </w:p>
        </w:tc>
        <w:tc>
          <w:tcPr>
            <w:tcW w:type="dxa" w:w="2381"/>
            <w:vAlign w:val="top"/>
          </w:tcPr>
          <w:p>
            <w:pPr>
              <w:spacing w:after="20" w:line="252" w:lineRule="auto"/>
            </w:pPr>
            <w:r>
              <w:rPr>
                <w:b w:val="0"/>
                <w:i w:val="0"/>
                <w:sz w:val="15"/>
              </w:rPr>
              <w:t>AP-05, AP-06</w:t>
            </w:r>
          </w:p>
        </w:tc>
      </w:tr>
      <w:tr>
        <w:trPr>
          <w:cantSplit/>
        </w:trPr>
        <w:tc>
          <w:tcPr>
            <w:tcW w:type="dxa" w:w="2381"/>
            <w:vAlign w:val="top"/>
            <w:shd w:val="clear" w:color="auto" w:fill="FDF0F7"/>
          </w:tcPr>
          <w:p>
            <w:pPr>
              <w:spacing w:after="20" w:line="252" w:lineRule="auto"/>
            </w:pPr>
            <w:r>
              <w:rPr>
                <w:b/>
                <w:i w:val="0"/>
                <w:sz w:val="15"/>
              </w:rPr>
              <w:t>Commission</w:t>
            </w:r>
          </w:p>
        </w:tc>
        <w:tc>
          <w:tcPr>
            <w:tcW w:type="dxa" w:w="4876"/>
            <w:vAlign w:val="top"/>
            <w:shd w:val="clear" w:color="auto" w:fill="FDF0F7"/>
          </w:tcPr>
          <w:p>
            <w:pPr>
              <w:spacing w:after="20" w:line="252" w:lineRule="auto"/>
            </w:pPr>
            <w:r>
              <w:rPr>
                <w:b w:val="0"/>
                <w:i w:val="0"/>
                <w:sz w:val="15"/>
              </w:rPr>
              <w:t>Commission and referral fee statement</w:t>
            </w:r>
          </w:p>
        </w:tc>
        <w:tc>
          <w:tcPr>
            <w:tcW w:type="dxa" w:w="2381"/>
            <w:vAlign w:val="top"/>
            <w:shd w:val="clear" w:color="auto" w:fill="FDF0F7"/>
          </w:tcPr>
          <w:p>
            <w:pPr>
              <w:spacing w:after="20" w:line="252" w:lineRule="auto"/>
            </w:pPr>
            <w:r>
              <w:rPr>
                <w:b w:val="0"/>
                <w:i w:val="0"/>
                <w:sz w:val="15"/>
              </w:rPr>
              <w:t>INT-05</w:t>
            </w:r>
          </w:p>
        </w:tc>
      </w:tr>
      <w:tr>
        <w:trPr>
          <w:cantSplit/>
        </w:trPr>
        <w:tc>
          <w:tcPr>
            <w:tcW w:type="dxa" w:w="2381"/>
            <w:vAlign w:val="top"/>
          </w:tcPr>
          <w:p>
            <w:pPr>
              <w:spacing w:after="20" w:line="252" w:lineRule="auto"/>
            </w:pPr>
            <w:r>
              <w:rPr>
                <w:b/>
                <w:i w:val="0"/>
                <w:sz w:val="15"/>
              </w:rPr>
              <w:t>Reports</w:t>
            </w:r>
          </w:p>
        </w:tc>
        <w:tc>
          <w:tcPr>
            <w:tcW w:type="dxa" w:w="4876"/>
            <w:vAlign w:val="top"/>
          </w:tcPr>
          <w:p>
            <w:pPr>
              <w:spacing w:after="20" w:line="252" w:lineRule="auto"/>
            </w:pPr>
            <w:r>
              <w:rPr>
                <w:b w:val="0"/>
                <w:i w:val="0"/>
                <w:sz w:val="15"/>
              </w:rPr>
              <w:t>Role-scoped reports and exports</w:t>
            </w:r>
          </w:p>
        </w:tc>
        <w:tc>
          <w:tcPr>
            <w:tcW w:type="dxa" w:w="2381"/>
            <w:vAlign w:val="top"/>
          </w:tcPr>
          <w:p>
            <w:pPr>
              <w:spacing w:after="20" w:line="252" w:lineRule="auto"/>
            </w:pPr>
            <w:r>
              <w:rPr>
                <w:b w:val="0"/>
                <w:i w:val="0"/>
                <w:sz w:val="15"/>
              </w:rPr>
              <w:t>AP-58</w:t>
            </w:r>
          </w:p>
        </w:tc>
      </w:tr>
      <w:tr>
        <w:trPr>
          <w:cantSplit/>
        </w:trPr>
        <w:tc>
          <w:tcPr>
            <w:tcW w:type="dxa" w:w="2381"/>
            <w:vAlign w:val="top"/>
            <w:shd w:val="clear" w:color="auto" w:fill="FDF0F7"/>
          </w:tcPr>
          <w:p>
            <w:pPr>
              <w:spacing w:after="20" w:line="252" w:lineRule="auto"/>
            </w:pPr>
            <w:r>
              <w:rPr>
                <w:b/>
                <w:i w:val="0"/>
                <w:sz w:val="15"/>
              </w:rPr>
              <w:t>Support issues</w:t>
            </w:r>
          </w:p>
        </w:tc>
        <w:tc>
          <w:tcPr>
            <w:tcW w:type="dxa" w:w="4876"/>
            <w:vAlign w:val="top"/>
            <w:shd w:val="clear" w:color="auto" w:fill="FDF0F7"/>
          </w:tcPr>
          <w:p>
            <w:pPr>
              <w:spacing w:after="20" w:line="252" w:lineRule="auto"/>
            </w:pPr>
            <w:r>
              <w:rPr>
                <w:b w:val="0"/>
                <w:i w:val="0"/>
                <w:sz w:val="15"/>
              </w:rPr>
              <w:t>Report and track issues</w:t>
            </w:r>
          </w:p>
        </w:tc>
        <w:tc>
          <w:tcPr>
            <w:tcW w:type="dxa" w:w="2381"/>
            <w:vAlign w:val="top"/>
            <w:shd w:val="clear" w:color="auto" w:fill="FDF0F7"/>
          </w:tcPr>
          <w:p>
            <w:pPr>
              <w:spacing w:after="20" w:line="252" w:lineRule="auto"/>
            </w:pPr>
            <w:r>
              <w:rPr>
                <w:b w:val="0"/>
                <w:i w:val="0"/>
                <w:sz w:val="15"/>
              </w:rPr>
              <w:t>AP-55 to AP-57</w:t>
            </w:r>
          </w:p>
        </w:tc>
      </w:tr>
      <w:tr>
        <w:trPr>
          <w:cantSplit/>
        </w:trPr>
        <w:tc>
          <w:tcPr>
            <w:tcW w:type="dxa" w:w="2381"/>
            <w:vAlign w:val="top"/>
          </w:tcPr>
          <w:p>
            <w:pPr>
              <w:spacing w:after="20" w:line="252" w:lineRule="auto"/>
            </w:pPr>
            <w:r>
              <w:rPr>
                <w:b/>
                <w:i w:val="0"/>
                <w:sz w:val="15"/>
              </w:rPr>
              <w:t>Notifications</w:t>
            </w:r>
          </w:p>
        </w:tc>
        <w:tc>
          <w:tcPr>
            <w:tcW w:type="dxa" w:w="4876"/>
            <w:vAlign w:val="top"/>
          </w:tcPr>
          <w:p>
            <w:pPr>
              <w:spacing w:after="20" w:line="252" w:lineRule="auto"/>
            </w:pPr>
            <w:r>
              <w:rPr>
                <w:b w:val="0"/>
                <w:i w:val="0"/>
                <w:sz w:val="15"/>
              </w:rPr>
              <w:t>In-portal notifications</w:t>
            </w:r>
          </w:p>
        </w:tc>
        <w:tc>
          <w:tcPr>
            <w:tcW w:type="dxa" w:w="2381"/>
            <w:vAlign w:val="top"/>
          </w:tcPr>
          <w:p>
            <w:pPr>
              <w:spacing w:after="20" w:line="252" w:lineRule="auto"/>
            </w:pPr>
            <w:r>
              <w:rPr>
                <w:b w:val="0"/>
                <w:i w:val="0"/>
                <w:sz w:val="15"/>
              </w:rPr>
              <w:t>AP-34, AP-54</w:t>
            </w:r>
          </w:p>
        </w:tc>
      </w:tr>
      <w:tr>
        <w:trPr>
          <w:cantSplit/>
        </w:trPr>
        <w:tc>
          <w:tcPr>
            <w:tcW w:type="dxa" w:w="2381"/>
            <w:vAlign w:val="top"/>
            <w:shd w:val="clear" w:color="auto" w:fill="FDF0F7"/>
          </w:tcPr>
          <w:p>
            <w:pPr>
              <w:spacing w:after="20" w:line="252" w:lineRule="auto"/>
            </w:pPr>
            <w:r>
              <w:rPr>
                <w:b/>
                <w:i w:val="0"/>
                <w:sz w:val="15"/>
              </w:rPr>
              <w:t>Participant e-signature page</w:t>
            </w:r>
          </w:p>
        </w:tc>
        <w:tc>
          <w:tcPr>
            <w:tcW w:type="dxa" w:w="4876"/>
            <w:vAlign w:val="top"/>
            <w:shd w:val="clear" w:color="auto" w:fill="FDF0F7"/>
          </w:tcPr>
          <w:p>
            <w:pPr>
              <w:spacing w:after="20" w:line="252" w:lineRule="auto"/>
            </w:pPr>
            <w:r>
              <w:rPr>
                <w:b w:val="0"/>
                <w:i w:val="0"/>
                <w:sz w:val="15"/>
              </w:rPr>
              <w:t>Remote signature by single-use link</w:t>
            </w:r>
          </w:p>
        </w:tc>
        <w:tc>
          <w:tcPr>
            <w:tcW w:type="dxa" w:w="2381"/>
            <w:vAlign w:val="top"/>
            <w:shd w:val="clear" w:color="auto" w:fill="FDF0F7"/>
          </w:tcPr>
          <w:p>
            <w:pPr>
              <w:spacing w:after="20" w:line="252" w:lineRule="auto"/>
            </w:pPr>
            <w:r>
              <w:rPr>
                <w:b w:val="0"/>
                <w:i w:val="0"/>
                <w:sz w:val="15"/>
              </w:rPr>
              <w:t>AP-62</w:t>
            </w:r>
          </w:p>
        </w:tc>
      </w:tr>
    </w:tbl>
    <w:p>
      <w:pPr>
        <w:spacing w:after="0" w:before="0"/>
      </w:pPr>
      <w:r>
        <w:rPr>
          <w:sz w:val="8"/>
        </w:rPr>
      </w:r>
    </w:p>
    <w:p>
      <w:pPr>
        <w:pStyle w:val="Heading2"/>
      </w:pPr>
      <w:r>
        <w:t>11.2 Back-office screens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2381"/>
        <w:gridCol w:w="4876"/>
        <w:gridCol w:w="2381"/>
      </w:tblGrid>
      <w:tr>
        <w:trPr>
          <w:cantSplit/>
          <w:tblHeader/>
        </w:trPr>
        <w:tc>
          <w:tcPr>
            <w:tcW w:type="dxa" w:w="2381"/>
            <w:shd w:val="clear" w:color="auto" w:fill="E1058C"/>
            <w:vAlign w:val="center"/>
          </w:tcPr>
          <w:p>
            <w:pPr>
              <w:spacing w:after="0"/>
            </w:pPr>
            <w:r>
              <w:rPr>
                <w:b/>
                <w:i w:val="0"/>
                <w:color w:val="FFFFFF"/>
                <w:sz w:val="15"/>
              </w:rPr>
              <w:t>Screen</w:t>
            </w:r>
          </w:p>
        </w:tc>
        <w:tc>
          <w:tcPr>
            <w:tcW w:type="dxa" w:w="4876"/>
            <w:shd w:val="clear" w:color="auto" w:fill="E1058C"/>
            <w:vAlign w:val="center"/>
          </w:tcPr>
          <w:p>
            <w:pPr>
              <w:spacing w:after="0"/>
            </w:pPr>
            <w:r>
              <w:rPr>
                <w:b/>
                <w:i w:val="0"/>
                <w:color w:val="FFFFFF"/>
                <w:sz w:val="15"/>
              </w:rPr>
              <w:t>Purpose</w:t>
            </w:r>
          </w:p>
        </w:tc>
        <w:tc>
          <w:tcPr>
            <w:tcW w:type="dxa" w:w="2381"/>
            <w:shd w:val="clear" w:color="auto" w:fill="E1058C"/>
            <w:vAlign w:val="center"/>
          </w:tcPr>
          <w:p>
            <w:pPr>
              <w:spacing w:after="0"/>
            </w:pPr>
            <w:r>
              <w:rPr>
                <w:b/>
                <w:i w:val="0"/>
                <w:color w:val="FFFFFF"/>
                <w:sz w:val="15"/>
              </w:rPr>
              <w:t>RFP IDs</w:t>
            </w:r>
          </w:p>
        </w:tc>
      </w:tr>
      <w:tr>
        <w:trPr>
          <w:cantSplit/>
        </w:trPr>
        <w:tc>
          <w:tcPr>
            <w:tcW w:type="dxa" w:w="2381"/>
            <w:vAlign w:val="top"/>
          </w:tcPr>
          <w:p>
            <w:pPr>
              <w:spacing w:after="20" w:line="252" w:lineRule="auto"/>
            </w:pPr>
            <w:r>
              <w:rPr>
                <w:b/>
                <w:i w:val="0"/>
                <w:sz w:val="15"/>
              </w:rPr>
              <w:t>Dashboard</w:t>
            </w:r>
          </w:p>
        </w:tc>
        <w:tc>
          <w:tcPr>
            <w:tcW w:type="dxa" w:w="4876"/>
            <w:vAlign w:val="top"/>
          </w:tcPr>
          <w:p>
            <w:pPr>
              <w:spacing w:after="20" w:line="252" w:lineRule="auto"/>
            </w:pPr>
            <w:r>
              <w:rPr>
                <w:b w:val="0"/>
                <w:i w:val="0"/>
                <w:sz w:val="15"/>
              </w:rPr>
              <w:t>Pending actions and management KPIs</w:t>
            </w:r>
          </w:p>
        </w:tc>
        <w:tc>
          <w:tcPr>
            <w:tcW w:type="dxa" w:w="2381"/>
            <w:vAlign w:val="top"/>
          </w:tcPr>
          <w:p>
            <w:pPr>
              <w:spacing w:after="20" w:line="252" w:lineRule="auto"/>
            </w:pPr>
            <w:r>
              <w:rPr>
                <w:b w:val="0"/>
                <w:i w:val="0"/>
                <w:sz w:val="15"/>
              </w:rPr>
              <w:t>BO-20, BO-21</w:t>
            </w:r>
          </w:p>
        </w:tc>
      </w:tr>
      <w:tr>
        <w:trPr>
          <w:cantSplit/>
        </w:trPr>
        <w:tc>
          <w:tcPr>
            <w:tcW w:type="dxa" w:w="2381"/>
            <w:vAlign w:val="top"/>
            <w:shd w:val="clear" w:color="auto" w:fill="FDF0F7"/>
          </w:tcPr>
          <w:p>
            <w:pPr>
              <w:spacing w:after="20" w:line="252" w:lineRule="auto"/>
            </w:pPr>
            <w:r>
              <w:rPr>
                <w:b/>
                <w:i w:val="0"/>
                <w:sz w:val="15"/>
              </w:rPr>
              <w:t>Approvals inbox and detail</w:t>
            </w:r>
          </w:p>
        </w:tc>
        <w:tc>
          <w:tcPr>
            <w:tcW w:type="dxa" w:w="4876"/>
            <w:vAlign w:val="top"/>
            <w:shd w:val="clear" w:color="auto" w:fill="FDF0F7"/>
          </w:tcPr>
          <w:p>
            <w:pPr>
              <w:spacing w:after="20" w:line="252" w:lineRule="auto"/>
            </w:pPr>
            <w:r>
              <w:rPr>
                <w:b w:val="0"/>
                <w:i w:val="0"/>
                <w:sz w:val="15"/>
              </w:rPr>
              <w:t>Maker-checker queue with before and after values</w:t>
            </w:r>
          </w:p>
        </w:tc>
        <w:tc>
          <w:tcPr>
            <w:tcW w:type="dxa" w:w="2381"/>
            <w:vAlign w:val="top"/>
            <w:shd w:val="clear" w:color="auto" w:fill="FDF0F7"/>
          </w:tcPr>
          <w:p>
            <w:pPr>
              <w:spacing w:after="20" w:line="252" w:lineRule="auto"/>
            </w:pPr>
            <w:r>
              <w:rPr>
                <w:b w:val="0"/>
                <w:i w:val="0"/>
                <w:sz w:val="15"/>
              </w:rPr>
              <w:t>BO-16 to BO-19</w:t>
            </w:r>
          </w:p>
        </w:tc>
      </w:tr>
      <w:tr>
        <w:trPr>
          <w:cantSplit/>
        </w:trPr>
        <w:tc>
          <w:tcPr>
            <w:tcW w:type="dxa" w:w="2381"/>
            <w:vAlign w:val="top"/>
          </w:tcPr>
          <w:p>
            <w:pPr>
              <w:spacing w:after="20" w:line="252" w:lineRule="auto"/>
            </w:pPr>
            <w:r>
              <w:rPr>
                <w:b/>
                <w:i w:val="0"/>
                <w:sz w:val="15"/>
              </w:rPr>
              <w:t>Agents</w:t>
            </w:r>
          </w:p>
        </w:tc>
        <w:tc>
          <w:tcPr>
            <w:tcW w:type="dxa" w:w="4876"/>
            <w:vAlign w:val="top"/>
          </w:tcPr>
          <w:p>
            <w:pPr>
              <w:spacing w:after="20" w:line="252" w:lineRule="auto"/>
            </w:pPr>
            <w:r>
              <w:rPr>
                <w:b w:val="0"/>
                <w:i w:val="0"/>
                <w:sz w:val="15"/>
              </w:rPr>
              <w:t>List, registration and detail</w:t>
            </w:r>
          </w:p>
        </w:tc>
        <w:tc>
          <w:tcPr>
            <w:tcW w:type="dxa" w:w="2381"/>
            <w:vAlign w:val="top"/>
          </w:tcPr>
          <w:p>
            <w:pPr>
              <w:spacing w:after="20" w:line="252" w:lineRule="auto"/>
            </w:pPr>
            <w:r>
              <w:rPr>
                <w:b w:val="0"/>
                <w:i w:val="0"/>
                <w:sz w:val="15"/>
              </w:rPr>
              <w:t>BO-05 to BO-08, BO-10</w:t>
            </w:r>
          </w:p>
        </w:tc>
      </w:tr>
      <w:tr>
        <w:trPr>
          <w:cantSplit/>
        </w:trPr>
        <w:tc>
          <w:tcPr>
            <w:tcW w:type="dxa" w:w="2381"/>
            <w:vAlign w:val="top"/>
            <w:shd w:val="clear" w:color="auto" w:fill="FDF0F7"/>
          </w:tcPr>
          <w:p>
            <w:pPr>
              <w:spacing w:after="20" w:line="252" w:lineRule="auto"/>
            </w:pPr>
            <w:r>
              <w:rPr>
                <w:b/>
                <w:i w:val="0"/>
                <w:sz w:val="15"/>
              </w:rPr>
              <w:t>Agencies and banks</w:t>
            </w:r>
          </w:p>
        </w:tc>
        <w:tc>
          <w:tcPr>
            <w:tcW w:type="dxa" w:w="4876"/>
            <w:vAlign w:val="top"/>
            <w:shd w:val="clear" w:color="auto" w:fill="FDF0F7"/>
          </w:tcPr>
          <w:p>
            <w:pPr>
              <w:spacing w:after="20" w:line="252" w:lineRule="auto"/>
            </w:pPr>
            <w:r>
              <w:rPr>
                <w:b w:val="0"/>
                <w:i w:val="0"/>
                <w:sz w:val="15"/>
              </w:rPr>
              <w:t>Agency, bank and branch records</w:t>
            </w:r>
          </w:p>
        </w:tc>
        <w:tc>
          <w:tcPr>
            <w:tcW w:type="dxa" w:w="2381"/>
            <w:vAlign w:val="top"/>
            <w:shd w:val="clear" w:color="auto" w:fill="FDF0F7"/>
          </w:tcPr>
          <w:p>
            <w:pPr>
              <w:spacing w:after="20" w:line="252" w:lineRule="auto"/>
            </w:pPr>
            <w:r>
              <w:rPr>
                <w:b w:val="0"/>
                <w:i w:val="0"/>
                <w:sz w:val="15"/>
              </w:rPr>
              <w:t>BO-09</w:t>
            </w:r>
          </w:p>
        </w:tc>
      </w:tr>
      <w:tr>
        <w:trPr>
          <w:cantSplit/>
        </w:trPr>
        <w:tc>
          <w:tcPr>
            <w:tcW w:type="dxa" w:w="2381"/>
            <w:vAlign w:val="top"/>
          </w:tcPr>
          <w:p>
            <w:pPr>
              <w:spacing w:after="20" w:line="252" w:lineRule="auto"/>
            </w:pPr>
            <w:r>
              <w:rPr>
                <w:b/>
                <w:i w:val="0"/>
                <w:sz w:val="15"/>
              </w:rPr>
              <w:t>Policies</w:t>
            </w:r>
          </w:p>
        </w:tc>
        <w:tc>
          <w:tcPr>
            <w:tcW w:type="dxa" w:w="4876"/>
            <w:vAlign w:val="top"/>
          </w:tcPr>
          <w:p>
            <w:pPr>
              <w:spacing w:after="20" w:line="252" w:lineRule="auto"/>
            </w:pPr>
            <w:r>
              <w:rPr>
                <w:b w:val="0"/>
                <w:i w:val="0"/>
                <w:sz w:val="15"/>
              </w:rPr>
              <w:t>Policy search and detail</w:t>
            </w:r>
          </w:p>
        </w:tc>
        <w:tc>
          <w:tcPr>
            <w:tcW w:type="dxa" w:w="2381"/>
            <w:vAlign w:val="top"/>
          </w:tcPr>
          <w:p>
            <w:pPr>
              <w:spacing w:after="20" w:line="252" w:lineRule="auto"/>
            </w:pPr>
            <w:r>
              <w:rPr>
                <w:b w:val="0"/>
                <w:i w:val="0"/>
                <w:sz w:val="15"/>
              </w:rPr>
              <w:t>AP-21 to AP-31 (back-office view)</w:t>
            </w:r>
          </w:p>
        </w:tc>
      </w:tr>
      <w:tr>
        <w:trPr>
          <w:cantSplit/>
        </w:trPr>
        <w:tc>
          <w:tcPr>
            <w:tcW w:type="dxa" w:w="2381"/>
            <w:vAlign w:val="top"/>
            <w:shd w:val="clear" w:color="auto" w:fill="FDF0F7"/>
          </w:tcPr>
          <w:p>
            <w:pPr>
              <w:spacing w:after="20" w:line="252" w:lineRule="auto"/>
            </w:pPr>
            <w:r>
              <w:rPr>
                <w:b/>
                <w:i w:val="0"/>
                <w:sz w:val="15"/>
              </w:rPr>
              <w:t>Participants</w:t>
            </w:r>
          </w:p>
        </w:tc>
        <w:tc>
          <w:tcPr>
            <w:tcW w:type="dxa" w:w="4876"/>
            <w:vAlign w:val="top"/>
            <w:shd w:val="clear" w:color="auto" w:fill="FDF0F7"/>
          </w:tcPr>
          <w:p>
            <w:pPr>
              <w:spacing w:after="20" w:line="252" w:lineRule="auto"/>
            </w:pPr>
            <w:r>
              <w:rPr>
                <w:b w:val="0"/>
                <w:i w:val="0"/>
                <w:sz w:val="15"/>
              </w:rPr>
              <w:t>Participant search and detail</w:t>
            </w:r>
          </w:p>
        </w:tc>
        <w:tc>
          <w:tcPr>
            <w:tcW w:type="dxa" w:w="2381"/>
            <w:vAlign w:val="top"/>
            <w:shd w:val="clear" w:color="auto" w:fill="FDF0F7"/>
          </w:tcPr>
          <w:p>
            <w:pPr>
              <w:spacing w:after="20" w:line="252" w:lineRule="auto"/>
            </w:pPr>
            <w:r>
              <w:rPr>
                <w:b w:val="0"/>
                <w:i w:val="0"/>
                <w:sz w:val="15"/>
              </w:rPr>
              <w:t>AP-11 to AP-15</w:t>
            </w:r>
          </w:p>
        </w:tc>
      </w:tr>
      <w:tr>
        <w:trPr>
          <w:cantSplit/>
        </w:trPr>
        <w:tc>
          <w:tcPr>
            <w:tcW w:type="dxa" w:w="2381"/>
            <w:vAlign w:val="top"/>
          </w:tcPr>
          <w:p>
            <w:pPr>
              <w:spacing w:after="20" w:line="252" w:lineRule="auto"/>
            </w:pPr>
            <w:r>
              <w:rPr>
                <w:b/>
                <w:i w:val="0"/>
                <w:sz w:val="15"/>
              </w:rPr>
              <w:t>Payments</w:t>
            </w:r>
          </w:p>
        </w:tc>
        <w:tc>
          <w:tcPr>
            <w:tcW w:type="dxa" w:w="4876"/>
            <w:vAlign w:val="top"/>
          </w:tcPr>
          <w:p>
            <w:pPr>
              <w:spacing w:after="20" w:line="252" w:lineRule="auto"/>
            </w:pPr>
            <w:r>
              <w:rPr>
                <w:b w:val="0"/>
                <w:i w:val="0"/>
                <w:sz w:val="15"/>
              </w:rPr>
              <w:t>Verification and receipts</w:t>
            </w:r>
          </w:p>
        </w:tc>
        <w:tc>
          <w:tcPr>
            <w:tcW w:type="dxa" w:w="2381"/>
            <w:vAlign w:val="top"/>
          </w:tcPr>
          <w:p>
            <w:pPr>
              <w:spacing w:after="20" w:line="252" w:lineRule="auto"/>
            </w:pPr>
            <w:r>
              <w:rPr>
                <w:b w:val="0"/>
                <w:i w:val="0"/>
                <w:sz w:val="15"/>
              </w:rPr>
              <w:t>AP-40, AP-41</w:t>
            </w:r>
          </w:p>
        </w:tc>
      </w:tr>
      <w:tr>
        <w:trPr>
          <w:cantSplit/>
        </w:trPr>
        <w:tc>
          <w:tcPr>
            <w:tcW w:type="dxa" w:w="2381"/>
            <w:vAlign w:val="top"/>
            <w:shd w:val="clear" w:color="auto" w:fill="FDF0F7"/>
          </w:tcPr>
          <w:p>
            <w:pPr>
              <w:spacing w:after="20" w:line="252" w:lineRule="auto"/>
            </w:pPr>
            <w:r>
              <w:rPr>
                <w:b/>
                <w:i w:val="0"/>
                <w:sz w:val="15"/>
              </w:rPr>
              <w:t>Claims</w:t>
            </w:r>
          </w:p>
        </w:tc>
        <w:tc>
          <w:tcPr>
            <w:tcW w:type="dxa" w:w="4876"/>
            <w:vAlign w:val="top"/>
            <w:shd w:val="clear" w:color="auto" w:fill="FDF0F7"/>
          </w:tcPr>
          <w:p>
            <w:pPr>
              <w:spacing w:after="20" w:line="252" w:lineRule="auto"/>
            </w:pPr>
            <w:r>
              <w:rPr>
                <w:b w:val="0"/>
                <w:i w:val="0"/>
                <w:sz w:val="15"/>
              </w:rPr>
              <w:t>Claim notifications</w:t>
            </w:r>
          </w:p>
        </w:tc>
        <w:tc>
          <w:tcPr>
            <w:tcW w:type="dxa" w:w="2381"/>
            <w:vAlign w:val="top"/>
            <w:shd w:val="clear" w:color="auto" w:fill="FDF0F7"/>
          </w:tcPr>
          <w:p>
            <w:pPr>
              <w:spacing w:after="20" w:line="252" w:lineRule="auto"/>
            </w:pPr>
            <w:r>
              <w:rPr>
                <w:b w:val="0"/>
                <w:i w:val="0"/>
                <w:sz w:val="15"/>
              </w:rPr>
              <w:t>AP-43</w:t>
            </w:r>
          </w:p>
        </w:tc>
      </w:tr>
      <w:tr>
        <w:trPr>
          <w:cantSplit/>
        </w:trPr>
        <w:tc>
          <w:tcPr>
            <w:tcW w:type="dxa" w:w="2381"/>
            <w:vAlign w:val="top"/>
          </w:tcPr>
          <w:p>
            <w:pPr>
              <w:spacing w:after="20" w:line="252" w:lineRule="auto"/>
            </w:pPr>
            <w:r>
              <w:rPr>
                <w:b/>
                <w:i w:val="0"/>
                <w:sz w:val="15"/>
              </w:rPr>
              <w:t>AML/KYC cases and watch-lists</w:t>
            </w:r>
          </w:p>
        </w:tc>
        <w:tc>
          <w:tcPr>
            <w:tcW w:type="dxa" w:w="4876"/>
            <w:vAlign w:val="top"/>
          </w:tcPr>
          <w:p>
            <w:pPr>
              <w:spacing w:after="20" w:line="252" w:lineRule="auto"/>
            </w:pPr>
            <w:r>
              <w:rPr>
                <w:b w:val="0"/>
                <w:i w:val="0"/>
                <w:sz w:val="15"/>
              </w:rPr>
              <w:t>Screening results, review, lists</w:t>
            </w:r>
          </w:p>
        </w:tc>
        <w:tc>
          <w:tcPr>
            <w:tcW w:type="dxa" w:w="2381"/>
            <w:vAlign w:val="top"/>
          </w:tcPr>
          <w:p>
            <w:pPr>
              <w:spacing w:after="20" w:line="252" w:lineRule="auto"/>
            </w:pPr>
            <w:r>
              <w:rPr>
                <w:b w:val="0"/>
                <w:i w:val="0"/>
                <w:sz w:val="15"/>
              </w:rPr>
              <w:t>BO-13 to BO-15</w:t>
            </w:r>
          </w:p>
        </w:tc>
      </w:tr>
      <w:tr>
        <w:trPr>
          <w:cantSplit/>
        </w:trPr>
        <w:tc>
          <w:tcPr>
            <w:tcW w:type="dxa" w:w="2381"/>
            <w:vAlign w:val="top"/>
            <w:shd w:val="clear" w:color="auto" w:fill="FDF0F7"/>
          </w:tcPr>
          <w:p>
            <w:pPr>
              <w:spacing w:after="20" w:line="252" w:lineRule="auto"/>
            </w:pPr>
            <w:r>
              <w:rPr>
                <w:b/>
                <w:i w:val="0"/>
                <w:sz w:val="15"/>
              </w:rPr>
              <w:t>Document checks</w:t>
            </w:r>
          </w:p>
        </w:tc>
        <w:tc>
          <w:tcPr>
            <w:tcW w:type="dxa" w:w="4876"/>
            <w:vAlign w:val="top"/>
            <w:shd w:val="clear" w:color="auto" w:fill="FDF0F7"/>
          </w:tcPr>
          <w:p>
            <w:pPr>
              <w:spacing w:after="20" w:line="252" w:lineRule="auto"/>
            </w:pPr>
            <w:r>
              <w:rPr>
                <w:b w:val="0"/>
                <w:i w:val="0"/>
                <w:sz w:val="15"/>
              </w:rPr>
              <w:t>Validation, approval and expiry</w:t>
            </w:r>
          </w:p>
        </w:tc>
        <w:tc>
          <w:tcPr>
            <w:tcW w:type="dxa" w:w="2381"/>
            <w:vAlign w:val="top"/>
            <w:shd w:val="clear" w:color="auto" w:fill="FDF0F7"/>
          </w:tcPr>
          <w:p>
            <w:pPr>
              <w:spacing w:after="20" w:line="252" w:lineRule="auto"/>
            </w:pPr>
            <w:r>
              <w:rPr>
                <w:b w:val="0"/>
                <w:i w:val="0"/>
                <w:sz w:val="15"/>
              </w:rPr>
              <w:t>BO-11, BO-12</w:t>
            </w:r>
          </w:p>
        </w:tc>
      </w:tr>
      <w:tr>
        <w:trPr>
          <w:cantSplit/>
        </w:trPr>
        <w:tc>
          <w:tcPr>
            <w:tcW w:type="dxa" w:w="2381"/>
            <w:vAlign w:val="top"/>
          </w:tcPr>
          <w:p>
            <w:pPr>
              <w:spacing w:after="20" w:line="252" w:lineRule="auto"/>
            </w:pPr>
            <w:r>
              <w:rPr>
                <w:b/>
                <w:i w:val="0"/>
                <w:sz w:val="15"/>
              </w:rPr>
              <w:t>Audit trail</w:t>
            </w:r>
          </w:p>
        </w:tc>
        <w:tc>
          <w:tcPr>
            <w:tcW w:type="dxa" w:w="4876"/>
            <w:vAlign w:val="top"/>
          </w:tcPr>
          <w:p>
            <w:pPr>
              <w:spacing w:after="20" w:line="252" w:lineRule="auto"/>
            </w:pPr>
            <w:r>
              <w:rPr>
                <w:b w:val="0"/>
                <w:i w:val="0"/>
                <w:sz w:val="15"/>
              </w:rPr>
              <w:t>Audit search and export</w:t>
            </w:r>
          </w:p>
        </w:tc>
        <w:tc>
          <w:tcPr>
            <w:tcW w:type="dxa" w:w="2381"/>
            <w:vAlign w:val="top"/>
          </w:tcPr>
          <w:p>
            <w:pPr>
              <w:spacing w:after="20" w:line="252" w:lineRule="auto"/>
            </w:pPr>
            <w:r>
              <w:rPr>
                <w:b w:val="0"/>
                <w:i w:val="0"/>
                <w:sz w:val="15"/>
              </w:rPr>
              <w:t>BO-26 to BO-28</w:t>
            </w:r>
          </w:p>
        </w:tc>
      </w:tr>
      <w:tr>
        <w:trPr>
          <w:cantSplit/>
        </w:trPr>
        <w:tc>
          <w:tcPr>
            <w:tcW w:type="dxa" w:w="2381"/>
            <w:vAlign w:val="top"/>
            <w:shd w:val="clear" w:color="auto" w:fill="FDF0F7"/>
          </w:tcPr>
          <w:p>
            <w:pPr>
              <w:spacing w:after="20" w:line="252" w:lineRule="auto"/>
            </w:pPr>
            <w:r>
              <w:rPr>
                <w:b/>
                <w:i w:val="0"/>
                <w:sz w:val="15"/>
              </w:rPr>
              <w:t>Issues</w:t>
            </w:r>
          </w:p>
        </w:tc>
        <w:tc>
          <w:tcPr>
            <w:tcW w:type="dxa" w:w="4876"/>
            <w:vAlign w:val="top"/>
            <w:shd w:val="clear" w:color="auto" w:fill="FDF0F7"/>
          </w:tcPr>
          <w:p>
            <w:pPr>
              <w:spacing w:after="20" w:line="252" w:lineRule="auto"/>
            </w:pPr>
            <w:r>
              <w:rPr>
                <w:b w:val="0"/>
                <w:i w:val="0"/>
                <w:sz w:val="15"/>
              </w:rPr>
              <w:t>Assignment, priority, SLA</w:t>
            </w:r>
          </w:p>
        </w:tc>
        <w:tc>
          <w:tcPr>
            <w:tcW w:type="dxa" w:w="2381"/>
            <w:vAlign w:val="top"/>
            <w:shd w:val="clear" w:color="auto" w:fill="FDF0F7"/>
          </w:tcPr>
          <w:p>
            <w:pPr>
              <w:spacing w:after="20" w:line="252" w:lineRule="auto"/>
            </w:pPr>
            <w:r>
              <w:rPr>
                <w:b w:val="0"/>
                <w:i w:val="0"/>
                <w:sz w:val="15"/>
              </w:rPr>
              <w:t>BO-29 to BO-31</w:t>
            </w:r>
          </w:p>
        </w:tc>
      </w:tr>
      <w:tr>
        <w:trPr>
          <w:cantSplit/>
        </w:trPr>
        <w:tc>
          <w:tcPr>
            <w:tcW w:type="dxa" w:w="2381"/>
            <w:vAlign w:val="top"/>
          </w:tcPr>
          <w:p>
            <w:pPr>
              <w:spacing w:after="20" w:line="252" w:lineRule="auto"/>
            </w:pPr>
            <w:r>
              <w:rPr>
                <w:b/>
                <w:i w:val="0"/>
                <w:sz w:val="15"/>
              </w:rPr>
              <w:t>Reports and schedules</w:t>
            </w:r>
          </w:p>
        </w:tc>
        <w:tc>
          <w:tcPr>
            <w:tcW w:type="dxa" w:w="4876"/>
            <w:vAlign w:val="top"/>
          </w:tcPr>
          <w:p>
            <w:pPr>
              <w:spacing w:after="20" w:line="252" w:lineRule="auto"/>
            </w:pPr>
            <w:r>
              <w:rPr>
                <w:b w:val="0"/>
                <w:i w:val="0"/>
                <w:sz w:val="15"/>
              </w:rPr>
              <w:t>Report runs, exports, schedules</w:t>
            </w:r>
          </w:p>
        </w:tc>
        <w:tc>
          <w:tcPr>
            <w:tcW w:type="dxa" w:w="2381"/>
            <w:vAlign w:val="top"/>
          </w:tcPr>
          <w:p>
            <w:pPr>
              <w:spacing w:after="20" w:line="252" w:lineRule="auto"/>
            </w:pPr>
            <w:r>
              <w:rPr>
                <w:b w:val="0"/>
                <w:i w:val="0"/>
                <w:sz w:val="15"/>
              </w:rPr>
              <w:t>BO-22 to BO-25</w:t>
            </w:r>
          </w:p>
        </w:tc>
      </w:tr>
      <w:tr>
        <w:trPr>
          <w:cantSplit/>
        </w:trPr>
        <w:tc>
          <w:tcPr>
            <w:tcW w:type="dxa" w:w="2381"/>
            <w:vAlign w:val="top"/>
            <w:shd w:val="clear" w:color="auto" w:fill="FDF0F7"/>
          </w:tcPr>
          <w:p>
            <w:pPr>
              <w:spacing w:after="20" w:line="252" w:lineRule="auto"/>
            </w:pPr>
            <w:r>
              <w:rPr>
                <w:b/>
                <w:i w:val="0"/>
                <w:sz w:val="15"/>
              </w:rPr>
              <w:t>End of day</w:t>
            </w:r>
          </w:p>
        </w:tc>
        <w:tc>
          <w:tcPr>
            <w:tcW w:type="dxa" w:w="4876"/>
            <w:vAlign w:val="top"/>
            <w:shd w:val="clear" w:color="auto" w:fill="FDF0F7"/>
          </w:tcPr>
          <w:p>
            <w:pPr>
              <w:spacing w:after="20" w:line="252" w:lineRule="auto"/>
            </w:pPr>
            <w:r>
              <w:rPr>
                <w:b w:val="0"/>
                <w:i w:val="0"/>
                <w:sz w:val="15"/>
              </w:rPr>
              <w:t>EOD runs, FIN file, reconciliation, sign-off</w:t>
            </w:r>
          </w:p>
        </w:tc>
        <w:tc>
          <w:tcPr>
            <w:tcW w:type="dxa" w:w="2381"/>
            <w:vAlign w:val="top"/>
            <w:shd w:val="clear" w:color="auto" w:fill="FDF0F7"/>
          </w:tcPr>
          <w:p>
            <w:pPr>
              <w:spacing w:after="20" w:line="252" w:lineRule="auto"/>
            </w:pPr>
            <w:r>
              <w:rPr>
                <w:b w:val="0"/>
                <w:i w:val="0"/>
                <w:sz w:val="15"/>
              </w:rPr>
              <w:t>FFR EOD, INT-04</w:t>
            </w:r>
          </w:p>
        </w:tc>
      </w:tr>
      <w:tr>
        <w:trPr>
          <w:cantSplit/>
        </w:trPr>
        <w:tc>
          <w:tcPr>
            <w:tcW w:type="dxa" w:w="2381"/>
            <w:vAlign w:val="top"/>
          </w:tcPr>
          <w:p>
            <w:pPr>
              <w:spacing w:after="20" w:line="252" w:lineRule="auto"/>
            </w:pPr>
            <w:r>
              <w:rPr>
                <w:b/>
                <w:i w:val="0"/>
                <w:sz w:val="15"/>
              </w:rPr>
              <w:t>Integration monitor and reconciliation</w:t>
            </w:r>
          </w:p>
        </w:tc>
        <w:tc>
          <w:tcPr>
            <w:tcW w:type="dxa" w:w="4876"/>
            <w:vAlign w:val="top"/>
          </w:tcPr>
          <w:p>
            <w:pPr>
              <w:spacing w:after="20" w:line="252" w:lineRule="auto"/>
            </w:pPr>
            <w:r>
              <w:rPr>
                <w:b w:val="0"/>
                <w:i w:val="0"/>
                <w:sz w:val="15"/>
              </w:rPr>
              <w:t>Outbox messages, retries, dead-letters, reconciliation</w:t>
            </w:r>
          </w:p>
        </w:tc>
        <w:tc>
          <w:tcPr>
            <w:tcW w:type="dxa" w:w="2381"/>
            <w:vAlign w:val="top"/>
          </w:tcPr>
          <w:p>
            <w:pPr>
              <w:spacing w:after="20" w:line="252" w:lineRule="auto"/>
            </w:pPr>
            <w:r>
              <w:rPr>
                <w:b w:val="0"/>
                <w:i w:val="0"/>
                <w:sz w:val="15"/>
              </w:rPr>
              <w:t>INT-11 to INT-15</w:t>
            </w:r>
          </w:p>
        </w:tc>
      </w:tr>
      <w:tr>
        <w:trPr>
          <w:cantSplit/>
        </w:trPr>
        <w:tc>
          <w:tcPr>
            <w:tcW w:type="dxa" w:w="2381"/>
            <w:vAlign w:val="top"/>
            <w:shd w:val="clear" w:color="auto" w:fill="FDF0F7"/>
          </w:tcPr>
          <w:p>
            <w:pPr>
              <w:spacing w:after="20" w:line="252" w:lineRule="auto"/>
            </w:pPr>
            <w:r>
              <w:rPr>
                <w:b/>
                <w:i w:val="0"/>
                <w:sz w:val="15"/>
              </w:rPr>
              <w:t>Users</w:t>
            </w:r>
          </w:p>
        </w:tc>
        <w:tc>
          <w:tcPr>
            <w:tcW w:type="dxa" w:w="4876"/>
            <w:vAlign w:val="top"/>
            <w:shd w:val="clear" w:color="auto" w:fill="FDF0F7"/>
          </w:tcPr>
          <w:p>
            <w:pPr>
              <w:spacing w:after="20" w:line="252" w:lineRule="auto"/>
            </w:pPr>
            <w:r>
              <w:rPr>
                <w:b w:val="0"/>
                <w:i w:val="0"/>
                <w:sz w:val="15"/>
              </w:rPr>
              <w:t>User administration</w:t>
            </w:r>
          </w:p>
        </w:tc>
        <w:tc>
          <w:tcPr>
            <w:tcW w:type="dxa" w:w="2381"/>
            <w:vAlign w:val="top"/>
            <w:shd w:val="clear" w:color="auto" w:fill="FDF0F7"/>
          </w:tcPr>
          <w:p>
            <w:pPr>
              <w:spacing w:after="20" w:line="252" w:lineRule="auto"/>
            </w:pPr>
            <w:r>
              <w:rPr>
                <w:b w:val="0"/>
                <w:i w:val="0"/>
                <w:sz w:val="15"/>
              </w:rPr>
              <w:t>BO-03</w:t>
            </w:r>
          </w:p>
        </w:tc>
      </w:tr>
      <w:tr>
        <w:trPr>
          <w:cantSplit/>
        </w:trPr>
        <w:tc>
          <w:tcPr>
            <w:tcW w:type="dxa" w:w="2381"/>
            <w:vAlign w:val="top"/>
          </w:tcPr>
          <w:p>
            <w:pPr>
              <w:spacing w:after="20" w:line="252" w:lineRule="auto"/>
            </w:pPr>
            <w:r>
              <w:rPr>
                <w:b/>
                <w:i w:val="0"/>
                <w:sz w:val="15"/>
              </w:rPr>
              <w:t>Roles and permissions</w:t>
            </w:r>
          </w:p>
        </w:tc>
        <w:tc>
          <w:tcPr>
            <w:tcW w:type="dxa" w:w="4876"/>
            <w:vAlign w:val="top"/>
          </w:tcPr>
          <w:p>
            <w:pPr>
              <w:spacing w:after="20" w:line="252" w:lineRule="auto"/>
            </w:pPr>
            <w:r>
              <w:rPr>
                <w:b w:val="0"/>
                <w:i w:val="0"/>
                <w:sz w:val="15"/>
              </w:rPr>
              <w:t>Role builder and data scopes</w:t>
            </w:r>
          </w:p>
        </w:tc>
        <w:tc>
          <w:tcPr>
            <w:tcW w:type="dxa" w:w="2381"/>
            <w:vAlign w:val="top"/>
          </w:tcPr>
          <w:p>
            <w:pPr>
              <w:spacing w:after="20" w:line="252" w:lineRule="auto"/>
            </w:pPr>
            <w:r>
              <w:rPr>
                <w:b w:val="0"/>
                <w:i w:val="0"/>
                <w:sz w:val="15"/>
              </w:rPr>
              <w:t>BO-02, BO-04</w:t>
            </w:r>
          </w:p>
        </w:tc>
      </w:tr>
      <w:tr>
        <w:trPr>
          <w:cantSplit/>
        </w:trPr>
        <w:tc>
          <w:tcPr>
            <w:tcW w:type="dxa" w:w="2381"/>
            <w:vAlign w:val="top"/>
            <w:shd w:val="clear" w:color="auto" w:fill="FDF0F7"/>
          </w:tcPr>
          <w:p>
            <w:pPr>
              <w:spacing w:after="20" w:line="252" w:lineRule="auto"/>
            </w:pPr>
            <w:r>
              <w:rPr>
                <w:b/>
                <w:i w:val="0"/>
                <w:sz w:val="15"/>
              </w:rPr>
              <w:t>Workflows</w:t>
            </w:r>
          </w:p>
        </w:tc>
        <w:tc>
          <w:tcPr>
            <w:tcW w:type="dxa" w:w="4876"/>
            <w:vAlign w:val="top"/>
            <w:shd w:val="clear" w:color="auto" w:fill="FDF0F7"/>
          </w:tcPr>
          <w:p>
            <w:pPr>
              <w:spacing w:after="20" w:line="252" w:lineRule="auto"/>
            </w:pPr>
            <w:r>
              <w:rPr>
                <w:b w:val="0"/>
                <w:i w:val="0"/>
                <w:sz w:val="15"/>
              </w:rPr>
              <w:t>Workflow definitions and thresholds</w:t>
            </w:r>
          </w:p>
        </w:tc>
        <w:tc>
          <w:tcPr>
            <w:tcW w:type="dxa" w:w="2381"/>
            <w:vAlign w:val="top"/>
            <w:shd w:val="clear" w:color="auto" w:fill="FDF0F7"/>
          </w:tcPr>
          <w:p>
            <w:pPr>
              <w:spacing w:after="20" w:line="252" w:lineRule="auto"/>
            </w:pPr>
            <w:r>
              <w:rPr>
                <w:b w:val="0"/>
                <w:i w:val="0"/>
                <w:sz w:val="15"/>
              </w:rPr>
              <w:t>BO-16, COM-04</w:t>
            </w:r>
          </w:p>
        </w:tc>
      </w:tr>
      <w:tr>
        <w:trPr>
          <w:cantSplit/>
        </w:trPr>
        <w:tc>
          <w:tcPr>
            <w:tcW w:type="dxa" w:w="2381"/>
            <w:vAlign w:val="top"/>
          </w:tcPr>
          <w:p>
            <w:pPr>
              <w:spacing w:after="20" w:line="252" w:lineRule="auto"/>
            </w:pPr>
            <w:r>
              <w:rPr>
                <w:b/>
                <w:i w:val="0"/>
                <w:sz w:val="15"/>
              </w:rPr>
              <w:t>Products</w:t>
            </w:r>
          </w:p>
        </w:tc>
        <w:tc>
          <w:tcPr>
            <w:tcW w:type="dxa" w:w="4876"/>
            <w:vAlign w:val="top"/>
          </w:tcPr>
          <w:p>
            <w:pPr>
              <w:spacing w:after="20" w:line="252" w:lineRule="auto"/>
            </w:pPr>
            <w:r>
              <w:rPr>
                <w:b w:val="0"/>
                <w:i w:val="0"/>
                <w:sz w:val="15"/>
              </w:rPr>
              <w:t>Products, plans, rates, questionnaires</w:t>
            </w:r>
          </w:p>
        </w:tc>
        <w:tc>
          <w:tcPr>
            <w:tcW w:type="dxa" w:w="2381"/>
            <w:vAlign w:val="top"/>
          </w:tcPr>
          <w:p>
            <w:pPr>
              <w:spacing w:after="20" w:line="252" w:lineRule="auto"/>
            </w:pPr>
            <w:r>
              <w:rPr>
                <w:b w:val="0"/>
                <w:i w:val="0"/>
                <w:sz w:val="15"/>
              </w:rPr>
              <w:t>BO-32</w:t>
            </w:r>
          </w:p>
        </w:tc>
      </w:tr>
      <w:tr>
        <w:trPr>
          <w:cantSplit/>
        </w:trPr>
        <w:tc>
          <w:tcPr>
            <w:tcW w:type="dxa" w:w="2381"/>
            <w:vAlign w:val="top"/>
            <w:shd w:val="clear" w:color="auto" w:fill="FDF0F7"/>
          </w:tcPr>
          <w:p>
            <w:pPr>
              <w:spacing w:after="20" w:line="252" w:lineRule="auto"/>
            </w:pPr>
            <w:r>
              <w:rPr>
                <w:b/>
                <w:i w:val="0"/>
                <w:sz w:val="15"/>
              </w:rPr>
              <w:t>Parameters and master data</w:t>
            </w:r>
          </w:p>
        </w:tc>
        <w:tc>
          <w:tcPr>
            <w:tcW w:type="dxa" w:w="4876"/>
            <w:vAlign w:val="top"/>
            <w:shd w:val="clear" w:color="auto" w:fill="FDF0F7"/>
          </w:tcPr>
          <w:p>
            <w:pPr>
              <w:spacing w:after="20" w:line="252" w:lineRule="auto"/>
            </w:pPr>
            <w:r>
              <w:rPr>
                <w:b w:val="0"/>
                <w:i w:val="0"/>
                <w:sz w:val="15"/>
              </w:rPr>
              <w:t>System parameters and reference data</w:t>
            </w:r>
          </w:p>
        </w:tc>
        <w:tc>
          <w:tcPr>
            <w:tcW w:type="dxa" w:w="2381"/>
            <w:vAlign w:val="top"/>
            <w:shd w:val="clear" w:color="auto" w:fill="FDF0F7"/>
          </w:tcPr>
          <w:p>
            <w:pPr>
              <w:spacing w:after="20" w:line="252" w:lineRule="auto"/>
            </w:pPr>
            <w:r>
              <w:rPr>
                <w:b w:val="0"/>
                <w:i w:val="0"/>
                <w:sz w:val="15"/>
              </w:rPr>
              <w:t>BO-32, BO-33, COM-09</w:t>
            </w:r>
          </w:p>
        </w:tc>
      </w:tr>
    </w:tbl>
    <w:p>
      <w:pPr>
        <w:spacing w:after="0" w:before="0"/>
      </w:pPr>
      <w:r>
        <w:rPr>
          <w:sz w:val="8"/>
        </w:rPr>
      </w:r>
    </w:p>
    <w:p>
      <w:pPr>
        <w:pStyle w:val="Heading2"/>
      </w:pPr>
      <w:r>
        <w:t>11.3 Sample screens</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60" w:type="dxa"/>
          <w:left w:w="60" w:type="dxa"/>
          <w:bottom w:w="60" w:type="dxa"/>
          <w:right w:w="60" w:type="dxa"/>
        </w:tblCellMar>
        <w:tblLayout w:type="fixed"/>
      </w:tblPr>
      <w:tblGrid>
        <w:gridCol w:w="4819"/>
        <w:gridCol w:w="4819"/>
      </w:tblGrid>
      <w:tr>
        <w:trPr>
          <w:cantSplit/>
        </w:trPr>
        <w:tc>
          <w:tcPr>
            <w:tcW w:type="dxa" w:w="4819"/>
          </w:tcPr>
          <w:p>
            <w:pPr>
              <w:spacing w:after="0"/>
              <w:jc w:val="center"/>
            </w:pPr>
            <w:r>
              <w:drawing>
                <wp:inline xmlns:a="http://schemas.openxmlformats.org/drawingml/2006/main" xmlns:pic="http://schemas.openxmlformats.org/drawingml/2006/picture">
                  <wp:extent cx="2951999" cy="1844999"/>
                  <wp:docPr id="14" name="Picture 14"/>
                  <wp:cNvGraphicFramePr>
                    <a:graphicFrameLocks noChangeAspect="1"/>
                  </wp:cNvGraphicFramePr>
                  <a:graphic>
                    <a:graphicData uri="http://schemas.openxmlformats.org/drawingml/2006/picture">
                      <pic:pic>
                        <pic:nvPicPr>
                          <pic:cNvPr id="0" name="01-login.png"/>
                          <pic:cNvPicPr/>
                        </pic:nvPicPr>
                        <pic:blipFill>
                          <a:blip r:embed="rId24"/>
                          <a:stretch>
                            <a:fillRect/>
                          </a:stretch>
                        </pic:blipFill>
                        <pic:spPr>
                          <a:xfrm>
                            <a:off x="0" y="0"/>
                            <a:ext cx="2951999" cy="1844999"/>
                          </a:xfrm>
                          <a:prstGeom prst="rect"/>
                        </pic:spPr>
                      </pic:pic>
                    </a:graphicData>
                  </a:graphic>
                </wp:inline>
              </w:drawing>
            </w:r>
          </w:p>
          <w:p>
            <w:pPr>
              <w:pStyle w:val="Caption"/>
              <w:jc w:val="center"/>
            </w:pPr>
            <w:r>
              <w:rPr>
                <w:b w:val="0"/>
                <w:i w:val="0"/>
              </w:rPr>
              <w:t>Figure 11: Secure login</w:t>
            </w:r>
          </w:p>
        </w:tc>
        <w:tc>
          <w:tcPr>
            <w:tcW w:type="dxa" w:w="4819"/>
          </w:tcPr>
          <w:p>
            <w:pPr>
              <w:spacing w:after="0"/>
              <w:jc w:val="center"/>
            </w:pPr>
            <w:r>
              <w:drawing>
                <wp:inline xmlns:a="http://schemas.openxmlformats.org/drawingml/2006/main" xmlns:pic="http://schemas.openxmlformats.org/drawingml/2006/picture">
                  <wp:extent cx="2951999" cy="1844999"/>
                  <wp:docPr id="15" name="Picture 15"/>
                  <wp:cNvGraphicFramePr>
                    <a:graphicFrameLocks noChangeAspect="1"/>
                  </wp:cNvGraphicFramePr>
                  <a:graphic>
                    <a:graphicData uri="http://schemas.openxmlformats.org/drawingml/2006/picture">
                      <pic:pic>
                        <pic:nvPicPr>
                          <pic:cNvPr id="0" name="02-portal-dashboard.png"/>
                          <pic:cNvPicPr/>
                        </pic:nvPicPr>
                        <pic:blipFill>
                          <a:blip r:embed="rId25"/>
                          <a:stretch>
                            <a:fillRect/>
                          </a:stretch>
                        </pic:blipFill>
                        <pic:spPr>
                          <a:xfrm>
                            <a:off x="0" y="0"/>
                            <a:ext cx="2951999" cy="1844999"/>
                          </a:xfrm>
                          <a:prstGeom prst="rect"/>
                        </pic:spPr>
                      </pic:pic>
                    </a:graphicData>
                  </a:graphic>
                </wp:inline>
              </w:drawing>
            </w:r>
          </w:p>
          <w:p>
            <w:pPr>
              <w:pStyle w:val="Caption"/>
              <w:jc w:val="center"/>
            </w:pPr>
            <w:r>
              <w:rPr>
                <w:b w:val="0"/>
                <w:i w:val="0"/>
              </w:rPr>
              <w:t>Figure 12: Agent/Banca dashboard</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16" name="Picture 16"/>
                  <wp:cNvGraphicFramePr>
                    <a:graphicFrameLocks noChangeAspect="1"/>
                  </wp:cNvGraphicFramePr>
                  <a:graphic>
                    <a:graphicData uri="http://schemas.openxmlformats.org/drawingml/2006/picture">
                      <pic:pic>
                        <pic:nvPicPr>
                          <pic:cNvPr id="0" name="03-quotation-product.png"/>
                          <pic:cNvPicPr/>
                        </pic:nvPicPr>
                        <pic:blipFill>
                          <a:blip r:embed="rId26"/>
                          <a:stretch>
                            <a:fillRect/>
                          </a:stretch>
                        </pic:blipFill>
                        <pic:spPr>
                          <a:xfrm>
                            <a:off x="0" y="0"/>
                            <a:ext cx="2951999" cy="1844999"/>
                          </a:xfrm>
                          <a:prstGeom prst="rect"/>
                        </pic:spPr>
                      </pic:pic>
                    </a:graphicData>
                  </a:graphic>
                </wp:inline>
              </w:drawing>
            </w:r>
          </w:p>
          <w:p>
            <w:pPr>
              <w:pStyle w:val="Caption"/>
              <w:jc w:val="center"/>
            </w:pPr>
            <w:r>
              <w:rPr>
                <w:b w:val="0"/>
                <w:i w:val="0"/>
              </w:rPr>
              <w:t>Figure 13: Product selection</w:t>
            </w:r>
          </w:p>
        </w:tc>
        <w:tc>
          <w:tcPr>
            <w:tcW w:type="dxa" w:w="4819"/>
          </w:tcPr>
          <w:p>
            <w:pPr>
              <w:spacing w:after="0"/>
              <w:jc w:val="center"/>
            </w:pPr>
            <w:r>
              <w:drawing>
                <wp:inline xmlns:a="http://schemas.openxmlformats.org/drawingml/2006/main" xmlns:pic="http://schemas.openxmlformats.org/drawingml/2006/picture">
                  <wp:extent cx="2951999" cy="1844999"/>
                  <wp:docPr id="17" name="Picture 17"/>
                  <wp:cNvGraphicFramePr>
                    <a:graphicFrameLocks noChangeAspect="1"/>
                  </wp:cNvGraphicFramePr>
                  <a:graphic>
                    <a:graphicData uri="http://schemas.openxmlformats.org/drawingml/2006/picture">
                      <pic:pic>
                        <pic:nvPicPr>
                          <pic:cNvPr id="0" name="04-quotation-wizard.png"/>
                          <pic:cNvPicPr/>
                        </pic:nvPicPr>
                        <pic:blipFill>
                          <a:blip r:embed="rId27"/>
                          <a:stretch>
                            <a:fillRect/>
                          </a:stretch>
                        </pic:blipFill>
                        <pic:spPr>
                          <a:xfrm>
                            <a:off x="0" y="0"/>
                            <a:ext cx="2951999" cy="1844999"/>
                          </a:xfrm>
                          <a:prstGeom prst="rect"/>
                        </pic:spPr>
                      </pic:pic>
                    </a:graphicData>
                  </a:graphic>
                </wp:inline>
              </w:drawing>
            </w:r>
          </w:p>
          <w:p>
            <w:pPr>
              <w:pStyle w:val="Caption"/>
              <w:jc w:val="center"/>
            </w:pPr>
            <w:r>
              <w:rPr>
                <w:b w:val="0"/>
                <w:i w:val="0"/>
              </w:rPr>
              <w:t>Figure 14: Quotation – participant &amp; coverage</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18" name="Picture 18"/>
                  <wp:cNvGraphicFramePr>
                    <a:graphicFrameLocks noChangeAspect="1"/>
                  </wp:cNvGraphicFramePr>
                  <a:graphic>
                    <a:graphicData uri="http://schemas.openxmlformats.org/drawingml/2006/picture">
                      <pic:pic>
                        <pic:nvPicPr>
                          <pic:cNvPr id="0" name="05-quotation-summary.png"/>
                          <pic:cNvPicPr/>
                        </pic:nvPicPr>
                        <pic:blipFill>
                          <a:blip r:embed="rId28"/>
                          <a:stretch>
                            <a:fillRect/>
                          </a:stretch>
                        </pic:blipFill>
                        <pic:spPr>
                          <a:xfrm>
                            <a:off x="0" y="0"/>
                            <a:ext cx="2951999" cy="1844999"/>
                          </a:xfrm>
                          <a:prstGeom prst="rect"/>
                        </pic:spPr>
                      </pic:pic>
                    </a:graphicData>
                  </a:graphic>
                </wp:inline>
              </w:drawing>
            </w:r>
          </w:p>
          <w:p>
            <w:pPr>
              <w:pStyle w:val="Caption"/>
              <w:jc w:val="center"/>
            </w:pPr>
            <w:r>
              <w:rPr>
                <w:b w:val="0"/>
                <w:i w:val="0"/>
              </w:rPr>
              <w:t>Figure 15: Quotation summary &amp; contribution</w:t>
            </w:r>
          </w:p>
        </w:tc>
        <w:tc>
          <w:tcPr>
            <w:tcW w:type="dxa" w:w="4819"/>
          </w:tcPr>
          <w:p>
            <w:pPr>
              <w:spacing w:after="0"/>
              <w:jc w:val="center"/>
            </w:pPr>
            <w:r>
              <w:drawing>
                <wp:inline xmlns:a="http://schemas.openxmlformats.org/drawingml/2006/main" xmlns:pic="http://schemas.openxmlformats.org/drawingml/2006/picture">
                  <wp:extent cx="2951999" cy="1844999"/>
                  <wp:docPr id="19" name="Picture 19"/>
                  <wp:cNvGraphicFramePr>
                    <a:graphicFrameLocks noChangeAspect="1"/>
                  </wp:cNvGraphicFramePr>
                  <a:graphic>
                    <a:graphicData uri="http://schemas.openxmlformats.org/drawingml/2006/picture">
                      <pic:pic>
                        <pic:nvPicPr>
                          <pic:cNvPr id="0" name="06-policy-list.png"/>
                          <pic:cNvPicPr/>
                        </pic:nvPicPr>
                        <pic:blipFill>
                          <a:blip r:embed="rId29"/>
                          <a:stretch>
                            <a:fillRect/>
                          </a:stretch>
                        </pic:blipFill>
                        <pic:spPr>
                          <a:xfrm>
                            <a:off x="0" y="0"/>
                            <a:ext cx="2951999" cy="1844999"/>
                          </a:xfrm>
                          <a:prstGeom prst="rect"/>
                        </pic:spPr>
                      </pic:pic>
                    </a:graphicData>
                  </a:graphic>
                </wp:inline>
              </w:drawing>
            </w:r>
          </w:p>
          <w:p>
            <w:pPr>
              <w:pStyle w:val="Caption"/>
              <w:jc w:val="center"/>
            </w:pPr>
            <w:r>
              <w:rPr>
                <w:b w:val="0"/>
                <w:i w:val="0"/>
              </w:rPr>
              <w:t>Figure 16: Policy listing &amp; search</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20" name="Picture 20"/>
                  <wp:cNvGraphicFramePr>
                    <a:graphicFrameLocks noChangeAspect="1"/>
                  </wp:cNvGraphicFramePr>
                  <a:graphic>
                    <a:graphicData uri="http://schemas.openxmlformats.org/drawingml/2006/picture">
                      <pic:pic>
                        <pic:nvPicPr>
                          <pic:cNvPr id="0" name="07-policy-detail.png"/>
                          <pic:cNvPicPr/>
                        </pic:nvPicPr>
                        <pic:blipFill>
                          <a:blip r:embed="rId30"/>
                          <a:stretch>
                            <a:fillRect/>
                          </a:stretch>
                        </pic:blipFill>
                        <pic:spPr>
                          <a:xfrm>
                            <a:off x="0" y="0"/>
                            <a:ext cx="2951999" cy="1844999"/>
                          </a:xfrm>
                          <a:prstGeom prst="rect"/>
                        </pic:spPr>
                      </pic:pic>
                    </a:graphicData>
                  </a:graphic>
                </wp:inline>
              </w:drawing>
            </w:r>
          </w:p>
          <w:p>
            <w:pPr>
              <w:pStyle w:val="Caption"/>
              <w:jc w:val="center"/>
            </w:pPr>
            <w:r>
              <w:rPr>
                <w:b w:val="0"/>
                <w:i w:val="0"/>
              </w:rPr>
              <w:t>Figure 17: Policy details, documents &amp; history</w:t>
            </w:r>
          </w:p>
        </w:tc>
        <w:tc>
          <w:tcPr>
            <w:tcW w:type="dxa" w:w="4819"/>
          </w:tcPr>
          <w:p>
            <w:pPr>
              <w:spacing w:after="0"/>
              <w:jc w:val="center"/>
            </w:pPr>
            <w:r>
              <w:drawing>
                <wp:inline xmlns:a="http://schemas.openxmlformats.org/drawingml/2006/main" xmlns:pic="http://schemas.openxmlformats.org/drawingml/2006/picture">
                  <wp:extent cx="2951999" cy="1844999"/>
                  <wp:docPr id="21" name="Picture 21"/>
                  <wp:cNvGraphicFramePr>
                    <a:graphicFrameLocks noChangeAspect="1"/>
                  </wp:cNvGraphicFramePr>
                  <a:graphic>
                    <a:graphicData uri="http://schemas.openxmlformats.org/drawingml/2006/picture">
                      <pic:pic>
                        <pic:nvPicPr>
                          <pic:cNvPr id="0" name="08-participants.png"/>
                          <pic:cNvPicPr/>
                        </pic:nvPicPr>
                        <pic:blipFill>
                          <a:blip r:embed="rId31"/>
                          <a:stretch>
                            <a:fillRect/>
                          </a:stretch>
                        </pic:blipFill>
                        <pic:spPr>
                          <a:xfrm>
                            <a:off x="0" y="0"/>
                            <a:ext cx="2951999" cy="1844999"/>
                          </a:xfrm>
                          <a:prstGeom prst="rect"/>
                        </pic:spPr>
                      </pic:pic>
                    </a:graphicData>
                  </a:graphic>
                </wp:inline>
              </w:drawing>
            </w:r>
          </w:p>
          <w:p>
            <w:pPr>
              <w:pStyle w:val="Caption"/>
              <w:jc w:val="center"/>
            </w:pPr>
            <w:r>
              <w:rPr>
                <w:b w:val="0"/>
                <w:i w:val="0"/>
              </w:rPr>
              <w:t>Figure 18: Participant management</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22" name="Picture 22"/>
                  <wp:cNvGraphicFramePr>
                    <a:graphicFrameLocks noChangeAspect="1"/>
                  </wp:cNvGraphicFramePr>
                  <a:graphic>
                    <a:graphicData uri="http://schemas.openxmlformats.org/drawingml/2006/picture">
                      <pic:pic>
                        <pic:nvPicPr>
                          <pic:cNvPr id="0" name="09-billing-payment.png"/>
                          <pic:cNvPicPr/>
                        </pic:nvPicPr>
                        <pic:blipFill>
                          <a:blip r:embed="rId32"/>
                          <a:stretch>
                            <a:fillRect/>
                          </a:stretch>
                        </pic:blipFill>
                        <pic:spPr>
                          <a:xfrm>
                            <a:off x="0" y="0"/>
                            <a:ext cx="2951999" cy="1844999"/>
                          </a:xfrm>
                          <a:prstGeom prst="rect"/>
                        </pic:spPr>
                      </pic:pic>
                    </a:graphicData>
                  </a:graphic>
                </wp:inline>
              </w:drawing>
            </w:r>
          </w:p>
          <w:p>
            <w:pPr>
              <w:pStyle w:val="Caption"/>
              <w:jc w:val="center"/>
            </w:pPr>
            <w:r>
              <w:rPr>
                <w:b w:val="0"/>
                <w:i w:val="0"/>
              </w:rPr>
              <w:t>Figure 19: Payment submission (single/bulk)</w:t>
            </w:r>
          </w:p>
        </w:tc>
        <w:tc>
          <w:tcPr>
            <w:tcW w:type="dxa" w:w="4819"/>
          </w:tcPr>
          <w:p>
            <w:pPr>
              <w:spacing w:after="0"/>
              <w:jc w:val="center"/>
            </w:pPr>
            <w:r>
              <w:drawing>
                <wp:inline xmlns:a="http://schemas.openxmlformats.org/drawingml/2006/main" xmlns:pic="http://schemas.openxmlformats.org/drawingml/2006/picture">
                  <wp:extent cx="2951999" cy="1844999"/>
                  <wp:docPr id="23" name="Picture 23"/>
                  <wp:cNvGraphicFramePr>
                    <a:graphicFrameLocks noChangeAspect="1"/>
                  </wp:cNvGraphicFramePr>
                  <a:graphic>
                    <a:graphicData uri="http://schemas.openxmlformats.org/drawingml/2006/picture">
                      <pic:pic>
                        <pic:nvPicPr>
                          <pic:cNvPr id="0" name="10-claims.png"/>
                          <pic:cNvPicPr/>
                        </pic:nvPicPr>
                        <pic:blipFill>
                          <a:blip r:embed="rId33"/>
                          <a:stretch>
                            <a:fillRect/>
                          </a:stretch>
                        </pic:blipFill>
                        <pic:spPr>
                          <a:xfrm>
                            <a:off x="0" y="0"/>
                            <a:ext cx="2951999" cy="1844999"/>
                          </a:xfrm>
                          <a:prstGeom prst="rect"/>
                        </pic:spPr>
                      </pic:pic>
                    </a:graphicData>
                  </a:graphic>
                </wp:inline>
              </w:drawing>
            </w:r>
          </w:p>
          <w:p>
            <w:pPr>
              <w:pStyle w:val="Caption"/>
              <w:jc w:val="center"/>
            </w:pPr>
            <w:r>
              <w:rPr>
                <w:b w:val="0"/>
                <w:i w:val="0"/>
              </w:rPr>
              <w:t>Figure 20: Claim notification</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24" name="Picture 24"/>
                  <wp:cNvGraphicFramePr>
                    <a:graphicFrameLocks noChangeAspect="1"/>
                  </wp:cNvGraphicFramePr>
                  <a:graphic>
                    <a:graphicData uri="http://schemas.openxmlformats.org/drawingml/2006/picture">
                      <pic:pic>
                        <pic:nvPicPr>
                          <pic:cNvPr id="0" name="11-issues.png"/>
                          <pic:cNvPicPr/>
                        </pic:nvPicPr>
                        <pic:blipFill>
                          <a:blip r:embed="rId34"/>
                          <a:stretch>
                            <a:fillRect/>
                          </a:stretch>
                        </pic:blipFill>
                        <pic:spPr>
                          <a:xfrm>
                            <a:off x="0" y="0"/>
                            <a:ext cx="2951999" cy="1844999"/>
                          </a:xfrm>
                          <a:prstGeom prst="rect"/>
                        </pic:spPr>
                      </pic:pic>
                    </a:graphicData>
                  </a:graphic>
                </wp:inline>
              </w:drawing>
            </w:r>
          </w:p>
          <w:p>
            <w:pPr>
              <w:pStyle w:val="Caption"/>
              <w:jc w:val="center"/>
            </w:pPr>
            <w:r>
              <w:rPr>
                <w:b w:val="0"/>
                <w:i w:val="0"/>
              </w:rPr>
              <w:t>Figure 21: Issue reporting &amp; tracking</w:t>
            </w:r>
          </w:p>
        </w:tc>
        <w:tc>
          <w:tcPr>
            <w:tcW w:type="dxa" w:w="4819"/>
          </w:tcPr>
          <w:p>
            <w:pPr>
              <w:spacing w:after="0"/>
              <w:jc w:val="center"/>
            </w:pPr>
            <w:r>
              <w:drawing>
                <wp:inline xmlns:a="http://schemas.openxmlformats.org/drawingml/2006/main" xmlns:pic="http://schemas.openxmlformats.org/drawingml/2006/picture">
                  <wp:extent cx="2951999" cy="1844999"/>
                  <wp:docPr id="25" name="Picture 25"/>
                  <wp:cNvGraphicFramePr>
                    <a:graphicFrameLocks noChangeAspect="1"/>
                  </wp:cNvGraphicFramePr>
                  <a:graphic>
                    <a:graphicData uri="http://schemas.openxmlformats.org/drawingml/2006/picture">
                      <pic:pic>
                        <pic:nvPicPr>
                          <pic:cNvPr id="0" name="12-bo-dashboard.png"/>
                          <pic:cNvPicPr/>
                        </pic:nvPicPr>
                        <pic:blipFill>
                          <a:blip r:embed="rId35"/>
                          <a:stretch>
                            <a:fillRect/>
                          </a:stretch>
                        </pic:blipFill>
                        <pic:spPr>
                          <a:xfrm>
                            <a:off x="0" y="0"/>
                            <a:ext cx="2951999" cy="1844999"/>
                          </a:xfrm>
                          <a:prstGeom prst="rect"/>
                        </pic:spPr>
                      </pic:pic>
                    </a:graphicData>
                  </a:graphic>
                </wp:inline>
              </w:drawing>
            </w:r>
          </w:p>
          <w:p>
            <w:pPr>
              <w:pStyle w:val="Caption"/>
              <w:jc w:val="center"/>
            </w:pPr>
            <w:r>
              <w:rPr>
                <w:b w:val="0"/>
                <w:i w:val="0"/>
              </w:rPr>
              <w:t>Figure 22: Back-office management dashboard</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26" name="Picture 26"/>
                  <wp:cNvGraphicFramePr>
                    <a:graphicFrameLocks noChangeAspect="1"/>
                  </wp:cNvGraphicFramePr>
                  <a:graphic>
                    <a:graphicData uri="http://schemas.openxmlformats.org/drawingml/2006/picture">
                      <pic:pic>
                        <pic:nvPicPr>
                          <pic:cNvPr id="0" name="13-bo-approvals.png"/>
                          <pic:cNvPicPr/>
                        </pic:nvPicPr>
                        <pic:blipFill>
                          <a:blip r:embed="rId36"/>
                          <a:stretch>
                            <a:fillRect/>
                          </a:stretch>
                        </pic:blipFill>
                        <pic:spPr>
                          <a:xfrm>
                            <a:off x="0" y="0"/>
                            <a:ext cx="2951999" cy="1844999"/>
                          </a:xfrm>
                          <a:prstGeom prst="rect"/>
                        </pic:spPr>
                      </pic:pic>
                    </a:graphicData>
                  </a:graphic>
                </wp:inline>
              </w:drawing>
            </w:r>
          </w:p>
          <w:p>
            <w:pPr>
              <w:pStyle w:val="Caption"/>
              <w:jc w:val="center"/>
            </w:pPr>
            <w:r>
              <w:rPr>
                <w:b w:val="0"/>
                <w:i w:val="0"/>
              </w:rPr>
              <w:t>Figure 23: Maker-checker approvals inbox</w:t>
            </w:r>
          </w:p>
        </w:tc>
        <w:tc>
          <w:tcPr>
            <w:tcW w:type="dxa" w:w="4819"/>
          </w:tcPr>
          <w:p>
            <w:pPr>
              <w:spacing w:after="0"/>
              <w:jc w:val="center"/>
            </w:pPr>
            <w:r>
              <w:drawing>
                <wp:inline xmlns:a="http://schemas.openxmlformats.org/drawingml/2006/main" xmlns:pic="http://schemas.openxmlformats.org/drawingml/2006/picture">
                  <wp:extent cx="2951999" cy="1844999"/>
                  <wp:docPr id="27" name="Picture 27"/>
                  <wp:cNvGraphicFramePr>
                    <a:graphicFrameLocks noChangeAspect="1"/>
                  </wp:cNvGraphicFramePr>
                  <a:graphic>
                    <a:graphicData uri="http://schemas.openxmlformats.org/drawingml/2006/picture">
                      <pic:pic>
                        <pic:nvPicPr>
                          <pic:cNvPr id="0" name="14-bo-agents.png"/>
                          <pic:cNvPicPr/>
                        </pic:nvPicPr>
                        <pic:blipFill>
                          <a:blip r:embed="rId37"/>
                          <a:stretch>
                            <a:fillRect/>
                          </a:stretch>
                        </pic:blipFill>
                        <pic:spPr>
                          <a:xfrm>
                            <a:off x="0" y="0"/>
                            <a:ext cx="2951999" cy="1844999"/>
                          </a:xfrm>
                          <a:prstGeom prst="rect"/>
                        </pic:spPr>
                      </pic:pic>
                    </a:graphicData>
                  </a:graphic>
                </wp:inline>
              </w:drawing>
            </w:r>
          </w:p>
          <w:p>
            <w:pPr>
              <w:pStyle w:val="Caption"/>
              <w:jc w:val="center"/>
            </w:pPr>
            <w:r>
              <w:rPr>
                <w:b w:val="0"/>
                <w:i w:val="0"/>
              </w:rPr>
              <w:t>Figure 24: Agent/Banca administration</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28" name="Picture 28"/>
                  <wp:cNvGraphicFramePr>
                    <a:graphicFrameLocks noChangeAspect="1"/>
                  </wp:cNvGraphicFramePr>
                  <a:graphic>
                    <a:graphicData uri="http://schemas.openxmlformats.org/drawingml/2006/picture">
                      <pic:pic>
                        <pic:nvPicPr>
                          <pic:cNvPr id="0" name="15-bo-agent-detail.png"/>
                          <pic:cNvPicPr/>
                        </pic:nvPicPr>
                        <pic:blipFill>
                          <a:blip r:embed="rId38"/>
                          <a:stretch>
                            <a:fillRect/>
                          </a:stretch>
                        </pic:blipFill>
                        <pic:spPr>
                          <a:xfrm>
                            <a:off x="0" y="0"/>
                            <a:ext cx="2951999" cy="1844999"/>
                          </a:xfrm>
                          <a:prstGeom prst="rect"/>
                        </pic:spPr>
                      </pic:pic>
                    </a:graphicData>
                  </a:graphic>
                </wp:inline>
              </w:drawing>
            </w:r>
          </w:p>
          <w:p>
            <w:pPr>
              <w:pStyle w:val="Caption"/>
              <w:jc w:val="center"/>
            </w:pPr>
            <w:r>
              <w:rPr>
                <w:b w:val="0"/>
                <w:i w:val="0"/>
              </w:rPr>
              <w:t>Figure 25: Agent profile, hierarchy &amp; documents</w:t>
            </w:r>
          </w:p>
        </w:tc>
        <w:tc>
          <w:tcPr>
            <w:tcW w:type="dxa" w:w="4819"/>
          </w:tcPr>
          <w:p>
            <w:pPr>
              <w:spacing w:after="0"/>
              <w:jc w:val="center"/>
            </w:pPr>
            <w:r>
              <w:drawing>
                <wp:inline xmlns:a="http://schemas.openxmlformats.org/drawingml/2006/main" xmlns:pic="http://schemas.openxmlformats.org/drawingml/2006/picture">
                  <wp:extent cx="2951999" cy="1844999"/>
                  <wp:docPr id="29" name="Picture 29"/>
                  <wp:cNvGraphicFramePr>
                    <a:graphicFrameLocks noChangeAspect="1"/>
                  </wp:cNvGraphicFramePr>
                  <a:graphic>
                    <a:graphicData uri="http://schemas.openxmlformats.org/drawingml/2006/picture">
                      <pic:pic>
                        <pic:nvPicPr>
                          <pic:cNvPr id="0" name="16-bo-aml-review.png"/>
                          <pic:cNvPicPr/>
                        </pic:nvPicPr>
                        <pic:blipFill>
                          <a:blip r:embed="rId39"/>
                          <a:stretch>
                            <a:fillRect/>
                          </a:stretch>
                        </pic:blipFill>
                        <pic:spPr>
                          <a:xfrm>
                            <a:off x="0" y="0"/>
                            <a:ext cx="2951999" cy="1844999"/>
                          </a:xfrm>
                          <a:prstGeom prst="rect"/>
                        </pic:spPr>
                      </pic:pic>
                    </a:graphicData>
                  </a:graphic>
                </wp:inline>
              </w:drawing>
            </w:r>
          </w:p>
          <w:p>
            <w:pPr>
              <w:pStyle w:val="Caption"/>
              <w:jc w:val="center"/>
            </w:pPr>
            <w:r>
              <w:rPr>
                <w:b w:val="0"/>
                <w:i w:val="0"/>
              </w:rPr>
              <w:t>Figure 26: AML/KYC compliance review</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30" name="Picture 30"/>
                  <wp:cNvGraphicFramePr>
                    <a:graphicFrameLocks noChangeAspect="1"/>
                  </wp:cNvGraphicFramePr>
                  <a:graphic>
                    <a:graphicData uri="http://schemas.openxmlformats.org/drawingml/2006/picture">
                      <pic:pic>
                        <pic:nvPicPr>
                          <pic:cNvPr id="0" name="17-bo-payment-verification.png"/>
                          <pic:cNvPicPr/>
                        </pic:nvPicPr>
                        <pic:blipFill>
                          <a:blip r:embed="rId40"/>
                          <a:stretch>
                            <a:fillRect/>
                          </a:stretch>
                        </pic:blipFill>
                        <pic:spPr>
                          <a:xfrm>
                            <a:off x="0" y="0"/>
                            <a:ext cx="2951999" cy="1844999"/>
                          </a:xfrm>
                          <a:prstGeom prst="rect"/>
                        </pic:spPr>
                      </pic:pic>
                    </a:graphicData>
                  </a:graphic>
                </wp:inline>
              </w:drawing>
            </w:r>
          </w:p>
          <w:p>
            <w:pPr>
              <w:pStyle w:val="Caption"/>
              <w:jc w:val="center"/>
            </w:pPr>
            <w:r>
              <w:rPr>
                <w:b w:val="0"/>
                <w:i w:val="0"/>
              </w:rPr>
              <w:t>Figure 27: Payment verification &amp; receipts</w:t>
            </w:r>
          </w:p>
        </w:tc>
        <w:tc>
          <w:tcPr>
            <w:tcW w:type="dxa" w:w="4819"/>
          </w:tcPr>
          <w:p>
            <w:pPr>
              <w:spacing w:after="0"/>
              <w:jc w:val="center"/>
            </w:pPr>
            <w:r>
              <w:drawing>
                <wp:inline xmlns:a="http://schemas.openxmlformats.org/drawingml/2006/main" xmlns:pic="http://schemas.openxmlformats.org/drawingml/2006/picture">
                  <wp:extent cx="2951999" cy="1844999"/>
                  <wp:docPr id="31" name="Picture 31"/>
                  <wp:cNvGraphicFramePr>
                    <a:graphicFrameLocks noChangeAspect="1"/>
                  </wp:cNvGraphicFramePr>
                  <a:graphic>
                    <a:graphicData uri="http://schemas.openxmlformats.org/drawingml/2006/picture">
                      <pic:pic>
                        <pic:nvPicPr>
                          <pic:cNvPr id="0" name="18-bo-reports.png"/>
                          <pic:cNvPicPr/>
                        </pic:nvPicPr>
                        <pic:blipFill>
                          <a:blip r:embed="rId41"/>
                          <a:stretch>
                            <a:fillRect/>
                          </a:stretch>
                        </pic:blipFill>
                        <pic:spPr>
                          <a:xfrm>
                            <a:off x="0" y="0"/>
                            <a:ext cx="2951999" cy="1844999"/>
                          </a:xfrm>
                          <a:prstGeom prst="rect"/>
                        </pic:spPr>
                      </pic:pic>
                    </a:graphicData>
                  </a:graphic>
                </wp:inline>
              </w:drawing>
            </w:r>
          </w:p>
          <w:p>
            <w:pPr>
              <w:pStyle w:val="Caption"/>
              <w:jc w:val="center"/>
            </w:pPr>
            <w:r>
              <w:rPr>
                <w:b w:val="0"/>
                <w:i w:val="0"/>
              </w:rPr>
              <w:t>Figure 28: Reports &amp; export</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32" name="Picture 32"/>
                  <wp:cNvGraphicFramePr>
                    <a:graphicFrameLocks noChangeAspect="1"/>
                  </wp:cNvGraphicFramePr>
                  <a:graphic>
                    <a:graphicData uri="http://schemas.openxmlformats.org/drawingml/2006/picture">
                      <pic:pic>
                        <pic:nvPicPr>
                          <pic:cNvPr id="0" name="19-bo-audit.png"/>
                          <pic:cNvPicPr/>
                        </pic:nvPicPr>
                        <pic:blipFill>
                          <a:blip r:embed="rId42"/>
                          <a:stretch>
                            <a:fillRect/>
                          </a:stretch>
                        </pic:blipFill>
                        <pic:spPr>
                          <a:xfrm>
                            <a:off x="0" y="0"/>
                            <a:ext cx="2951999" cy="1844999"/>
                          </a:xfrm>
                          <a:prstGeom prst="rect"/>
                        </pic:spPr>
                      </pic:pic>
                    </a:graphicData>
                  </a:graphic>
                </wp:inline>
              </w:drawing>
            </w:r>
          </w:p>
          <w:p>
            <w:pPr>
              <w:pStyle w:val="Caption"/>
              <w:jc w:val="center"/>
            </w:pPr>
            <w:r>
              <w:rPr>
                <w:b w:val="0"/>
                <w:i w:val="0"/>
              </w:rPr>
              <w:t>Figure 29: Audit trail search</w:t>
            </w:r>
          </w:p>
        </w:tc>
        <w:tc>
          <w:tcPr>
            <w:tcW w:type="dxa" w:w="4819"/>
          </w:tcPr>
          <w:p>
            <w:pPr>
              <w:spacing w:after="0"/>
              <w:jc w:val="center"/>
            </w:pPr>
            <w:r>
              <w:drawing>
                <wp:inline xmlns:a="http://schemas.openxmlformats.org/drawingml/2006/main" xmlns:pic="http://schemas.openxmlformats.org/drawingml/2006/picture">
                  <wp:extent cx="2951999" cy="1844999"/>
                  <wp:docPr id="33" name="Picture 33"/>
                  <wp:cNvGraphicFramePr>
                    <a:graphicFrameLocks noChangeAspect="1"/>
                  </wp:cNvGraphicFramePr>
                  <a:graphic>
                    <a:graphicData uri="http://schemas.openxmlformats.org/drawingml/2006/picture">
                      <pic:pic>
                        <pic:nvPicPr>
                          <pic:cNvPr id="0" name="20-bo-users-roles.png"/>
                          <pic:cNvPicPr/>
                        </pic:nvPicPr>
                        <pic:blipFill>
                          <a:blip r:embed="rId43"/>
                          <a:stretch>
                            <a:fillRect/>
                          </a:stretch>
                        </pic:blipFill>
                        <pic:spPr>
                          <a:xfrm>
                            <a:off x="0" y="0"/>
                            <a:ext cx="2951999" cy="1844999"/>
                          </a:xfrm>
                          <a:prstGeom prst="rect"/>
                        </pic:spPr>
                      </pic:pic>
                    </a:graphicData>
                  </a:graphic>
                </wp:inline>
              </w:drawing>
            </w:r>
          </w:p>
          <w:p>
            <w:pPr>
              <w:pStyle w:val="Caption"/>
              <w:jc w:val="center"/>
            </w:pPr>
            <w:r>
              <w:rPr>
                <w:b w:val="0"/>
                <w:i w:val="0"/>
              </w:rPr>
              <w:t>Figure 30: Users, roles &amp; permissions</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34" name="Picture 34"/>
                  <wp:cNvGraphicFramePr>
                    <a:graphicFrameLocks noChangeAspect="1"/>
                  </wp:cNvGraphicFramePr>
                  <a:graphic>
                    <a:graphicData uri="http://schemas.openxmlformats.org/drawingml/2006/picture">
                      <pic:pic>
                        <pic:nvPicPr>
                          <pic:cNvPr id="0" name="21-bo-config.png"/>
                          <pic:cNvPicPr/>
                        </pic:nvPicPr>
                        <pic:blipFill>
                          <a:blip r:embed="rId44"/>
                          <a:stretch>
                            <a:fillRect/>
                          </a:stretch>
                        </pic:blipFill>
                        <pic:spPr>
                          <a:xfrm>
                            <a:off x="0" y="0"/>
                            <a:ext cx="2951999" cy="1844999"/>
                          </a:xfrm>
                          <a:prstGeom prst="rect"/>
                        </pic:spPr>
                      </pic:pic>
                    </a:graphicData>
                  </a:graphic>
                </wp:inline>
              </w:drawing>
            </w:r>
          </w:p>
          <w:p>
            <w:pPr>
              <w:pStyle w:val="Caption"/>
              <w:jc w:val="center"/>
            </w:pPr>
            <w:r>
              <w:rPr>
                <w:b w:val="0"/>
                <w:i w:val="0"/>
              </w:rPr>
              <w:t>Figure 31: System parameters &amp; master data</w:t>
            </w:r>
          </w:p>
        </w:tc>
        <w:tc>
          <w:tcPr>
            <w:tcW w:type="dxa" w:w="4819"/>
          </w:tcPr>
          <w:p>
            <w:pPr>
              <w:spacing w:after="0"/>
              <w:jc w:val="center"/>
            </w:pPr>
            <w:r>
              <w:drawing>
                <wp:inline xmlns:a="http://schemas.openxmlformats.org/drawingml/2006/main" xmlns:pic="http://schemas.openxmlformats.org/drawingml/2006/picture">
                  <wp:extent cx="2951999" cy="1844999"/>
                  <wp:docPr id="35" name="Picture 35"/>
                  <wp:cNvGraphicFramePr>
                    <a:graphicFrameLocks noChangeAspect="1"/>
                  </wp:cNvGraphicFramePr>
                  <a:graphic>
                    <a:graphicData uri="http://schemas.openxmlformats.org/drawingml/2006/picture">
                      <pic:pic>
                        <pic:nvPicPr>
                          <pic:cNvPr id="0" name="22-bo-integration-monitor.png"/>
                          <pic:cNvPicPr/>
                        </pic:nvPicPr>
                        <pic:blipFill>
                          <a:blip r:embed="rId45"/>
                          <a:stretch>
                            <a:fillRect/>
                          </a:stretch>
                        </pic:blipFill>
                        <pic:spPr>
                          <a:xfrm>
                            <a:off x="0" y="0"/>
                            <a:ext cx="2951999" cy="1844999"/>
                          </a:xfrm>
                          <a:prstGeom prst="rect"/>
                        </pic:spPr>
                      </pic:pic>
                    </a:graphicData>
                  </a:graphic>
                </wp:inline>
              </w:drawing>
            </w:r>
          </w:p>
          <w:p>
            <w:pPr>
              <w:pStyle w:val="Caption"/>
              <w:jc w:val="center"/>
            </w:pPr>
            <w:r>
              <w:rPr>
                <w:b w:val="0"/>
                <w:i w:val="0"/>
              </w:rPr>
              <w:t>Figure 32: Integration monitor &amp; reconciliation</w:t>
            </w:r>
          </w:p>
        </w:tc>
      </w:tr>
      <w:tr>
        <w:trPr>
          <w:cantSplit/>
        </w:trPr>
        <w:tc>
          <w:tcPr>
            <w:tcW w:type="dxa" w:w="4819"/>
          </w:tcPr>
          <w:p>
            <w:pPr>
              <w:spacing w:after="0"/>
              <w:jc w:val="center"/>
            </w:pPr>
            <w:r>
              <w:drawing>
                <wp:inline xmlns:a="http://schemas.openxmlformats.org/drawingml/2006/main" xmlns:pic="http://schemas.openxmlformats.org/drawingml/2006/picture">
                  <wp:extent cx="2951999" cy="1844999"/>
                  <wp:docPr id="36" name="Picture 36"/>
                  <wp:cNvGraphicFramePr>
                    <a:graphicFrameLocks noChangeAspect="1"/>
                  </wp:cNvGraphicFramePr>
                  <a:graphic>
                    <a:graphicData uri="http://schemas.openxmlformats.org/drawingml/2006/picture">
                      <pic:pic>
                        <pic:nvPicPr>
                          <pic:cNvPr id="0" name="23-bo-eod.png"/>
                          <pic:cNvPicPr/>
                        </pic:nvPicPr>
                        <pic:blipFill>
                          <a:blip r:embed="rId46"/>
                          <a:stretch>
                            <a:fillRect/>
                          </a:stretch>
                        </pic:blipFill>
                        <pic:spPr>
                          <a:xfrm>
                            <a:off x="0" y="0"/>
                            <a:ext cx="2951999" cy="1844999"/>
                          </a:xfrm>
                          <a:prstGeom prst="rect"/>
                        </pic:spPr>
                      </pic:pic>
                    </a:graphicData>
                  </a:graphic>
                </wp:inline>
              </w:drawing>
            </w:r>
          </w:p>
          <w:p>
            <w:pPr>
              <w:pStyle w:val="Caption"/>
              <w:jc w:val="center"/>
            </w:pPr>
            <w:r>
              <w:rPr>
                <w:b w:val="0"/>
                <w:i w:val="0"/>
              </w:rPr>
              <w:t>Figure 33: End-of-day processing</w:t>
            </w:r>
          </w:p>
        </w:tc>
        <w:tc>
          <w:tcPr>
            <w:tcW w:type="dxa" w:w="4819"/>
          </w:tcPr>
          <w:p>
            <w:pPr>
              <w:spacing w:after="0"/>
              <w:jc w:val="center"/>
            </w:pPr>
            <w:r>
              <w:drawing>
                <wp:inline xmlns:a="http://schemas.openxmlformats.org/drawingml/2006/main" xmlns:pic="http://schemas.openxmlformats.org/drawingml/2006/picture">
                  <wp:extent cx="2545454" cy="3600000"/>
                  <wp:docPr id="37" name="Picture 37"/>
                  <wp:cNvGraphicFramePr>
                    <a:graphicFrameLocks noChangeAspect="1"/>
                  </wp:cNvGraphicFramePr>
                  <a:graphic>
                    <a:graphicData uri="http://schemas.openxmlformats.org/drawingml/2006/picture">
                      <pic:pic>
                        <pic:nvPicPr>
                          <pic:cNvPr id="0" name="24-policy-schedule-pdf.png"/>
                          <pic:cNvPicPr/>
                        </pic:nvPicPr>
                        <pic:blipFill>
                          <a:blip r:embed="rId47"/>
                          <a:stretch>
                            <a:fillRect/>
                          </a:stretch>
                        </pic:blipFill>
                        <pic:spPr>
                          <a:xfrm>
                            <a:off x="0" y="0"/>
                            <a:ext cx="2545454" cy="3600000"/>
                          </a:xfrm>
                          <a:prstGeom prst="rect"/>
                        </pic:spPr>
                      </pic:pic>
                    </a:graphicData>
                  </a:graphic>
                </wp:inline>
              </w:drawing>
            </w:r>
          </w:p>
          <w:p>
            <w:pPr>
              <w:pStyle w:val="Caption"/>
              <w:jc w:val="center"/>
            </w:pPr>
            <w:r>
              <w:rPr>
                <w:b w:val="0"/>
                <w:i w:val="0"/>
              </w:rPr>
              <w:t>Figure 34: e-Policy schedule (PDF)</w:t>
            </w:r>
          </w:p>
        </w:tc>
      </w:tr>
    </w:tbl>
    <w:p>
      <w:pPr>
        <w:pStyle w:val="Heading1"/>
        <w:pageBreakBefore/>
        <w:pBdr>
          <w:bottom w:val="single" w:sz="12" w:space="4" w:color="F58220"/>
        </w:pBdr>
      </w:pPr>
      <w:r>
        <w:t>12. Solution Architecture</w:t>
      </w:r>
    </w:p>
    <w:p>
      <w:pPr>
        <w:pStyle w:val="Heading2"/>
      </w:pPr>
      <w:r>
        <w:t>12.1 SalesVerse 2.0 logical architecture</w:t>
      </w:r>
    </w:p>
    <w:p>
      <w:pPr>
        <w:keepNext w:val="0"/>
      </w:pPr>
      <w:r>
        <w:rPr>
          <w:b w:val="0"/>
          <w:i w:val="0"/>
        </w:rPr>
        <w:t>SalesVerse 2.0 is a modular monolith: one deployable application split into modules that follow the RFP functional areas. For 26 named users and about 600 policies a year this is simpler to run than microservices, and a module can be split out later without a rewrite (NFR-20).</w:t>
      </w:r>
    </w:p>
    <w:p>
      <w:pPr>
        <w:keepNext w:val="0"/>
      </w:pPr>
      <w:r>
        <w:rPr>
          <w:b w:val="0"/>
          <w:i w:val="0"/>
        </w:rPr>
        <w:t>Users reach two React applications through a reverse proxy and web application firewall. The back-office path is published only on the internal network. Both applications call one versioned REST API. The integration layer isolates IITH systems through a transactional outbox, and PostgreSQL is the system of record.</w:t>
      </w:r>
    </w:p>
    <w:p>
      <w:pPr>
        <w:keepNext/>
        <w:spacing w:after="0"/>
        <w:jc w:val="center"/>
      </w:pPr>
      <w:r>
        <w:drawing>
          <wp:inline xmlns:a="http://schemas.openxmlformats.org/drawingml/2006/main" xmlns:pic="http://schemas.openxmlformats.org/drawingml/2006/picture">
            <wp:extent cx="5760000" cy="3840000"/>
            <wp:docPr id="38" name="Picture 38"/>
            <wp:cNvGraphicFramePr>
              <a:graphicFrameLocks noChangeAspect="1"/>
            </wp:cNvGraphicFramePr>
            <a:graphic>
              <a:graphicData uri="http://schemas.openxmlformats.org/drawingml/2006/picture">
                <pic:pic>
                  <pic:nvPicPr>
                    <pic:cNvPr id="0" name="fig-logical-architecture.png"/>
                    <pic:cNvPicPr/>
                  </pic:nvPicPr>
                  <pic:blipFill>
                    <a:blip r:embed="rId48"/>
                    <a:stretch>
                      <a:fillRect/>
                    </a:stretch>
                  </pic:blipFill>
                  <pic:spPr>
                    <a:xfrm>
                      <a:off x="0" y="0"/>
                      <a:ext cx="5760000" cy="3840000"/>
                    </a:xfrm>
                    <a:prstGeom prst="rect"/>
                  </pic:spPr>
                </pic:pic>
              </a:graphicData>
            </a:graphic>
          </wp:inline>
        </w:drawing>
      </w:r>
    </w:p>
    <w:p>
      <w:pPr>
        <w:pStyle w:val="Caption"/>
        <w:jc w:val="center"/>
      </w:pPr>
      <w:r>
        <w:rPr>
          <w:b w:val="0"/>
          <w:i w:val="0"/>
        </w:rPr>
        <w:t>Figure 35: SalesVerse 2.0 logical architecture</w:t>
      </w:r>
    </w:p>
    <w:p>
      <w:pPr>
        <w:pStyle w:val="Heading2"/>
      </w:pPr>
      <w:r>
        <w:t>12.2 SalesVerse 2.0 components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989"/>
        <w:gridCol w:w="2835"/>
      </w:tblGrid>
      <w:tr>
        <w:trPr>
          <w:cantSplit/>
          <w:tblHeader/>
        </w:trPr>
        <w:tc>
          <w:tcPr>
            <w:tcW w:type="dxa" w:w="1814"/>
            <w:shd w:val="clear" w:color="auto" w:fill="E1058C"/>
            <w:vAlign w:val="center"/>
          </w:tcPr>
          <w:p>
            <w:pPr>
              <w:spacing w:after="0"/>
            </w:pPr>
            <w:r>
              <w:rPr>
                <w:b/>
                <w:i w:val="0"/>
                <w:color w:val="FFFFFF"/>
                <w:sz w:val="16"/>
              </w:rPr>
              <w:t>Module</w:t>
            </w:r>
          </w:p>
        </w:tc>
        <w:tc>
          <w:tcPr>
            <w:tcW w:type="dxa" w:w="4989"/>
            <w:shd w:val="clear" w:color="auto" w:fill="E1058C"/>
            <w:vAlign w:val="center"/>
          </w:tcPr>
          <w:p>
            <w:pPr>
              <w:spacing w:after="0"/>
            </w:pPr>
            <w:r>
              <w:rPr>
                <w:b/>
                <w:i w:val="0"/>
                <w:color w:val="FFFFFF"/>
                <w:sz w:val="16"/>
              </w:rPr>
              <w:t>Responsibilities</w:t>
            </w:r>
          </w:p>
        </w:tc>
        <w:tc>
          <w:tcPr>
            <w:tcW w:type="dxa" w:w="2835"/>
            <w:shd w:val="clear" w:color="auto" w:fill="E1058C"/>
            <w:vAlign w:val="center"/>
          </w:tcPr>
          <w:p>
            <w:pPr>
              <w:spacing w:after="0"/>
            </w:pPr>
            <w:r>
              <w:rPr>
                <w:b/>
                <w:i w:val="0"/>
                <w:color w:val="FFFFFF"/>
                <w:sz w:val="16"/>
              </w:rPr>
              <w:t>RFP requirements</w:t>
            </w:r>
          </w:p>
        </w:tc>
      </w:tr>
      <w:tr>
        <w:trPr>
          <w:cantSplit/>
        </w:trPr>
        <w:tc>
          <w:tcPr>
            <w:tcW w:type="dxa" w:w="1814"/>
            <w:vAlign w:val="top"/>
          </w:tcPr>
          <w:p>
            <w:pPr>
              <w:spacing w:after="20" w:line="252" w:lineRule="auto"/>
            </w:pPr>
            <w:r>
              <w:rPr>
                <w:b w:val="0"/>
                <w:i w:val="0"/>
                <w:sz w:val="16"/>
              </w:rPr>
              <w:t>auth, users-roles</w:t>
            </w:r>
          </w:p>
        </w:tc>
        <w:tc>
          <w:tcPr>
            <w:tcW w:type="dxa" w:w="4989"/>
            <w:vAlign w:val="top"/>
          </w:tcPr>
          <w:p>
            <w:pPr>
              <w:spacing w:after="20" w:line="252" w:lineRule="auto"/>
            </w:pPr>
            <w:r>
              <w:rPr>
                <w:b w:val="0"/>
                <w:i w:val="0"/>
                <w:sz w:val="16"/>
              </w:rPr>
              <w:t>Login, sessions, password policy, roles, permissions, data scopes</w:t>
            </w:r>
          </w:p>
        </w:tc>
        <w:tc>
          <w:tcPr>
            <w:tcW w:type="dxa" w:w="2835"/>
            <w:vAlign w:val="top"/>
          </w:tcPr>
          <w:p>
            <w:pPr>
              <w:spacing w:after="20" w:line="252" w:lineRule="auto"/>
            </w:pPr>
            <w:r>
              <w:rPr>
                <w:b w:val="0"/>
                <w:i w:val="0"/>
                <w:sz w:val="16"/>
              </w:rPr>
              <w:t>AP-01–04, AP-59, BO-01–04</w:t>
            </w:r>
          </w:p>
        </w:tc>
      </w:tr>
      <w:tr>
        <w:trPr>
          <w:cantSplit/>
        </w:trPr>
        <w:tc>
          <w:tcPr>
            <w:tcW w:type="dxa" w:w="1814"/>
            <w:vAlign w:val="top"/>
            <w:shd w:val="clear" w:color="auto" w:fill="FDF0F7"/>
          </w:tcPr>
          <w:p>
            <w:pPr>
              <w:spacing w:after="20" w:line="252" w:lineRule="auto"/>
            </w:pPr>
            <w:r>
              <w:rPr>
                <w:b w:val="0"/>
                <w:i w:val="0"/>
                <w:sz w:val="16"/>
              </w:rPr>
              <w:t>agencies, agents</w:t>
            </w:r>
          </w:p>
        </w:tc>
        <w:tc>
          <w:tcPr>
            <w:tcW w:type="dxa" w:w="4989"/>
            <w:vAlign w:val="top"/>
            <w:shd w:val="clear" w:color="auto" w:fill="FDF0F7"/>
          </w:tcPr>
          <w:p>
            <w:pPr>
              <w:spacing w:after="20" w:line="252" w:lineRule="auto"/>
            </w:pPr>
            <w:r>
              <w:rPr>
                <w:b w:val="0"/>
                <w:i w:val="0"/>
                <w:sz w:val="16"/>
              </w:rPr>
              <w:t>Agencies, banks, branches, agents, hierarchy, status, onboarding</w:t>
            </w:r>
          </w:p>
        </w:tc>
        <w:tc>
          <w:tcPr>
            <w:tcW w:type="dxa" w:w="2835"/>
            <w:vAlign w:val="top"/>
            <w:shd w:val="clear" w:color="auto" w:fill="FDF0F7"/>
          </w:tcPr>
          <w:p>
            <w:pPr>
              <w:spacing w:after="20" w:line="252" w:lineRule="auto"/>
            </w:pPr>
            <w:r>
              <w:rPr>
                <w:b w:val="0"/>
                <w:i w:val="0"/>
                <w:sz w:val="16"/>
              </w:rPr>
              <w:t>AP-05–12, BO-05–12</w:t>
            </w:r>
          </w:p>
        </w:tc>
      </w:tr>
      <w:tr>
        <w:trPr>
          <w:cantSplit/>
        </w:trPr>
        <w:tc>
          <w:tcPr>
            <w:tcW w:type="dxa" w:w="1814"/>
            <w:vAlign w:val="top"/>
          </w:tcPr>
          <w:p>
            <w:pPr>
              <w:spacing w:after="20" w:line="252" w:lineRule="auto"/>
            </w:pPr>
            <w:r>
              <w:rPr>
                <w:b w:val="0"/>
                <w:i w:val="0"/>
                <w:sz w:val="16"/>
              </w:rPr>
              <w:t>participants, aml</w:t>
            </w:r>
          </w:p>
        </w:tc>
        <w:tc>
          <w:tcPr>
            <w:tcW w:type="dxa" w:w="4989"/>
            <w:vAlign w:val="top"/>
          </w:tcPr>
          <w:p>
            <w:pPr>
              <w:spacing w:after="20" w:line="252" w:lineRule="auto"/>
            </w:pPr>
            <w:r>
              <w:rPr>
                <w:b w:val="0"/>
                <w:i w:val="0"/>
                <w:sz w:val="16"/>
              </w:rPr>
              <w:t>Participant record, duplicate checks, watch-list screening, Compliance review</w:t>
            </w:r>
          </w:p>
        </w:tc>
        <w:tc>
          <w:tcPr>
            <w:tcW w:type="dxa" w:w="2835"/>
            <w:vAlign w:val="top"/>
          </w:tcPr>
          <w:p>
            <w:pPr>
              <w:spacing w:after="20" w:line="252" w:lineRule="auto"/>
            </w:pPr>
            <w:r>
              <w:rPr>
                <w:b w:val="0"/>
                <w:i w:val="0"/>
                <w:sz w:val="16"/>
              </w:rPr>
              <w:t>AP-11–16, AP-48, BO-13–15</w:t>
            </w:r>
          </w:p>
        </w:tc>
      </w:tr>
      <w:tr>
        <w:trPr>
          <w:cantSplit/>
        </w:trPr>
        <w:tc>
          <w:tcPr>
            <w:tcW w:type="dxa" w:w="1814"/>
            <w:vAlign w:val="top"/>
            <w:shd w:val="clear" w:color="auto" w:fill="FDF0F7"/>
          </w:tcPr>
          <w:p>
            <w:pPr>
              <w:spacing w:after="20" w:line="252" w:lineRule="auto"/>
            </w:pPr>
            <w:r>
              <w:rPr>
                <w:b w:val="0"/>
                <w:i w:val="0"/>
                <w:sz w:val="16"/>
              </w:rPr>
              <w:t>products</w:t>
            </w:r>
          </w:p>
        </w:tc>
        <w:tc>
          <w:tcPr>
            <w:tcW w:type="dxa" w:w="4989"/>
            <w:vAlign w:val="top"/>
            <w:shd w:val="clear" w:color="auto" w:fill="FDF0F7"/>
          </w:tcPr>
          <w:p>
            <w:pPr>
              <w:spacing w:after="20" w:line="252" w:lineRule="auto"/>
            </w:pPr>
            <w:r>
              <w:rPr>
                <w:b w:val="0"/>
                <w:i w:val="0"/>
                <w:sz w:val="16"/>
              </w:rPr>
              <w:t>Catalogue, plans, rate tables, rating engines, questionnaires</w:t>
            </w:r>
          </w:p>
        </w:tc>
        <w:tc>
          <w:tcPr>
            <w:tcW w:type="dxa" w:w="2835"/>
            <w:vAlign w:val="top"/>
            <w:shd w:val="clear" w:color="auto" w:fill="FDF0F7"/>
          </w:tcPr>
          <w:p>
            <w:pPr>
              <w:spacing w:after="20" w:line="252" w:lineRule="auto"/>
            </w:pPr>
            <w:r>
              <w:rPr>
                <w:b w:val="0"/>
                <w:i w:val="0"/>
                <w:sz w:val="16"/>
              </w:rPr>
              <w:t>AP-17–19, BO-32</w:t>
            </w:r>
          </w:p>
        </w:tc>
      </w:tr>
      <w:tr>
        <w:trPr>
          <w:cantSplit/>
        </w:trPr>
        <w:tc>
          <w:tcPr>
            <w:tcW w:type="dxa" w:w="1814"/>
            <w:vAlign w:val="top"/>
          </w:tcPr>
          <w:p>
            <w:pPr>
              <w:spacing w:after="20" w:line="252" w:lineRule="auto"/>
            </w:pPr>
            <w:r>
              <w:rPr>
                <w:b w:val="0"/>
                <w:i w:val="0"/>
                <w:sz w:val="16"/>
              </w:rPr>
              <w:t>policies</w:t>
            </w:r>
          </w:p>
        </w:tc>
        <w:tc>
          <w:tcPr>
            <w:tcW w:type="dxa" w:w="4989"/>
            <w:vAlign w:val="top"/>
          </w:tcPr>
          <w:p>
            <w:pPr>
              <w:spacing w:after="20" w:line="252" w:lineRule="auto"/>
            </w:pPr>
            <w:r>
              <w:rPr>
                <w:b w:val="0"/>
                <w:i w:val="0"/>
                <w:sz w:val="16"/>
              </w:rPr>
              <w:t>Quotations, issuance, status, renewal, endorsement, cancellation, history</w:t>
            </w:r>
          </w:p>
        </w:tc>
        <w:tc>
          <w:tcPr>
            <w:tcW w:type="dxa" w:w="2835"/>
            <w:vAlign w:val="top"/>
          </w:tcPr>
          <w:p>
            <w:pPr>
              <w:spacing w:after="20" w:line="252" w:lineRule="auto"/>
            </w:pPr>
            <w:r>
              <w:rPr>
                <w:b w:val="0"/>
                <w:i w:val="0"/>
                <w:sz w:val="16"/>
              </w:rPr>
              <w:t>AP-20–36, AP-60</w:t>
            </w:r>
          </w:p>
        </w:tc>
      </w:tr>
      <w:tr>
        <w:trPr>
          <w:cantSplit/>
        </w:trPr>
        <w:tc>
          <w:tcPr>
            <w:tcW w:type="dxa" w:w="1814"/>
            <w:vAlign w:val="top"/>
            <w:shd w:val="clear" w:color="auto" w:fill="FDF0F7"/>
          </w:tcPr>
          <w:p>
            <w:pPr>
              <w:spacing w:after="20" w:line="252" w:lineRule="auto"/>
            </w:pPr>
            <w:r>
              <w:rPr>
                <w:b w:val="0"/>
                <w:i w:val="0"/>
                <w:sz w:val="16"/>
              </w:rPr>
              <w:t>billing</w:t>
            </w:r>
          </w:p>
        </w:tc>
        <w:tc>
          <w:tcPr>
            <w:tcW w:type="dxa" w:w="4989"/>
            <w:vAlign w:val="top"/>
            <w:shd w:val="clear" w:color="auto" w:fill="FDF0F7"/>
          </w:tcPr>
          <w:p>
            <w:pPr>
              <w:spacing w:after="20" w:line="252" w:lineRule="auto"/>
            </w:pPr>
            <w:r>
              <w:rPr>
                <w:b w:val="0"/>
                <w:i w:val="0"/>
                <w:sz w:val="16"/>
              </w:rPr>
              <w:t>Payments, allocation, proofs, verification, e-Receipts, grace-period rule</w:t>
            </w:r>
          </w:p>
        </w:tc>
        <w:tc>
          <w:tcPr>
            <w:tcW w:type="dxa" w:w="2835"/>
            <w:vAlign w:val="top"/>
            <w:shd w:val="clear" w:color="auto" w:fill="FDF0F7"/>
          </w:tcPr>
          <w:p>
            <w:pPr>
              <w:spacing w:after="20" w:line="252" w:lineRule="auto"/>
            </w:pPr>
            <w:r>
              <w:rPr>
                <w:b w:val="0"/>
                <w:i w:val="0"/>
                <w:sz w:val="16"/>
              </w:rPr>
              <w:t>AP-37–42</w:t>
            </w:r>
          </w:p>
        </w:tc>
      </w:tr>
      <w:tr>
        <w:trPr>
          <w:cantSplit/>
        </w:trPr>
        <w:tc>
          <w:tcPr>
            <w:tcW w:type="dxa" w:w="1814"/>
            <w:vAlign w:val="top"/>
          </w:tcPr>
          <w:p>
            <w:pPr>
              <w:spacing w:after="20" w:line="252" w:lineRule="auto"/>
            </w:pPr>
            <w:r>
              <w:rPr>
                <w:b w:val="0"/>
                <w:i w:val="0"/>
                <w:sz w:val="16"/>
              </w:rPr>
              <w:t>claims, issues</w:t>
            </w:r>
          </w:p>
        </w:tc>
        <w:tc>
          <w:tcPr>
            <w:tcW w:type="dxa" w:w="4989"/>
            <w:vAlign w:val="top"/>
          </w:tcPr>
          <w:p>
            <w:pPr>
              <w:spacing w:after="20" w:line="252" w:lineRule="auto"/>
            </w:pPr>
            <w:r>
              <w:rPr>
                <w:b w:val="0"/>
                <w:i w:val="0"/>
                <w:sz w:val="16"/>
              </w:rPr>
              <w:t>Claim notifications; issues with priority and SLA timers</w:t>
            </w:r>
          </w:p>
        </w:tc>
        <w:tc>
          <w:tcPr>
            <w:tcW w:type="dxa" w:w="2835"/>
            <w:vAlign w:val="top"/>
          </w:tcPr>
          <w:p>
            <w:pPr>
              <w:spacing w:after="20" w:line="252" w:lineRule="auto"/>
            </w:pPr>
            <w:r>
              <w:rPr>
                <w:b w:val="0"/>
                <w:i w:val="0"/>
                <w:sz w:val="16"/>
              </w:rPr>
              <w:t>AP-43, AP-55–57, BO-29–31</w:t>
            </w:r>
          </w:p>
        </w:tc>
      </w:tr>
      <w:tr>
        <w:trPr>
          <w:cantSplit/>
        </w:trPr>
        <w:tc>
          <w:tcPr>
            <w:tcW w:type="dxa" w:w="1814"/>
            <w:vAlign w:val="top"/>
            <w:shd w:val="clear" w:color="auto" w:fill="FDF0F7"/>
          </w:tcPr>
          <w:p>
            <w:pPr>
              <w:spacing w:after="20" w:line="252" w:lineRule="auto"/>
            </w:pPr>
            <w:r>
              <w:rPr>
                <w:b w:val="0"/>
                <w:i w:val="0"/>
                <w:sz w:val="16"/>
              </w:rPr>
              <w:t>documents, esign</w:t>
            </w:r>
          </w:p>
        </w:tc>
        <w:tc>
          <w:tcPr>
            <w:tcW w:type="dxa" w:w="4989"/>
            <w:vAlign w:val="top"/>
            <w:shd w:val="clear" w:color="auto" w:fill="FDF0F7"/>
          </w:tcPr>
          <w:p>
            <w:pPr>
              <w:spacing w:after="20" w:line="252" w:lineRule="auto"/>
            </w:pPr>
            <w:r>
              <w:rPr>
                <w:b w:val="0"/>
                <w:i w:val="0"/>
                <w:sz w:val="16"/>
              </w:rPr>
              <w:t>Encrypted store, upload checks, PDF output, e-mail, on-screen and e-mail-link signatures</w:t>
            </w:r>
          </w:p>
        </w:tc>
        <w:tc>
          <w:tcPr>
            <w:tcW w:type="dxa" w:w="2835"/>
            <w:vAlign w:val="top"/>
            <w:shd w:val="clear" w:color="auto" w:fill="FDF0F7"/>
          </w:tcPr>
          <w:p>
            <w:pPr>
              <w:spacing w:after="20" w:line="252" w:lineRule="auto"/>
            </w:pPr>
            <w:r>
              <w:rPr>
                <w:b w:val="0"/>
                <w:i w:val="0"/>
                <w:sz w:val="16"/>
              </w:rPr>
              <w:t>AP-44–47, AP-62, COM-06</w:t>
            </w:r>
          </w:p>
        </w:tc>
      </w:tr>
      <w:tr>
        <w:trPr>
          <w:cantSplit/>
        </w:trPr>
        <w:tc>
          <w:tcPr>
            <w:tcW w:type="dxa" w:w="1814"/>
            <w:vAlign w:val="top"/>
          </w:tcPr>
          <w:p>
            <w:pPr>
              <w:spacing w:after="20" w:line="252" w:lineRule="auto"/>
            </w:pPr>
            <w:r>
              <w:rPr>
                <w:b w:val="0"/>
                <w:i w:val="0"/>
                <w:sz w:val="16"/>
              </w:rPr>
              <w:t>workflow</w:t>
            </w:r>
          </w:p>
        </w:tc>
        <w:tc>
          <w:tcPr>
            <w:tcW w:type="dxa" w:w="4989"/>
            <w:vAlign w:val="top"/>
          </w:tcPr>
          <w:p>
            <w:pPr>
              <w:spacing w:after="20" w:line="252" w:lineRule="auto"/>
            </w:pPr>
            <w:r>
              <w:rPr>
                <w:b w:val="0"/>
                <w:i w:val="0"/>
                <w:sz w:val="16"/>
              </w:rPr>
              <w:t>Workflow definitions, approval requests and actions, handlers</w:t>
            </w:r>
          </w:p>
        </w:tc>
        <w:tc>
          <w:tcPr>
            <w:tcW w:type="dxa" w:w="2835"/>
            <w:vAlign w:val="top"/>
          </w:tcPr>
          <w:p>
            <w:pPr>
              <w:spacing w:after="20" w:line="252" w:lineRule="auto"/>
            </w:pPr>
            <w:r>
              <w:rPr>
                <w:b w:val="0"/>
                <w:i w:val="0"/>
                <w:sz w:val="16"/>
              </w:rPr>
              <w:t>AP-33, AP-49–51, BO-16–19, COM-04</w:t>
            </w:r>
          </w:p>
        </w:tc>
      </w:tr>
      <w:tr>
        <w:trPr>
          <w:cantSplit/>
        </w:trPr>
        <w:tc>
          <w:tcPr>
            <w:tcW w:type="dxa" w:w="1814"/>
            <w:vAlign w:val="top"/>
            <w:shd w:val="clear" w:color="auto" w:fill="FDF0F7"/>
          </w:tcPr>
          <w:p>
            <w:pPr>
              <w:spacing w:after="20" w:line="252" w:lineRule="auto"/>
            </w:pPr>
            <w:r>
              <w:rPr>
                <w:b w:val="0"/>
                <w:i w:val="0"/>
                <w:sz w:val="16"/>
              </w:rPr>
              <w:t>notifications</w:t>
            </w:r>
          </w:p>
        </w:tc>
        <w:tc>
          <w:tcPr>
            <w:tcW w:type="dxa" w:w="4989"/>
            <w:vAlign w:val="top"/>
            <w:shd w:val="clear" w:color="auto" w:fill="FDF0F7"/>
          </w:tcPr>
          <w:p>
            <w:pPr>
              <w:spacing w:after="20" w:line="252" w:lineRule="auto"/>
            </w:pPr>
            <w:r>
              <w:rPr>
                <w:b w:val="0"/>
                <w:i w:val="0"/>
                <w:sz w:val="16"/>
              </w:rPr>
              <w:t>Templates; e-mail, SMS and in-portal delivery; delivery log</w:t>
            </w:r>
          </w:p>
        </w:tc>
        <w:tc>
          <w:tcPr>
            <w:tcW w:type="dxa" w:w="2835"/>
            <w:vAlign w:val="top"/>
            <w:shd w:val="clear" w:color="auto" w:fill="FDF0F7"/>
          </w:tcPr>
          <w:p>
            <w:pPr>
              <w:spacing w:after="20" w:line="252" w:lineRule="auto"/>
            </w:pPr>
            <w:r>
              <w:rPr>
                <w:b w:val="0"/>
                <w:i w:val="0"/>
                <w:sz w:val="16"/>
              </w:rPr>
              <w:t>AP-34, AP-54, COM-05</w:t>
            </w:r>
          </w:p>
        </w:tc>
      </w:tr>
      <w:tr>
        <w:trPr>
          <w:cantSplit/>
        </w:trPr>
        <w:tc>
          <w:tcPr>
            <w:tcW w:type="dxa" w:w="1814"/>
            <w:vAlign w:val="top"/>
          </w:tcPr>
          <w:p>
            <w:pPr>
              <w:spacing w:after="20" w:line="252" w:lineRule="auto"/>
            </w:pPr>
            <w:r>
              <w:rPr>
                <w:b w:val="0"/>
                <w:i w:val="0"/>
                <w:sz w:val="16"/>
              </w:rPr>
              <w:t>reports, dashboard</w:t>
            </w:r>
          </w:p>
        </w:tc>
        <w:tc>
          <w:tcPr>
            <w:tcW w:type="dxa" w:w="4989"/>
            <w:vAlign w:val="top"/>
          </w:tcPr>
          <w:p>
            <w:pPr>
              <w:spacing w:after="20" w:line="252" w:lineRule="auto"/>
            </w:pPr>
            <w:r>
              <w:rPr>
                <w:b w:val="0"/>
                <w:i w:val="0"/>
                <w:sz w:val="16"/>
              </w:rPr>
              <w:t>Report definitions, exports, schedules, KPIs</w:t>
            </w:r>
          </w:p>
        </w:tc>
        <w:tc>
          <w:tcPr>
            <w:tcW w:type="dxa" w:w="2835"/>
            <w:vAlign w:val="top"/>
          </w:tcPr>
          <w:p>
            <w:pPr>
              <w:spacing w:after="20" w:line="252" w:lineRule="auto"/>
            </w:pPr>
            <w:r>
              <w:rPr>
                <w:b w:val="0"/>
                <w:i w:val="0"/>
                <w:sz w:val="16"/>
              </w:rPr>
              <w:t>AP-52–53, AP-58, BO-20–25, COM-08</w:t>
            </w:r>
          </w:p>
        </w:tc>
      </w:tr>
      <w:tr>
        <w:trPr>
          <w:cantSplit/>
        </w:trPr>
        <w:tc>
          <w:tcPr>
            <w:tcW w:type="dxa" w:w="1814"/>
            <w:vAlign w:val="top"/>
            <w:shd w:val="clear" w:color="auto" w:fill="FDF0F7"/>
          </w:tcPr>
          <w:p>
            <w:pPr>
              <w:spacing w:after="20" w:line="252" w:lineRule="auto"/>
            </w:pPr>
            <w:r>
              <w:rPr>
                <w:b w:val="0"/>
                <w:i w:val="0"/>
                <w:sz w:val="16"/>
              </w:rPr>
              <w:t>audit, config</w:t>
            </w:r>
          </w:p>
        </w:tc>
        <w:tc>
          <w:tcPr>
            <w:tcW w:type="dxa" w:w="4989"/>
            <w:vAlign w:val="top"/>
            <w:shd w:val="clear" w:color="auto" w:fill="FDF0F7"/>
          </w:tcPr>
          <w:p>
            <w:pPr>
              <w:spacing w:after="20" w:line="252" w:lineRule="auto"/>
            </w:pPr>
            <w:r>
              <w:rPr>
                <w:b w:val="0"/>
                <w:i w:val="0"/>
                <w:sz w:val="16"/>
              </w:rPr>
              <w:t>Append-only audit; parameters, master data, numbering</w:t>
            </w:r>
          </w:p>
        </w:tc>
        <w:tc>
          <w:tcPr>
            <w:tcW w:type="dxa" w:w="2835"/>
            <w:vAlign w:val="top"/>
            <w:shd w:val="clear" w:color="auto" w:fill="FDF0F7"/>
          </w:tcPr>
          <w:p>
            <w:pPr>
              <w:spacing w:after="20" w:line="252" w:lineRule="auto"/>
            </w:pPr>
            <w:r>
              <w:rPr>
                <w:b w:val="0"/>
                <w:i w:val="0"/>
                <w:sz w:val="16"/>
              </w:rPr>
              <w:t>BO-26–28, BO-32–33, COM-03, COM-09</w:t>
            </w:r>
          </w:p>
        </w:tc>
      </w:tr>
      <w:tr>
        <w:trPr>
          <w:cantSplit/>
        </w:trPr>
        <w:tc>
          <w:tcPr>
            <w:tcW w:type="dxa" w:w="1814"/>
            <w:vAlign w:val="top"/>
          </w:tcPr>
          <w:p>
            <w:pPr>
              <w:spacing w:after="20" w:line="252" w:lineRule="auto"/>
            </w:pPr>
            <w:r>
              <w:rPr>
                <w:b w:val="0"/>
                <w:i w:val="0"/>
                <w:sz w:val="16"/>
              </w:rPr>
              <w:t>integration, jobs</w:t>
            </w:r>
          </w:p>
        </w:tc>
        <w:tc>
          <w:tcPr>
            <w:tcW w:type="dxa" w:w="4989"/>
            <w:vAlign w:val="top"/>
          </w:tcPr>
          <w:p>
            <w:pPr>
              <w:spacing w:after="20" w:line="252" w:lineRule="auto"/>
            </w:pPr>
            <w:r>
              <w:rPr>
                <w:b w:val="0"/>
                <w:i w:val="0"/>
                <w:sz w:val="16"/>
              </w:rPr>
              <w:t>Outbox, dispatcher, adapters, integration log; EOD, grace period, expiry, reminders</w:t>
            </w:r>
          </w:p>
        </w:tc>
        <w:tc>
          <w:tcPr>
            <w:tcW w:type="dxa" w:w="2835"/>
            <w:vAlign w:val="top"/>
          </w:tcPr>
          <w:p>
            <w:pPr>
              <w:spacing w:after="20" w:line="252" w:lineRule="auto"/>
            </w:pPr>
            <w:r>
              <w:rPr>
                <w:b w:val="0"/>
                <w:i w:val="0"/>
                <w:sz w:val="16"/>
              </w:rPr>
              <w:t>INT-01–15, AP-42</w:t>
            </w:r>
          </w:p>
        </w:tc>
      </w:tr>
    </w:tbl>
    <w:p>
      <w:pPr>
        <w:pStyle w:val="Caption"/>
        <w:jc w:val="center"/>
      </w:pPr>
      <w:r>
        <w:rPr>
          <w:b w:val="0"/>
          <w:i w:val="0"/>
        </w:rPr>
        <w:t>Table 16: Application modules</w:t>
      </w:r>
    </w:p>
    <w:p>
      <w:pPr>
        <w:pStyle w:val="Heading2"/>
      </w:pPr>
      <w:r>
        <w:t>12.3 Data architecture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5670"/>
      </w:tblGrid>
      <w:tr>
        <w:trPr>
          <w:cantSplit/>
          <w:tblHeader/>
        </w:trPr>
        <w:tc>
          <w:tcPr>
            <w:tcW w:type="dxa" w:w="3969"/>
            <w:shd w:val="clear" w:color="auto" w:fill="E1058C"/>
            <w:vAlign w:val="center"/>
          </w:tcPr>
          <w:p>
            <w:pPr>
              <w:spacing w:after="0"/>
            </w:pPr>
            <w:r>
              <w:rPr>
                <w:b/>
                <w:i w:val="0"/>
                <w:color w:val="FFFFFF"/>
                <w:sz w:val="16"/>
              </w:rPr>
              <w:t>Entity group</w:t>
            </w:r>
          </w:p>
        </w:tc>
        <w:tc>
          <w:tcPr>
            <w:tcW w:type="dxa" w:w="5669"/>
            <w:shd w:val="clear" w:color="auto" w:fill="E1058C"/>
            <w:vAlign w:val="center"/>
          </w:tcPr>
          <w:p>
            <w:pPr>
              <w:spacing w:after="0"/>
            </w:pPr>
            <w:r>
              <w:rPr>
                <w:b/>
                <w:i w:val="0"/>
                <w:color w:val="FFFFFF"/>
                <w:sz w:val="16"/>
              </w:rPr>
              <w:t>Purpose</w:t>
            </w:r>
          </w:p>
        </w:tc>
      </w:tr>
      <w:tr>
        <w:trPr>
          <w:cantSplit/>
        </w:trPr>
        <w:tc>
          <w:tcPr>
            <w:tcW w:type="dxa" w:w="3969"/>
            <w:vAlign w:val="top"/>
          </w:tcPr>
          <w:p>
            <w:pPr>
              <w:spacing w:after="20" w:line="252" w:lineRule="auto"/>
            </w:pPr>
            <w:r>
              <w:rPr>
                <w:b w:val="0"/>
                <w:i w:val="0"/>
                <w:sz w:val="16"/>
              </w:rPr>
              <w:t>Agency, Bank, Branch, Agent</w:t>
            </w:r>
          </w:p>
        </w:tc>
        <w:tc>
          <w:tcPr>
            <w:tcW w:type="dxa" w:w="5669"/>
            <w:vAlign w:val="top"/>
          </w:tcPr>
          <w:p>
            <w:pPr>
              <w:spacing w:after="20" w:line="252" w:lineRule="auto"/>
            </w:pPr>
            <w:r>
              <w:rPr>
                <w:b w:val="0"/>
                <w:i w:val="0"/>
                <w:sz w:val="16"/>
              </w:rPr>
              <w:t>Distribution structure, agent code, type, status, parent agent, licence</w:t>
            </w:r>
          </w:p>
        </w:tc>
      </w:tr>
      <w:tr>
        <w:trPr>
          <w:cantSplit/>
        </w:trPr>
        <w:tc>
          <w:tcPr>
            <w:tcW w:type="dxa" w:w="3969"/>
            <w:vAlign w:val="top"/>
            <w:shd w:val="clear" w:color="auto" w:fill="FDF0F7"/>
          </w:tcPr>
          <w:p>
            <w:pPr>
              <w:spacing w:after="20" w:line="252" w:lineRule="auto"/>
            </w:pPr>
            <w:r>
              <w:rPr>
                <w:b w:val="0"/>
                <w:i w:val="0"/>
                <w:sz w:val="16"/>
              </w:rPr>
              <w:t>User, Role, Permission, Session</w:t>
            </w:r>
          </w:p>
        </w:tc>
        <w:tc>
          <w:tcPr>
            <w:tcW w:type="dxa" w:w="5669"/>
            <w:vAlign w:val="top"/>
            <w:shd w:val="clear" w:color="auto" w:fill="FDF0F7"/>
          </w:tcPr>
          <w:p>
            <w:pPr>
              <w:spacing w:after="20" w:line="252" w:lineRule="auto"/>
            </w:pPr>
            <w:r>
              <w:rPr>
                <w:b w:val="0"/>
                <w:i w:val="0"/>
                <w:sz w:val="16"/>
              </w:rPr>
              <w:t>Access control; sessions held on the server</w:t>
            </w:r>
          </w:p>
        </w:tc>
      </w:tr>
      <w:tr>
        <w:trPr>
          <w:cantSplit/>
        </w:trPr>
        <w:tc>
          <w:tcPr>
            <w:tcW w:type="dxa" w:w="3969"/>
            <w:vAlign w:val="top"/>
          </w:tcPr>
          <w:p>
            <w:pPr>
              <w:spacing w:after="20" w:line="252" w:lineRule="auto"/>
            </w:pPr>
            <w:r>
              <w:rPr>
                <w:b w:val="0"/>
                <w:i w:val="0"/>
                <w:sz w:val="16"/>
              </w:rPr>
              <w:t>Participant, Nominee</w:t>
            </w:r>
          </w:p>
        </w:tc>
        <w:tc>
          <w:tcPr>
            <w:tcW w:type="dxa" w:w="5669"/>
            <w:vAlign w:val="top"/>
          </w:tcPr>
          <w:p>
            <w:pPr>
              <w:spacing w:after="20" w:line="252" w:lineRule="auto"/>
            </w:pPr>
            <w:r>
              <w:rPr>
                <w:b w:val="0"/>
                <w:i w:val="0"/>
                <w:sz w:val="16"/>
              </w:rPr>
              <w:t>Shared participant record; IC and passport numbers encrypted</w:t>
            </w:r>
          </w:p>
        </w:tc>
      </w:tr>
      <w:tr>
        <w:trPr>
          <w:cantSplit/>
        </w:trPr>
        <w:tc>
          <w:tcPr>
            <w:tcW w:type="dxa" w:w="3969"/>
            <w:vAlign w:val="top"/>
            <w:shd w:val="clear" w:color="auto" w:fill="FDF0F7"/>
          </w:tcPr>
          <w:p>
            <w:pPr>
              <w:spacing w:after="20" w:line="252" w:lineRule="auto"/>
            </w:pPr>
            <w:r>
              <w:rPr>
                <w:b w:val="0"/>
                <w:i w:val="0"/>
                <w:sz w:val="16"/>
              </w:rPr>
              <w:t>Product, Plan, RateTable, Questionnaire</w:t>
            </w:r>
          </w:p>
        </w:tc>
        <w:tc>
          <w:tcPr>
            <w:tcW w:type="dxa" w:w="5669"/>
            <w:vAlign w:val="top"/>
            <w:shd w:val="clear" w:color="auto" w:fill="FDF0F7"/>
          </w:tcPr>
          <w:p>
            <w:pPr>
              <w:spacing w:after="20" w:line="252" w:lineRule="auto"/>
            </w:pPr>
            <w:r>
              <w:rPr>
                <w:b w:val="0"/>
                <w:i w:val="0"/>
                <w:sz w:val="16"/>
              </w:rPr>
              <w:t>Versioned product configuration</w:t>
            </w:r>
          </w:p>
        </w:tc>
      </w:tr>
      <w:tr>
        <w:trPr>
          <w:cantSplit/>
        </w:trPr>
        <w:tc>
          <w:tcPr>
            <w:tcW w:type="dxa" w:w="3969"/>
            <w:vAlign w:val="top"/>
          </w:tcPr>
          <w:p>
            <w:pPr>
              <w:spacing w:after="20" w:line="252" w:lineRule="auto"/>
            </w:pPr>
            <w:r>
              <w:rPr>
                <w:b w:val="0"/>
                <w:i w:val="0"/>
                <w:sz w:val="16"/>
              </w:rPr>
              <w:t>Quotation, Policy, PolicyTransaction</w:t>
            </w:r>
          </w:p>
        </w:tc>
        <w:tc>
          <w:tcPr>
            <w:tcW w:type="dxa" w:w="5669"/>
            <w:vAlign w:val="top"/>
          </w:tcPr>
          <w:p>
            <w:pPr>
              <w:spacing w:after="20" w:line="252" w:lineRule="auto"/>
            </w:pPr>
            <w:r>
              <w:rPr>
                <w:b w:val="0"/>
                <w:i w:val="0"/>
                <w:sz w:val="16"/>
              </w:rPr>
              <w:t>Policy lifecycle and history</w:t>
            </w:r>
          </w:p>
        </w:tc>
      </w:tr>
      <w:tr>
        <w:trPr>
          <w:cantSplit/>
        </w:trPr>
        <w:tc>
          <w:tcPr>
            <w:tcW w:type="dxa" w:w="3969"/>
            <w:vAlign w:val="top"/>
            <w:shd w:val="clear" w:color="auto" w:fill="FDF0F7"/>
          </w:tcPr>
          <w:p>
            <w:pPr>
              <w:spacing w:after="20" w:line="252" w:lineRule="auto"/>
            </w:pPr>
            <w:r>
              <w:rPr>
                <w:b w:val="0"/>
                <w:i w:val="0"/>
                <w:sz w:val="16"/>
              </w:rPr>
              <w:t>Payment, PaymentAllocation, Receipt</w:t>
            </w:r>
          </w:p>
        </w:tc>
        <w:tc>
          <w:tcPr>
            <w:tcW w:type="dxa" w:w="5669"/>
            <w:vAlign w:val="top"/>
            <w:shd w:val="clear" w:color="auto" w:fill="FDF0F7"/>
          </w:tcPr>
          <w:p>
            <w:pPr>
              <w:spacing w:after="20" w:line="252" w:lineRule="auto"/>
            </w:pPr>
            <w:r>
              <w:rPr>
                <w:b w:val="0"/>
                <w:i w:val="0"/>
                <w:sz w:val="16"/>
              </w:rPr>
              <w:t>Billing with exact NUMERIC amounts</w:t>
            </w:r>
          </w:p>
        </w:tc>
      </w:tr>
      <w:tr>
        <w:trPr>
          <w:cantSplit/>
        </w:trPr>
        <w:tc>
          <w:tcPr>
            <w:tcW w:type="dxa" w:w="3969"/>
            <w:vAlign w:val="top"/>
          </w:tcPr>
          <w:p>
            <w:pPr>
              <w:spacing w:after="20" w:line="252" w:lineRule="auto"/>
            </w:pPr>
            <w:r>
              <w:rPr>
                <w:b w:val="0"/>
                <w:i w:val="0"/>
                <w:sz w:val="16"/>
              </w:rPr>
              <w:t>Claim, Issue, Document</w:t>
            </w:r>
          </w:p>
        </w:tc>
        <w:tc>
          <w:tcPr>
            <w:tcW w:type="dxa" w:w="5669"/>
            <w:vAlign w:val="top"/>
          </w:tcPr>
          <w:p>
            <w:pPr>
              <w:spacing w:after="20" w:line="252" w:lineRule="auto"/>
            </w:pPr>
            <w:r>
              <w:rPr>
                <w:b w:val="0"/>
                <w:i w:val="0"/>
                <w:sz w:val="16"/>
              </w:rPr>
              <w:t>Claim notifications, issues with SLA timestamps, document metadata and checksums</w:t>
            </w:r>
          </w:p>
        </w:tc>
      </w:tr>
      <w:tr>
        <w:trPr>
          <w:cantSplit/>
        </w:trPr>
        <w:tc>
          <w:tcPr>
            <w:tcW w:type="dxa" w:w="3969"/>
            <w:vAlign w:val="top"/>
            <w:shd w:val="clear" w:color="auto" w:fill="FDF0F7"/>
          </w:tcPr>
          <w:p>
            <w:pPr>
              <w:spacing w:after="20" w:line="252" w:lineRule="auto"/>
            </w:pPr>
            <w:r>
              <w:rPr>
                <w:b w:val="0"/>
                <w:i w:val="0"/>
                <w:sz w:val="16"/>
              </w:rPr>
              <w:t>WorkflowDefinition, ApprovalRequest, ApprovalAction</w:t>
            </w:r>
          </w:p>
        </w:tc>
        <w:tc>
          <w:tcPr>
            <w:tcW w:type="dxa" w:w="5669"/>
            <w:vAlign w:val="top"/>
            <w:shd w:val="clear" w:color="auto" w:fill="FDF0F7"/>
          </w:tcPr>
          <w:p>
            <w:pPr>
              <w:spacing w:after="20" w:line="252" w:lineRule="auto"/>
            </w:pPr>
            <w:r>
              <w:rPr>
                <w:b w:val="0"/>
                <w:i w:val="0"/>
                <w:sz w:val="16"/>
              </w:rPr>
              <w:t>Maker-checker</w:t>
            </w:r>
          </w:p>
        </w:tc>
      </w:tr>
      <w:tr>
        <w:trPr>
          <w:cantSplit/>
        </w:trPr>
        <w:tc>
          <w:tcPr>
            <w:tcW w:type="dxa" w:w="3969"/>
            <w:vAlign w:val="top"/>
          </w:tcPr>
          <w:p>
            <w:pPr>
              <w:spacing w:after="20" w:line="252" w:lineRule="auto"/>
            </w:pPr>
            <w:r>
              <w:rPr>
                <w:b w:val="0"/>
                <w:i w:val="0"/>
                <w:sz w:val="16"/>
              </w:rPr>
              <w:t>AmlScreening, AuditEvent</w:t>
            </w:r>
          </w:p>
        </w:tc>
        <w:tc>
          <w:tcPr>
            <w:tcW w:type="dxa" w:w="5669"/>
            <w:vAlign w:val="top"/>
          </w:tcPr>
          <w:p>
            <w:pPr>
              <w:spacing w:after="20" w:line="252" w:lineRule="auto"/>
            </w:pPr>
            <w:r>
              <w:rPr>
                <w:b w:val="0"/>
                <w:i w:val="0"/>
                <w:sz w:val="16"/>
              </w:rPr>
              <w:t>Screening results; append-only audit with before and after values</w:t>
            </w:r>
          </w:p>
        </w:tc>
      </w:tr>
      <w:tr>
        <w:trPr>
          <w:cantSplit/>
        </w:trPr>
        <w:tc>
          <w:tcPr>
            <w:tcW w:type="dxa" w:w="3969"/>
            <w:vAlign w:val="top"/>
            <w:shd w:val="clear" w:color="auto" w:fill="FDF0F7"/>
          </w:tcPr>
          <w:p>
            <w:pPr>
              <w:spacing w:after="20" w:line="252" w:lineRule="auto"/>
            </w:pPr>
            <w:r>
              <w:rPr>
                <w:b w:val="0"/>
                <w:i w:val="0"/>
                <w:sz w:val="16"/>
              </w:rPr>
              <w:t>OutboxEvent, IntegrationLog, EodRun, AgencyBlock</w:t>
            </w:r>
          </w:p>
        </w:tc>
        <w:tc>
          <w:tcPr>
            <w:tcW w:type="dxa" w:w="5669"/>
            <w:vAlign w:val="top"/>
            <w:shd w:val="clear" w:color="auto" w:fill="FDF0F7"/>
          </w:tcPr>
          <w:p>
            <w:pPr>
              <w:spacing w:after="20" w:line="252" w:lineRule="auto"/>
            </w:pPr>
            <w:r>
              <w:rPr>
                <w:b w:val="0"/>
                <w:i w:val="0"/>
                <w:sz w:val="16"/>
              </w:rPr>
              <w:t>Integration delivery, EOD runs and grace-period blocks</w:t>
            </w:r>
          </w:p>
        </w:tc>
      </w:tr>
    </w:tbl>
    <w:p>
      <w:pPr>
        <w:pStyle w:val="Caption"/>
        <w:jc w:val="center"/>
      </w:pPr>
      <w:r>
        <w:rPr>
          <w:b w:val="0"/>
          <w:i w:val="0"/>
        </w:rPr>
        <w:t>Table 17: Key data entities</w:t>
      </w:r>
    </w:p>
    <w:p>
      <w:pPr>
        <w:keepNext w:val="0"/>
      </w:pPr>
      <w:r>
        <w:rPr>
          <w:b w:val="0"/>
          <w:i w:val="0"/>
        </w:rPr>
        <w:t>We chose PostgreSQL over MongoDB because IIFT's data is relational and financial. The comparison below summarises the reasons.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4309"/>
        <w:gridCol w:w="3288"/>
      </w:tblGrid>
      <w:tr>
        <w:trPr>
          <w:cantSplit/>
          <w:tblHeader/>
        </w:trPr>
        <w:tc>
          <w:tcPr>
            <w:tcW w:type="dxa" w:w="2041"/>
            <w:shd w:val="clear" w:color="auto" w:fill="E1058C"/>
            <w:vAlign w:val="center"/>
          </w:tcPr>
          <w:p>
            <w:pPr>
              <w:spacing w:after="0"/>
            </w:pPr>
            <w:r>
              <w:rPr>
                <w:b/>
                <w:i w:val="0"/>
                <w:color w:val="FFFFFF"/>
                <w:sz w:val="16"/>
              </w:rPr>
              <w:t>Criterion</w:t>
            </w:r>
          </w:p>
        </w:tc>
        <w:tc>
          <w:tcPr>
            <w:tcW w:type="dxa" w:w="4309"/>
            <w:shd w:val="clear" w:color="auto" w:fill="E1058C"/>
            <w:vAlign w:val="center"/>
          </w:tcPr>
          <w:p>
            <w:pPr>
              <w:spacing w:after="0"/>
            </w:pPr>
            <w:r>
              <w:rPr>
                <w:b/>
                <w:i w:val="0"/>
                <w:color w:val="FFFFFF"/>
                <w:sz w:val="16"/>
              </w:rPr>
              <w:t>PostgreSQL 16 (selected)</w:t>
            </w:r>
          </w:p>
        </w:tc>
        <w:tc>
          <w:tcPr>
            <w:tcW w:type="dxa" w:w="3288"/>
            <w:shd w:val="clear" w:color="auto" w:fill="E1058C"/>
            <w:vAlign w:val="center"/>
          </w:tcPr>
          <w:p>
            <w:pPr>
              <w:spacing w:after="0"/>
            </w:pPr>
            <w:r>
              <w:rPr>
                <w:b/>
                <w:i w:val="0"/>
                <w:color w:val="FFFFFF"/>
                <w:sz w:val="16"/>
              </w:rPr>
              <w:t>MongoDB</w:t>
            </w:r>
          </w:p>
        </w:tc>
      </w:tr>
      <w:tr>
        <w:trPr>
          <w:cantSplit/>
        </w:trPr>
        <w:tc>
          <w:tcPr>
            <w:tcW w:type="dxa" w:w="2041"/>
            <w:vAlign w:val="top"/>
          </w:tcPr>
          <w:p>
            <w:pPr>
              <w:spacing w:after="20" w:line="252" w:lineRule="auto"/>
            </w:pPr>
            <w:r>
              <w:rPr>
                <w:b/>
                <w:i w:val="0"/>
                <w:sz w:val="16"/>
              </w:rPr>
              <w:t>Data shape</w:t>
            </w:r>
          </w:p>
        </w:tc>
        <w:tc>
          <w:tcPr>
            <w:tcW w:type="dxa" w:w="4309"/>
            <w:vAlign w:val="top"/>
          </w:tcPr>
          <w:p>
            <w:pPr>
              <w:spacing w:after="20" w:line="252" w:lineRule="auto"/>
            </w:pPr>
            <w:r>
              <w:rPr>
                <w:b w:val="0"/>
                <w:i w:val="0"/>
                <w:sz w:val="16"/>
              </w:rPr>
              <w:t>Relational: agency, main agent, sub-agent; policy, participant, nominees, payments, receipts, claims</w:t>
            </w:r>
          </w:p>
        </w:tc>
        <w:tc>
          <w:tcPr>
            <w:tcW w:type="dxa" w:w="3288"/>
            <w:vAlign w:val="top"/>
          </w:tcPr>
          <w:p>
            <w:pPr>
              <w:spacing w:after="20" w:line="252" w:lineRule="auto"/>
            </w:pPr>
            <w:r>
              <w:rPr>
                <w:b w:val="0"/>
                <w:i w:val="0"/>
                <w:sz w:val="16"/>
              </w:rPr>
              <w:t>Suits self-contained documents with few relationships</w:t>
            </w:r>
          </w:p>
        </w:tc>
      </w:tr>
      <w:tr>
        <w:trPr>
          <w:cantSplit/>
        </w:trPr>
        <w:tc>
          <w:tcPr>
            <w:tcW w:type="dxa" w:w="2041"/>
            <w:vAlign w:val="top"/>
            <w:shd w:val="clear" w:color="auto" w:fill="FDF0F7"/>
          </w:tcPr>
          <w:p>
            <w:pPr>
              <w:spacing w:after="20" w:line="252" w:lineRule="auto"/>
            </w:pPr>
            <w:r>
              <w:rPr>
                <w:b/>
                <w:i w:val="0"/>
                <w:sz w:val="16"/>
              </w:rPr>
              <w:t>Transaction integrity (NFR-16)</w:t>
            </w:r>
          </w:p>
        </w:tc>
        <w:tc>
          <w:tcPr>
            <w:tcW w:type="dxa" w:w="4309"/>
            <w:vAlign w:val="top"/>
            <w:shd w:val="clear" w:color="auto" w:fill="FDF0F7"/>
          </w:tcPr>
          <w:p>
            <w:pPr>
              <w:spacing w:after="20" w:line="252" w:lineRule="auto"/>
            </w:pPr>
            <w:r>
              <w:rPr>
                <w:b w:val="0"/>
                <w:i w:val="0"/>
                <w:sz w:val="16"/>
              </w:rPr>
              <w:t>Issuance, receipt, audit and outbox commit in one ACID transaction; row locks for numbering</w:t>
            </w:r>
          </w:p>
        </w:tc>
        <w:tc>
          <w:tcPr>
            <w:tcW w:type="dxa" w:w="3288"/>
            <w:vAlign w:val="top"/>
            <w:shd w:val="clear" w:color="auto" w:fill="FDF0F7"/>
          </w:tcPr>
          <w:p>
            <w:pPr>
              <w:spacing w:after="20" w:line="252" w:lineRule="auto"/>
            </w:pPr>
            <w:r>
              <w:rPr>
                <w:b w:val="0"/>
                <w:i w:val="0"/>
                <w:sz w:val="16"/>
              </w:rPr>
              <w:t>Multi-document transactions exist but fit this model less naturally</w:t>
            </w:r>
          </w:p>
        </w:tc>
      </w:tr>
      <w:tr>
        <w:trPr>
          <w:cantSplit/>
        </w:trPr>
        <w:tc>
          <w:tcPr>
            <w:tcW w:type="dxa" w:w="2041"/>
            <w:vAlign w:val="top"/>
          </w:tcPr>
          <w:p>
            <w:pPr>
              <w:spacing w:after="20" w:line="252" w:lineRule="auto"/>
            </w:pPr>
            <w:r>
              <w:rPr>
                <w:b/>
                <w:i w:val="0"/>
                <w:sz w:val="16"/>
              </w:rPr>
              <w:t>Financial accuracy</w:t>
            </w:r>
          </w:p>
        </w:tc>
        <w:tc>
          <w:tcPr>
            <w:tcW w:type="dxa" w:w="4309"/>
            <w:vAlign w:val="top"/>
          </w:tcPr>
          <w:p>
            <w:pPr>
              <w:spacing w:after="20" w:line="252" w:lineRule="auto"/>
            </w:pPr>
            <w:r>
              <w:rPr>
                <w:b w:val="0"/>
                <w:i w:val="0"/>
                <w:sz w:val="16"/>
              </w:rPr>
              <w:t>Exact NUMERIC plus foreign keys, CHECK and UNIQUE constraints</w:t>
            </w:r>
          </w:p>
        </w:tc>
        <w:tc>
          <w:tcPr>
            <w:tcW w:type="dxa" w:w="3288"/>
            <w:vAlign w:val="top"/>
          </w:tcPr>
          <w:p>
            <w:pPr>
              <w:spacing w:after="20" w:line="252" w:lineRule="auto"/>
            </w:pPr>
            <w:r>
              <w:rPr>
                <w:b w:val="0"/>
                <w:i w:val="0"/>
                <w:sz w:val="16"/>
              </w:rPr>
              <w:t>Decimal128; integrity rules mostly in application code</w:t>
            </w:r>
          </w:p>
        </w:tc>
      </w:tr>
      <w:tr>
        <w:trPr>
          <w:cantSplit/>
        </w:trPr>
        <w:tc>
          <w:tcPr>
            <w:tcW w:type="dxa" w:w="2041"/>
            <w:vAlign w:val="top"/>
            <w:shd w:val="clear" w:color="auto" w:fill="FDF0F7"/>
          </w:tcPr>
          <w:p>
            <w:pPr>
              <w:spacing w:after="20" w:line="252" w:lineRule="auto"/>
            </w:pPr>
            <w:r>
              <w:rPr>
                <w:b/>
                <w:i w:val="0"/>
                <w:sz w:val="16"/>
              </w:rPr>
              <w:t>Reporting (BO-22–25)</w:t>
            </w:r>
          </w:p>
        </w:tc>
        <w:tc>
          <w:tcPr>
            <w:tcW w:type="dxa" w:w="4309"/>
            <w:vAlign w:val="top"/>
            <w:shd w:val="clear" w:color="auto" w:fill="FDF0F7"/>
          </w:tcPr>
          <w:p>
            <w:pPr>
              <w:spacing w:after="20" w:line="252" w:lineRule="auto"/>
            </w:pPr>
            <w:r>
              <w:rPr>
                <w:b w:val="0"/>
                <w:i w:val="0"/>
                <w:sz w:val="16"/>
              </w:rPr>
              <w:t>Joins and aggregates written directly in SQL</w:t>
            </w:r>
          </w:p>
        </w:tc>
        <w:tc>
          <w:tcPr>
            <w:tcW w:type="dxa" w:w="3288"/>
            <w:vAlign w:val="top"/>
            <w:shd w:val="clear" w:color="auto" w:fill="FDF0F7"/>
          </w:tcPr>
          <w:p>
            <w:pPr>
              <w:spacing w:after="20" w:line="252" w:lineRule="auto"/>
            </w:pPr>
            <w:r>
              <w:rPr>
                <w:b w:val="0"/>
                <w:i w:val="0"/>
                <w:sz w:val="16"/>
              </w:rPr>
              <w:t>Aggregation pipelines; joins via $lookup</w:t>
            </w:r>
          </w:p>
        </w:tc>
      </w:tr>
      <w:tr>
        <w:trPr>
          <w:cantSplit/>
        </w:trPr>
        <w:tc>
          <w:tcPr>
            <w:tcW w:type="dxa" w:w="2041"/>
            <w:vAlign w:val="top"/>
          </w:tcPr>
          <w:p>
            <w:pPr>
              <w:spacing w:after="20" w:line="252" w:lineRule="auto"/>
            </w:pPr>
            <w:r>
              <w:rPr>
                <w:b/>
                <w:i w:val="0"/>
                <w:sz w:val="16"/>
              </w:rPr>
              <w:t>Flexible data</w:t>
            </w:r>
          </w:p>
        </w:tc>
        <w:tc>
          <w:tcPr>
            <w:tcW w:type="dxa" w:w="4309"/>
            <w:vAlign w:val="top"/>
          </w:tcPr>
          <w:p>
            <w:pPr>
              <w:spacing w:after="20" w:line="252" w:lineRule="auto"/>
            </w:pPr>
            <w:r>
              <w:rPr>
                <w:b w:val="0"/>
                <w:i w:val="0"/>
                <w:sz w:val="16"/>
              </w:rPr>
              <w:t>JSONB for questionnaires, product settings and audit values</w:t>
            </w:r>
          </w:p>
        </w:tc>
        <w:tc>
          <w:tcPr>
            <w:tcW w:type="dxa" w:w="3288"/>
            <w:vAlign w:val="top"/>
          </w:tcPr>
          <w:p>
            <w:pPr>
              <w:spacing w:after="20" w:line="252" w:lineRule="auto"/>
            </w:pPr>
            <w:r>
              <w:rPr>
                <w:b w:val="0"/>
                <w:i w:val="0"/>
                <w:sz w:val="16"/>
              </w:rPr>
              <w:t>Native</w:t>
            </w:r>
          </w:p>
        </w:tc>
      </w:tr>
      <w:tr>
        <w:trPr>
          <w:cantSplit/>
        </w:trPr>
        <w:tc>
          <w:tcPr>
            <w:tcW w:type="dxa" w:w="2041"/>
            <w:vAlign w:val="top"/>
            <w:shd w:val="clear" w:color="auto" w:fill="FDF0F7"/>
          </w:tcPr>
          <w:p>
            <w:pPr>
              <w:spacing w:after="20" w:line="252" w:lineRule="auto"/>
            </w:pPr>
            <w:r>
              <w:rPr>
                <w:b/>
                <w:i w:val="0"/>
                <w:sz w:val="16"/>
              </w:rPr>
              <w:t>Operations</w:t>
            </w:r>
          </w:p>
        </w:tc>
        <w:tc>
          <w:tcPr>
            <w:tcW w:type="dxa" w:w="4309"/>
            <w:vAlign w:val="top"/>
            <w:shd w:val="clear" w:color="auto" w:fill="FDF0F7"/>
          </w:tcPr>
          <w:p>
            <w:pPr>
              <w:spacing w:after="20" w:line="252" w:lineRule="auto"/>
            </w:pPr>
            <w:r>
              <w:rPr>
                <w:b w:val="0"/>
                <w:i w:val="0"/>
                <w:sz w:val="16"/>
              </w:rPr>
              <w:t>Streaming replication and point-in-time recovery; managed on every cloud and on-premise</w:t>
            </w:r>
          </w:p>
        </w:tc>
        <w:tc>
          <w:tcPr>
            <w:tcW w:type="dxa" w:w="3288"/>
            <w:vAlign w:val="top"/>
            <w:shd w:val="clear" w:color="auto" w:fill="FDF0F7"/>
          </w:tcPr>
          <w:p>
            <w:pPr>
              <w:spacing w:after="20" w:line="252" w:lineRule="auto"/>
            </w:pPr>
            <w:r>
              <w:rPr>
                <w:b w:val="0"/>
                <w:i w:val="0"/>
                <w:sz w:val="16"/>
              </w:rPr>
              <w:t>Replica sets; a second skill set for IITH</w:t>
            </w:r>
          </w:p>
        </w:tc>
      </w:tr>
      <w:tr>
        <w:trPr>
          <w:cantSplit/>
        </w:trPr>
        <w:tc>
          <w:tcPr>
            <w:tcW w:type="dxa" w:w="2041"/>
            <w:vAlign w:val="top"/>
          </w:tcPr>
          <w:p>
            <w:pPr>
              <w:spacing w:after="20" w:line="252" w:lineRule="auto"/>
            </w:pPr>
            <w:r>
              <w:rPr>
                <w:b/>
                <w:i w:val="0"/>
                <w:sz w:val="16"/>
              </w:rPr>
              <w:t>Licence</w:t>
            </w:r>
          </w:p>
        </w:tc>
        <w:tc>
          <w:tcPr>
            <w:tcW w:type="dxa" w:w="4309"/>
            <w:vAlign w:val="top"/>
          </w:tcPr>
          <w:p>
            <w:pPr>
              <w:spacing w:after="20" w:line="252" w:lineRule="auto"/>
            </w:pPr>
            <w:r>
              <w:rPr>
                <w:b w:val="0"/>
                <w:i w:val="0"/>
                <w:sz w:val="16"/>
              </w:rPr>
              <w:t>PostgreSQL licence, no fee</w:t>
            </w:r>
          </w:p>
        </w:tc>
        <w:tc>
          <w:tcPr>
            <w:tcW w:type="dxa" w:w="3288"/>
            <w:vAlign w:val="top"/>
          </w:tcPr>
          <w:p>
            <w:pPr>
              <w:spacing w:after="20" w:line="252" w:lineRule="auto"/>
            </w:pPr>
            <w:r>
              <w:rPr>
                <w:b w:val="0"/>
                <w:i w:val="0"/>
                <w:sz w:val="16"/>
              </w:rPr>
              <w:t>SSPL; enterprise features are paid</w:t>
            </w:r>
          </w:p>
        </w:tc>
      </w:tr>
      <w:tr>
        <w:trPr>
          <w:cantSplit/>
        </w:trPr>
        <w:tc>
          <w:tcPr>
            <w:tcW w:type="dxa" w:w="2041"/>
            <w:vAlign w:val="top"/>
            <w:shd w:val="clear" w:color="auto" w:fill="FDF0F7"/>
          </w:tcPr>
          <w:p>
            <w:pPr>
              <w:spacing w:after="20" w:line="252" w:lineRule="auto"/>
            </w:pPr>
            <w:r>
              <w:rPr>
                <w:b/>
                <w:i w:val="0"/>
                <w:sz w:val="16"/>
              </w:rPr>
              <w:t>Fit to volume</w:t>
            </w:r>
          </w:p>
        </w:tc>
        <w:tc>
          <w:tcPr>
            <w:tcW w:type="dxa" w:w="4309"/>
            <w:vAlign w:val="top"/>
            <w:shd w:val="clear" w:color="auto" w:fill="FDF0F7"/>
          </w:tcPr>
          <w:p>
            <w:pPr>
              <w:spacing w:after="20" w:line="252" w:lineRule="auto"/>
            </w:pPr>
            <w:r>
              <w:rPr>
                <w:b w:val="0"/>
                <w:i w:val="0"/>
                <w:sz w:val="16"/>
              </w:rPr>
              <w:t>Under 5 GB of structured data in five years</w:t>
            </w:r>
          </w:p>
        </w:tc>
        <w:tc>
          <w:tcPr>
            <w:tcW w:type="dxa" w:w="3288"/>
            <w:vAlign w:val="top"/>
            <w:shd w:val="clear" w:color="auto" w:fill="FDF0F7"/>
          </w:tcPr>
          <w:p>
            <w:pPr>
              <w:spacing w:after="20" w:line="252" w:lineRule="auto"/>
            </w:pPr>
            <w:r>
              <w:rPr>
                <w:b w:val="0"/>
                <w:i w:val="0"/>
                <w:sz w:val="16"/>
              </w:rPr>
              <w:t>Strength is very large schemaless data, not needed here</w:t>
            </w:r>
          </w:p>
        </w:tc>
      </w:tr>
    </w:tbl>
    <w:p>
      <w:pPr>
        <w:pStyle w:val="Caption"/>
        <w:jc w:val="center"/>
      </w:pPr>
      <w:r>
        <w:rPr>
          <w:b w:val="0"/>
          <w:i w:val="0"/>
        </w:rPr>
        <w:t>Table 18: Database selection</w:t>
      </w:r>
    </w:p>
    <w:p>
      <w:pPr>
        <w:pStyle w:val="Heading2"/>
      </w:pPr>
      <w:r>
        <w:t>12.4 Integration architecture</w:t>
      </w:r>
    </w:p>
    <w:p>
      <w:pPr>
        <w:keepNext w:val="0"/>
      </w:pPr>
      <w:r>
        <w:rPr>
          <w:b w:val="0"/>
          <w:i w:val="0"/>
        </w:rPr>
        <w:t>Each outbound message is written to an outbox table in the same transaction as the business change. A policy therefore cannot be issued without its FIN entry being queued, and a failed call loses nothing. A dispatcher delivers messages through adapters, retries with back-off, logs every attempt and moves exhausted messages to a dead-letter queue shown in the integration monitor. The outbox, retry and dead-letter handling run in the working application; the IIFT adapters are built during implementation against the interface specification (DEL-09).</w:t>
      </w:r>
    </w:p>
    <w:p>
      <w:pPr>
        <w:keepNext/>
        <w:spacing w:after="0"/>
        <w:jc w:val="center"/>
      </w:pPr>
      <w:r>
        <w:drawing>
          <wp:inline xmlns:a="http://schemas.openxmlformats.org/drawingml/2006/main" xmlns:pic="http://schemas.openxmlformats.org/drawingml/2006/picture">
            <wp:extent cx="5760000" cy="2752000"/>
            <wp:docPr id="39" name="Picture 39"/>
            <wp:cNvGraphicFramePr>
              <a:graphicFrameLocks noChangeAspect="1"/>
            </wp:cNvGraphicFramePr>
            <a:graphic>
              <a:graphicData uri="http://schemas.openxmlformats.org/drawingml/2006/picture">
                <pic:pic>
                  <pic:nvPicPr>
                    <pic:cNvPr id="0" name="fig-integration-flow.png"/>
                    <pic:cNvPicPr/>
                  </pic:nvPicPr>
                  <pic:blipFill>
                    <a:blip r:embed="rId49"/>
                    <a:stretch>
                      <a:fillRect/>
                    </a:stretch>
                  </pic:blipFill>
                  <pic:spPr>
                    <a:xfrm>
                      <a:off x="0" y="0"/>
                      <a:ext cx="5760000" cy="2752000"/>
                    </a:xfrm>
                    <a:prstGeom prst="rect"/>
                  </pic:spPr>
                </pic:pic>
              </a:graphicData>
            </a:graphic>
          </wp:inline>
        </w:drawing>
      </w:r>
    </w:p>
    <w:p>
      <w:pPr>
        <w:pStyle w:val="Caption"/>
        <w:jc w:val="center"/>
      </w:pPr>
      <w:r>
        <w:rPr>
          <w:b w:val="0"/>
          <w:i w:val="0"/>
        </w:rPr>
        <w:t>Figure 36: Integration flow with outbox, retry and reconciliation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1360"/>
        <w:gridCol w:w="1701"/>
        <w:gridCol w:w="1587"/>
        <w:gridCol w:w="2154"/>
        <w:gridCol w:w="1474"/>
      </w:tblGrid>
      <w:tr>
        <w:trPr>
          <w:cantSplit/>
          <w:tblHeader/>
        </w:trPr>
        <w:tc>
          <w:tcPr>
            <w:tcW w:type="dxa" w:w="1361"/>
            <w:shd w:val="clear" w:color="auto" w:fill="E1058C"/>
            <w:vAlign w:val="center"/>
          </w:tcPr>
          <w:p>
            <w:pPr>
              <w:spacing w:after="0"/>
            </w:pPr>
            <w:r>
              <w:rPr>
                <w:b/>
                <w:i w:val="0"/>
                <w:color w:val="FFFFFF"/>
                <w:sz w:val="16"/>
              </w:rPr>
              <w:t>Interface</w:t>
            </w:r>
          </w:p>
        </w:tc>
        <w:tc>
          <w:tcPr>
            <w:tcW w:type="dxa" w:w="1361"/>
            <w:shd w:val="clear" w:color="auto" w:fill="E1058C"/>
            <w:vAlign w:val="center"/>
          </w:tcPr>
          <w:p>
            <w:pPr>
              <w:spacing w:after="0"/>
            </w:pPr>
            <w:r>
              <w:rPr>
                <w:b/>
                <w:i w:val="0"/>
                <w:color w:val="FFFFFF"/>
                <w:sz w:val="16"/>
              </w:rPr>
              <w:t>Direction</w:t>
            </w:r>
          </w:p>
        </w:tc>
        <w:tc>
          <w:tcPr>
            <w:tcW w:type="dxa" w:w="1701"/>
            <w:shd w:val="clear" w:color="auto" w:fill="E1058C"/>
            <w:vAlign w:val="center"/>
          </w:tcPr>
          <w:p>
            <w:pPr>
              <w:spacing w:after="0"/>
            </w:pPr>
            <w:r>
              <w:rPr>
                <w:b/>
                <w:i w:val="0"/>
                <w:color w:val="FFFFFF"/>
                <w:sz w:val="16"/>
              </w:rPr>
              <w:t>Method</w:t>
            </w:r>
          </w:p>
        </w:tc>
        <w:tc>
          <w:tcPr>
            <w:tcW w:type="dxa" w:w="1587"/>
            <w:shd w:val="clear" w:color="auto" w:fill="E1058C"/>
            <w:vAlign w:val="center"/>
          </w:tcPr>
          <w:p>
            <w:pPr>
              <w:spacing w:after="0"/>
            </w:pPr>
            <w:r>
              <w:rPr>
                <w:b/>
                <w:i w:val="0"/>
                <w:color w:val="FFFFFF"/>
                <w:sz w:val="16"/>
              </w:rPr>
              <w:t>Frequency</w:t>
            </w:r>
          </w:p>
        </w:tc>
        <w:tc>
          <w:tcPr>
            <w:tcW w:type="dxa" w:w="2154"/>
            <w:shd w:val="clear" w:color="auto" w:fill="E1058C"/>
            <w:vAlign w:val="center"/>
          </w:tcPr>
          <w:p>
            <w:pPr>
              <w:spacing w:after="0"/>
            </w:pPr>
            <w:r>
              <w:rPr>
                <w:b/>
                <w:i w:val="0"/>
                <w:color w:val="FFFFFF"/>
                <w:sz w:val="16"/>
              </w:rPr>
              <w:t>Data</w:t>
            </w:r>
          </w:p>
        </w:tc>
        <w:tc>
          <w:tcPr>
            <w:tcW w:type="dxa" w:w="1474"/>
            <w:shd w:val="clear" w:color="auto" w:fill="E1058C"/>
            <w:vAlign w:val="center"/>
          </w:tcPr>
          <w:p>
            <w:pPr>
              <w:spacing w:after="0"/>
            </w:pPr>
            <w:r>
              <w:rPr>
                <w:b/>
                <w:i w:val="0"/>
                <w:color w:val="FFFFFF"/>
                <w:sz w:val="16"/>
              </w:rPr>
              <w:t>Security</w:t>
            </w:r>
          </w:p>
        </w:tc>
      </w:tr>
      <w:tr>
        <w:trPr>
          <w:cantSplit/>
        </w:trPr>
        <w:tc>
          <w:tcPr>
            <w:tcW w:type="dxa" w:w="1361"/>
            <w:vAlign w:val="top"/>
          </w:tcPr>
          <w:p>
            <w:pPr>
              <w:spacing w:after="20" w:line="252" w:lineRule="auto"/>
            </w:pPr>
            <w:r>
              <w:rPr>
                <w:b w:val="0"/>
                <w:i w:val="0"/>
                <w:sz w:val="16"/>
              </w:rPr>
              <w:t>Core system</w:t>
            </w:r>
          </w:p>
        </w:tc>
        <w:tc>
          <w:tcPr>
            <w:tcW w:type="dxa" w:w="1361"/>
            <w:vAlign w:val="top"/>
          </w:tcPr>
          <w:p>
            <w:pPr>
              <w:spacing w:after="20" w:line="252" w:lineRule="auto"/>
            </w:pPr>
            <w:r>
              <w:rPr>
                <w:b w:val="0"/>
                <w:i w:val="0"/>
                <w:sz w:val="16"/>
              </w:rPr>
              <w:t>Both ways</w:t>
            </w:r>
          </w:p>
        </w:tc>
        <w:tc>
          <w:tcPr>
            <w:tcW w:type="dxa" w:w="1701"/>
            <w:vAlign w:val="top"/>
          </w:tcPr>
          <w:p>
            <w:pPr>
              <w:spacing w:after="20" w:line="252" w:lineRule="auto"/>
            </w:pPr>
            <w:r>
              <w:rPr>
                <w:b w:val="0"/>
                <w:i w:val="0"/>
                <w:sz w:val="16"/>
              </w:rPr>
              <w:t>REST API or scheduled file</w:t>
            </w:r>
          </w:p>
        </w:tc>
        <w:tc>
          <w:tcPr>
            <w:tcW w:type="dxa" w:w="1587"/>
            <w:vAlign w:val="top"/>
          </w:tcPr>
          <w:p>
            <w:pPr>
              <w:spacing w:after="20" w:line="252" w:lineRule="auto"/>
            </w:pPr>
            <w:r>
              <w:rPr>
                <w:b w:val="0"/>
                <w:i w:val="0"/>
                <w:sz w:val="16"/>
              </w:rPr>
              <w:t>Event-driven plus daily sync</w:t>
            </w:r>
          </w:p>
        </w:tc>
        <w:tc>
          <w:tcPr>
            <w:tcW w:type="dxa" w:w="2154"/>
            <w:vAlign w:val="top"/>
          </w:tcPr>
          <w:p>
            <w:pPr>
              <w:spacing w:after="20" w:line="252" w:lineRule="auto"/>
            </w:pPr>
            <w:r>
              <w:rPr>
                <w:b w:val="0"/>
                <w:i w:val="0"/>
                <w:sz w:val="16"/>
              </w:rPr>
              <w:t>Agent, agency, bank master; status; policy summary</w:t>
            </w:r>
          </w:p>
        </w:tc>
        <w:tc>
          <w:tcPr>
            <w:tcW w:type="dxa" w:w="1474"/>
            <w:vAlign w:val="top"/>
          </w:tcPr>
          <w:p>
            <w:pPr>
              <w:spacing w:after="20" w:line="252" w:lineRule="auto"/>
            </w:pPr>
            <w:r>
              <w:rPr>
                <w:b w:val="0"/>
                <w:i w:val="0"/>
                <w:sz w:val="16"/>
              </w:rPr>
              <w:t>mTLS or API key; IP allow-list</w:t>
            </w:r>
          </w:p>
        </w:tc>
      </w:tr>
      <w:tr>
        <w:trPr>
          <w:cantSplit/>
        </w:trPr>
        <w:tc>
          <w:tcPr>
            <w:tcW w:type="dxa" w:w="1361"/>
            <w:vAlign w:val="top"/>
            <w:shd w:val="clear" w:color="auto" w:fill="FDF0F7"/>
          </w:tcPr>
          <w:p>
            <w:pPr>
              <w:spacing w:after="20" w:line="252" w:lineRule="auto"/>
            </w:pPr>
            <w:r>
              <w:rPr>
                <w:b w:val="0"/>
                <w:i w:val="0"/>
                <w:sz w:val="16"/>
              </w:rPr>
              <w:t>FIN</w:t>
            </w:r>
          </w:p>
        </w:tc>
        <w:tc>
          <w:tcPr>
            <w:tcW w:type="dxa" w:w="1361"/>
            <w:vAlign w:val="top"/>
            <w:shd w:val="clear" w:color="auto" w:fill="FDF0F7"/>
          </w:tcPr>
          <w:p>
            <w:pPr>
              <w:spacing w:after="20" w:line="252" w:lineRule="auto"/>
            </w:pPr>
            <w:r>
              <w:rPr>
                <w:b w:val="0"/>
                <w:i w:val="0"/>
                <w:sz w:val="16"/>
              </w:rPr>
              <w:t>Out (commission in)</w:t>
            </w:r>
          </w:p>
        </w:tc>
        <w:tc>
          <w:tcPr>
            <w:tcW w:type="dxa" w:w="1701"/>
            <w:vAlign w:val="top"/>
            <w:shd w:val="clear" w:color="auto" w:fill="FDF0F7"/>
          </w:tcPr>
          <w:p>
            <w:pPr>
              <w:spacing w:after="20" w:line="252" w:lineRule="auto"/>
            </w:pPr>
            <w:r>
              <w:rPr>
                <w:b w:val="0"/>
                <w:i w:val="0"/>
                <w:sz w:val="16"/>
              </w:rPr>
              <w:t>Interface file over SFTP, or API</w:t>
            </w:r>
          </w:p>
        </w:tc>
        <w:tc>
          <w:tcPr>
            <w:tcW w:type="dxa" w:w="1587"/>
            <w:vAlign w:val="top"/>
            <w:shd w:val="clear" w:color="auto" w:fill="FDF0F7"/>
          </w:tcPr>
          <w:p>
            <w:pPr>
              <w:spacing w:after="20" w:line="252" w:lineRule="auto"/>
            </w:pPr>
            <w:r>
              <w:rPr>
                <w:b w:val="0"/>
                <w:i w:val="0"/>
                <w:sz w:val="16"/>
              </w:rPr>
              <w:t>EOD; statements on demand</w:t>
            </w:r>
          </w:p>
        </w:tc>
        <w:tc>
          <w:tcPr>
            <w:tcW w:type="dxa" w:w="2154"/>
            <w:vAlign w:val="top"/>
            <w:shd w:val="clear" w:color="auto" w:fill="FDF0F7"/>
          </w:tcPr>
          <w:p>
            <w:pPr>
              <w:spacing w:after="20" w:line="252" w:lineRule="auto"/>
            </w:pPr>
            <w:r>
              <w:rPr>
                <w:b w:val="0"/>
                <w:i w:val="0"/>
                <w:sz w:val="16"/>
              </w:rPr>
              <w:t>Contribution, receipts, allocations; commission and referral fees</w:t>
            </w:r>
          </w:p>
        </w:tc>
        <w:tc>
          <w:tcPr>
            <w:tcW w:type="dxa" w:w="1474"/>
            <w:vAlign w:val="top"/>
            <w:shd w:val="clear" w:color="auto" w:fill="FDF0F7"/>
          </w:tcPr>
          <w:p>
            <w:pPr>
              <w:spacing w:after="20" w:line="252" w:lineRule="auto"/>
            </w:pPr>
            <w:r>
              <w:rPr>
                <w:b w:val="0"/>
                <w:i w:val="0"/>
                <w:sz w:val="16"/>
              </w:rPr>
              <w:t>SFTP keys or mTLS</w:t>
            </w:r>
          </w:p>
        </w:tc>
      </w:tr>
      <w:tr>
        <w:trPr>
          <w:cantSplit/>
        </w:trPr>
        <w:tc>
          <w:tcPr>
            <w:tcW w:type="dxa" w:w="1361"/>
            <w:vAlign w:val="top"/>
          </w:tcPr>
          <w:p>
            <w:pPr>
              <w:spacing w:after="20" w:line="252" w:lineRule="auto"/>
            </w:pPr>
            <w:r>
              <w:rPr>
                <w:b w:val="0"/>
                <w:i w:val="0"/>
                <w:sz w:val="16"/>
              </w:rPr>
              <w:t>AML screening</w:t>
            </w:r>
          </w:p>
        </w:tc>
        <w:tc>
          <w:tcPr>
            <w:tcW w:type="dxa" w:w="1361"/>
            <w:vAlign w:val="top"/>
          </w:tcPr>
          <w:p>
            <w:pPr>
              <w:spacing w:after="20" w:line="252" w:lineRule="auto"/>
            </w:pPr>
            <w:r>
              <w:rPr>
                <w:b w:val="0"/>
                <w:i w:val="0"/>
                <w:sz w:val="16"/>
              </w:rPr>
              <w:t>Request / response</w:t>
            </w:r>
          </w:p>
        </w:tc>
        <w:tc>
          <w:tcPr>
            <w:tcW w:type="dxa" w:w="1701"/>
            <w:vAlign w:val="top"/>
          </w:tcPr>
          <w:p>
            <w:pPr>
              <w:spacing w:after="20" w:line="252" w:lineRule="auto"/>
            </w:pPr>
            <w:r>
              <w:rPr>
                <w:b w:val="0"/>
                <w:i w:val="0"/>
                <w:sz w:val="16"/>
              </w:rPr>
              <w:t>REST API</w:t>
            </w:r>
          </w:p>
        </w:tc>
        <w:tc>
          <w:tcPr>
            <w:tcW w:type="dxa" w:w="1587"/>
            <w:vAlign w:val="top"/>
          </w:tcPr>
          <w:p>
            <w:pPr>
              <w:spacing w:after="20" w:line="252" w:lineRule="auto"/>
            </w:pPr>
            <w:r>
              <w:rPr>
                <w:b w:val="0"/>
                <w:i w:val="0"/>
                <w:sz w:val="16"/>
              </w:rPr>
              <w:t>On onboarding and change; scheduled re-screen</w:t>
            </w:r>
          </w:p>
        </w:tc>
        <w:tc>
          <w:tcPr>
            <w:tcW w:type="dxa" w:w="2154"/>
            <w:vAlign w:val="top"/>
          </w:tcPr>
          <w:p>
            <w:pPr>
              <w:spacing w:after="20" w:line="252" w:lineRule="auto"/>
            </w:pPr>
            <w:r>
              <w:rPr>
                <w:b w:val="0"/>
                <w:i w:val="0"/>
                <w:sz w:val="16"/>
              </w:rPr>
              <w:t>Name, IC, date of birth, nationality; match result</w:t>
            </w:r>
          </w:p>
        </w:tc>
        <w:tc>
          <w:tcPr>
            <w:tcW w:type="dxa" w:w="1474"/>
            <w:vAlign w:val="top"/>
          </w:tcPr>
          <w:p>
            <w:pPr>
              <w:spacing w:after="20" w:line="252" w:lineRule="auto"/>
            </w:pPr>
            <w:r>
              <w:rPr>
                <w:b w:val="0"/>
                <w:i w:val="0"/>
                <w:sz w:val="16"/>
              </w:rPr>
              <w:t>API key or OAuth2; TLS</w:t>
            </w:r>
          </w:p>
        </w:tc>
      </w:tr>
      <w:tr>
        <w:trPr>
          <w:cantSplit/>
        </w:trPr>
        <w:tc>
          <w:tcPr>
            <w:tcW w:type="dxa" w:w="1361"/>
            <w:vAlign w:val="top"/>
            <w:shd w:val="clear" w:color="auto" w:fill="FDF0F7"/>
          </w:tcPr>
          <w:p>
            <w:pPr>
              <w:spacing w:after="20" w:line="252" w:lineRule="auto"/>
            </w:pPr>
            <w:r>
              <w:rPr>
                <w:b w:val="0"/>
                <w:i w:val="0"/>
                <w:sz w:val="16"/>
              </w:rPr>
              <w:t>Active Directory</w:t>
            </w:r>
          </w:p>
        </w:tc>
        <w:tc>
          <w:tcPr>
            <w:tcW w:type="dxa" w:w="1361"/>
            <w:vAlign w:val="top"/>
            <w:shd w:val="clear" w:color="auto" w:fill="FDF0F7"/>
          </w:tcPr>
          <w:p>
            <w:pPr>
              <w:spacing w:after="20" w:line="252" w:lineRule="auto"/>
            </w:pPr>
            <w:r>
              <w:rPr>
                <w:b w:val="0"/>
                <w:i w:val="0"/>
                <w:sz w:val="16"/>
              </w:rPr>
              <w:t>Inbound</w:t>
            </w:r>
          </w:p>
        </w:tc>
        <w:tc>
          <w:tcPr>
            <w:tcW w:type="dxa" w:w="1701"/>
            <w:vAlign w:val="top"/>
            <w:shd w:val="clear" w:color="auto" w:fill="FDF0F7"/>
          </w:tcPr>
          <w:p>
            <w:pPr>
              <w:spacing w:after="20" w:line="252" w:lineRule="auto"/>
            </w:pPr>
            <w:r>
              <w:rPr>
                <w:b w:val="0"/>
                <w:i w:val="0"/>
                <w:sz w:val="16"/>
              </w:rPr>
              <w:t>LDAPS</w:t>
            </w:r>
          </w:p>
        </w:tc>
        <w:tc>
          <w:tcPr>
            <w:tcW w:type="dxa" w:w="1587"/>
            <w:vAlign w:val="top"/>
            <w:shd w:val="clear" w:color="auto" w:fill="FDF0F7"/>
          </w:tcPr>
          <w:p>
            <w:pPr>
              <w:spacing w:after="20" w:line="252" w:lineRule="auto"/>
            </w:pPr>
            <w:r>
              <w:rPr>
                <w:b w:val="0"/>
                <w:i w:val="0"/>
                <w:sz w:val="16"/>
              </w:rPr>
              <w:t>At login</w:t>
            </w:r>
          </w:p>
        </w:tc>
        <w:tc>
          <w:tcPr>
            <w:tcW w:type="dxa" w:w="2154"/>
            <w:vAlign w:val="top"/>
            <w:shd w:val="clear" w:color="auto" w:fill="FDF0F7"/>
          </w:tcPr>
          <w:p>
            <w:pPr>
              <w:spacing w:after="20" w:line="252" w:lineRule="auto"/>
            </w:pPr>
            <w:r>
              <w:rPr>
                <w:b w:val="0"/>
                <w:i w:val="0"/>
                <w:sz w:val="16"/>
              </w:rPr>
              <w:t>Back-office authentication and groups</w:t>
            </w:r>
          </w:p>
        </w:tc>
        <w:tc>
          <w:tcPr>
            <w:tcW w:type="dxa" w:w="1474"/>
            <w:vAlign w:val="top"/>
            <w:shd w:val="clear" w:color="auto" w:fill="FDF0F7"/>
          </w:tcPr>
          <w:p>
            <w:pPr>
              <w:spacing w:after="20" w:line="252" w:lineRule="auto"/>
            </w:pPr>
            <w:r>
              <w:rPr>
                <w:b w:val="0"/>
                <w:i w:val="0"/>
                <w:sz w:val="16"/>
              </w:rPr>
              <w:t>LDAPS service account</w:t>
            </w:r>
          </w:p>
        </w:tc>
      </w:tr>
      <w:tr>
        <w:trPr>
          <w:cantSplit/>
        </w:trPr>
        <w:tc>
          <w:tcPr>
            <w:tcW w:type="dxa" w:w="1361"/>
            <w:vAlign w:val="top"/>
          </w:tcPr>
          <w:p>
            <w:pPr>
              <w:spacing w:after="20" w:line="252" w:lineRule="auto"/>
            </w:pPr>
            <w:r>
              <w:rPr>
                <w:b w:val="0"/>
                <w:i w:val="0"/>
                <w:sz w:val="16"/>
              </w:rPr>
              <w:t>SMS gateway</w:t>
            </w:r>
          </w:p>
        </w:tc>
        <w:tc>
          <w:tcPr>
            <w:tcW w:type="dxa" w:w="1361"/>
            <w:vAlign w:val="top"/>
          </w:tcPr>
          <w:p>
            <w:pPr>
              <w:spacing w:after="20" w:line="252" w:lineRule="auto"/>
            </w:pPr>
            <w:r>
              <w:rPr>
                <w:b w:val="0"/>
                <w:i w:val="0"/>
                <w:sz w:val="16"/>
              </w:rPr>
              <w:t>Out</w:t>
            </w:r>
          </w:p>
        </w:tc>
        <w:tc>
          <w:tcPr>
            <w:tcW w:type="dxa" w:w="1701"/>
            <w:vAlign w:val="top"/>
          </w:tcPr>
          <w:p>
            <w:pPr>
              <w:spacing w:after="20" w:line="252" w:lineRule="auto"/>
            </w:pPr>
            <w:r>
              <w:rPr>
                <w:b w:val="0"/>
                <w:i w:val="0"/>
                <w:sz w:val="16"/>
              </w:rPr>
              <w:t>HTTPS API</w:t>
            </w:r>
          </w:p>
        </w:tc>
        <w:tc>
          <w:tcPr>
            <w:tcW w:type="dxa" w:w="1587"/>
            <w:vAlign w:val="top"/>
          </w:tcPr>
          <w:p>
            <w:pPr>
              <w:spacing w:after="20" w:line="252" w:lineRule="auto"/>
            </w:pPr>
            <w:r>
              <w:rPr>
                <w:b w:val="0"/>
                <w:i w:val="0"/>
                <w:sz w:val="16"/>
              </w:rPr>
              <w:t>Real time</w:t>
            </w:r>
          </w:p>
        </w:tc>
        <w:tc>
          <w:tcPr>
            <w:tcW w:type="dxa" w:w="2154"/>
            <w:vAlign w:val="top"/>
          </w:tcPr>
          <w:p>
            <w:pPr>
              <w:spacing w:after="20" w:line="252" w:lineRule="auto"/>
            </w:pPr>
            <w:r>
              <w:rPr>
                <w:b w:val="0"/>
                <w:i w:val="0"/>
                <w:sz w:val="16"/>
              </w:rPr>
              <w:t>OTP and alerts</w:t>
            </w:r>
          </w:p>
        </w:tc>
        <w:tc>
          <w:tcPr>
            <w:tcW w:type="dxa" w:w="1474"/>
            <w:vAlign w:val="top"/>
          </w:tcPr>
          <w:p>
            <w:pPr>
              <w:spacing w:after="20" w:line="252" w:lineRule="auto"/>
            </w:pPr>
            <w:r>
              <w:rPr>
                <w:b w:val="0"/>
                <w:i w:val="0"/>
                <w:sz w:val="16"/>
              </w:rPr>
              <w:t>API key; TLS</w:t>
            </w:r>
          </w:p>
        </w:tc>
      </w:tr>
      <w:tr>
        <w:trPr>
          <w:cantSplit/>
        </w:trPr>
        <w:tc>
          <w:tcPr>
            <w:tcW w:type="dxa" w:w="1361"/>
            <w:vAlign w:val="top"/>
            <w:shd w:val="clear" w:color="auto" w:fill="FDF0F7"/>
          </w:tcPr>
          <w:p>
            <w:pPr>
              <w:spacing w:after="20" w:line="252" w:lineRule="auto"/>
            </w:pPr>
            <w:r>
              <w:rPr>
                <w:b w:val="0"/>
                <w:i w:val="0"/>
                <w:sz w:val="16"/>
              </w:rPr>
              <w:t>E-mail</w:t>
            </w:r>
          </w:p>
        </w:tc>
        <w:tc>
          <w:tcPr>
            <w:tcW w:type="dxa" w:w="1361"/>
            <w:vAlign w:val="top"/>
            <w:shd w:val="clear" w:color="auto" w:fill="FDF0F7"/>
          </w:tcPr>
          <w:p>
            <w:pPr>
              <w:spacing w:after="20" w:line="252" w:lineRule="auto"/>
            </w:pPr>
            <w:r>
              <w:rPr>
                <w:b w:val="0"/>
                <w:i w:val="0"/>
                <w:sz w:val="16"/>
              </w:rPr>
              <w:t>Out</w:t>
            </w:r>
          </w:p>
        </w:tc>
        <w:tc>
          <w:tcPr>
            <w:tcW w:type="dxa" w:w="1701"/>
            <w:vAlign w:val="top"/>
            <w:shd w:val="clear" w:color="auto" w:fill="FDF0F7"/>
          </w:tcPr>
          <w:p>
            <w:pPr>
              <w:spacing w:after="20" w:line="252" w:lineRule="auto"/>
            </w:pPr>
            <w:r>
              <w:rPr>
                <w:b w:val="0"/>
                <w:i w:val="0"/>
                <w:sz w:val="16"/>
              </w:rPr>
              <w:t>SMTP with STARTTLS</w:t>
            </w:r>
          </w:p>
        </w:tc>
        <w:tc>
          <w:tcPr>
            <w:tcW w:type="dxa" w:w="1587"/>
            <w:vAlign w:val="top"/>
            <w:shd w:val="clear" w:color="auto" w:fill="FDF0F7"/>
          </w:tcPr>
          <w:p>
            <w:pPr>
              <w:spacing w:after="20" w:line="252" w:lineRule="auto"/>
            </w:pPr>
            <w:r>
              <w:rPr>
                <w:b w:val="0"/>
                <w:i w:val="0"/>
                <w:sz w:val="16"/>
              </w:rPr>
              <w:t>Real time</w:t>
            </w:r>
          </w:p>
        </w:tc>
        <w:tc>
          <w:tcPr>
            <w:tcW w:type="dxa" w:w="2154"/>
            <w:vAlign w:val="top"/>
            <w:shd w:val="clear" w:color="auto" w:fill="FDF0F7"/>
          </w:tcPr>
          <w:p>
            <w:pPr>
              <w:spacing w:after="20" w:line="252" w:lineRule="auto"/>
            </w:pPr>
            <w:r>
              <w:rPr>
                <w:b w:val="0"/>
                <w:i w:val="0"/>
                <w:sz w:val="16"/>
              </w:rPr>
              <w:t>Notifications, documents, scheduled reports</w:t>
            </w:r>
          </w:p>
        </w:tc>
        <w:tc>
          <w:tcPr>
            <w:tcW w:type="dxa" w:w="1474"/>
            <w:vAlign w:val="top"/>
            <w:shd w:val="clear" w:color="auto" w:fill="FDF0F7"/>
          </w:tcPr>
          <w:p>
            <w:pPr>
              <w:spacing w:after="20" w:line="252" w:lineRule="auto"/>
            </w:pPr>
            <w:r>
              <w:rPr>
                <w:b w:val="0"/>
                <w:i w:val="0"/>
                <w:sz w:val="16"/>
              </w:rPr>
              <w:t>Authenticated relay</w:t>
            </w:r>
          </w:p>
        </w:tc>
      </w:tr>
    </w:tbl>
    <w:p>
      <w:pPr>
        <w:pStyle w:val="Caption"/>
        <w:jc w:val="center"/>
      </w:pPr>
      <w:r>
        <w:rPr>
          <w:b w:val="0"/>
          <w:i w:val="0"/>
        </w:rPr>
        <w:t>Table 19: Interface catalogue</w:t>
      </w:r>
    </w:p>
    <w:p>
      <w:pPr>
        <w:pStyle w:val="Heading2"/>
      </w:pPr>
      <w:r>
        <w:t>12.5 Technology stack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4536"/>
        <w:gridCol w:w="3515"/>
      </w:tblGrid>
      <w:tr>
        <w:trPr>
          <w:cantSplit/>
          <w:tblHeader/>
        </w:trPr>
        <w:tc>
          <w:tcPr>
            <w:tcW w:type="dxa" w:w="1587"/>
            <w:shd w:val="clear" w:color="auto" w:fill="E1058C"/>
            <w:vAlign w:val="center"/>
          </w:tcPr>
          <w:p>
            <w:pPr>
              <w:spacing w:after="0"/>
            </w:pPr>
            <w:r>
              <w:rPr>
                <w:b/>
                <w:i w:val="0"/>
                <w:color w:val="FFFFFF"/>
                <w:sz w:val="16"/>
              </w:rPr>
              <w:t>Layer</w:t>
            </w:r>
          </w:p>
        </w:tc>
        <w:tc>
          <w:tcPr>
            <w:tcW w:type="dxa" w:w="4535"/>
            <w:shd w:val="clear" w:color="auto" w:fill="E1058C"/>
            <w:vAlign w:val="center"/>
          </w:tcPr>
          <w:p>
            <w:pPr>
              <w:spacing w:after="0"/>
            </w:pPr>
            <w:r>
              <w:rPr>
                <w:b/>
                <w:i w:val="0"/>
                <w:color w:val="FFFFFF"/>
                <w:sz w:val="16"/>
              </w:rPr>
              <w:t>Technology and version</w:t>
            </w:r>
          </w:p>
        </w:tc>
        <w:tc>
          <w:tcPr>
            <w:tcW w:type="dxa" w:w="3515"/>
            <w:shd w:val="clear" w:color="auto" w:fill="E1058C"/>
            <w:vAlign w:val="center"/>
          </w:tcPr>
          <w:p>
            <w:pPr>
              <w:spacing w:after="0"/>
            </w:pPr>
            <w:r>
              <w:rPr>
                <w:b/>
                <w:i w:val="0"/>
                <w:color w:val="FFFFFF"/>
                <w:sz w:val="16"/>
              </w:rPr>
              <w:t>Reason</w:t>
            </w:r>
          </w:p>
        </w:tc>
      </w:tr>
      <w:tr>
        <w:trPr>
          <w:cantSplit/>
        </w:trPr>
        <w:tc>
          <w:tcPr>
            <w:tcW w:type="dxa" w:w="1587"/>
            <w:vAlign w:val="top"/>
          </w:tcPr>
          <w:p>
            <w:pPr>
              <w:spacing w:after="20" w:line="252" w:lineRule="auto"/>
            </w:pPr>
            <w:r>
              <w:rPr>
                <w:b/>
                <w:i w:val="0"/>
                <w:sz w:val="16"/>
              </w:rPr>
              <w:t>Front end</w:t>
            </w:r>
          </w:p>
        </w:tc>
        <w:tc>
          <w:tcPr>
            <w:tcW w:type="dxa" w:w="4535"/>
            <w:vAlign w:val="top"/>
          </w:tcPr>
          <w:p>
            <w:pPr>
              <w:spacing w:after="20" w:line="252" w:lineRule="auto"/>
            </w:pPr>
            <w:r>
              <w:rPr>
                <w:b w:val="0"/>
                <w:i w:val="0"/>
                <w:sz w:val="16"/>
              </w:rPr>
              <w:t>React 19, TypeScript, Vite, Ant Design 6, TanStack Query, React Router</w:t>
            </w:r>
          </w:p>
        </w:tc>
        <w:tc>
          <w:tcPr>
            <w:tcW w:type="dxa" w:w="3515"/>
            <w:vAlign w:val="top"/>
          </w:tcPr>
          <w:p>
            <w:pPr>
              <w:spacing w:after="20" w:line="252" w:lineRule="auto"/>
            </w:pPr>
            <w:r>
              <w:rPr>
                <w:b w:val="0"/>
                <w:i w:val="0"/>
                <w:sz w:val="16"/>
              </w:rPr>
              <w:t>Widely used; accessible components themed to Insurans Islam TAIB colours</w:t>
            </w:r>
          </w:p>
        </w:tc>
      </w:tr>
      <w:tr>
        <w:trPr>
          <w:cantSplit/>
        </w:trPr>
        <w:tc>
          <w:tcPr>
            <w:tcW w:type="dxa" w:w="1587"/>
            <w:vAlign w:val="top"/>
            <w:shd w:val="clear" w:color="auto" w:fill="FDF0F7"/>
          </w:tcPr>
          <w:p>
            <w:pPr>
              <w:spacing w:after="20" w:line="252" w:lineRule="auto"/>
            </w:pPr>
            <w:r>
              <w:rPr>
                <w:b/>
                <w:i w:val="0"/>
                <w:sz w:val="16"/>
              </w:rPr>
              <w:t>API</w:t>
            </w:r>
          </w:p>
        </w:tc>
        <w:tc>
          <w:tcPr>
            <w:tcW w:type="dxa" w:w="4535"/>
            <w:vAlign w:val="top"/>
            <w:shd w:val="clear" w:color="auto" w:fill="FDF0F7"/>
          </w:tcPr>
          <w:p>
            <w:pPr>
              <w:spacing w:after="20" w:line="252" w:lineRule="auto"/>
            </w:pPr>
            <w:r>
              <w:rPr>
                <w:b w:val="0"/>
                <w:i w:val="0"/>
                <w:sz w:val="16"/>
              </w:rPr>
              <w:t>Node.js 22 LTS, NestJS 12 (TypeScript), modular monolith</w:t>
            </w:r>
          </w:p>
        </w:tc>
        <w:tc>
          <w:tcPr>
            <w:tcW w:type="dxa" w:w="3515"/>
            <w:vAlign w:val="top"/>
            <w:shd w:val="clear" w:color="auto" w:fill="FDF0F7"/>
          </w:tcPr>
          <w:p>
            <w:pPr>
              <w:spacing w:after="20" w:line="252" w:lineRule="auto"/>
            </w:pPr>
            <w:r>
              <w:rPr>
                <w:b w:val="0"/>
                <w:i w:val="0"/>
                <w:sz w:val="16"/>
              </w:rPr>
              <w:t>Module boundaries follow the RFP functional areas</w:t>
            </w:r>
          </w:p>
        </w:tc>
      </w:tr>
      <w:tr>
        <w:trPr>
          <w:cantSplit/>
        </w:trPr>
        <w:tc>
          <w:tcPr>
            <w:tcW w:type="dxa" w:w="1587"/>
            <w:vAlign w:val="top"/>
          </w:tcPr>
          <w:p>
            <w:pPr>
              <w:spacing w:after="20" w:line="252" w:lineRule="auto"/>
            </w:pPr>
            <w:r>
              <w:rPr>
                <w:b/>
                <w:i w:val="0"/>
                <w:sz w:val="16"/>
              </w:rPr>
              <w:t>Data access</w:t>
            </w:r>
          </w:p>
        </w:tc>
        <w:tc>
          <w:tcPr>
            <w:tcW w:type="dxa" w:w="4535"/>
            <w:vAlign w:val="top"/>
          </w:tcPr>
          <w:p>
            <w:pPr>
              <w:spacing w:after="20" w:line="252" w:lineRule="auto"/>
            </w:pPr>
            <w:r>
              <w:rPr>
                <w:b w:val="0"/>
                <w:i w:val="0"/>
                <w:sz w:val="16"/>
              </w:rPr>
              <w:t>Prisma 7 with the PostgreSQL driver adapter; versioned SQL migrations</w:t>
            </w:r>
          </w:p>
        </w:tc>
        <w:tc>
          <w:tcPr>
            <w:tcW w:type="dxa" w:w="3515"/>
            <w:vAlign w:val="top"/>
          </w:tcPr>
          <w:p>
            <w:pPr>
              <w:spacing w:after="20" w:line="252" w:lineRule="auto"/>
            </w:pPr>
            <w:r>
              <w:rPr>
                <w:b w:val="0"/>
                <w:i w:val="0"/>
                <w:sz w:val="16"/>
              </w:rPr>
              <w:t>Typed, parameterised queries only</w:t>
            </w:r>
          </w:p>
        </w:tc>
      </w:tr>
      <w:tr>
        <w:trPr>
          <w:cantSplit/>
        </w:trPr>
        <w:tc>
          <w:tcPr>
            <w:tcW w:type="dxa" w:w="1587"/>
            <w:vAlign w:val="top"/>
            <w:shd w:val="clear" w:color="auto" w:fill="FDF0F7"/>
          </w:tcPr>
          <w:p>
            <w:pPr>
              <w:spacing w:after="20" w:line="252" w:lineRule="auto"/>
            </w:pPr>
            <w:r>
              <w:rPr>
                <w:b/>
                <w:i w:val="0"/>
                <w:sz w:val="16"/>
              </w:rPr>
              <w:t>Database</w:t>
            </w:r>
          </w:p>
        </w:tc>
        <w:tc>
          <w:tcPr>
            <w:tcW w:type="dxa" w:w="4535"/>
            <w:vAlign w:val="top"/>
            <w:shd w:val="clear" w:color="auto" w:fill="FDF0F7"/>
          </w:tcPr>
          <w:p>
            <w:pPr>
              <w:spacing w:after="20" w:line="252" w:lineRule="auto"/>
            </w:pPr>
            <w:r>
              <w:rPr>
                <w:b w:val="0"/>
                <w:i w:val="0"/>
                <w:sz w:val="16"/>
              </w:rPr>
              <w:t>PostgreSQL 16</w:t>
            </w:r>
          </w:p>
        </w:tc>
        <w:tc>
          <w:tcPr>
            <w:tcW w:type="dxa" w:w="3515"/>
            <w:vAlign w:val="top"/>
            <w:shd w:val="clear" w:color="auto" w:fill="FDF0F7"/>
          </w:tcPr>
          <w:p>
            <w:pPr>
              <w:spacing w:after="20" w:line="252" w:lineRule="auto"/>
            </w:pPr>
            <w:r>
              <w:rPr>
                <w:b w:val="0"/>
                <w:i w:val="0"/>
                <w:sz w:val="16"/>
              </w:rPr>
              <w:t>See data architecture</w:t>
            </w:r>
          </w:p>
        </w:tc>
      </w:tr>
      <w:tr>
        <w:trPr>
          <w:cantSplit/>
        </w:trPr>
        <w:tc>
          <w:tcPr>
            <w:tcW w:type="dxa" w:w="1587"/>
            <w:vAlign w:val="top"/>
          </w:tcPr>
          <w:p>
            <w:pPr>
              <w:spacing w:after="20" w:line="252" w:lineRule="auto"/>
            </w:pPr>
            <w:r>
              <w:rPr>
                <w:b/>
                <w:i w:val="0"/>
                <w:sz w:val="16"/>
              </w:rPr>
              <w:t>Documents and reports</w:t>
            </w:r>
          </w:p>
        </w:tc>
        <w:tc>
          <w:tcPr>
            <w:tcW w:type="dxa" w:w="4535"/>
            <w:vAlign w:val="top"/>
          </w:tcPr>
          <w:p>
            <w:pPr>
              <w:spacing w:after="20" w:line="252" w:lineRule="auto"/>
            </w:pPr>
            <w:r>
              <w:rPr>
                <w:b w:val="0"/>
                <w:i w:val="0"/>
                <w:sz w:val="16"/>
              </w:rPr>
              <w:t>pdfkit for PDFs, exceljs for Excel; encrypted local volume, MinIO or S3</w:t>
            </w:r>
          </w:p>
        </w:tc>
        <w:tc>
          <w:tcPr>
            <w:tcW w:type="dxa" w:w="3515"/>
            <w:vAlign w:val="top"/>
          </w:tcPr>
          <w:p>
            <w:pPr>
              <w:spacing w:after="20" w:line="252" w:lineRule="auto"/>
            </w:pPr>
            <w:r>
              <w:rPr>
                <w:b w:val="0"/>
                <w:i w:val="0"/>
                <w:sz w:val="16"/>
              </w:rPr>
              <w:t>No native dependencies</w:t>
            </w:r>
          </w:p>
        </w:tc>
      </w:tr>
      <w:tr>
        <w:trPr>
          <w:cantSplit/>
        </w:trPr>
        <w:tc>
          <w:tcPr>
            <w:tcW w:type="dxa" w:w="1587"/>
            <w:vAlign w:val="top"/>
            <w:shd w:val="clear" w:color="auto" w:fill="FDF0F7"/>
          </w:tcPr>
          <w:p>
            <w:pPr>
              <w:spacing w:after="20" w:line="252" w:lineRule="auto"/>
            </w:pPr>
            <w:r>
              <w:rPr>
                <w:b/>
                <w:i w:val="0"/>
                <w:sz w:val="16"/>
              </w:rPr>
              <w:t>Jobs</w:t>
            </w:r>
          </w:p>
        </w:tc>
        <w:tc>
          <w:tcPr>
            <w:tcW w:type="dxa" w:w="4535"/>
            <w:vAlign w:val="top"/>
            <w:shd w:val="clear" w:color="auto" w:fill="FDF0F7"/>
          </w:tcPr>
          <w:p>
            <w:pPr>
              <w:spacing w:after="20" w:line="252" w:lineRule="auto"/>
            </w:pPr>
            <w:r>
              <w:rPr>
                <w:b w:val="0"/>
                <w:i w:val="0"/>
                <w:sz w:val="16"/>
              </w:rPr>
              <w:t>NestJS scheduler with PostgreSQL advisory locks</w:t>
            </w:r>
          </w:p>
        </w:tc>
        <w:tc>
          <w:tcPr>
            <w:tcW w:type="dxa" w:w="3515"/>
            <w:vAlign w:val="top"/>
            <w:shd w:val="clear" w:color="auto" w:fill="FDF0F7"/>
          </w:tcPr>
          <w:p>
            <w:pPr>
              <w:spacing w:after="20" w:line="252" w:lineRule="auto"/>
            </w:pPr>
            <w:r>
              <w:rPr>
                <w:b w:val="0"/>
                <w:i w:val="0"/>
                <w:sz w:val="16"/>
              </w:rPr>
              <w:t>One runner across replicas for EOD, grace period and outbox</w:t>
            </w:r>
          </w:p>
        </w:tc>
      </w:tr>
      <w:tr>
        <w:trPr>
          <w:cantSplit/>
        </w:trPr>
        <w:tc>
          <w:tcPr>
            <w:tcW w:type="dxa" w:w="1587"/>
            <w:vAlign w:val="top"/>
          </w:tcPr>
          <w:p>
            <w:pPr>
              <w:spacing w:after="20" w:line="252" w:lineRule="auto"/>
            </w:pPr>
            <w:r>
              <w:rPr>
                <w:b/>
                <w:i w:val="0"/>
                <w:sz w:val="16"/>
              </w:rPr>
              <w:t>Observability</w:t>
            </w:r>
          </w:p>
        </w:tc>
        <w:tc>
          <w:tcPr>
            <w:tcW w:type="dxa" w:w="4535"/>
            <w:vAlign w:val="top"/>
          </w:tcPr>
          <w:p>
            <w:pPr>
              <w:spacing w:after="20" w:line="252" w:lineRule="auto"/>
            </w:pPr>
            <w:r>
              <w:rPr>
                <w:b w:val="0"/>
                <w:i w:val="0"/>
                <w:sz w:val="16"/>
              </w:rPr>
              <w:t>pino JSON logs with correlation id; health endpoints; Prometheus metrics; Grafana</w:t>
            </w:r>
          </w:p>
        </w:tc>
        <w:tc>
          <w:tcPr>
            <w:tcW w:type="dxa" w:w="3515"/>
            <w:vAlign w:val="top"/>
          </w:tcPr>
          <w:p>
            <w:pPr>
              <w:spacing w:after="20" w:line="252" w:lineRule="auto"/>
            </w:pPr>
            <w:r>
              <w:rPr>
                <w:b w:val="0"/>
                <w:i w:val="0"/>
                <w:sz w:val="16"/>
              </w:rPr>
              <w:t>Central monitoring and alerting</w:t>
            </w:r>
          </w:p>
        </w:tc>
      </w:tr>
      <w:tr>
        <w:trPr>
          <w:cantSplit/>
        </w:trPr>
        <w:tc>
          <w:tcPr>
            <w:tcW w:type="dxa" w:w="1587"/>
            <w:vAlign w:val="top"/>
            <w:shd w:val="clear" w:color="auto" w:fill="FDF0F7"/>
          </w:tcPr>
          <w:p>
            <w:pPr>
              <w:spacing w:after="20" w:line="252" w:lineRule="auto"/>
            </w:pPr>
            <w:r>
              <w:rPr>
                <w:b/>
                <w:i w:val="0"/>
                <w:sz w:val="16"/>
              </w:rPr>
              <w:t>Testing</w:t>
            </w:r>
          </w:p>
        </w:tc>
        <w:tc>
          <w:tcPr>
            <w:tcW w:type="dxa" w:w="4535"/>
            <w:vAlign w:val="top"/>
            <w:shd w:val="clear" w:color="auto" w:fill="FDF0F7"/>
          </w:tcPr>
          <w:p>
            <w:pPr>
              <w:spacing w:after="20" w:line="252" w:lineRule="auto"/>
            </w:pPr>
            <w:r>
              <w:rPr>
                <w:b w:val="0"/>
                <w:i w:val="0"/>
                <w:sz w:val="16"/>
              </w:rPr>
              <w:t>Vitest (unit and API tests against PostgreSQL; web component tests with Testing Library), Playwright, k6</w:t>
            </w:r>
          </w:p>
        </w:tc>
        <w:tc>
          <w:tcPr>
            <w:tcW w:type="dxa" w:w="3515"/>
            <w:vAlign w:val="top"/>
            <w:shd w:val="clear" w:color="auto" w:fill="FDF0F7"/>
          </w:tcPr>
          <w:p>
            <w:pPr>
              <w:spacing w:after="20" w:line="252" w:lineRule="auto"/>
            </w:pPr>
            <w:r>
              <w:rPr>
                <w:b w:val="0"/>
                <w:i w:val="0"/>
                <w:sz w:val="16"/>
              </w:rPr>
              <w:t>Run in the CI pipeline</w:t>
            </w:r>
          </w:p>
        </w:tc>
      </w:tr>
      <w:tr>
        <w:trPr>
          <w:cantSplit/>
        </w:trPr>
        <w:tc>
          <w:tcPr>
            <w:tcW w:type="dxa" w:w="1587"/>
            <w:vAlign w:val="top"/>
          </w:tcPr>
          <w:p>
            <w:pPr>
              <w:spacing w:after="20" w:line="252" w:lineRule="auto"/>
            </w:pPr>
            <w:r>
              <w:rPr>
                <w:b/>
                <w:i w:val="0"/>
                <w:sz w:val="16"/>
              </w:rPr>
              <w:t>Delivery</w:t>
            </w:r>
          </w:p>
        </w:tc>
        <w:tc>
          <w:tcPr>
            <w:tcW w:type="dxa" w:w="4535"/>
            <w:vAlign w:val="top"/>
          </w:tcPr>
          <w:p>
            <w:pPr>
              <w:spacing w:after="20" w:line="252" w:lineRule="auto"/>
            </w:pPr>
            <w:r>
              <w:rPr>
                <w:b w:val="0"/>
                <w:i w:val="0"/>
                <w:sz w:val="16"/>
              </w:rPr>
              <w:t>Non-root Docker images; docker compose on-premise; Kubernetes or ECS optional; GitHub Actions or GitLab CI</w:t>
            </w:r>
          </w:p>
        </w:tc>
        <w:tc>
          <w:tcPr>
            <w:tcW w:type="dxa" w:w="3515"/>
            <w:vAlign w:val="top"/>
          </w:tcPr>
          <w:p>
            <w:pPr>
              <w:spacing w:after="20" w:line="252" w:lineRule="auto"/>
            </w:pPr>
            <w:r>
              <w:rPr>
                <w:b w:val="0"/>
                <w:i w:val="0"/>
                <w:sz w:val="16"/>
              </w:rPr>
              <w:t>Same images in every environment</w:t>
            </w:r>
          </w:p>
        </w:tc>
      </w:tr>
    </w:tbl>
    <w:p>
      <w:pPr>
        <w:pStyle w:val="Caption"/>
        <w:jc w:val="center"/>
      </w:pPr>
      <w:r>
        <w:rPr>
          <w:b w:val="0"/>
          <w:i w:val="0"/>
        </w:rPr>
        <w:t>Table 20: SalesVerse 2.0 technology stack</w:t>
      </w:r>
    </w:p>
    <w:p>
      <w:pPr>
        <w:keepNext w:val="0"/>
      </w:pPr>
      <w:r>
        <w:rPr>
          <w:b w:val="0"/>
          <w:i w:val="0"/>
        </w:rPr>
        <w:t>All components are open source under permissive licences. The CI pipeline produces a CycloneDX software bill of materials of the production dependencies on every build; it is delivered with the technical manual (COM-17).</w:t>
      </w:r>
    </w:p>
    <w:p>
      <w:pPr>
        <w:pStyle w:val="Heading2"/>
      </w:pPr>
      <w:r>
        <w:t>12.6 Non-functional requirements</w:t>
      </w:r>
    </w:p>
    <w:p>
      <w:pPr>
        <w:keepNext w:val="0"/>
      </w:pPr>
      <w:r>
        <w:rPr>
          <w:b w:val="0"/>
          <w:i w:val="0"/>
        </w:rPr>
        <w:t>Security requirements (NFR-08 to NFR-14) are covered in Section 13. The remaining targets are: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494"/>
        <w:gridCol w:w="7144"/>
      </w:tblGrid>
      <w:tr>
        <w:trPr>
          <w:cantSplit/>
          <w:tblHeader/>
        </w:trPr>
        <w:tc>
          <w:tcPr>
            <w:tcW w:type="dxa" w:w="2494"/>
            <w:shd w:val="clear" w:color="auto" w:fill="E1058C"/>
            <w:vAlign w:val="center"/>
          </w:tcPr>
          <w:p>
            <w:pPr>
              <w:spacing w:after="0"/>
            </w:pPr>
            <w:r>
              <w:rPr>
                <w:b/>
                <w:i w:val="0"/>
                <w:color w:val="FFFFFF"/>
                <w:sz w:val="16"/>
              </w:rPr>
              <w:t>Area</w:t>
            </w:r>
          </w:p>
        </w:tc>
        <w:tc>
          <w:tcPr>
            <w:tcW w:type="dxa" w:w="7143"/>
            <w:shd w:val="clear" w:color="auto" w:fill="E1058C"/>
            <w:vAlign w:val="center"/>
          </w:tcPr>
          <w:p>
            <w:pPr>
              <w:spacing w:after="0"/>
            </w:pPr>
            <w:r>
              <w:rPr>
                <w:b/>
                <w:i w:val="0"/>
                <w:color w:val="FFFFFF"/>
                <w:sz w:val="16"/>
              </w:rPr>
              <w:t>Target and approach</w:t>
            </w:r>
          </w:p>
        </w:tc>
      </w:tr>
      <w:tr>
        <w:trPr>
          <w:cantSplit/>
        </w:trPr>
        <w:tc>
          <w:tcPr>
            <w:tcW w:type="dxa" w:w="2494"/>
            <w:vAlign w:val="top"/>
          </w:tcPr>
          <w:p>
            <w:pPr>
              <w:spacing w:after="20" w:line="252" w:lineRule="auto"/>
            </w:pPr>
            <w:r>
              <w:rPr>
                <w:b/>
                <w:i w:val="0"/>
                <w:sz w:val="16"/>
              </w:rPr>
              <w:t>Performance (NFR-01)</w:t>
            </w:r>
          </w:p>
        </w:tc>
        <w:tc>
          <w:tcPr>
            <w:tcW w:type="dxa" w:w="7143"/>
            <w:vAlign w:val="top"/>
          </w:tcPr>
          <w:p>
            <w:pPr>
              <w:spacing w:after="20" w:line="252" w:lineRule="auto"/>
            </w:pPr>
            <w:r>
              <w:rPr>
                <w:b w:val="0"/>
                <w:i w:val="0"/>
                <w:sz w:val="16"/>
              </w:rPr>
              <w:t>Page load under 3 s; standard API calls p95 under 1 s; reports on 12 months of data under 10 s. Proven by k6 tests (DEL-18).</w:t>
            </w:r>
          </w:p>
        </w:tc>
      </w:tr>
      <w:tr>
        <w:trPr>
          <w:cantSplit/>
        </w:trPr>
        <w:tc>
          <w:tcPr>
            <w:tcW w:type="dxa" w:w="2494"/>
            <w:vAlign w:val="top"/>
            <w:shd w:val="clear" w:color="auto" w:fill="FDF0F7"/>
          </w:tcPr>
          <w:p>
            <w:pPr>
              <w:spacing w:after="20" w:line="252" w:lineRule="auto"/>
            </w:pPr>
            <w:r>
              <w:rPr>
                <w:b/>
                <w:i w:val="0"/>
                <w:sz w:val="16"/>
              </w:rPr>
              <w:t>Capacity (NFR-02, 03, 06, 07)</w:t>
            </w:r>
          </w:p>
        </w:tc>
        <w:tc>
          <w:tcPr>
            <w:tcW w:type="dxa" w:w="7143"/>
            <w:vAlign w:val="top"/>
            <w:shd w:val="clear" w:color="auto" w:fill="FDF0F7"/>
          </w:tcPr>
          <w:p>
            <w:pPr>
              <w:spacing w:after="20" w:line="252" w:lineRule="auto"/>
            </w:pPr>
            <w:r>
              <w:rPr>
                <w:b w:val="0"/>
                <w:i w:val="0"/>
                <w:sz w:val="16"/>
              </w:rPr>
              <w:t>100 concurrent and 500 named users; ten times Appendix 2 volume. Stateless API nodes scale out.</w:t>
            </w:r>
          </w:p>
        </w:tc>
      </w:tr>
      <w:tr>
        <w:trPr>
          <w:cantSplit/>
        </w:trPr>
        <w:tc>
          <w:tcPr>
            <w:tcW w:type="dxa" w:w="2494"/>
            <w:vAlign w:val="top"/>
          </w:tcPr>
          <w:p>
            <w:pPr>
              <w:spacing w:after="20" w:line="252" w:lineRule="auto"/>
            </w:pPr>
            <w:r>
              <w:rPr>
                <w:b/>
                <w:i w:val="0"/>
                <w:sz w:val="16"/>
              </w:rPr>
              <w:t>Availability (NFR-04, 05)</w:t>
            </w:r>
          </w:p>
        </w:tc>
        <w:tc>
          <w:tcPr>
            <w:tcW w:type="dxa" w:w="7143"/>
            <w:vAlign w:val="top"/>
          </w:tcPr>
          <w:p>
            <w:pPr>
              <w:spacing w:after="20" w:line="252" w:lineRule="auto"/>
            </w:pPr>
            <w:r>
              <w:rPr>
                <w:b w:val="0"/>
                <w:i w:val="0"/>
                <w:sz w:val="16"/>
              </w:rPr>
              <w:t>99.5% overall and 99.9% in IIFT business hours; two application nodes and a PostgreSQL standby.</w:t>
            </w:r>
          </w:p>
        </w:tc>
      </w:tr>
      <w:tr>
        <w:trPr>
          <w:cantSplit/>
        </w:trPr>
        <w:tc>
          <w:tcPr>
            <w:tcW w:type="dxa" w:w="2494"/>
            <w:vAlign w:val="top"/>
            <w:shd w:val="clear" w:color="auto" w:fill="FDF0F7"/>
          </w:tcPr>
          <w:p>
            <w:pPr>
              <w:spacing w:after="20" w:line="252" w:lineRule="auto"/>
            </w:pPr>
            <w:r>
              <w:rPr>
                <w:b/>
                <w:i w:val="0"/>
                <w:sz w:val="16"/>
              </w:rPr>
              <w:t>Backup and DR (NFR-17 to 19)</w:t>
            </w:r>
          </w:p>
        </w:tc>
        <w:tc>
          <w:tcPr>
            <w:tcW w:type="dxa" w:w="7143"/>
            <w:vAlign w:val="top"/>
            <w:shd w:val="clear" w:color="auto" w:fill="FDF0F7"/>
          </w:tcPr>
          <w:p>
            <w:pPr>
              <w:spacing w:after="20" w:line="252" w:lineRule="auto"/>
            </w:pPr>
            <w:r>
              <w:rPr>
                <w:b w:val="0"/>
                <w:i w:val="0"/>
                <w:sz w:val="16"/>
              </w:rPr>
              <w:t>Daily full backup and continuous WAL archiving; 35 days online, monthly copies for 12 months; RPO 15 minutes, RTO 4 hours; annual DR test.</w:t>
            </w:r>
          </w:p>
        </w:tc>
      </w:tr>
      <w:tr>
        <w:trPr>
          <w:cantSplit/>
        </w:trPr>
        <w:tc>
          <w:tcPr>
            <w:tcW w:type="dxa" w:w="2494"/>
            <w:vAlign w:val="top"/>
          </w:tcPr>
          <w:p>
            <w:pPr>
              <w:spacing w:after="20" w:line="252" w:lineRule="auto"/>
            </w:pPr>
            <w:r>
              <w:rPr>
                <w:b/>
                <w:i w:val="0"/>
                <w:sz w:val="16"/>
              </w:rPr>
              <w:t>Integrity and errors (NFR-15, 16)</w:t>
            </w:r>
          </w:p>
        </w:tc>
        <w:tc>
          <w:tcPr>
            <w:tcW w:type="dxa" w:w="7143"/>
            <w:vAlign w:val="top"/>
          </w:tcPr>
          <w:p>
            <w:pPr>
              <w:spacing w:after="20" w:line="252" w:lineRule="auto"/>
            </w:pPr>
            <w:r>
              <w:rPr>
                <w:b w:val="0"/>
                <w:i w:val="0"/>
                <w:sz w:val="16"/>
              </w:rPr>
              <w:t>ACID transactions and idempotency keys; users see a generic message with a correlation id.</w:t>
            </w:r>
          </w:p>
        </w:tc>
      </w:tr>
      <w:tr>
        <w:trPr>
          <w:cantSplit/>
        </w:trPr>
        <w:tc>
          <w:tcPr>
            <w:tcW w:type="dxa" w:w="2494"/>
            <w:vAlign w:val="top"/>
            <w:shd w:val="clear" w:color="auto" w:fill="FDF0F7"/>
          </w:tcPr>
          <w:p>
            <w:pPr>
              <w:spacing w:after="20" w:line="252" w:lineRule="auto"/>
            </w:pPr>
            <w:r>
              <w:rPr>
                <w:b/>
                <w:i w:val="0"/>
                <w:sz w:val="16"/>
              </w:rPr>
              <w:t>Monitoring and logs (NFR-26 to 28)</w:t>
            </w:r>
          </w:p>
        </w:tc>
        <w:tc>
          <w:tcPr>
            <w:tcW w:type="dxa" w:w="7143"/>
            <w:vAlign w:val="top"/>
            <w:shd w:val="clear" w:color="auto" w:fill="FDF0F7"/>
          </w:tcPr>
          <w:p>
            <w:pPr>
              <w:spacing w:after="20" w:line="252" w:lineRule="auto"/>
            </w:pPr>
            <w:r>
              <w:rPr>
                <w:b w:val="0"/>
                <w:i w:val="0"/>
                <w:sz w:val="16"/>
              </w:rPr>
              <w:t>Health, metrics, job and integration monitors; alerts on downtime, error rate, latency, failed jobs and dead-letters; logs to a central store.</w:t>
            </w:r>
          </w:p>
        </w:tc>
      </w:tr>
      <w:tr>
        <w:trPr>
          <w:cantSplit/>
        </w:trPr>
        <w:tc>
          <w:tcPr>
            <w:tcW w:type="dxa" w:w="2494"/>
            <w:vAlign w:val="top"/>
          </w:tcPr>
          <w:p>
            <w:pPr>
              <w:spacing w:after="20" w:line="252" w:lineRule="auto"/>
            </w:pPr>
            <w:r>
              <w:rPr>
                <w:b/>
                <w:i w:val="0"/>
                <w:sz w:val="16"/>
              </w:rPr>
              <w:t>Retention and quality (NFR-29, 30)</w:t>
            </w:r>
          </w:p>
        </w:tc>
        <w:tc>
          <w:tcPr>
            <w:tcW w:type="dxa" w:w="7143"/>
            <w:vAlign w:val="top"/>
          </w:tcPr>
          <w:p>
            <w:pPr>
              <w:spacing w:after="20" w:line="252" w:lineRule="auto"/>
            </w:pPr>
            <w:r>
              <w:rPr>
                <w:b w:val="0"/>
                <w:i w:val="0"/>
                <w:sz w:val="16"/>
              </w:rPr>
              <w:t>Policy and financial records kept 7 years after expiry by default; validation on every input plus database constraints.</w:t>
            </w:r>
          </w:p>
        </w:tc>
      </w:tr>
      <w:tr>
        <w:trPr>
          <w:cantSplit/>
        </w:trPr>
        <w:tc>
          <w:tcPr>
            <w:tcW w:type="dxa" w:w="2494"/>
            <w:vAlign w:val="top"/>
            <w:shd w:val="clear" w:color="auto" w:fill="FDF0F7"/>
          </w:tcPr>
          <w:p>
            <w:pPr>
              <w:spacing w:after="20" w:line="252" w:lineRule="auto"/>
            </w:pPr>
            <w:r>
              <w:rPr>
                <w:b/>
                <w:i w:val="0"/>
                <w:sz w:val="16"/>
              </w:rPr>
              <w:t>Usability (NFR-22 to 24)</w:t>
            </w:r>
          </w:p>
        </w:tc>
        <w:tc>
          <w:tcPr>
            <w:tcW w:type="dxa" w:w="7143"/>
            <w:vAlign w:val="top"/>
            <w:shd w:val="clear" w:color="auto" w:fill="FDF0F7"/>
          </w:tcPr>
          <w:p>
            <w:pPr>
              <w:spacing w:after="20" w:line="252" w:lineRule="auto"/>
            </w:pPr>
            <w:r>
              <w:rPr>
                <w:b w:val="0"/>
                <w:i w:val="0"/>
                <w:sz w:val="16"/>
              </w:rPr>
              <w:t>One design system; WCAG 2.1 AA target; current and previous versions of Chrome, Edge, Firefox and Safari.</w:t>
            </w:r>
          </w:p>
        </w:tc>
      </w:tr>
      <w:tr>
        <w:trPr>
          <w:cantSplit/>
        </w:trPr>
        <w:tc>
          <w:tcPr>
            <w:tcW w:type="dxa" w:w="2494"/>
            <w:vAlign w:val="top"/>
          </w:tcPr>
          <w:p>
            <w:pPr>
              <w:spacing w:after="20" w:line="252" w:lineRule="auto"/>
            </w:pPr>
            <w:r>
              <w:rPr>
                <w:b/>
                <w:i w:val="0"/>
                <w:sz w:val="16"/>
              </w:rPr>
              <w:t>API standards (NFR-25)</w:t>
            </w:r>
          </w:p>
        </w:tc>
        <w:tc>
          <w:tcPr>
            <w:tcW w:type="dxa" w:w="7143"/>
            <w:vAlign w:val="top"/>
          </w:tcPr>
          <w:p>
            <w:pPr>
              <w:spacing w:after="20" w:line="252" w:lineRule="auto"/>
            </w:pPr>
            <w:r>
              <w:rPr>
                <w:b w:val="0"/>
                <w:i w:val="0"/>
                <w:sz w:val="16"/>
              </w:rPr>
              <w:t>REST and JSON over HTTPS, OpenAPI 3, ISO 8601 dates, versioned URLs (/api/v1).</w:t>
            </w:r>
          </w:p>
        </w:tc>
      </w:tr>
    </w:tbl>
    <w:p>
      <w:pPr>
        <w:spacing w:after="0" w:before="0"/>
      </w:pPr>
      <w:r>
        <w:rPr>
          <w:sz w:val="8"/>
        </w:rPr>
      </w:r>
    </w:p>
    <w:p>
      <w:pPr>
        <w:pStyle w:val="Heading1"/>
        <w:pageBreakBefore/>
        <w:pBdr>
          <w:bottom w:val="single" w:sz="12" w:space="4" w:color="F58220"/>
        </w:pBdr>
      </w:pPr>
      <w:r>
        <w:t>13. Security Architecture &amp; Controls</w:t>
      </w:r>
    </w:p>
    <w:p>
      <w:pPr>
        <w:keepNext w:val="0"/>
      </w:pPr>
      <w:r>
        <w:rPr>
          <w:b w:val="0"/>
          <w:i w:val="0"/>
        </w:rPr>
        <w:t>This chapter is the single description of security controls; other chapters refer to it. Controls are aligned with OWASP ASVS Level 2, the OWASP Top 10, Brunei's Personal Data Protection Order 2025 (PDPO) and AMBD's technology risk expectations for Takaful operators. We claim alignment, not certification. IIFT's policies are mapped in detail in the Solution Architecture (DEL-06).</w:t>
      </w:r>
    </w:p>
    <w:p>
      <w:pPr>
        <w:pStyle w:val="Heading2"/>
      </w:pPr>
      <w:r>
        <w:t>13.1 Controls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6010"/>
        <w:gridCol w:w="1927"/>
      </w:tblGrid>
      <w:tr>
        <w:trPr>
          <w:cantSplit/>
          <w:tblHeader/>
        </w:trPr>
        <w:tc>
          <w:tcPr>
            <w:tcW w:type="dxa" w:w="1701"/>
            <w:shd w:val="clear" w:color="auto" w:fill="E1058C"/>
            <w:vAlign w:val="center"/>
          </w:tcPr>
          <w:p>
            <w:pPr>
              <w:spacing w:after="0"/>
            </w:pPr>
            <w:r>
              <w:rPr>
                <w:b/>
                <w:i w:val="0"/>
                <w:color w:val="FFFFFF"/>
                <w:sz w:val="16"/>
              </w:rPr>
              <w:t>Control</w:t>
            </w:r>
          </w:p>
        </w:tc>
        <w:tc>
          <w:tcPr>
            <w:tcW w:type="dxa" w:w="6009"/>
            <w:shd w:val="clear" w:color="auto" w:fill="E1058C"/>
            <w:vAlign w:val="center"/>
          </w:tcPr>
          <w:p>
            <w:pPr>
              <w:spacing w:after="0"/>
            </w:pPr>
            <w:r>
              <w:rPr>
                <w:b/>
                <w:i w:val="0"/>
                <w:color w:val="FFFFFF"/>
                <w:sz w:val="16"/>
              </w:rPr>
              <w:t>Implementation (defaults configurable)</w:t>
            </w:r>
          </w:p>
        </w:tc>
        <w:tc>
          <w:tcPr>
            <w:tcW w:type="dxa" w:w="1928"/>
            <w:shd w:val="clear" w:color="auto" w:fill="E1058C"/>
            <w:vAlign w:val="center"/>
          </w:tcPr>
          <w:p>
            <w:pPr>
              <w:spacing w:after="0"/>
            </w:pPr>
            <w:r>
              <w:rPr>
                <w:b/>
                <w:i w:val="0"/>
                <w:color w:val="FFFFFF"/>
                <w:sz w:val="16"/>
              </w:rPr>
              <w:t>RFP reference</w:t>
            </w:r>
          </w:p>
        </w:tc>
      </w:tr>
      <w:tr>
        <w:trPr>
          <w:cantSplit/>
        </w:trPr>
        <w:tc>
          <w:tcPr>
            <w:tcW w:type="dxa" w:w="1701"/>
            <w:vAlign w:val="top"/>
          </w:tcPr>
          <w:p>
            <w:pPr>
              <w:spacing w:after="20" w:line="252" w:lineRule="auto"/>
            </w:pPr>
            <w:r>
              <w:rPr>
                <w:b/>
                <w:i w:val="0"/>
                <w:sz w:val="16"/>
              </w:rPr>
              <w:t>Authentication</w:t>
            </w:r>
          </w:p>
        </w:tc>
        <w:tc>
          <w:tcPr>
            <w:tcW w:type="dxa" w:w="6009"/>
            <w:vAlign w:val="top"/>
          </w:tcPr>
          <w:p>
            <w:pPr>
              <w:spacing w:after="20" w:line="252" w:lineRule="auto"/>
            </w:pPr>
            <w:r>
              <w:rPr>
                <w:b w:val="0"/>
                <w:i w:val="0"/>
                <w:sz w:val="16"/>
              </w:rPr>
              <w:t>Argon2id password hashing; rate-limited login; MFA by e-mail OTP or authenticator app for back-office (optional for portal); Active Directory single sign-on</w:t>
            </w:r>
          </w:p>
        </w:tc>
        <w:tc>
          <w:tcPr>
            <w:tcW w:type="dxa" w:w="1928"/>
            <w:vAlign w:val="top"/>
          </w:tcPr>
          <w:p>
            <w:pPr>
              <w:spacing w:after="20" w:line="252" w:lineRule="auto"/>
            </w:pPr>
            <w:r>
              <w:rPr>
                <w:b w:val="0"/>
                <w:i w:val="0"/>
                <w:sz w:val="16"/>
              </w:rPr>
              <w:t>AP-01, BO-01, NFR-09, INT-06</w:t>
            </w:r>
          </w:p>
        </w:tc>
      </w:tr>
      <w:tr>
        <w:trPr>
          <w:cantSplit/>
        </w:trPr>
        <w:tc>
          <w:tcPr>
            <w:tcW w:type="dxa" w:w="1701"/>
            <w:vAlign w:val="top"/>
            <w:shd w:val="clear" w:color="auto" w:fill="FDF0F7"/>
          </w:tcPr>
          <w:p>
            <w:pPr>
              <w:spacing w:after="20" w:line="252" w:lineRule="auto"/>
            </w:pPr>
            <w:r>
              <w:rPr>
                <w:b/>
                <w:i w:val="0"/>
                <w:sz w:val="16"/>
              </w:rPr>
              <w:t>Password policy</w:t>
            </w:r>
          </w:p>
        </w:tc>
        <w:tc>
          <w:tcPr>
            <w:tcW w:type="dxa" w:w="6009"/>
            <w:vAlign w:val="top"/>
            <w:shd w:val="clear" w:color="auto" w:fill="FDF0F7"/>
          </w:tcPr>
          <w:p>
            <w:pPr>
              <w:spacing w:after="20" w:line="252" w:lineRule="auto"/>
            </w:pPr>
            <w:r>
              <w:rPr>
                <w:b w:val="0"/>
                <w:i w:val="0"/>
                <w:sz w:val="16"/>
              </w:rPr>
              <w:t>12 characters minimum with complexity; last 5 passwords blocked; 90-day expiry; change at first login. All configurable</w:t>
            </w:r>
          </w:p>
        </w:tc>
        <w:tc>
          <w:tcPr>
            <w:tcW w:type="dxa" w:w="1928"/>
            <w:vAlign w:val="top"/>
            <w:shd w:val="clear" w:color="auto" w:fill="FDF0F7"/>
          </w:tcPr>
          <w:p>
            <w:pPr>
              <w:spacing w:after="20" w:line="252" w:lineRule="auto"/>
            </w:pPr>
            <w:r>
              <w:rPr>
                <w:b w:val="0"/>
                <w:i w:val="0"/>
                <w:sz w:val="16"/>
              </w:rPr>
              <w:t>AP-02</w:t>
            </w:r>
          </w:p>
        </w:tc>
      </w:tr>
      <w:tr>
        <w:trPr>
          <w:cantSplit/>
        </w:trPr>
        <w:tc>
          <w:tcPr>
            <w:tcW w:type="dxa" w:w="1701"/>
            <w:vAlign w:val="top"/>
          </w:tcPr>
          <w:p>
            <w:pPr>
              <w:spacing w:after="20" w:line="252" w:lineRule="auto"/>
            </w:pPr>
            <w:r>
              <w:rPr>
                <w:b/>
                <w:i w:val="0"/>
                <w:sz w:val="16"/>
              </w:rPr>
              <w:t>Sessions</w:t>
            </w:r>
          </w:p>
        </w:tc>
        <w:tc>
          <w:tcPr>
            <w:tcW w:type="dxa" w:w="6009"/>
            <w:vAlign w:val="top"/>
          </w:tcPr>
          <w:p>
            <w:pPr>
              <w:spacing w:after="20" w:line="252" w:lineRule="auto"/>
            </w:pPr>
            <w:r>
              <w:rPr>
                <w:b w:val="0"/>
                <w:i w:val="0"/>
                <w:sz w:val="16"/>
              </w:rPr>
              <w:t>Sessions held on the server; HttpOnly, Secure, SameSite=Strict cookie; CSRF token; new session id at login; 15-minute idle and 8-hour absolute timeout; optional single session; revoked at logout</w:t>
            </w:r>
          </w:p>
        </w:tc>
        <w:tc>
          <w:tcPr>
            <w:tcW w:type="dxa" w:w="1928"/>
            <w:vAlign w:val="top"/>
          </w:tcPr>
          <w:p>
            <w:pPr>
              <w:spacing w:after="20" w:line="252" w:lineRule="auto"/>
            </w:pPr>
            <w:r>
              <w:rPr>
                <w:b w:val="0"/>
                <w:i w:val="0"/>
                <w:sz w:val="16"/>
              </w:rPr>
              <w:t>AP-03</w:t>
            </w:r>
          </w:p>
        </w:tc>
      </w:tr>
      <w:tr>
        <w:trPr>
          <w:cantSplit/>
        </w:trPr>
        <w:tc>
          <w:tcPr>
            <w:tcW w:type="dxa" w:w="1701"/>
            <w:vAlign w:val="top"/>
            <w:shd w:val="clear" w:color="auto" w:fill="FDF0F7"/>
          </w:tcPr>
          <w:p>
            <w:pPr>
              <w:spacing w:after="20" w:line="252" w:lineRule="auto"/>
            </w:pPr>
            <w:r>
              <w:rPr>
                <w:b/>
                <w:i w:val="0"/>
                <w:sz w:val="16"/>
              </w:rPr>
              <w:t>Lockout</w:t>
            </w:r>
          </w:p>
        </w:tc>
        <w:tc>
          <w:tcPr>
            <w:tcW w:type="dxa" w:w="6009"/>
            <w:vAlign w:val="top"/>
            <w:shd w:val="clear" w:color="auto" w:fill="FDF0F7"/>
          </w:tcPr>
          <w:p>
            <w:pPr>
              <w:spacing w:after="20" w:line="252" w:lineRule="auto"/>
            </w:pPr>
            <w:r>
              <w:rPr>
                <w:b w:val="0"/>
                <w:i w:val="0"/>
                <w:sz w:val="16"/>
              </w:rPr>
              <w:t>Locked for 30 minutes after 5 failed attempts (configurable); alert on repeated lockouts</w:t>
            </w:r>
          </w:p>
        </w:tc>
        <w:tc>
          <w:tcPr>
            <w:tcW w:type="dxa" w:w="1928"/>
            <w:vAlign w:val="top"/>
            <w:shd w:val="clear" w:color="auto" w:fill="FDF0F7"/>
          </w:tcPr>
          <w:p>
            <w:pPr>
              <w:spacing w:after="20" w:line="252" w:lineRule="auto"/>
            </w:pPr>
            <w:r>
              <w:rPr>
                <w:b w:val="0"/>
                <w:i w:val="0"/>
                <w:sz w:val="16"/>
              </w:rPr>
              <w:t>AP-04</w:t>
            </w:r>
          </w:p>
        </w:tc>
      </w:tr>
      <w:tr>
        <w:trPr>
          <w:cantSplit/>
        </w:trPr>
        <w:tc>
          <w:tcPr>
            <w:tcW w:type="dxa" w:w="1701"/>
            <w:vAlign w:val="top"/>
          </w:tcPr>
          <w:p>
            <w:pPr>
              <w:spacing w:after="20" w:line="252" w:lineRule="auto"/>
            </w:pPr>
            <w:r>
              <w:rPr>
                <w:b/>
                <w:i w:val="0"/>
                <w:sz w:val="16"/>
              </w:rPr>
              <w:t>Authorisation</w:t>
            </w:r>
          </w:p>
        </w:tc>
        <w:tc>
          <w:tcPr>
            <w:tcW w:type="dxa" w:w="6009"/>
            <w:vAlign w:val="top"/>
          </w:tcPr>
          <w:p>
            <w:pPr>
              <w:spacing w:after="20" w:line="252" w:lineRule="auto"/>
            </w:pPr>
            <w:r>
              <w:rPr>
                <w:b w:val="0"/>
                <w:i w:val="0"/>
                <w:sz w:val="16"/>
              </w:rPr>
              <w:t>Permissions per role plus data scoping by agency, bank, branch and hierarchy, checked by the API on every call; deny by default</w:t>
            </w:r>
          </w:p>
        </w:tc>
        <w:tc>
          <w:tcPr>
            <w:tcW w:type="dxa" w:w="1928"/>
            <w:vAlign w:val="top"/>
          </w:tcPr>
          <w:p>
            <w:pPr>
              <w:spacing w:after="20" w:line="252" w:lineRule="auto"/>
            </w:pPr>
            <w:r>
              <w:rPr>
                <w:b w:val="0"/>
                <w:i w:val="0"/>
                <w:sz w:val="16"/>
              </w:rPr>
              <w:t>AP-59, BO-02, COM-02, NFR-10</w:t>
            </w:r>
          </w:p>
        </w:tc>
      </w:tr>
      <w:tr>
        <w:trPr>
          <w:cantSplit/>
        </w:trPr>
        <w:tc>
          <w:tcPr>
            <w:tcW w:type="dxa" w:w="1701"/>
            <w:vAlign w:val="top"/>
            <w:shd w:val="clear" w:color="auto" w:fill="FDF0F7"/>
          </w:tcPr>
          <w:p>
            <w:pPr>
              <w:spacing w:after="20" w:line="252" w:lineRule="auto"/>
            </w:pPr>
            <w:r>
              <w:rPr>
                <w:b/>
                <w:i w:val="0"/>
                <w:sz w:val="16"/>
              </w:rPr>
              <w:t>Encryption in transit</w:t>
            </w:r>
          </w:p>
        </w:tc>
        <w:tc>
          <w:tcPr>
            <w:tcW w:type="dxa" w:w="6009"/>
            <w:vAlign w:val="top"/>
            <w:shd w:val="clear" w:color="auto" w:fill="FDF0F7"/>
          </w:tcPr>
          <w:p>
            <w:pPr>
              <w:spacing w:after="20" w:line="252" w:lineRule="auto"/>
            </w:pPr>
            <w:r>
              <w:rPr>
                <w:b w:val="0"/>
                <w:i w:val="0"/>
                <w:sz w:val="16"/>
              </w:rPr>
              <w:t>TLS 1.2 or later with HSTS; TLS also for database, SMTP, LDAPS and APIs</w:t>
            </w:r>
          </w:p>
        </w:tc>
        <w:tc>
          <w:tcPr>
            <w:tcW w:type="dxa" w:w="1928"/>
            <w:vAlign w:val="top"/>
            <w:shd w:val="clear" w:color="auto" w:fill="FDF0F7"/>
          </w:tcPr>
          <w:p>
            <w:pPr>
              <w:spacing w:after="20" w:line="252" w:lineRule="auto"/>
            </w:pPr>
            <w:r>
              <w:rPr>
                <w:b w:val="0"/>
                <w:i w:val="0"/>
                <w:sz w:val="16"/>
              </w:rPr>
              <w:t>COM-10, NFR-08</w:t>
            </w:r>
          </w:p>
        </w:tc>
      </w:tr>
      <w:tr>
        <w:trPr>
          <w:cantSplit/>
        </w:trPr>
        <w:tc>
          <w:tcPr>
            <w:tcW w:type="dxa" w:w="1701"/>
            <w:vAlign w:val="top"/>
          </w:tcPr>
          <w:p>
            <w:pPr>
              <w:spacing w:after="20" w:line="252" w:lineRule="auto"/>
            </w:pPr>
            <w:r>
              <w:rPr>
                <w:b/>
                <w:i w:val="0"/>
                <w:sz w:val="16"/>
              </w:rPr>
              <w:t>Encryption at rest</w:t>
            </w:r>
          </w:p>
        </w:tc>
        <w:tc>
          <w:tcPr>
            <w:tcW w:type="dxa" w:w="6009"/>
            <w:vAlign w:val="top"/>
          </w:tcPr>
          <w:p>
            <w:pPr>
              <w:spacing w:after="20" w:line="252" w:lineRule="auto"/>
            </w:pPr>
            <w:r>
              <w:rPr>
                <w:b w:val="0"/>
                <w:i w:val="0"/>
                <w:sz w:val="16"/>
              </w:rPr>
              <w:t>IC and passport numbers encrypted per field with AES-256-GCM, keys held outside the database; HMAC-SHA256 blind index for exact search; masked on screen; encrypted document storage and backups</w:t>
            </w:r>
          </w:p>
        </w:tc>
        <w:tc>
          <w:tcPr>
            <w:tcW w:type="dxa" w:w="1928"/>
            <w:vAlign w:val="top"/>
          </w:tcPr>
          <w:p>
            <w:pPr>
              <w:spacing w:after="20" w:line="252" w:lineRule="auto"/>
            </w:pPr>
            <w:r>
              <w:rPr>
                <w:b w:val="0"/>
                <w:i w:val="0"/>
                <w:sz w:val="16"/>
              </w:rPr>
              <w:t>COM-01, COM-10, NFR-08</w:t>
            </w:r>
          </w:p>
        </w:tc>
      </w:tr>
      <w:tr>
        <w:trPr>
          <w:cantSplit/>
        </w:trPr>
        <w:tc>
          <w:tcPr>
            <w:tcW w:type="dxa" w:w="1701"/>
            <w:vAlign w:val="top"/>
            <w:shd w:val="clear" w:color="auto" w:fill="FDF0F7"/>
          </w:tcPr>
          <w:p>
            <w:pPr>
              <w:spacing w:after="20" w:line="252" w:lineRule="auto"/>
            </w:pPr>
            <w:r>
              <w:rPr>
                <w:b/>
                <w:i w:val="0"/>
                <w:sz w:val="16"/>
              </w:rPr>
              <w:t>Input and output</w:t>
            </w:r>
          </w:p>
        </w:tc>
        <w:tc>
          <w:tcPr>
            <w:tcW w:type="dxa" w:w="6009"/>
            <w:vAlign w:val="top"/>
            <w:shd w:val="clear" w:color="auto" w:fill="FDF0F7"/>
          </w:tcPr>
          <w:p>
            <w:pPr>
              <w:spacing w:after="20" w:line="252" w:lineRule="auto"/>
            </w:pPr>
            <w:r>
              <w:rPr>
                <w:b w:val="0"/>
                <w:i w:val="0"/>
                <w:sz w:val="16"/>
              </w:rPr>
              <w:t>Whitelist validation of every request body; parameterised queries only; output encoding; CSP and security headers</w:t>
            </w:r>
          </w:p>
        </w:tc>
        <w:tc>
          <w:tcPr>
            <w:tcW w:type="dxa" w:w="1928"/>
            <w:vAlign w:val="top"/>
            <w:shd w:val="clear" w:color="auto" w:fill="FDF0F7"/>
          </w:tcPr>
          <w:p>
            <w:pPr>
              <w:spacing w:after="20" w:line="252" w:lineRule="auto"/>
            </w:pPr>
            <w:r>
              <w:rPr>
                <w:b w:val="0"/>
                <w:i w:val="0"/>
                <w:sz w:val="16"/>
              </w:rPr>
              <w:t>NFR-14, NFR-30</w:t>
            </w:r>
          </w:p>
        </w:tc>
      </w:tr>
      <w:tr>
        <w:trPr>
          <w:cantSplit/>
        </w:trPr>
        <w:tc>
          <w:tcPr>
            <w:tcW w:type="dxa" w:w="1701"/>
            <w:vAlign w:val="top"/>
          </w:tcPr>
          <w:p>
            <w:pPr>
              <w:spacing w:after="20" w:line="252" w:lineRule="auto"/>
            </w:pPr>
            <w:r>
              <w:rPr>
                <w:b/>
                <w:i w:val="0"/>
                <w:sz w:val="16"/>
              </w:rPr>
              <w:t>File uploads</w:t>
            </w:r>
          </w:p>
        </w:tc>
        <w:tc>
          <w:tcPr>
            <w:tcW w:type="dxa" w:w="6009"/>
            <w:vAlign w:val="top"/>
          </w:tcPr>
          <w:p>
            <w:pPr>
              <w:spacing w:after="20" w:line="252" w:lineRule="auto"/>
            </w:pPr>
            <w:r>
              <w:rPr>
                <w:b w:val="0"/>
                <w:i w:val="0"/>
                <w:sz w:val="16"/>
              </w:rPr>
              <w:t>Type allow-list with magic-byte check, size limit, SHA-256 checksum, ClamAV malware scan (mandatory in production); files served only through authorised API calls</w:t>
            </w:r>
          </w:p>
        </w:tc>
        <w:tc>
          <w:tcPr>
            <w:tcW w:type="dxa" w:w="1928"/>
            <w:vAlign w:val="top"/>
          </w:tcPr>
          <w:p>
            <w:pPr>
              <w:spacing w:after="20" w:line="252" w:lineRule="auto"/>
            </w:pPr>
            <w:r>
              <w:rPr>
                <w:b w:val="0"/>
                <w:i w:val="0"/>
                <w:sz w:val="16"/>
              </w:rPr>
              <w:t>AP-46, COM-06</w:t>
            </w:r>
          </w:p>
        </w:tc>
      </w:tr>
      <w:tr>
        <w:trPr>
          <w:cantSplit/>
        </w:trPr>
        <w:tc>
          <w:tcPr>
            <w:tcW w:type="dxa" w:w="1701"/>
            <w:vAlign w:val="top"/>
            <w:shd w:val="clear" w:color="auto" w:fill="FDF0F7"/>
          </w:tcPr>
          <w:p>
            <w:pPr>
              <w:spacing w:after="20" w:line="252" w:lineRule="auto"/>
            </w:pPr>
            <w:r>
              <w:rPr>
                <w:b/>
                <w:i w:val="0"/>
                <w:sz w:val="16"/>
              </w:rPr>
              <w:t>Audit</w:t>
            </w:r>
          </w:p>
        </w:tc>
        <w:tc>
          <w:tcPr>
            <w:tcW w:type="dxa" w:w="6009"/>
            <w:vAlign w:val="top"/>
            <w:shd w:val="clear" w:color="auto" w:fill="FDF0F7"/>
          </w:tcPr>
          <w:p>
            <w:pPr>
              <w:spacing w:after="20" w:line="252" w:lineRule="auto"/>
            </w:pPr>
            <w:r>
              <w:rPr>
                <w:b w:val="0"/>
                <w:i w:val="0"/>
                <w:sz w:val="16"/>
              </w:rPr>
              <w:t>Append-only table; a database trigger rejects UPDATE and DELETE; the application role can only insert and read; before and after values, user, time, IP, correlation id</w:t>
            </w:r>
          </w:p>
        </w:tc>
        <w:tc>
          <w:tcPr>
            <w:tcW w:type="dxa" w:w="1928"/>
            <w:vAlign w:val="top"/>
            <w:shd w:val="clear" w:color="auto" w:fill="FDF0F7"/>
          </w:tcPr>
          <w:p>
            <w:pPr>
              <w:spacing w:after="20" w:line="252" w:lineRule="auto"/>
            </w:pPr>
            <w:r>
              <w:rPr>
                <w:b w:val="0"/>
                <w:i w:val="0"/>
                <w:sz w:val="16"/>
              </w:rPr>
              <w:t>BO-26–28, COM-03, NFR-11</w:t>
            </w:r>
          </w:p>
        </w:tc>
      </w:tr>
      <w:tr>
        <w:trPr>
          <w:cantSplit/>
        </w:trPr>
        <w:tc>
          <w:tcPr>
            <w:tcW w:type="dxa" w:w="1701"/>
            <w:vAlign w:val="top"/>
          </w:tcPr>
          <w:p>
            <w:pPr>
              <w:spacing w:after="20" w:line="252" w:lineRule="auto"/>
            </w:pPr>
            <w:r>
              <w:rPr>
                <w:b/>
                <w:i w:val="0"/>
                <w:sz w:val="16"/>
              </w:rPr>
              <w:t>Errors and secrets</w:t>
            </w:r>
          </w:p>
        </w:tc>
        <w:tc>
          <w:tcPr>
            <w:tcW w:type="dxa" w:w="6009"/>
            <w:vAlign w:val="top"/>
          </w:tcPr>
          <w:p>
            <w:pPr>
              <w:spacing w:after="20" w:line="252" w:lineRule="auto"/>
            </w:pPr>
            <w:r>
              <w:rPr>
                <w:b w:val="0"/>
                <w:i w:val="0"/>
                <w:sz w:val="16"/>
              </w:rPr>
              <w:t>Generic error messages with correlation id; secrets in environment or vault, rotated on staff change and yearly</w:t>
            </w:r>
          </w:p>
        </w:tc>
        <w:tc>
          <w:tcPr>
            <w:tcW w:type="dxa" w:w="1928"/>
            <w:vAlign w:val="top"/>
          </w:tcPr>
          <w:p>
            <w:pPr>
              <w:spacing w:after="20" w:line="252" w:lineRule="auto"/>
            </w:pPr>
            <w:r>
              <w:rPr>
                <w:b w:val="0"/>
                <w:i w:val="0"/>
                <w:sz w:val="16"/>
              </w:rPr>
              <w:t>NFR-15, INT-10</w:t>
            </w:r>
          </w:p>
        </w:tc>
      </w:tr>
      <w:tr>
        <w:trPr>
          <w:cantSplit/>
        </w:trPr>
        <w:tc>
          <w:tcPr>
            <w:tcW w:type="dxa" w:w="1701"/>
            <w:vAlign w:val="top"/>
            <w:shd w:val="clear" w:color="auto" w:fill="FDF0F7"/>
          </w:tcPr>
          <w:p>
            <w:pPr>
              <w:spacing w:after="20" w:line="252" w:lineRule="auto"/>
            </w:pPr>
            <w:r>
              <w:rPr>
                <w:b/>
                <w:i w:val="0"/>
                <w:sz w:val="16"/>
              </w:rPr>
              <w:t>System APIs</w:t>
            </w:r>
          </w:p>
        </w:tc>
        <w:tc>
          <w:tcPr>
            <w:tcW w:type="dxa" w:w="6009"/>
            <w:vAlign w:val="top"/>
            <w:shd w:val="clear" w:color="auto" w:fill="FDF0F7"/>
          </w:tcPr>
          <w:p>
            <w:pPr>
              <w:spacing w:after="20" w:line="252" w:lineRule="auto"/>
            </w:pPr>
            <w:r>
              <w:rPr>
                <w:b w:val="0"/>
                <w:i w:val="0"/>
                <w:sz w:val="16"/>
              </w:rPr>
              <w:t>mTLS or OAuth2 client credentials for integrations; rate limiting</w:t>
            </w:r>
          </w:p>
        </w:tc>
        <w:tc>
          <w:tcPr>
            <w:tcW w:type="dxa" w:w="1928"/>
            <w:vAlign w:val="top"/>
            <w:shd w:val="clear" w:color="auto" w:fill="FDF0F7"/>
          </w:tcPr>
          <w:p>
            <w:pPr>
              <w:spacing w:after="20" w:line="252" w:lineRule="auto"/>
            </w:pPr>
            <w:r>
              <w:rPr>
                <w:b w:val="0"/>
                <w:i w:val="0"/>
                <w:sz w:val="16"/>
              </w:rPr>
              <w:t>INT-09, INT-10</w:t>
            </w:r>
          </w:p>
        </w:tc>
      </w:tr>
    </w:tbl>
    <w:p>
      <w:pPr>
        <w:pStyle w:val="Caption"/>
        <w:jc w:val="center"/>
      </w:pPr>
      <w:r>
        <w:rPr>
          <w:b w:val="0"/>
          <w:i w:val="0"/>
        </w:rPr>
        <w:t>Table 21: Security controls</w:t>
      </w:r>
    </w:p>
    <w:p>
      <w:pPr>
        <w:keepNext w:val="0"/>
      </w:pPr>
      <w:r>
        <w:rPr>
          <w:b w:val="0"/>
          <w:i w:val="0"/>
        </w:rPr>
        <w:t>The audit trigger, field-level encryption, encrypted document storage and the ClamAV upload scan already run in the working application; the API will not start in production without the scanner configured. MFA, Active Directory sign-on and the remaining parameters are set up during implementation. Personal data is limited to what products and AML/KYC rules need; a data inventory with purpose and retention is delivered with the Solution Architecture.</w:t>
      </w:r>
    </w:p>
    <w:p>
      <w:pPr>
        <w:pStyle w:val="Heading2"/>
      </w:pPr>
      <w:r>
        <w:t>13.2 Secure development lifecycle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5670"/>
        <w:gridCol w:w="2381"/>
      </w:tblGrid>
      <w:tr>
        <w:trPr>
          <w:cantSplit/>
          <w:tblHeader/>
        </w:trPr>
        <w:tc>
          <w:tcPr>
            <w:tcW w:type="dxa" w:w="1587"/>
            <w:shd w:val="clear" w:color="auto" w:fill="E1058C"/>
            <w:vAlign w:val="center"/>
          </w:tcPr>
          <w:p>
            <w:pPr>
              <w:spacing w:after="0"/>
            </w:pPr>
            <w:r>
              <w:rPr>
                <w:b/>
                <w:i w:val="0"/>
                <w:color w:val="FFFFFF"/>
                <w:sz w:val="16"/>
              </w:rPr>
              <w:t>Stage</w:t>
            </w:r>
          </w:p>
        </w:tc>
        <w:tc>
          <w:tcPr>
            <w:tcW w:type="dxa" w:w="5669"/>
            <w:shd w:val="clear" w:color="auto" w:fill="E1058C"/>
            <w:vAlign w:val="center"/>
          </w:tcPr>
          <w:p>
            <w:pPr>
              <w:spacing w:after="0"/>
            </w:pPr>
            <w:r>
              <w:rPr>
                <w:b/>
                <w:i w:val="0"/>
                <w:color w:val="FFFFFF"/>
                <w:sz w:val="16"/>
              </w:rPr>
              <w:t>Practice</w:t>
            </w:r>
          </w:p>
        </w:tc>
        <w:tc>
          <w:tcPr>
            <w:tcW w:type="dxa" w:w="2381"/>
            <w:shd w:val="clear" w:color="auto" w:fill="E1058C"/>
            <w:vAlign w:val="center"/>
          </w:tcPr>
          <w:p>
            <w:pPr>
              <w:spacing w:after="0"/>
            </w:pPr>
            <w:r>
              <w:rPr>
                <w:b/>
                <w:i w:val="0"/>
                <w:color w:val="FFFFFF"/>
                <w:sz w:val="16"/>
              </w:rPr>
              <w:t>Mechanism</w:t>
            </w:r>
          </w:p>
        </w:tc>
      </w:tr>
      <w:tr>
        <w:trPr>
          <w:cantSplit/>
        </w:trPr>
        <w:tc>
          <w:tcPr>
            <w:tcW w:type="dxa" w:w="1587"/>
            <w:vAlign w:val="top"/>
          </w:tcPr>
          <w:p>
            <w:pPr>
              <w:spacing w:after="20" w:line="252" w:lineRule="auto"/>
            </w:pPr>
            <w:r>
              <w:rPr>
                <w:b/>
                <w:i w:val="0"/>
                <w:sz w:val="16"/>
              </w:rPr>
              <w:t>Design</w:t>
            </w:r>
          </w:p>
        </w:tc>
        <w:tc>
          <w:tcPr>
            <w:tcW w:type="dxa" w:w="5669"/>
            <w:vAlign w:val="top"/>
          </w:tcPr>
          <w:p>
            <w:pPr>
              <w:spacing w:after="20" w:line="252" w:lineRule="auto"/>
            </w:pPr>
            <w:r>
              <w:rPr>
                <w:b w:val="0"/>
                <w:i w:val="0"/>
                <w:sz w:val="16"/>
              </w:rPr>
              <w:t>Threat model for login, payment, approval and e-signature flows</w:t>
            </w:r>
          </w:p>
        </w:tc>
        <w:tc>
          <w:tcPr>
            <w:tcW w:type="dxa" w:w="2381"/>
            <w:vAlign w:val="top"/>
          </w:tcPr>
          <w:p>
            <w:pPr>
              <w:spacing w:after="20" w:line="252" w:lineRule="auto"/>
            </w:pPr>
            <w:r>
              <w:rPr>
                <w:b w:val="0"/>
                <w:i w:val="0"/>
                <w:sz w:val="16"/>
              </w:rPr>
              <w:t>Workshop, ASVS checklist</w:t>
            </w:r>
          </w:p>
        </w:tc>
      </w:tr>
      <w:tr>
        <w:trPr>
          <w:cantSplit/>
        </w:trPr>
        <w:tc>
          <w:tcPr>
            <w:tcW w:type="dxa" w:w="1587"/>
            <w:vAlign w:val="top"/>
            <w:shd w:val="clear" w:color="auto" w:fill="FDF0F7"/>
          </w:tcPr>
          <w:p>
            <w:pPr>
              <w:spacing w:after="20" w:line="252" w:lineRule="auto"/>
            </w:pPr>
            <w:r>
              <w:rPr>
                <w:b/>
                <w:i w:val="0"/>
                <w:sz w:val="16"/>
              </w:rPr>
              <w:t>Build</w:t>
            </w:r>
          </w:p>
        </w:tc>
        <w:tc>
          <w:tcPr>
            <w:tcW w:type="dxa" w:w="5669"/>
            <w:vAlign w:val="top"/>
            <w:shd w:val="clear" w:color="auto" w:fill="FDF0F7"/>
          </w:tcPr>
          <w:p>
            <w:pPr>
              <w:spacing w:after="20" w:line="252" w:lineRule="auto"/>
            </w:pPr>
            <w:r>
              <w:rPr>
                <w:b w:val="0"/>
                <w:i w:val="0"/>
                <w:sz w:val="16"/>
              </w:rPr>
              <w:t>Secure coding standard aligned with OWASP ASVS Level 2 and Top 10; peer review of every change</w:t>
            </w:r>
          </w:p>
        </w:tc>
        <w:tc>
          <w:tcPr>
            <w:tcW w:type="dxa" w:w="2381"/>
            <w:vAlign w:val="top"/>
            <w:shd w:val="clear" w:color="auto" w:fill="FDF0F7"/>
          </w:tcPr>
          <w:p>
            <w:pPr>
              <w:spacing w:after="20" w:line="252" w:lineRule="auto"/>
            </w:pPr>
            <w:r>
              <w:rPr>
                <w:b w:val="0"/>
                <w:i w:val="0"/>
                <w:sz w:val="16"/>
              </w:rPr>
              <w:t>Pull-request review</w:t>
            </w:r>
          </w:p>
        </w:tc>
      </w:tr>
      <w:tr>
        <w:trPr>
          <w:cantSplit/>
        </w:trPr>
        <w:tc>
          <w:tcPr>
            <w:tcW w:type="dxa" w:w="1587"/>
            <w:vAlign w:val="top"/>
          </w:tcPr>
          <w:p>
            <w:pPr>
              <w:spacing w:after="20" w:line="252" w:lineRule="auto"/>
            </w:pPr>
            <w:r>
              <w:rPr>
                <w:b/>
                <w:i w:val="0"/>
                <w:sz w:val="16"/>
              </w:rPr>
              <w:t>Pipeline</w:t>
            </w:r>
          </w:p>
        </w:tc>
        <w:tc>
          <w:tcPr>
            <w:tcW w:type="dxa" w:w="5669"/>
            <w:vAlign w:val="top"/>
          </w:tcPr>
          <w:p>
            <w:pPr>
              <w:spacing w:after="20" w:line="252" w:lineRule="auto"/>
            </w:pPr>
            <w:r>
              <w:rPr>
                <w:b w:val="0"/>
                <w:i w:val="0"/>
                <w:sz w:val="16"/>
              </w:rPr>
              <w:t>Static analysis, dependency, secret and container image scans; a failed scan blocks release</w:t>
            </w:r>
          </w:p>
        </w:tc>
        <w:tc>
          <w:tcPr>
            <w:tcW w:type="dxa" w:w="2381"/>
            <w:vAlign w:val="top"/>
          </w:tcPr>
          <w:p>
            <w:pPr>
              <w:spacing w:after="20" w:line="252" w:lineRule="auto"/>
            </w:pPr>
            <w:r>
              <w:rPr>
                <w:b w:val="0"/>
                <w:i w:val="0"/>
                <w:sz w:val="16"/>
              </w:rPr>
              <w:t>CI security gates</w:t>
            </w:r>
          </w:p>
        </w:tc>
      </w:tr>
      <w:tr>
        <w:trPr>
          <w:cantSplit/>
        </w:trPr>
        <w:tc>
          <w:tcPr>
            <w:tcW w:type="dxa" w:w="1587"/>
            <w:vAlign w:val="top"/>
            <w:shd w:val="clear" w:color="auto" w:fill="FDF0F7"/>
          </w:tcPr>
          <w:p>
            <w:pPr>
              <w:spacing w:after="20" w:line="252" w:lineRule="auto"/>
            </w:pPr>
            <w:r>
              <w:rPr>
                <w:b/>
                <w:i w:val="0"/>
                <w:sz w:val="16"/>
              </w:rPr>
              <w:t>Testing</w:t>
            </w:r>
          </w:p>
        </w:tc>
        <w:tc>
          <w:tcPr>
            <w:tcW w:type="dxa" w:w="5669"/>
            <w:vAlign w:val="top"/>
            <w:shd w:val="clear" w:color="auto" w:fill="FDF0F7"/>
          </w:tcPr>
          <w:p>
            <w:pPr>
              <w:spacing w:after="20" w:line="252" w:lineRule="auto"/>
            </w:pPr>
            <w:r>
              <w:rPr>
                <w:b w:val="0"/>
                <w:i w:val="0"/>
                <w:sz w:val="16"/>
              </w:rPr>
              <w:t>Authorisation tests per role, negative tests, DAST baseline in SIT</w:t>
            </w:r>
          </w:p>
        </w:tc>
        <w:tc>
          <w:tcPr>
            <w:tcW w:type="dxa" w:w="2381"/>
            <w:vAlign w:val="top"/>
            <w:shd w:val="clear" w:color="auto" w:fill="FDF0F7"/>
          </w:tcPr>
          <w:p>
            <w:pPr>
              <w:spacing w:after="20" w:line="252" w:lineRule="auto"/>
            </w:pPr>
            <w:r>
              <w:rPr>
                <w:b w:val="0"/>
                <w:i w:val="0"/>
                <w:sz w:val="16"/>
              </w:rPr>
              <w:t>API tests, DAST</w:t>
            </w:r>
          </w:p>
        </w:tc>
      </w:tr>
      <w:tr>
        <w:trPr>
          <w:cantSplit/>
        </w:trPr>
        <w:tc>
          <w:tcPr>
            <w:tcW w:type="dxa" w:w="1587"/>
            <w:vAlign w:val="top"/>
          </w:tcPr>
          <w:p>
            <w:pPr>
              <w:spacing w:after="20" w:line="252" w:lineRule="auto"/>
            </w:pPr>
            <w:r>
              <w:rPr>
                <w:b/>
                <w:i w:val="0"/>
                <w:sz w:val="16"/>
              </w:rPr>
              <w:t>Pre-production</w:t>
            </w:r>
          </w:p>
        </w:tc>
        <w:tc>
          <w:tcPr>
            <w:tcW w:type="dxa" w:w="5669"/>
            <w:vAlign w:val="top"/>
          </w:tcPr>
          <w:p>
            <w:pPr>
              <w:spacing w:after="20" w:line="252" w:lineRule="auto"/>
            </w:pPr>
            <w:r>
              <w:rPr>
                <w:b w:val="0"/>
                <w:i w:val="0"/>
                <w:sz w:val="16"/>
              </w:rPr>
              <w:t>Independent VAPT, remediation and re-test</w:t>
            </w:r>
          </w:p>
        </w:tc>
        <w:tc>
          <w:tcPr>
            <w:tcW w:type="dxa" w:w="2381"/>
            <w:vAlign w:val="top"/>
          </w:tcPr>
          <w:p>
            <w:pPr>
              <w:spacing w:after="20" w:line="252" w:lineRule="auto"/>
            </w:pPr>
            <w:r>
              <w:rPr>
                <w:b w:val="0"/>
                <w:i w:val="0"/>
                <w:sz w:val="16"/>
              </w:rPr>
              <w:t>Independent tester</w:t>
            </w:r>
          </w:p>
        </w:tc>
      </w:tr>
      <w:tr>
        <w:trPr>
          <w:cantSplit/>
        </w:trPr>
        <w:tc>
          <w:tcPr>
            <w:tcW w:type="dxa" w:w="1587"/>
            <w:vAlign w:val="top"/>
            <w:shd w:val="clear" w:color="auto" w:fill="FDF0F7"/>
          </w:tcPr>
          <w:p>
            <w:pPr>
              <w:spacing w:after="20" w:line="252" w:lineRule="auto"/>
            </w:pPr>
            <w:r>
              <w:rPr>
                <w:b/>
                <w:i w:val="0"/>
                <w:sz w:val="16"/>
              </w:rPr>
              <w:t>Operation</w:t>
            </w:r>
          </w:p>
        </w:tc>
        <w:tc>
          <w:tcPr>
            <w:tcW w:type="dxa" w:w="5669"/>
            <w:vAlign w:val="top"/>
            <w:shd w:val="clear" w:color="auto" w:fill="FDF0F7"/>
          </w:tcPr>
          <w:p>
            <w:pPr>
              <w:spacing w:after="20" w:line="252" w:lineRule="auto"/>
            </w:pPr>
            <w:r>
              <w:rPr>
                <w:b w:val="0"/>
                <w:i w:val="0"/>
                <w:sz w:val="16"/>
              </w:rPr>
              <w:t>Monthly patching, vulnerability monitoring, log review</w:t>
            </w:r>
          </w:p>
        </w:tc>
        <w:tc>
          <w:tcPr>
            <w:tcW w:type="dxa" w:w="2381"/>
            <w:vAlign w:val="top"/>
            <w:shd w:val="clear" w:color="auto" w:fill="FDF0F7"/>
          </w:tcPr>
          <w:p>
            <w:pPr>
              <w:spacing w:after="20" w:line="252" w:lineRule="auto"/>
            </w:pPr>
            <w:r>
              <w:rPr>
                <w:b w:val="0"/>
                <w:i w:val="0"/>
                <w:sz w:val="16"/>
              </w:rPr>
              <w:t>Maintenance service</w:t>
            </w:r>
          </w:p>
        </w:tc>
      </w:tr>
    </w:tbl>
    <w:p>
      <w:pPr>
        <w:spacing w:after="0" w:before="0"/>
      </w:pPr>
      <w:r>
        <w:rPr>
          <w:sz w:val="8"/>
        </w:rPr>
      </w:r>
    </w:p>
    <w:p>
      <w:pPr>
        <w:pStyle w:val="Heading2"/>
      </w:pPr>
      <w:r>
        <w:t>13.3 Penetration testing and remediation</w:t>
      </w:r>
    </w:p>
    <w:p>
      <w:pPr>
        <w:keepNext w:val="0"/>
      </w:pPr>
      <w:r>
        <w:rPr>
          <w:b w:val="0"/>
          <w:i w:val="0"/>
        </w:rPr>
        <w:t>An independent tester assesses the portal, back-office, APIs and hosting set-up before production (NFR-13, DEL-17). The cost is in the fixed price. Findings are fixed and re-tested, and no Critical or High finding may be open at go-live. After go-live, vulnerabilities are fixed within these limits (NFR-12, MNT-12):</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4195"/>
        <w:gridCol w:w="3969"/>
      </w:tblGrid>
      <w:tr>
        <w:trPr>
          <w:cantSplit/>
          <w:tblHeader/>
        </w:trPr>
        <w:tc>
          <w:tcPr>
            <w:tcW w:type="dxa" w:w="1474"/>
            <w:shd w:val="clear" w:color="auto" w:fill="E1058C"/>
            <w:vAlign w:val="center"/>
          </w:tcPr>
          <w:p>
            <w:pPr>
              <w:spacing w:after="0"/>
            </w:pPr>
            <w:r>
              <w:rPr>
                <w:b/>
                <w:i w:val="0"/>
                <w:color w:val="FFFFFF"/>
                <w:sz w:val="16"/>
              </w:rPr>
              <w:t>Severity</w:t>
            </w:r>
          </w:p>
        </w:tc>
        <w:tc>
          <w:tcPr>
            <w:tcW w:type="dxa" w:w="4195"/>
            <w:shd w:val="clear" w:color="auto" w:fill="E1058C"/>
            <w:vAlign w:val="center"/>
          </w:tcPr>
          <w:p>
            <w:pPr>
              <w:spacing w:after="0"/>
            </w:pPr>
            <w:r>
              <w:rPr>
                <w:b/>
                <w:i w:val="0"/>
                <w:color w:val="FFFFFF"/>
                <w:sz w:val="16"/>
              </w:rPr>
              <w:t>Description</w:t>
            </w:r>
          </w:p>
        </w:tc>
        <w:tc>
          <w:tcPr>
            <w:tcW w:type="dxa" w:w="3969"/>
            <w:shd w:val="clear" w:color="auto" w:fill="E1058C"/>
            <w:vAlign w:val="center"/>
          </w:tcPr>
          <w:p>
            <w:pPr>
              <w:spacing w:after="0"/>
            </w:pPr>
            <w:r>
              <w:rPr>
                <w:b/>
                <w:i w:val="0"/>
                <w:color w:val="FFFFFF"/>
                <w:sz w:val="16"/>
              </w:rPr>
              <w:t>Timeline</w:t>
            </w:r>
          </w:p>
        </w:tc>
      </w:tr>
      <w:tr>
        <w:trPr>
          <w:cantSplit/>
        </w:trPr>
        <w:tc>
          <w:tcPr>
            <w:tcW w:type="dxa" w:w="1474"/>
            <w:vAlign w:val="top"/>
          </w:tcPr>
          <w:p>
            <w:pPr>
              <w:spacing w:after="20" w:line="252" w:lineRule="auto"/>
            </w:pPr>
            <w:r>
              <w:rPr>
                <w:b/>
                <w:i w:val="0"/>
                <w:sz w:val="16"/>
              </w:rPr>
              <w:t>Critical</w:t>
            </w:r>
          </w:p>
        </w:tc>
        <w:tc>
          <w:tcPr>
            <w:tcW w:type="dxa" w:w="4195"/>
            <w:vAlign w:val="top"/>
          </w:tcPr>
          <w:p>
            <w:pPr>
              <w:spacing w:after="20" w:line="252" w:lineRule="auto"/>
            </w:pPr>
            <w:r>
              <w:rPr>
                <w:b w:val="0"/>
                <w:i w:val="0"/>
                <w:sz w:val="16"/>
              </w:rPr>
              <w:t>Remotely exploitable; data exposure or system compromise</w:t>
            </w:r>
          </w:p>
        </w:tc>
        <w:tc>
          <w:tcPr>
            <w:tcW w:type="dxa" w:w="3969"/>
            <w:vAlign w:val="top"/>
          </w:tcPr>
          <w:p>
            <w:pPr>
              <w:spacing w:after="20" w:line="252" w:lineRule="auto"/>
            </w:pPr>
            <w:r>
              <w:rPr>
                <w:b w:val="0"/>
                <w:i w:val="0"/>
                <w:sz w:val="16"/>
              </w:rPr>
              <w:t>Contained within 24 hours; fixed within 7 days</w:t>
            </w:r>
          </w:p>
        </w:tc>
      </w:tr>
      <w:tr>
        <w:trPr>
          <w:cantSplit/>
        </w:trPr>
        <w:tc>
          <w:tcPr>
            <w:tcW w:type="dxa" w:w="1474"/>
            <w:vAlign w:val="top"/>
            <w:shd w:val="clear" w:color="auto" w:fill="FDF0F7"/>
          </w:tcPr>
          <w:p>
            <w:pPr>
              <w:spacing w:after="20" w:line="252" w:lineRule="auto"/>
            </w:pPr>
            <w:r>
              <w:rPr>
                <w:b/>
                <w:i w:val="0"/>
                <w:sz w:val="16"/>
              </w:rPr>
              <w:t>High</w:t>
            </w:r>
          </w:p>
        </w:tc>
        <w:tc>
          <w:tcPr>
            <w:tcW w:type="dxa" w:w="4195"/>
            <w:vAlign w:val="top"/>
            <w:shd w:val="clear" w:color="auto" w:fill="FDF0F7"/>
          </w:tcPr>
          <w:p>
            <w:pPr>
              <w:spacing w:after="20" w:line="252" w:lineRule="auto"/>
            </w:pPr>
            <w:r>
              <w:rPr>
                <w:b w:val="0"/>
                <w:i w:val="0"/>
                <w:sz w:val="16"/>
              </w:rPr>
              <w:t>Significant impact, exploitation likely</w:t>
            </w:r>
          </w:p>
        </w:tc>
        <w:tc>
          <w:tcPr>
            <w:tcW w:type="dxa" w:w="3969"/>
            <w:vAlign w:val="top"/>
            <w:shd w:val="clear" w:color="auto" w:fill="FDF0F7"/>
          </w:tcPr>
          <w:p>
            <w:pPr>
              <w:spacing w:after="20" w:line="252" w:lineRule="auto"/>
            </w:pPr>
            <w:r>
              <w:rPr>
                <w:b w:val="0"/>
                <w:i w:val="0"/>
                <w:sz w:val="16"/>
              </w:rPr>
              <w:t>Within 14 days</w:t>
            </w:r>
          </w:p>
        </w:tc>
      </w:tr>
      <w:tr>
        <w:trPr>
          <w:cantSplit/>
        </w:trPr>
        <w:tc>
          <w:tcPr>
            <w:tcW w:type="dxa" w:w="1474"/>
            <w:vAlign w:val="top"/>
          </w:tcPr>
          <w:p>
            <w:pPr>
              <w:spacing w:after="20" w:line="252" w:lineRule="auto"/>
            </w:pPr>
            <w:r>
              <w:rPr>
                <w:b/>
                <w:i w:val="0"/>
                <w:sz w:val="16"/>
              </w:rPr>
              <w:t>Medium</w:t>
            </w:r>
          </w:p>
        </w:tc>
        <w:tc>
          <w:tcPr>
            <w:tcW w:type="dxa" w:w="4195"/>
            <w:vAlign w:val="top"/>
          </w:tcPr>
          <w:p>
            <w:pPr>
              <w:spacing w:after="20" w:line="252" w:lineRule="auto"/>
            </w:pPr>
            <w:r>
              <w:rPr>
                <w:b w:val="0"/>
                <w:i w:val="0"/>
                <w:sz w:val="16"/>
              </w:rPr>
              <w:t>Limited impact or hard to exploit</w:t>
            </w:r>
          </w:p>
        </w:tc>
        <w:tc>
          <w:tcPr>
            <w:tcW w:type="dxa" w:w="3969"/>
            <w:vAlign w:val="top"/>
          </w:tcPr>
          <w:p>
            <w:pPr>
              <w:spacing w:after="20" w:line="252" w:lineRule="auto"/>
            </w:pPr>
            <w:r>
              <w:rPr>
                <w:b w:val="0"/>
                <w:i w:val="0"/>
                <w:sz w:val="16"/>
              </w:rPr>
              <w:t>Within 30 days</w:t>
            </w:r>
          </w:p>
        </w:tc>
      </w:tr>
      <w:tr>
        <w:trPr>
          <w:cantSplit/>
        </w:trPr>
        <w:tc>
          <w:tcPr>
            <w:tcW w:type="dxa" w:w="1474"/>
            <w:vAlign w:val="top"/>
            <w:shd w:val="clear" w:color="auto" w:fill="FDF0F7"/>
          </w:tcPr>
          <w:p>
            <w:pPr>
              <w:spacing w:after="20" w:line="252" w:lineRule="auto"/>
            </w:pPr>
            <w:r>
              <w:rPr>
                <w:b/>
                <w:i w:val="0"/>
                <w:sz w:val="16"/>
              </w:rPr>
              <w:t>Low</w:t>
            </w:r>
          </w:p>
        </w:tc>
        <w:tc>
          <w:tcPr>
            <w:tcW w:type="dxa" w:w="4195"/>
            <w:vAlign w:val="top"/>
            <w:shd w:val="clear" w:color="auto" w:fill="FDF0F7"/>
          </w:tcPr>
          <w:p>
            <w:pPr>
              <w:spacing w:after="20" w:line="252" w:lineRule="auto"/>
            </w:pPr>
            <w:r>
              <w:rPr>
                <w:b w:val="0"/>
                <w:i w:val="0"/>
                <w:sz w:val="16"/>
              </w:rPr>
              <w:t>Minimal impact; hardening advice</w:t>
            </w:r>
          </w:p>
        </w:tc>
        <w:tc>
          <w:tcPr>
            <w:tcW w:type="dxa" w:w="3969"/>
            <w:vAlign w:val="top"/>
            <w:shd w:val="clear" w:color="auto" w:fill="FDF0F7"/>
          </w:tcPr>
          <w:p>
            <w:pPr>
              <w:spacing w:after="20" w:line="252" w:lineRule="auto"/>
            </w:pPr>
            <w:r>
              <w:rPr>
                <w:b w:val="0"/>
                <w:i w:val="0"/>
                <w:sz w:val="16"/>
              </w:rPr>
              <w:t>Within 90 days or next release</w:t>
            </w:r>
          </w:p>
        </w:tc>
      </w:tr>
    </w:tbl>
    <w:p>
      <w:pPr>
        <w:pStyle w:val="Caption"/>
        <w:jc w:val="center"/>
      </w:pPr>
      <w:r>
        <w:rPr>
          <w:b w:val="0"/>
          <w:i w:val="0"/>
        </w:rPr>
        <w:t>Table 22: Vulnerability remediation timelines</w:t>
      </w:r>
    </w:p>
    <w:p>
      <w:pPr>
        <w:pStyle w:val="Heading2"/>
      </w:pPr>
      <w:r>
        <w:t>13.4 Regulatory alignment</w:t>
      </w:r>
    </w:p>
    <w:p>
      <w:pPr>
        <w:keepNext w:val="0"/>
      </w:pPr>
      <w:r>
        <w:rPr>
          <w:b w:val="0"/>
          <w:i w:val="0"/>
        </w:rPr>
        <w:t>For PDPO we provide consent and purpose notices at participant capture, access and correction support, retention rules and breach-notification support. For AMBD expectations we cover access control, change management, outsourcing and cloud considerations (infrastructure options), DR testing and audit trails. AML/CFT record keeping is met by the screening history and review decisions. Screens and documents use Shariah-appropriate terms: participant, contribution, Takaful operator, wakalah and tabarru'.</w:t>
      </w:r>
    </w:p>
    <w:p>
      <w:pPr>
        <w:pStyle w:val="Heading2"/>
      </w:pPr>
      <w:r>
        <w:t>13.5 Security incident response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7938"/>
      </w:tblGrid>
      <w:tr>
        <w:trPr>
          <w:cantSplit/>
          <w:tblHeader/>
        </w:trPr>
        <w:tc>
          <w:tcPr>
            <w:tcW w:type="dxa" w:w="1701"/>
            <w:shd w:val="clear" w:color="auto" w:fill="E1058C"/>
            <w:vAlign w:val="center"/>
          </w:tcPr>
          <w:p>
            <w:pPr>
              <w:spacing w:after="0"/>
            </w:pPr>
            <w:r>
              <w:rPr>
                <w:b/>
                <w:i w:val="0"/>
                <w:color w:val="FFFFFF"/>
                <w:sz w:val="16"/>
              </w:rPr>
              <w:t>Phase</w:t>
            </w:r>
          </w:p>
        </w:tc>
        <w:tc>
          <w:tcPr>
            <w:tcW w:type="dxa" w:w="7937"/>
            <w:shd w:val="clear" w:color="auto" w:fill="E1058C"/>
            <w:vAlign w:val="center"/>
          </w:tcPr>
          <w:p>
            <w:pPr>
              <w:spacing w:after="0"/>
            </w:pPr>
            <w:r>
              <w:rPr>
                <w:b/>
                <w:i w:val="0"/>
                <w:color w:val="FFFFFF"/>
                <w:sz w:val="16"/>
              </w:rPr>
              <w:t>Action</w:t>
            </w:r>
          </w:p>
        </w:tc>
      </w:tr>
      <w:tr>
        <w:trPr>
          <w:cantSplit/>
        </w:trPr>
        <w:tc>
          <w:tcPr>
            <w:tcW w:type="dxa" w:w="1701"/>
            <w:vAlign w:val="top"/>
          </w:tcPr>
          <w:p>
            <w:pPr>
              <w:spacing w:after="20" w:line="252" w:lineRule="auto"/>
            </w:pPr>
            <w:r>
              <w:rPr>
                <w:b/>
                <w:i w:val="0"/>
                <w:sz w:val="16"/>
              </w:rPr>
              <w:t>Detect</w:t>
            </w:r>
          </w:p>
        </w:tc>
        <w:tc>
          <w:tcPr>
            <w:tcW w:type="dxa" w:w="7937"/>
            <w:vAlign w:val="top"/>
          </w:tcPr>
          <w:p>
            <w:pPr>
              <w:spacing w:after="20" w:line="252" w:lineRule="auto"/>
            </w:pPr>
            <w:r>
              <w:rPr>
                <w:b w:val="0"/>
                <w:i w:val="0"/>
                <w:sz w:val="16"/>
              </w:rPr>
              <w:t>Alert, log review or user report; logged as a P1 security incident.</w:t>
            </w:r>
          </w:p>
        </w:tc>
      </w:tr>
      <w:tr>
        <w:trPr>
          <w:cantSplit/>
        </w:trPr>
        <w:tc>
          <w:tcPr>
            <w:tcW w:type="dxa" w:w="1701"/>
            <w:vAlign w:val="top"/>
            <w:shd w:val="clear" w:color="auto" w:fill="FDF0F7"/>
          </w:tcPr>
          <w:p>
            <w:pPr>
              <w:spacing w:after="20" w:line="252" w:lineRule="auto"/>
            </w:pPr>
            <w:r>
              <w:rPr>
                <w:b/>
                <w:i w:val="0"/>
                <w:sz w:val="16"/>
              </w:rPr>
              <w:t>Contain</w:t>
            </w:r>
          </w:p>
        </w:tc>
        <w:tc>
          <w:tcPr>
            <w:tcW w:type="dxa" w:w="7937"/>
            <w:vAlign w:val="top"/>
            <w:shd w:val="clear" w:color="auto" w:fill="FDF0F7"/>
          </w:tcPr>
          <w:p>
            <w:pPr>
              <w:spacing w:after="20" w:line="252" w:lineRule="auto"/>
            </w:pPr>
            <w:r>
              <w:rPr>
                <w:b w:val="0"/>
                <w:i w:val="0"/>
                <w:sz w:val="16"/>
              </w:rPr>
              <w:t>Within 30 minutes: assess scope, isolate the component, revoke sessions or credentials.</w:t>
            </w:r>
          </w:p>
        </w:tc>
      </w:tr>
      <w:tr>
        <w:trPr>
          <w:cantSplit/>
        </w:trPr>
        <w:tc>
          <w:tcPr>
            <w:tcW w:type="dxa" w:w="1701"/>
            <w:vAlign w:val="top"/>
          </w:tcPr>
          <w:p>
            <w:pPr>
              <w:spacing w:after="20" w:line="252" w:lineRule="auto"/>
            </w:pPr>
            <w:r>
              <w:rPr>
                <w:b/>
                <w:i w:val="0"/>
                <w:sz w:val="16"/>
              </w:rPr>
              <w:t>Notify</w:t>
            </w:r>
          </w:p>
        </w:tc>
        <w:tc>
          <w:tcPr>
            <w:tcW w:type="dxa" w:w="7937"/>
            <w:vAlign w:val="top"/>
          </w:tcPr>
          <w:p>
            <w:pPr>
              <w:spacing w:after="20" w:line="252" w:lineRule="auto"/>
            </w:pPr>
            <w:r>
              <w:rPr>
                <w:b w:val="0"/>
                <w:i w:val="0"/>
                <w:sz w:val="16"/>
              </w:rPr>
              <w:t>IIFT IT security told immediately; iorta supports regulatory and PDPO notifications.</w:t>
            </w:r>
          </w:p>
        </w:tc>
      </w:tr>
      <w:tr>
        <w:trPr>
          <w:cantSplit/>
        </w:trPr>
        <w:tc>
          <w:tcPr>
            <w:tcW w:type="dxa" w:w="1701"/>
            <w:vAlign w:val="top"/>
            <w:shd w:val="clear" w:color="auto" w:fill="FDF0F7"/>
          </w:tcPr>
          <w:p>
            <w:pPr>
              <w:spacing w:after="20" w:line="252" w:lineRule="auto"/>
            </w:pPr>
            <w:r>
              <w:rPr>
                <w:b/>
                <w:i w:val="0"/>
                <w:sz w:val="16"/>
              </w:rPr>
              <w:t>Recover</w:t>
            </w:r>
          </w:p>
        </w:tc>
        <w:tc>
          <w:tcPr>
            <w:tcW w:type="dxa" w:w="7937"/>
            <w:vAlign w:val="top"/>
            <w:shd w:val="clear" w:color="auto" w:fill="FDF0F7"/>
          </w:tcPr>
          <w:p>
            <w:pPr>
              <w:spacing w:after="20" w:line="252" w:lineRule="auto"/>
            </w:pPr>
            <w:r>
              <w:rPr>
                <w:b w:val="0"/>
                <w:i w:val="0"/>
                <w:sz w:val="16"/>
              </w:rPr>
              <w:t>Patch, restore from a clean backup if needed, verify integrity, monitor.</w:t>
            </w:r>
          </w:p>
        </w:tc>
      </w:tr>
      <w:tr>
        <w:trPr>
          <w:cantSplit/>
        </w:trPr>
        <w:tc>
          <w:tcPr>
            <w:tcW w:type="dxa" w:w="1701"/>
            <w:vAlign w:val="top"/>
          </w:tcPr>
          <w:p>
            <w:pPr>
              <w:spacing w:after="20" w:line="252" w:lineRule="auto"/>
            </w:pPr>
            <w:r>
              <w:rPr>
                <w:b/>
                <w:i w:val="0"/>
                <w:sz w:val="16"/>
              </w:rPr>
              <w:t>Review</w:t>
            </w:r>
          </w:p>
        </w:tc>
        <w:tc>
          <w:tcPr>
            <w:tcW w:type="dxa" w:w="7937"/>
            <w:vAlign w:val="top"/>
          </w:tcPr>
          <w:p>
            <w:pPr>
              <w:spacing w:after="20" w:line="252" w:lineRule="auto"/>
            </w:pPr>
            <w:r>
              <w:rPr>
                <w:b w:val="0"/>
                <w:i w:val="0"/>
                <w:sz w:val="16"/>
              </w:rPr>
              <w:t>Root-cause report within 5 business days; actions tracked to closure.</w:t>
            </w:r>
          </w:p>
        </w:tc>
      </w:tr>
    </w:tbl>
    <w:p>
      <w:pPr>
        <w:spacing w:after="0" w:before="0"/>
      </w:pPr>
      <w:r>
        <w:rPr>
          <w:sz w:val="8"/>
        </w:rPr>
      </w:r>
    </w:p>
    <w:p>
      <w:pPr>
        <w:pStyle w:val="Heading1"/>
        <w:pageBreakBefore/>
        <w:pBdr>
          <w:bottom w:val="single" w:sz="12" w:space="4" w:color="F58220"/>
        </w:pBdr>
      </w:pPr>
      <w:r>
        <w:t>14. Deployment &amp; Release Management</w:t>
      </w:r>
    </w:p>
    <w:p>
      <w:pPr>
        <w:pStyle w:val="Heading2"/>
      </w:pPr>
      <w:r>
        <w:t>14.1 Environments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247"/>
        <w:gridCol w:w="2154"/>
        <w:gridCol w:w="2494"/>
        <w:gridCol w:w="1927"/>
        <w:gridCol w:w="1814"/>
      </w:tblGrid>
      <w:tr>
        <w:trPr>
          <w:cantSplit/>
          <w:tblHeader/>
        </w:trPr>
        <w:tc>
          <w:tcPr>
            <w:tcW w:type="dxa" w:w="1247"/>
            <w:shd w:val="clear" w:color="auto" w:fill="E1058C"/>
            <w:vAlign w:val="center"/>
          </w:tcPr>
          <w:p>
            <w:pPr>
              <w:spacing w:after="0"/>
            </w:pPr>
            <w:r>
              <w:rPr>
                <w:b/>
                <w:i w:val="0"/>
                <w:color w:val="FFFFFF"/>
                <w:sz w:val="16"/>
              </w:rPr>
              <w:t>Environment</w:t>
            </w:r>
          </w:p>
        </w:tc>
        <w:tc>
          <w:tcPr>
            <w:tcW w:type="dxa" w:w="2154"/>
            <w:shd w:val="clear" w:color="auto" w:fill="E1058C"/>
            <w:vAlign w:val="center"/>
          </w:tcPr>
          <w:p>
            <w:pPr>
              <w:spacing w:after="0"/>
            </w:pPr>
            <w:r>
              <w:rPr>
                <w:b/>
                <w:i w:val="0"/>
                <w:color w:val="FFFFFF"/>
                <w:sz w:val="16"/>
              </w:rPr>
              <w:t>Purpose</w:t>
            </w:r>
          </w:p>
        </w:tc>
        <w:tc>
          <w:tcPr>
            <w:tcW w:type="dxa" w:w="2494"/>
            <w:shd w:val="clear" w:color="auto" w:fill="E1058C"/>
            <w:vAlign w:val="center"/>
          </w:tcPr>
          <w:p>
            <w:pPr>
              <w:spacing w:after="0"/>
            </w:pPr>
            <w:r>
              <w:rPr>
                <w:b/>
                <w:i w:val="0"/>
                <w:color w:val="FFFFFF"/>
                <w:sz w:val="16"/>
              </w:rPr>
              <w:t>Hosted by</w:t>
            </w:r>
          </w:p>
        </w:tc>
        <w:tc>
          <w:tcPr>
            <w:tcW w:type="dxa" w:w="1928"/>
            <w:shd w:val="clear" w:color="auto" w:fill="E1058C"/>
            <w:vAlign w:val="center"/>
          </w:tcPr>
          <w:p>
            <w:pPr>
              <w:spacing w:after="0"/>
            </w:pPr>
            <w:r>
              <w:rPr>
                <w:b/>
                <w:i w:val="0"/>
                <w:color w:val="FFFFFF"/>
                <w:sz w:val="16"/>
              </w:rPr>
              <w:t>Data</w:t>
            </w:r>
          </w:p>
        </w:tc>
        <w:tc>
          <w:tcPr>
            <w:tcW w:type="dxa" w:w="1814"/>
            <w:shd w:val="clear" w:color="auto" w:fill="E1058C"/>
            <w:vAlign w:val="center"/>
          </w:tcPr>
          <w:p>
            <w:pPr>
              <w:spacing w:after="0"/>
            </w:pPr>
            <w:r>
              <w:rPr>
                <w:b/>
                <w:i w:val="0"/>
                <w:color w:val="FFFFFF"/>
                <w:sz w:val="16"/>
              </w:rPr>
              <w:t>Users</w:t>
            </w:r>
          </w:p>
        </w:tc>
      </w:tr>
      <w:tr>
        <w:trPr>
          <w:cantSplit/>
        </w:trPr>
        <w:tc>
          <w:tcPr>
            <w:tcW w:type="dxa" w:w="1247"/>
            <w:vAlign w:val="top"/>
          </w:tcPr>
          <w:p>
            <w:pPr>
              <w:spacing w:after="20" w:line="252" w:lineRule="auto"/>
            </w:pPr>
            <w:r>
              <w:rPr>
                <w:b/>
                <w:i w:val="0"/>
                <w:sz w:val="16"/>
              </w:rPr>
              <w:t>DEV</w:t>
            </w:r>
          </w:p>
        </w:tc>
        <w:tc>
          <w:tcPr>
            <w:tcW w:type="dxa" w:w="2154"/>
            <w:vAlign w:val="top"/>
          </w:tcPr>
          <w:p>
            <w:pPr>
              <w:spacing w:after="20" w:line="252" w:lineRule="auto"/>
            </w:pPr>
            <w:r>
              <w:rPr>
                <w:b w:val="0"/>
                <w:i w:val="0"/>
                <w:sz w:val="16"/>
              </w:rPr>
              <w:t>Development and sprint demos</w:t>
            </w:r>
          </w:p>
        </w:tc>
        <w:tc>
          <w:tcPr>
            <w:tcW w:type="dxa" w:w="2494"/>
            <w:vAlign w:val="top"/>
          </w:tcPr>
          <w:p>
            <w:pPr>
              <w:spacing w:after="20" w:line="252" w:lineRule="auto"/>
            </w:pPr>
            <w:r>
              <w:rPr>
                <w:b w:val="0"/>
                <w:i w:val="0"/>
                <w:sz w:val="16"/>
              </w:rPr>
              <w:t>iorta (both options)</w:t>
            </w:r>
          </w:p>
        </w:tc>
        <w:tc>
          <w:tcPr>
            <w:tcW w:type="dxa" w:w="1928"/>
            <w:vAlign w:val="top"/>
          </w:tcPr>
          <w:p>
            <w:pPr>
              <w:spacing w:after="20" w:line="252" w:lineRule="auto"/>
            </w:pPr>
            <w:r>
              <w:rPr>
                <w:b w:val="0"/>
                <w:i w:val="0"/>
                <w:sz w:val="16"/>
              </w:rPr>
              <w:t>Synthetic</w:t>
            </w:r>
          </w:p>
        </w:tc>
        <w:tc>
          <w:tcPr>
            <w:tcW w:type="dxa" w:w="1814"/>
            <w:vAlign w:val="top"/>
          </w:tcPr>
          <w:p>
            <w:pPr>
              <w:spacing w:after="20" w:line="252" w:lineRule="auto"/>
            </w:pPr>
            <w:r>
              <w:rPr>
                <w:b w:val="0"/>
                <w:i w:val="0"/>
                <w:sz w:val="16"/>
              </w:rPr>
              <w:t>iorta team</w:t>
            </w:r>
          </w:p>
        </w:tc>
      </w:tr>
      <w:tr>
        <w:trPr>
          <w:cantSplit/>
        </w:trPr>
        <w:tc>
          <w:tcPr>
            <w:tcW w:type="dxa" w:w="1247"/>
            <w:vAlign w:val="top"/>
            <w:shd w:val="clear" w:color="auto" w:fill="FDF0F7"/>
          </w:tcPr>
          <w:p>
            <w:pPr>
              <w:spacing w:after="20" w:line="252" w:lineRule="auto"/>
            </w:pPr>
            <w:r>
              <w:rPr>
                <w:b/>
                <w:i w:val="0"/>
                <w:sz w:val="16"/>
              </w:rPr>
              <w:t>SIT</w:t>
            </w:r>
          </w:p>
        </w:tc>
        <w:tc>
          <w:tcPr>
            <w:tcW w:type="dxa" w:w="2154"/>
            <w:vAlign w:val="top"/>
            <w:shd w:val="clear" w:color="auto" w:fill="FDF0F7"/>
          </w:tcPr>
          <w:p>
            <w:pPr>
              <w:spacing w:after="20" w:line="252" w:lineRule="auto"/>
            </w:pPr>
            <w:r>
              <w:rPr>
                <w:b w:val="0"/>
                <w:i w:val="0"/>
                <w:sz w:val="16"/>
              </w:rPr>
              <w:t>Integration and performance testing</w:t>
            </w:r>
          </w:p>
        </w:tc>
        <w:tc>
          <w:tcPr>
            <w:tcW w:type="dxa" w:w="2494"/>
            <w:vAlign w:val="top"/>
            <w:shd w:val="clear" w:color="auto" w:fill="FDF0F7"/>
          </w:tcPr>
          <w:p>
            <w:pPr>
              <w:spacing w:after="20" w:line="252" w:lineRule="auto"/>
            </w:pPr>
            <w:r>
              <w:rPr>
                <w:b w:val="0"/>
                <w:i w:val="0"/>
                <w:sz w:val="16"/>
              </w:rPr>
              <w:t>A: IIFT data centre (iorta-hosted until the IIFT VM is ready). B: cloud</w:t>
            </w:r>
          </w:p>
        </w:tc>
        <w:tc>
          <w:tcPr>
            <w:tcW w:type="dxa" w:w="1928"/>
            <w:vAlign w:val="top"/>
            <w:shd w:val="clear" w:color="auto" w:fill="FDF0F7"/>
          </w:tcPr>
          <w:p>
            <w:pPr>
              <w:spacing w:after="20" w:line="252" w:lineRule="auto"/>
            </w:pPr>
            <w:r>
              <w:rPr>
                <w:b w:val="0"/>
                <w:i w:val="0"/>
                <w:sz w:val="16"/>
              </w:rPr>
              <w:t>Synthetic and masked samples</w:t>
            </w:r>
          </w:p>
        </w:tc>
        <w:tc>
          <w:tcPr>
            <w:tcW w:type="dxa" w:w="1814"/>
            <w:vAlign w:val="top"/>
            <w:shd w:val="clear" w:color="auto" w:fill="FDF0F7"/>
          </w:tcPr>
          <w:p>
            <w:pPr>
              <w:spacing w:after="20" w:line="252" w:lineRule="auto"/>
            </w:pPr>
            <w:r>
              <w:rPr>
                <w:b w:val="0"/>
                <w:i w:val="0"/>
                <w:sz w:val="16"/>
              </w:rPr>
              <w:t>iorta, IIFT IT</w:t>
            </w:r>
          </w:p>
        </w:tc>
      </w:tr>
      <w:tr>
        <w:trPr>
          <w:cantSplit/>
        </w:trPr>
        <w:tc>
          <w:tcPr>
            <w:tcW w:type="dxa" w:w="1247"/>
            <w:vAlign w:val="top"/>
          </w:tcPr>
          <w:p>
            <w:pPr>
              <w:spacing w:after="20" w:line="252" w:lineRule="auto"/>
            </w:pPr>
            <w:r>
              <w:rPr>
                <w:b/>
                <w:i w:val="0"/>
                <w:sz w:val="16"/>
              </w:rPr>
              <w:t>UAT</w:t>
            </w:r>
          </w:p>
        </w:tc>
        <w:tc>
          <w:tcPr>
            <w:tcW w:type="dxa" w:w="2154"/>
            <w:vAlign w:val="top"/>
          </w:tcPr>
          <w:p>
            <w:pPr>
              <w:spacing w:after="20" w:line="252" w:lineRule="auto"/>
            </w:pPr>
            <w:r>
              <w:rPr>
                <w:b w:val="0"/>
                <w:i w:val="0"/>
                <w:sz w:val="16"/>
              </w:rPr>
              <w:t>Acceptance testing and training</w:t>
            </w:r>
          </w:p>
        </w:tc>
        <w:tc>
          <w:tcPr>
            <w:tcW w:type="dxa" w:w="2494"/>
            <w:vAlign w:val="top"/>
          </w:tcPr>
          <w:p>
            <w:pPr>
              <w:spacing w:after="20" w:line="252" w:lineRule="auto"/>
            </w:pPr>
            <w:r>
              <w:rPr>
                <w:b w:val="0"/>
                <w:i w:val="0"/>
                <w:sz w:val="16"/>
              </w:rPr>
              <w:t>A: IIFT data centre. B: cloud</w:t>
            </w:r>
          </w:p>
        </w:tc>
        <w:tc>
          <w:tcPr>
            <w:tcW w:type="dxa" w:w="1928"/>
            <w:vAlign w:val="top"/>
          </w:tcPr>
          <w:p>
            <w:pPr>
              <w:spacing w:after="20" w:line="252" w:lineRule="auto"/>
            </w:pPr>
            <w:r>
              <w:rPr>
                <w:b w:val="0"/>
                <w:i w:val="0"/>
                <w:sz w:val="16"/>
              </w:rPr>
              <w:t>Masked or migrated test data</w:t>
            </w:r>
          </w:p>
        </w:tc>
        <w:tc>
          <w:tcPr>
            <w:tcW w:type="dxa" w:w="1814"/>
            <w:vAlign w:val="top"/>
          </w:tcPr>
          <w:p>
            <w:pPr>
              <w:spacing w:after="20" w:line="252" w:lineRule="auto"/>
            </w:pPr>
            <w:r>
              <w:rPr>
                <w:b w:val="0"/>
                <w:i w:val="0"/>
                <w:sz w:val="16"/>
              </w:rPr>
              <w:t>IIFT users</w:t>
            </w:r>
          </w:p>
        </w:tc>
      </w:tr>
      <w:tr>
        <w:trPr>
          <w:cantSplit/>
        </w:trPr>
        <w:tc>
          <w:tcPr>
            <w:tcW w:type="dxa" w:w="1247"/>
            <w:vAlign w:val="top"/>
            <w:shd w:val="clear" w:color="auto" w:fill="FDF0F7"/>
          </w:tcPr>
          <w:p>
            <w:pPr>
              <w:spacing w:after="20" w:line="252" w:lineRule="auto"/>
            </w:pPr>
            <w:r>
              <w:rPr>
                <w:b/>
                <w:i w:val="0"/>
                <w:sz w:val="16"/>
              </w:rPr>
              <w:t>PROD</w:t>
            </w:r>
          </w:p>
        </w:tc>
        <w:tc>
          <w:tcPr>
            <w:tcW w:type="dxa" w:w="2154"/>
            <w:vAlign w:val="top"/>
            <w:shd w:val="clear" w:color="auto" w:fill="FDF0F7"/>
          </w:tcPr>
          <w:p>
            <w:pPr>
              <w:spacing w:after="20" w:line="252" w:lineRule="auto"/>
            </w:pPr>
            <w:r>
              <w:rPr>
                <w:b w:val="0"/>
                <w:i w:val="0"/>
                <w:sz w:val="16"/>
              </w:rPr>
              <w:t>Live operation</w:t>
            </w:r>
          </w:p>
        </w:tc>
        <w:tc>
          <w:tcPr>
            <w:tcW w:type="dxa" w:w="2494"/>
            <w:vAlign w:val="top"/>
            <w:shd w:val="clear" w:color="auto" w:fill="FDF0F7"/>
          </w:tcPr>
          <w:p>
            <w:pPr>
              <w:spacing w:after="20" w:line="252" w:lineRule="auto"/>
            </w:pPr>
            <w:r>
              <w:rPr>
                <w:b w:val="0"/>
                <w:i w:val="0"/>
                <w:sz w:val="16"/>
              </w:rPr>
              <w:t>A: IIFT/IITH data centre. B: cloud, Malaysia region</w:t>
            </w:r>
          </w:p>
        </w:tc>
        <w:tc>
          <w:tcPr>
            <w:tcW w:type="dxa" w:w="1928"/>
            <w:vAlign w:val="top"/>
            <w:shd w:val="clear" w:color="auto" w:fill="FDF0F7"/>
          </w:tcPr>
          <w:p>
            <w:pPr>
              <w:spacing w:after="20" w:line="252" w:lineRule="auto"/>
            </w:pPr>
            <w:r>
              <w:rPr>
                <w:b w:val="0"/>
                <w:i w:val="0"/>
                <w:sz w:val="16"/>
              </w:rPr>
              <w:t>Production</w:t>
            </w:r>
          </w:p>
        </w:tc>
        <w:tc>
          <w:tcPr>
            <w:tcW w:type="dxa" w:w="1814"/>
            <w:vAlign w:val="top"/>
            <w:shd w:val="clear" w:color="auto" w:fill="FDF0F7"/>
          </w:tcPr>
          <w:p>
            <w:pPr>
              <w:spacing w:after="20" w:line="252" w:lineRule="auto"/>
            </w:pPr>
            <w:r>
              <w:rPr>
                <w:b w:val="0"/>
                <w:i w:val="0"/>
                <w:sz w:val="16"/>
              </w:rPr>
              <w:t>IIFT users; iorta under change control</w:t>
            </w:r>
          </w:p>
        </w:tc>
      </w:tr>
      <w:tr>
        <w:trPr>
          <w:cantSplit/>
        </w:trPr>
        <w:tc>
          <w:tcPr>
            <w:tcW w:type="dxa" w:w="1247"/>
            <w:vAlign w:val="top"/>
          </w:tcPr>
          <w:p>
            <w:pPr>
              <w:spacing w:after="20" w:line="252" w:lineRule="auto"/>
            </w:pPr>
            <w:r>
              <w:rPr>
                <w:b/>
                <w:i w:val="0"/>
                <w:sz w:val="16"/>
              </w:rPr>
              <w:t>DR</w:t>
            </w:r>
          </w:p>
        </w:tc>
        <w:tc>
          <w:tcPr>
            <w:tcW w:type="dxa" w:w="2154"/>
            <w:vAlign w:val="top"/>
          </w:tcPr>
          <w:p>
            <w:pPr>
              <w:spacing w:after="20" w:line="252" w:lineRule="auto"/>
            </w:pPr>
            <w:r>
              <w:rPr>
                <w:b w:val="0"/>
                <w:i w:val="0"/>
                <w:sz w:val="16"/>
              </w:rPr>
              <w:t>Disaster recovery</w:t>
            </w:r>
          </w:p>
        </w:tc>
        <w:tc>
          <w:tcPr>
            <w:tcW w:type="dxa" w:w="2494"/>
            <w:vAlign w:val="top"/>
          </w:tcPr>
          <w:p>
            <w:pPr>
              <w:spacing w:after="20" w:line="252" w:lineRule="auto"/>
            </w:pPr>
            <w:r>
              <w:rPr>
                <w:b w:val="0"/>
                <w:i w:val="0"/>
                <w:sz w:val="16"/>
              </w:rPr>
              <w:t>A: IIFT/IITH DR site. B: second cloud region</w:t>
            </w:r>
          </w:p>
        </w:tc>
        <w:tc>
          <w:tcPr>
            <w:tcW w:type="dxa" w:w="1928"/>
            <w:vAlign w:val="top"/>
          </w:tcPr>
          <w:p>
            <w:pPr>
              <w:spacing w:after="20" w:line="252" w:lineRule="auto"/>
            </w:pPr>
            <w:r>
              <w:rPr>
                <w:b w:val="0"/>
                <w:i w:val="0"/>
                <w:sz w:val="16"/>
              </w:rPr>
              <w:t>Replicated production</w:t>
            </w:r>
          </w:p>
        </w:tc>
        <w:tc>
          <w:tcPr>
            <w:tcW w:type="dxa" w:w="1814"/>
            <w:vAlign w:val="top"/>
          </w:tcPr>
          <w:p>
            <w:pPr>
              <w:spacing w:after="20" w:line="252" w:lineRule="auto"/>
            </w:pPr>
            <w:r>
              <w:rPr>
                <w:b w:val="0"/>
                <w:i w:val="0"/>
                <w:sz w:val="16"/>
              </w:rPr>
              <w:t>Activated per DR plan</w:t>
            </w:r>
          </w:p>
        </w:tc>
      </w:tr>
    </w:tbl>
    <w:p>
      <w:pPr>
        <w:pStyle w:val="Caption"/>
        <w:jc w:val="center"/>
      </w:pPr>
      <w:r>
        <w:rPr>
          <w:b w:val="0"/>
          <w:i w:val="0"/>
        </w:rPr>
        <w:t>Table 23: Environments</w:t>
      </w:r>
    </w:p>
    <w:p>
      <w:pPr>
        <w:pStyle w:val="Heading2"/>
      </w:pPr>
      <w:r>
        <w:t>14.2 CI/CD pipeline</w:t>
      </w:r>
    </w:p>
    <w:p>
      <w:pPr>
        <w:keepNext w:val="0"/>
      </w:pPr>
      <w:r>
        <w:rPr>
          <w:b w:val="0"/>
          <w:i w:val="0"/>
        </w:rPr>
        <w:t>Every environment runs the same versioned container images, so what passes UAT is what runs in production. The pipeline can run on IITH's GitLab or on GitHub Actions; the repository is held for IIFT.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7371"/>
      </w:tblGrid>
      <w:tr>
        <w:trPr>
          <w:cantSplit/>
          <w:tblHeader/>
        </w:trPr>
        <w:tc>
          <w:tcPr>
            <w:tcW w:type="dxa" w:w="2268"/>
            <w:shd w:val="clear" w:color="auto" w:fill="E1058C"/>
            <w:vAlign w:val="center"/>
          </w:tcPr>
          <w:p>
            <w:pPr>
              <w:spacing w:after="0"/>
            </w:pPr>
            <w:r>
              <w:rPr>
                <w:b/>
                <w:i w:val="0"/>
                <w:color w:val="FFFFFF"/>
                <w:sz w:val="16"/>
              </w:rPr>
              <w:t>Stage</w:t>
            </w:r>
          </w:p>
        </w:tc>
        <w:tc>
          <w:tcPr>
            <w:tcW w:type="dxa" w:w="7370"/>
            <w:shd w:val="clear" w:color="auto" w:fill="E1058C"/>
            <w:vAlign w:val="center"/>
          </w:tcPr>
          <w:p>
            <w:pPr>
              <w:spacing w:after="0"/>
            </w:pPr>
            <w:r>
              <w:rPr>
                <w:b/>
                <w:i w:val="0"/>
                <w:color w:val="FFFFFF"/>
                <w:sz w:val="16"/>
              </w:rPr>
              <w:t>Activities</w:t>
            </w:r>
          </w:p>
        </w:tc>
      </w:tr>
      <w:tr>
        <w:trPr>
          <w:cantSplit/>
        </w:trPr>
        <w:tc>
          <w:tcPr>
            <w:tcW w:type="dxa" w:w="2268"/>
            <w:vAlign w:val="top"/>
          </w:tcPr>
          <w:p>
            <w:pPr>
              <w:spacing w:after="20" w:line="252" w:lineRule="auto"/>
            </w:pPr>
            <w:r>
              <w:rPr>
                <w:b/>
                <w:i w:val="0"/>
                <w:sz w:val="16"/>
              </w:rPr>
              <w:t>Commit and review</w:t>
            </w:r>
          </w:p>
        </w:tc>
        <w:tc>
          <w:tcPr>
            <w:tcW w:type="dxa" w:w="7370"/>
            <w:vAlign w:val="top"/>
          </w:tcPr>
          <w:p>
            <w:pPr>
              <w:spacing w:after="20" w:line="252" w:lineRule="auto"/>
            </w:pPr>
            <w:r>
              <w:rPr>
                <w:b w:val="0"/>
                <w:i w:val="0"/>
                <w:sz w:val="16"/>
              </w:rPr>
              <w:t>Branch, pull request, mandatory peer review</w:t>
            </w:r>
          </w:p>
        </w:tc>
      </w:tr>
      <w:tr>
        <w:trPr>
          <w:cantSplit/>
        </w:trPr>
        <w:tc>
          <w:tcPr>
            <w:tcW w:type="dxa" w:w="2268"/>
            <w:vAlign w:val="top"/>
            <w:shd w:val="clear" w:color="auto" w:fill="FDF0F7"/>
          </w:tcPr>
          <w:p>
            <w:pPr>
              <w:spacing w:after="20" w:line="252" w:lineRule="auto"/>
            </w:pPr>
            <w:r>
              <w:rPr>
                <w:b/>
                <w:i w:val="0"/>
                <w:sz w:val="16"/>
              </w:rPr>
              <w:t>Build</w:t>
            </w:r>
          </w:p>
        </w:tc>
        <w:tc>
          <w:tcPr>
            <w:tcW w:type="dxa" w:w="7370"/>
            <w:vAlign w:val="top"/>
            <w:shd w:val="clear" w:color="auto" w:fill="FDF0F7"/>
          </w:tcPr>
          <w:p>
            <w:pPr>
              <w:spacing w:after="20" w:line="252" w:lineRule="auto"/>
            </w:pPr>
            <w:r>
              <w:rPr>
                <w:b w:val="0"/>
                <w:i w:val="0"/>
                <w:sz w:val="16"/>
              </w:rPr>
              <w:t>Type check, lint, compile front end and API, build container images</w:t>
            </w:r>
          </w:p>
        </w:tc>
      </w:tr>
      <w:tr>
        <w:trPr>
          <w:cantSplit/>
        </w:trPr>
        <w:tc>
          <w:tcPr>
            <w:tcW w:type="dxa" w:w="2268"/>
            <w:vAlign w:val="top"/>
          </w:tcPr>
          <w:p>
            <w:pPr>
              <w:spacing w:after="20" w:line="252" w:lineRule="auto"/>
            </w:pPr>
            <w:r>
              <w:rPr>
                <w:b/>
                <w:i w:val="0"/>
                <w:sz w:val="16"/>
              </w:rPr>
              <w:t>Test</w:t>
            </w:r>
          </w:p>
        </w:tc>
        <w:tc>
          <w:tcPr>
            <w:tcW w:type="dxa" w:w="7370"/>
            <w:vAlign w:val="top"/>
          </w:tcPr>
          <w:p>
            <w:pPr>
              <w:spacing w:after="20" w:line="252" w:lineRule="auto"/>
            </w:pPr>
            <w:r>
              <w:rPr>
                <w:b w:val="0"/>
                <w:i w:val="0"/>
                <w:sz w:val="16"/>
              </w:rPr>
              <w:t>Unit and API tests against PostgreSQL; web component tests; coverage report</w:t>
            </w:r>
          </w:p>
        </w:tc>
      </w:tr>
      <w:tr>
        <w:trPr>
          <w:cantSplit/>
        </w:trPr>
        <w:tc>
          <w:tcPr>
            <w:tcW w:type="dxa" w:w="2268"/>
            <w:vAlign w:val="top"/>
            <w:shd w:val="clear" w:color="auto" w:fill="FDF0F7"/>
          </w:tcPr>
          <w:p>
            <w:pPr>
              <w:spacing w:after="20" w:line="252" w:lineRule="auto"/>
            </w:pPr>
            <w:r>
              <w:rPr>
                <w:b/>
                <w:i w:val="0"/>
                <w:sz w:val="16"/>
              </w:rPr>
              <w:t>Scan</w:t>
            </w:r>
          </w:p>
        </w:tc>
        <w:tc>
          <w:tcPr>
            <w:tcW w:type="dxa" w:w="7370"/>
            <w:vAlign w:val="top"/>
            <w:shd w:val="clear" w:color="auto" w:fill="FDF0F7"/>
          </w:tcPr>
          <w:p>
            <w:pPr>
              <w:spacing w:after="20" w:line="252" w:lineRule="auto"/>
            </w:pPr>
            <w:r>
              <w:rPr>
                <w:b w:val="0"/>
                <w:i w:val="0"/>
                <w:sz w:val="16"/>
              </w:rPr>
              <w:t>CodeQL static analysis, npm audit, gitleaks secret scan and Trivy image scan</w:t>
            </w:r>
          </w:p>
        </w:tc>
      </w:tr>
      <w:tr>
        <w:trPr>
          <w:cantSplit/>
        </w:trPr>
        <w:tc>
          <w:tcPr>
            <w:tcW w:type="dxa" w:w="2268"/>
            <w:vAlign w:val="top"/>
          </w:tcPr>
          <w:p>
            <w:pPr>
              <w:spacing w:after="20" w:line="252" w:lineRule="auto"/>
            </w:pPr>
            <w:r>
              <w:rPr>
                <w:b/>
                <w:i w:val="0"/>
                <w:sz w:val="16"/>
              </w:rPr>
              <w:t>Package</w:t>
            </w:r>
          </w:p>
        </w:tc>
        <w:tc>
          <w:tcPr>
            <w:tcW w:type="dxa" w:w="7370"/>
            <w:vAlign w:val="top"/>
          </w:tcPr>
          <w:p>
            <w:pPr>
              <w:spacing w:after="20" w:line="252" w:lineRule="auto"/>
            </w:pPr>
            <w:r>
              <w:rPr>
                <w:b w:val="0"/>
                <w:i w:val="0"/>
                <w:sz w:val="16"/>
              </w:rPr>
              <w:t>Versioned, signed images with release notes and SBOM</w:t>
            </w:r>
          </w:p>
        </w:tc>
      </w:tr>
      <w:tr>
        <w:trPr>
          <w:cantSplit/>
        </w:trPr>
        <w:tc>
          <w:tcPr>
            <w:tcW w:type="dxa" w:w="2268"/>
            <w:vAlign w:val="top"/>
            <w:shd w:val="clear" w:color="auto" w:fill="FDF0F7"/>
          </w:tcPr>
          <w:p>
            <w:pPr>
              <w:spacing w:after="20" w:line="252" w:lineRule="auto"/>
            </w:pPr>
            <w:r>
              <w:rPr>
                <w:b/>
                <w:i w:val="0"/>
                <w:sz w:val="16"/>
              </w:rPr>
              <w:t>Deploy to SIT/UAT</w:t>
            </w:r>
          </w:p>
        </w:tc>
        <w:tc>
          <w:tcPr>
            <w:tcW w:type="dxa" w:w="7370"/>
            <w:vAlign w:val="top"/>
            <w:shd w:val="clear" w:color="auto" w:fill="FDF0F7"/>
          </w:tcPr>
          <w:p>
            <w:pPr>
              <w:spacing w:after="20" w:line="252" w:lineRule="auto"/>
            </w:pPr>
            <w:r>
              <w:rPr>
                <w:b w:val="0"/>
                <w:i w:val="0"/>
                <w:sz w:val="16"/>
              </w:rPr>
              <w:t>Automated deployment and migration; Playwright smoke tests</w:t>
            </w:r>
          </w:p>
        </w:tc>
      </w:tr>
      <w:tr>
        <w:trPr>
          <w:cantSplit/>
        </w:trPr>
        <w:tc>
          <w:tcPr>
            <w:tcW w:type="dxa" w:w="2268"/>
            <w:vAlign w:val="top"/>
          </w:tcPr>
          <w:p>
            <w:pPr>
              <w:spacing w:after="20" w:line="252" w:lineRule="auto"/>
            </w:pPr>
            <w:r>
              <w:rPr>
                <w:b/>
                <w:i w:val="0"/>
                <w:sz w:val="16"/>
              </w:rPr>
              <w:t>Approve</w:t>
            </w:r>
          </w:p>
        </w:tc>
        <w:tc>
          <w:tcPr>
            <w:tcW w:type="dxa" w:w="7370"/>
            <w:vAlign w:val="top"/>
          </w:tcPr>
          <w:p>
            <w:pPr>
              <w:spacing w:after="20" w:line="252" w:lineRule="auto"/>
            </w:pPr>
            <w:r>
              <w:rPr>
                <w:b w:val="0"/>
                <w:i w:val="0"/>
                <w:sz w:val="16"/>
              </w:rPr>
              <w:t>Test sign-off and IIFT change approval</w:t>
            </w:r>
          </w:p>
        </w:tc>
      </w:tr>
      <w:tr>
        <w:trPr>
          <w:cantSplit/>
        </w:trPr>
        <w:tc>
          <w:tcPr>
            <w:tcW w:type="dxa" w:w="2268"/>
            <w:vAlign w:val="top"/>
            <w:shd w:val="clear" w:color="auto" w:fill="FDF0F7"/>
          </w:tcPr>
          <w:p>
            <w:pPr>
              <w:spacing w:after="20" w:line="252" w:lineRule="auto"/>
            </w:pPr>
            <w:r>
              <w:rPr>
                <w:b/>
                <w:i w:val="0"/>
                <w:sz w:val="16"/>
              </w:rPr>
              <w:t>Deploy to PROD</w:t>
            </w:r>
          </w:p>
        </w:tc>
        <w:tc>
          <w:tcPr>
            <w:tcW w:type="dxa" w:w="7370"/>
            <w:vAlign w:val="top"/>
            <w:shd w:val="clear" w:color="auto" w:fill="FDF0F7"/>
          </w:tcPr>
          <w:p>
            <w:pPr>
              <w:spacing w:after="20" w:line="252" w:lineRule="auto"/>
            </w:pPr>
            <w:r>
              <w:rPr>
                <w:b w:val="0"/>
                <w:i w:val="0"/>
                <w:sz w:val="16"/>
              </w:rPr>
              <w:t>Scripted deployment in the approved window; health checks; post-deployment checks</w:t>
            </w:r>
          </w:p>
        </w:tc>
      </w:tr>
    </w:tbl>
    <w:p>
      <w:pPr>
        <w:spacing w:after="0" w:before="0"/>
      </w:pPr>
      <w:r>
        <w:rPr>
          <w:sz w:val="8"/>
        </w:rPr>
      </w:r>
    </w:p>
    <w:p>
      <w:pPr>
        <w:pStyle w:val="Heading2"/>
      </w:pPr>
      <w:r>
        <w:t>14.3 Release management and rollback</w:t>
      </w:r>
    </w:p>
    <w:p>
      <w:pPr>
        <w:keepNext w:val="0"/>
      </w:pPr>
      <w:r>
        <w:rPr>
          <w:b w:val="0"/>
          <w:i w:val="0"/>
        </w:rPr>
        <w:t>Every production change follows the agreed procedure (MNT-21): change request, impact assessment, SIT and UAT, release notes, IIFT approval and deployment in an approved window.</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4252"/>
        <w:gridCol w:w="3118"/>
      </w:tblGrid>
      <w:tr>
        <w:trPr>
          <w:cantSplit/>
          <w:tblHeader/>
        </w:trPr>
        <w:tc>
          <w:tcPr>
            <w:tcW w:type="dxa" w:w="2268"/>
            <w:shd w:val="clear" w:color="auto" w:fill="E1058C"/>
            <w:vAlign w:val="center"/>
          </w:tcPr>
          <w:p>
            <w:pPr>
              <w:spacing w:after="0"/>
            </w:pPr>
            <w:r>
              <w:rPr>
                <w:b/>
                <w:i w:val="0"/>
                <w:color w:val="FFFFFF"/>
                <w:sz w:val="16"/>
              </w:rPr>
              <w:t>Release type</w:t>
            </w:r>
          </w:p>
        </w:tc>
        <w:tc>
          <w:tcPr>
            <w:tcW w:type="dxa" w:w="4252"/>
            <w:shd w:val="clear" w:color="auto" w:fill="E1058C"/>
            <w:vAlign w:val="center"/>
          </w:tcPr>
          <w:p>
            <w:pPr>
              <w:spacing w:after="0"/>
            </w:pPr>
            <w:r>
              <w:rPr>
                <w:b/>
                <w:i w:val="0"/>
                <w:color w:val="FFFFFF"/>
                <w:sz w:val="16"/>
              </w:rPr>
              <w:t>Content</w:t>
            </w:r>
          </w:p>
        </w:tc>
        <w:tc>
          <w:tcPr>
            <w:tcW w:type="dxa" w:w="3118"/>
            <w:shd w:val="clear" w:color="auto" w:fill="E1058C"/>
            <w:vAlign w:val="center"/>
          </w:tcPr>
          <w:p>
            <w:pPr>
              <w:spacing w:after="0"/>
            </w:pPr>
            <w:r>
              <w:rPr>
                <w:b/>
                <w:i w:val="0"/>
                <w:color w:val="FFFFFF"/>
                <w:sz w:val="16"/>
              </w:rPr>
              <w:t>Cadence</w:t>
            </w:r>
          </w:p>
        </w:tc>
      </w:tr>
      <w:tr>
        <w:trPr>
          <w:cantSplit/>
        </w:trPr>
        <w:tc>
          <w:tcPr>
            <w:tcW w:type="dxa" w:w="2268"/>
            <w:vAlign w:val="top"/>
          </w:tcPr>
          <w:p>
            <w:pPr>
              <w:spacing w:after="20" w:line="252" w:lineRule="auto"/>
            </w:pPr>
            <w:r>
              <w:rPr>
                <w:b/>
                <w:i w:val="0"/>
                <w:sz w:val="16"/>
              </w:rPr>
              <w:t>Emergency fix</w:t>
            </w:r>
          </w:p>
        </w:tc>
        <w:tc>
          <w:tcPr>
            <w:tcW w:type="dxa" w:w="4252"/>
            <w:vAlign w:val="top"/>
          </w:tcPr>
          <w:p>
            <w:pPr>
              <w:spacing w:after="20" w:line="252" w:lineRule="auto"/>
            </w:pPr>
            <w:r>
              <w:rPr>
                <w:b w:val="0"/>
                <w:i w:val="0"/>
                <w:sz w:val="16"/>
              </w:rPr>
              <w:t>P1/P2 defect or security patch</w:t>
            </w:r>
          </w:p>
        </w:tc>
        <w:tc>
          <w:tcPr>
            <w:tcW w:type="dxa" w:w="3118"/>
            <w:vAlign w:val="top"/>
          </w:tcPr>
          <w:p>
            <w:pPr>
              <w:spacing w:after="20" w:line="252" w:lineRule="auto"/>
            </w:pPr>
            <w:r>
              <w:rPr>
                <w:b w:val="0"/>
                <w:i w:val="0"/>
                <w:sz w:val="16"/>
              </w:rPr>
              <w:t>As needed, expedited approval</w:t>
            </w:r>
          </w:p>
        </w:tc>
      </w:tr>
      <w:tr>
        <w:trPr>
          <w:cantSplit/>
        </w:trPr>
        <w:tc>
          <w:tcPr>
            <w:tcW w:type="dxa" w:w="2268"/>
            <w:vAlign w:val="top"/>
            <w:shd w:val="clear" w:color="auto" w:fill="FDF0F7"/>
          </w:tcPr>
          <w:p>
            <w:pPr>
              <w:spacing w:after="20" w:line="252" w:lineRule="auto"/>
            </w:pPr>
            <w:r>
              <w:rPr>
                <w:b/>
                <w:i w:val="0"/>
                <w:sz w:val="16"/>
              </w:rPr>
              <w:t>Maintenance release</w:t>
            </w:r>
          </w:p>
        </w:tc>
        <w:tc>
          <w:tcPr>
            <w:tcW w:type="dxa" w:w="4252"/>
            <w:vAlign w:val="top"/>
            <w:shd w:val="clear" w:color="auto" w:fill="FDF0F7"/>
          </w:tcPr>
          <w:p>
            <w:pPr>
              <w:spacing w:after="20" w:line="252" w:lineRule="auto"/>
            </w:pPr>
            <w:r>
              <w:rPr>
                <w:b w:val="0"/>
                <w:i w:val="0"/>
                <w:sz w:val="16"/>
              </w:rPr>
              <w:t>Fixes, minor enhancements, patches</w:t>
            </w:r>
          </w:p>
        </w:tc>
        <w:tc>
          <w:tcPr>
            <w:tcW w:type="dxa" w:w="3118"/>
            <w:vAlign w:val="top"/>
            <w:shd w:val="clear" w:color="auto" w:fill="FDF0F7"/>
          </w:tcPr>
          <w:p>
            <w:pPr>
              <w:spacing w:after="20" w:line="252" w:lineRule="auto"/>
            </w:pPr>
            <w:r>
              <w:rPr>
                <w:b w:val="0"/>
                <w:i w:val="0"/>
                <w:sz w:val="16"/>
              </w:rPr>
              <w:t>Monthly</w:t>
            </w:r>
          </w:p>
        </w:tc>
      </w:tr>
      <w:tr>
        <w:trPr>
          <w:cantSplit/>
        </w:trPr>
        <w:tc>
          <w:tcPr>
            <w:tcW w:type="dxa" w:w="2268"/>
            <w:vAlign w:val="top"/>
          </w:tcPr>
          <w:p>
            <w:pPr>
              <w:spacing w:after="20" w:line="252" w:lineRule="auto"/>
            </w:pPr>
            <w:r>
              <w:rPr>
                <w:b/>
                <w:i w:val="0"/>
                <w:sz w:val="16"/>
              </w:rPr>
              <w:t>Feature release</w:t>
            </w:r>
          </w:p>
        </w:tc>
        <w:tc>
          <w:tcPr>
            <w:tcW w:type="dxa" w:w="4252"/>
            <w:vAlign w:val="top"/>
          </w:tcPr>
          <w:p>
            <w:pPr>
              <w:spacing w:after="20" w:line="252" w:lineRule="auto"/>
            </w:pPr>
            <w:r>
              <w:rPr>
                <w:b w:val="0"/>
                <w:i w:val="0"/>
                <w:sz w:val="16"/>
              </w:rPr>
              <w:t>Change requests</w:t>
            </w:r>
          </w:p>
        </w:tc>
        <w:tc>
          <w:tcPr>
            <w:tcW w:type="dxa" w:w="3118"/>
            <w:vAlign w:val="top"/>
          </w:tcPr>
          <w:p>
            <w:pPr>
              <w:spacing w:after="20" w:line="252" w:lineRule="auto"/>
            </w:pPr>
            <w:r>
              <w:rPr>
                <w:b w:val="0"/>
                <w:i w:val="0"/>
                <w:sz w:val="16"/>
              </w:rPr>
              <w:t>Quarterly or as agreed</w:t>
            </w:r>
          </w:p>
        </w:tc>
      </w:tr>
      <w:tr>
        <w:trPr>
          <w:cantSplit/>
        </w:trPr>
        <w:tc>
          <w:tcPr>
            <w:tcW w:type="dxa" w:w="2268"/>
            <w:vAlign w:val="top"/>
            <w:shd w:val="clear" w:color="auto" w:fill="FDF0F7"/>
          </w:tcPr>
          <w:p>
            <w:pPr>
              <w:spacing w:after="20" w:line="252" w:lineRule="auto"/>
            </w:pPr>
            <w:r>
              <w:rPr>
                <w:b/>
                <w:i w:val="0"/>
                <w:sz w:val="16"/>
              </w:rPr>
              <w:t>Platform upgrade</w:t>
            </w:r>
          </w:p>
        </w:tc>
        <w:tc>
          <w:tcPr>
            <w:tcW w:type="dxa" w:w="4252"/>
            <w:vAlign w:val="top"/>
            <w:shd w:val="clear" w:color="auto" w:fill="FDF0F7"/>
          </w:tcPr>
          <w:p>
            <w:pPr>
              <w:spacing w:after="20" w:line="252" w:lineRule="auto"/>
            </w:pPr>
            <w:r>
              <w:rPr>
                <w:b w:val="0"/>
                <w:i w:val="0"/>
                <w:sz w:val="16"/>
              </w:rPr>
              <w:t>Node.js, PostgreSQL, framework and SalesVerse 2.0 updates</w:t>
            </w:r>
          </w:p>
        </w:tc>
        <w:tc>
          <w:tcPr>
            <w:tcW w:type="dxa" w:w="3118"/>
            <w:vAlign w:val="top"/>
            <w:shd w:val="clear" w:color="auto" w:fill="FDF0F7"/>
          </w:tcPr>
          <w:p>
            <w:pPr>
              <w:spacing w:after="20" w:line="252" w:lineRule="auto"/>
            </w:pPr>
            <w:r>
              <w:rPr>
                <w:b w:val="0"/>
                <w:i w:val="0"/>
                <w:sz w:val="16"/>
              </w:rPr>
              <w:t>Typically yearly</w:t>
            </w:r>
          </w:p>
        </w:tc>
      </w:tr>
    </w:tbl>
    <w:p>
      <w:pPr>
        <w:spacing w:after="0" w:before="0"/>
      </w:pPr>
      <w:r>
        <w:rPr>
          <w:sz w:val="8"/>
        </w:rPr>
      </w:r>
    </w:p>
    <w:p>
      <w:pPr>
        <w:keepNext w:val="0"/>
      </w:pPr>
      <w:r>
        <w:rPr>
          <w:b w:val="0"/>
          <w:i w:val="0"/>
        </w:rPr>
        <w:t>The previous container images are kept, so the application rolls back in minutes. Database migrations follow the expand-and-contract pattern, which lets the previous version run on the new schema. A verified backup and a recovery marker are taken before each release. Rollback criteria and decision owners are set in the deployment plan (DEL-20).</w:t>
      </w:r>
    </w:p>
    <w:p>
      <w:pPr>
        <w:pStyle w:val="Heading2"/>
      </w:pPr>
      <w:r>
        <w:t>14.4 Go-live checklist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7938"/>
      </w:tblGrid>
      <w:tr>
        <w:trPr>
          <w:cantSplit/>
          <w:tblHeader/>
        </w:trPr>
        <w:tc>
          <w:tcPr>
            <w:tcW w:type="dxa" w:w="1701"/>
            <w:shd w:val="clear" w:color="auto" w:fill="E1058C"/>
            <w:vAlign w:val="center"/>
          </w:tcPr>
          <w:p>
            <w:pPr>
              <w:spacing w:after="0"/>
            </w:pPr>
            <w:r>
              <w:rPr>
                <w:b/>
                <w:i w:val="0"/>
                <w:color w:val="FFFFFF"/>
                <w:sz w:val="16"/>
              </w:rPr>
              <w:t>Area</w:t>
            </w:r>
          </w:p>
        </w:tc>
        <w:tc>
          <w:tcPr>
            <w:tcW w:type="dxa" w:w="7937"/>
            <w:shd w:val="clear" w:color="auto" w:fill="E1058C"/>
            <w:vAlign w:val="center"/>
          </w:tcPr>
          <w:p>
            <w:pPr>
              <w:spacing w:after="0"/>
            </w:pPr>
            <w:r>
              <w:rPr>
                <w:b/>
                <w:i w:val="0"/>
                <w:color w:val="FFFFFF"/>
                <w:sz w:val="16"/>
              </w:rPr>
              <w:t>Readiness criteria</w:t>
            </w:r>
          </w:p>
        </w:tc>
      </w:tr>
      <w:tr>
        <w:trPr>
          <w:cantSplit/>
        </w:trPr>
        <w:tc>
          <w:tcPr>
            <w:tcW w:type="dxa" w:w="1701"/>
            <w:vAlign w:val="top"/>
          </w:tcPr>
          <w:p>
            <w:pPr>
              <w:spacing w:after="20" w:line="252" w:lineRule="auto"/>
            </w:pPr>
            <w:r>
              <w:rPr>
                <w:b/>
                <w:i w:val="0"/>
                <w:sz w:val="16"/>
              </w:rPr>
              <w:t>Business</w:t>
            </w:r>
          </w:p>
        </w:tc>
        <w:tc>
          <w:tcPr>
            <w:tcW w:type="dxa" w:w="7937"/>
            <w:vAlign w:val="top"/>
          </w:tcPr>
          <w:p>
            <w:pPr>
              <w:spacing w:after="20" w:line="252" w:lineRule="auto"/>
            </w:pPr>
            <w:r>
              <w:rPr>
                <w:b w:val="0"/>
                <w:i w:val="0"/>
                <w:sz w:val="16"/>
              </w:rPr>
              <w:t>UAT signed off; users trained; procedures and contacts issued; agents and banks informed</w:t>
            </w:r>
          </w:p>
        </w:tc>
      </w:tr>
      <w:tr>
        <w:trPr>
          <w:cantSplit/>
        </w:trPr>
        <w:tc>
          <w:tcPr>
            <w:tcW w:type="dxa" w:w="1701"/>
            <w:vAlign w:val="top"/>
            <w:shd w:val="clear" w:color="auto" w:fill="FDF0F7"/>
          </w:tcPr>
          <w:p>
            <w:pPr>
              <w:spacing w:after="20" w:line="252" w:lineRule="auto"/>
            </w:pPr>
            <w:r>
              <w:rPr>
                <w:b/>
                <w:i w:val="0"/>
                <w:sz w:val="16"/>
              </w:rPr>
              <w:t>Technical</w:t>
            </w:r>
          </w:p>
        </w:tc>
        <w:tc>
          <w:tcPr>
            <w:tcW w:type="dxa" w:w="7937"/>
            <w:vAlign w:val="top"/>
            <w:shd w:val="clear" w:color="auto" w:fill="FDF0F7"/>
          </w:tcPr>
          <w:p>
            <w:pPr>
              <w:spacing w:after="20" w:line="252" w:lineRule="auto"/>
            </w:pPr>
            <w:r>
              <w:rPr>
                <w:b w:val="0"/>
                <w:i w:val="0"/>
                <w:sz w:val="16"/>
              </w:rPr>
              <w:t>Production built and hardened; performance test passed; backups and monitoring running</w:t>
            </w:r>
          </w:p>
        </w:tc>
      </w:tr>
      <w:tr>
        <w:trPr>
          <w:cantSplit/>
        </w:trPr>
        <w:tc>
          <w:tcPr>
            <w:tcW w:type="dxa" w:w="1701"/>
            <w:vAlign w:val="top"/>
          </w:tcPr>
          <w:p>
            <w:pPr>
              <w:spacing w:after="20" w:line="252" w:lineRule="auto"/>
            </w:pPr>
            <w:r>
              <w:rPr>
                <w:b/>
                <w:i w:val="0"/>
                <w:sz w:val="16"/>
              </w:rPr>
              <w:t>Security</w:t>
            </w:r>
          </w:p>
        </w:tc>
        <w:tc>
          <w:tcPr>
            <w:tcW w:type="dxa" w:w="7937"/>
            <w:vAlign w:val="top"/>
          </w:tcPr>
          <w:p>
            <w:pPr>
              <w:spacing w:after="20" w:line="252" w:lineRule="auto"/>
            </w:pPr>
            <w:r>
              <w:rPr>
                <w:b w:val="0"/>
                <w:i w:val="0"/>
                <w:sz w:val="16"/>
              </w:rPr>
              <w:t>VAPT findings fixed and re-tested; certificates installed; privileged access reviewed</w:t>
            </w:r>
          </w:p>
        </w:tc>
      </w:tr>
      <w:tr>
        <w:trPr>
          <w:cantSplit/>
        </w:trPr>
        <w:tc>
          <w:tcPr>
            <w:tcW w:type="dxa" w:w="1701"/>
            <w:vAlign w:val="top"/>
            <w:shd w:val="clear" w:color="auto" w:fill="FDF0F7"/>
          </w:tcPr>
          <w:p>
            <w:pPr>
              <w:spacing w:after="20" w:line="252" w:lineRule="auto"/>
            </w:pPr>
            <w:r>
              <w:rPr>
                <w:b/>
                <w:i w:val="0"/>
                <w:sz w:val="16"/>
              </w:rPr>
              <w:t>Data</w:t>
            </w:r>
          </w:p>
        </w:tc>
        <w:tc>
          <w:tcPr>
            <w:tcW w:type="dxa" w:w="7937"/>
            <w:vAlign w:val="top"/>
            <w:shd w:val="clear" w:color="auto" w:fill="FDF0F7"/>
          </w:tcPr>
          <w:p>
            <w:pPr>
              <w:spacing w:after="20" w:line="252" w:lineRule="auto"/>
            </w:pPr>
            <w:r>
              <w:rPr>
                <w:b w:val="0"/>
                <w:i w:val="0"/>
                <w:sz w:val="16"/>
              </w:rPr>
              <w:t>Two migration rehearsals; reconciliation signed; master data and rates verified</w:t>
            </w:r>
          </w:p>
        </w:tc>
      </w:tr>
      <w:tr>
        <w:trPr>
          <w:cantSplit/>
        </w:trPr>
        <w:tc>
          <w:tcPr>
            <w:tcW w:type="dxa" w:w="1701"/>
            <w:vAlign w:val="top"/>
          </w:tcPr>
          <w:p>
            <w:pPr>
              <w:spacing w:after="20" w:line="252" w:lineRule="auto"/>
            </w:pPr>
            <w:r>
              <w:rPr>
                <w:b/>
                <w:i w:val="0"/>
                <w:sz w:val="16"/>
              </w:rPr>
              <w:t>Integration</w:t>
            </w:r>
          </w:p>
        </w:tc>
        <w:tc>
          <w:tcPr>
            <w:tcW w:type="dxa" w:w="7937"/>
            <w:vAlign w:val="top"/>
          </w:tcPr>
          <w:p>
            <w:pPr>
              <w:spacing w:after="20" w:line="252" w:lineRule="auto"/>
            </w:pPr>
            <w:r>
              <w:rPr>
                <w:b w:val="0"/>
                <w:i w:val="0"/>
                <w:sz w:val="16"/>
              </w:rPr>
              <w:t>All interfaces tested end to end; credentials in the vault</w:t>
            </w:r>
          </w:p>
        </w:tc>
      </w:tr>
      <w:tr>
        <w:trPr>
          <w:cantSplit/>
        </w:trPr>
        <w:tc>
          <w:tcPr>
            <w:tcW w:type="dxa" w:w="1701"/>
            <w:vAlign w:val="top"/>
            <w:shd w:val="clear" w:color="auto" w:fill="FDF0F7"/>
          </w:tcPr>
          <w:p>
            <w:pPr>
              <w:spacing w:after="20" w:line="252" w:lineRule="auto"/>
            </w:pPr>
            <w:r>
              <w:rPr>
                <w:b/>
                <w:i w:val="0"/>
                <w:sz w:val="16"/>
              </w:rPr>
              <w:t>Operations</w:t>
            </w:r>
          </w:p>
        </w:tc>
        <w:tc>
          <w:tcPr>
            <w:tcW w:type="dxa" w:w="7937"/>
            <w:vAlign w:val="top"/>
            <w:shd w:val="clear" w:color="auto" w:fill="FDF0F7"/>
          </w:tcPr>
          <w:p>
            <w:pPr>
              <w:spacing w:after="20" w:line="252" w:lineRule="auto"/>
            </w:pPr>
            <w:r>
              <w:rPr>
                <w:b w:val="0"/>
                <w:i w:val="0"/>
                <w:sz w:val="16"/>
              </w:rPr>
              <w:t>Operations manual, runbooks and DR plan; support rota and escalation agreed</w:t>
            </w:r>
          </w:p>
        </w:tc>
      </w:tr>
      <w:tr>
        <w:trPr>
          <w:cantSplit/>
        </w:trPr>
        <w:tc>
          <w:tcPr>
            <w:tcW w:type="dxa" w:w="1701"/>
            <w:vAlign w:val="top"/>
          </w:tcPr>
          <w:p>
            <w:pPr>
              <w:spacing w:after="20" w:line="252" w:lineRule="auto"/>
            </w:pPr>
            <w:r>
              <w:rPr>
                <w:b/>
                <w:i w:val="0"/>
                <w:sz w:val="16"/>
              </w:rPr>
              <w:t>Decision</w:t>
            </w:r>
          </w:p>
        </w:tc>
        <w:tc>
          <w:tcPr>
            <w:tcW w:type="dxa" w:w="7937"/>
            <w:vAlign w:val="top"/>
          </w:tcPr>
          <w:p>
            <w:pPr>
              <w:spacing w:after="20" w:line="252" w:lineRule="auto"/>
            </w:pPr>
            <w:r>
              <w:rPr>
                <w:b w:val="0"/>
                <w:i w:val="0"/>
                <w:sz w:val="16"/>
              </w:rPr>
              <w:t>Steering Committee go/no-go recorded with open items and rollback criteria</w:t>
            </w:r>
          </w:p>
        </w:tc>
      </w:tr>
    </w:tbl>
    <w:p>
      <w:pPr>
        <w:spacing w:after="0" w:before="0"/>
      </w:pPr>
      <w:r>
        <w:rPr>
          <w:sz w:val="8"/>
        </w:rPr>
      </w:r>
    </w:p>
    <w:p>
      <w:pPr>
        <w:pStyle w:val="Heading2"/>
      </w:pPr>
      <w:r>
        <w:t>14.5 Cut-over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7257"/>
      </w:tblGrid>
      <w:tr>
        <w:trPr>
          <w:cantSplit/>
          <w:tblHeader/>
        </w:trPr>
        <w:tc>
          <w:tcPr>
            <w:tcW w:type="dxa" w:w="2381"/>
            <w:shd w:val="clear" w:color="auto" w:fill="E1058C"/>
            <w:vAlign w:val="center"/>
          </w:tcPr>
          <w:p>
            <w:pPr>
              <w:spacing w:after="0"/>
            </w:pPr>
            <w:r>
              <w:rPr>
                <w:b/>
                <w:i w:val="0"/>
                <w:color w:val="FFFFFF"/>
                <w:sz w:val="16"/>
              </w:rPr>
              <w:t>When</w:t>
            </w:r>
          </w:p>
        </w:tc>
        <w:tc>
          <w:tcPr>
            <w:tcW w:type="dxa" w:w="7257"/>
            <w:shd w:val="clear" w:color="auto" w:fill="E1058C"/>
            <w:vAlign w:val="center"/>
          </w:tcPr>
          <w:p>
            <w:pPr>
              <w:spacing w:after="0"/>
            </w:pPr>
            <w:r>
              <w:rPr>
                <w:b/>
                <w:i w:val="0"/>
                <w:color w:val="FFFFFF"/>
                <w:sz w:val="16"/>
              </w:rPr>
              <w:t>Activities</w:t>
            </w:r>
          </w:p>
        </w:tc>
      </w:tr>
      <w:tr>
        <w:trPr>
          <w:cantSplit/>
        </w:trPr>
        <w:tc>
          <w:tcPr>
            <w:tcW w:type="dxa" w:w="2381"/>
            <w:vAlign w:val="top"/>
          </w:tcPr>
          <w:p>
            <w:pPr>
              <w:spacing w:after="20" w:line="252" w:lineRule="auto"/>
            </w:pPr>
            <w:r>
              <w:rPr>
                <w:b/>
                <w:i w:val="0"/>
                <w:sz w:val="16"/>
              </w:rPr>
              <w:t>T-10 days</w:t>
            </w:r>
          </w:p>
        </w:tc>
        <w:tc>
          <w:tcPr>
            <w:tcW w:type="dxa" w:w="7257"/>
            <w:vAlign w:val="top"/>
          </w:tcPr>
          <w:p>
            <w:pPr>
              <w:spacing w:after="20" w:line="252" w:lineRule="auto"/>
            </w:pPr>
            <w:r>
              <w:rPr>
                <w:b w:val="0"/>
                <w:i w:val="0"/>
                <w:sz w:val="16"/>
              </w:rPr>
              <w:t>Scope frozen; deployment plan approved; agents and banks informed</w:t>
            </w:r>
          </w:p>
        </w:tc>
      </w:tr>
      <w:tr>
        <w:trPr>
          <w:cantSplit/>
        </w:trPr>
        <w:tc>
          <w:tcPr>
            <w:tcW w:type="dxa" w:w="2381"/>
            <w:vAlign w:val="top"/>
            <w:shd w:val="clear" w:color="auto" w:fill="FDF0F7"/>
          </w:tcPr>
          <w:p>
            <w:pPr>
              <w:spacing w:after="20" w:line="252" w:lineRule="auto"/>
            </w:pPr>
            <w:r>
              <w:rPr>
                <w:b/>
                <w:i w:val="0"/>
                <w:sz w:val="16"/>
              </w:rPr>
              <w:t>T-5 days</w:t>
            </w:r>
          </w:p>
        </w:tc>
        <w:tc>
          <w:tcPr>
            <w:tcW w:type="dxa" w:w="7257"/>
            <w:vAlign w:val="top"/>
            <w:shd w:val="clear" w:color="auto" w:fill="FDF0F7"/>
          </w:tcPr>
          <w:p>
            <w:pPr>
              <w:spacing w:after="20" w:line="252" w:lineRule="auto"/>
            </w:pPr>
            <w:r>
              <w:rPr>
                <w:b w:val="0"/>
                <w:i w:val="0"/>
                <w:sz w:val="16"/>
              </w:rPr>
              <w:t>Deployment rehearsal; final migration dry-run and reconciliation</w:t>
            </w:r>
          </w:p>
        </w:tc>
      </w:tr>
      <w:tr>
        <w:trPr>
          <w:cantSplit/>
        </w:trPr>
        <w:tc>
          <w:tcPr>
            <w:tcW w:type="dxa" w:w="2381"/>
            <w:vAlign w:val="top"/>
          </w:tcPr>
          <w:p>
            <w:pPr>
              <w:spacing w:after="20" w:line="252" w:lineRule="auto"/>
            </w:pPr>
            <w:r>
              <w:rPr>
                <w:b/>
                <w:i w:val="0"/>
                <w:sz w:val="16"/>
              </w:rPr>
              <w:t>T-2 days</w:t>
            </w:r>
          </w:p>
        </w:tc>
        <w:tc>
          <w:tcPr>
            <w:tcW w:type="dxa" w:w="7257"/>
            <w:vAlign w:val="top"/>
          </w:tcPr>
          <w:p>
            <w:pPr>
              <w:spacing w:after="20" w:line="252" w:lineRule="auto"/>
            </w:pPr>
            <w:r>
              <w:rPr>
                <w:b w:val="0"/>
                <w:i w:val="0"/>
                <w:sz w:val="16"/>
              </w:rPr>
              <w:t>Legacy data frozen; manual process continues where needed</w:t>
            </w:r>
          </w:p>
        </w:tc>
      </w:tr>
      <w:tr>
        <w:trPr>
          <w:cantSplit/>
        </w:trPr>
        <w:tc>
          <w:tcPr>
            <w:tcW w:type="dxa" w:w="2381"/>
            <w:vAlign w:val="top"/>
            <w:shd w:val="clear" w:color="auto" w:fill="FDF0F7"/>
          </w:tcPr>
          <w:p>
            <w:pPr>
              <w:spacing w:after="20" w:line="252" w:lineRule="auto"/>
            </w:pPr>
            <w:r>
              <w:rPr>
                <w:b/>
                <w:i w:val="0"/>
                <w:sz w:val="16"/>
              </w:rPr>
              <w:t>T-1 day</w:t>
            </w:r>
          </w:p>
        </w:tc>
        <w:tc>
          <w:tcPr>
            <w:tcW w:type="dxa" w:w="7257"/>
            <w:vAlign w:val="top"/>
            <w:shd w:val="clear" w:color="auto" w:fill="FDF0F7"/>
          </w:tcPr>
          <w:p>
            <w:pPr>
              <w:spacing w:after="20" w:line="252" w:lineRule="auto"/>
            </w:pPr>
            <w:r>
              <w:rPr>
                <w:b w:val="0"/>
                <w:i w:val="0"/>
                <w:sz w:val="16"/>
              </w:rPr>
              <w:t>Final extract, migration load, reconciliation, business check</w:t>
            </w:r>
          </w:p>
        </w:tc>
      </w:tr>
      <w:tr>
        <w:trPr>
          <w:cantSplit/>
        </w:trPr>
        <w:tc>
          <w:tcPr>
            <w:tcW w:type="dxa" w:w="2381"/>
            <w:vAlign w:val="top"/>
          </w:tcPr>
          <w:p>
            <w:pPr>
              <w:spacing w:after="20" w:line="252" w:lineRule="auto"/>
            </w:pPr>
            <w:r>
              <w:rPr>
                <w:b/>
                <w:i w:val="0"/>
                <w:sz w:val="16"/>
              </w:rPr>
              <w:t>T-0</w:t>
            </w:r>
          </w:p>
        </w:tc>
        <w:tc>
          <w:tcPr>
            <w:tcW w:type="dxa" w:w="7257"/>
            <w:vAlign w:val="top"/>
          </w:tcPr>
          <w:p>
            <w:pPr>
              <w:spacing w:after="20" w:line="252" w:lineRule="auto"/>
            </w:pPr>
            <w:r>
              <w:rPr>
                <w:b w:val="0"/>
                <w:i w:val="0"/>
                <w:sz w:val="16"/>
              </w:rPr>
              <w:t>Deployment, smoke tests, integration checks, go/no-go, users enabled</w:t>
            </w:r>
          </w:p>
        </w:tc>
      </w:tr>
      <w:tr>
        <w:trPr>
          <w:cantSplit/>
        </w:trPr>
        <w:tc>
          <w:tcPr>
            <w:tcW w:type="dxa" w:w="2381"/>
            <w:vAlign w:val="top"/>
            <w:shd w:val="clear" w:color="auto" w:fill="FDF0F7"/>
          </w:tcPr>
          <w:p>
            <w:pPr>
              <w:spacing w:after="20" w:line="252" w:lineRule="auto"/>
            </w:pPr>
            <w:r>
              <w:rPr>
                <w:b/>
                <w:i w:val="0"/>
                <w:sz w:val="16"/>
              </w:rPr>
              <w:t>T+1 to T+20 business days</w:t>
            </w:r>
          </w:p>
        </w:tc>
        <w:tc>
          <w:tcPr>
            <w:tcW w:type="dxa" w:w="7257"/>
            <w:vAlign w:val="top"/>
            <w:shd w:val="clear" w:color="auto" w:fill="FDF0F7"/>
          </w:tcPr>
          <w:p>
            <w:pPr>
              <w:spacing w:after="20" w:line="252" w:lineRule="auto"/>
            </w:pPr>
            <w:r>
              <w:rPr>
                <w:b w:val="0"/>
                <w:i w:val="0"/>
                <w:sz w:val="16"/>
              </w:rPr>
              <w:t>Hypercare: daily health checks and stand-ups, priority fixes</w:t>
            </w:r>
          </w:p>
        </w:tc>
      </w:tr>
    </w:tbl>
    <w:p>
      <w:pPr>
        <w:spacing w:after="0" w:before="0"/>
      </w:pPr>
      <w:r>
        <w:rPr>
          <w:sz w:val="8"/>
        </w:rPr>
      </w:r>
    </w:p>
    <w:p>
      <w:pPr>
        <w:pStyle w:val="Heading1"/>
        <w:pageBreakBefore/>
        <w:pBdr>
          <w:bottom w:val="single" w:sz="12" w:space="4" w:color="F58220"/>
        </w:pBdr>
      </w:pPr>
      <w:r>
        <w:t>15. Infrastructure Options</w:t>
      </w:r>
    </w:p>
    <w:p>
      <w:pPr>
        <w:keepNext w:val="0"/>
      </w:pPr>
      <w:r>
        <w:rPr>
          <w:b w:val="0"/>
          <w:i w:val="0"/>
        </w:rPr>
        <w:t>SalesVerse 2.0 ships as standard containers and runs unchanged on-premise or in the cloud. The two deployment models match the commercial options: on-premise in the IIFT/IITH data centre under Option A, with infrastructure procured by IIFT to iorta's sizing, and an iorta-hosted cloud under Option B, with cloud infrastructure at cost and managed services by iorta. A hybrid variant of Option A is also possible. Costs are in Section 19 and the Bill of Materials.</w:t>
      </w:r>
    </w:p>
    <w:p>
      <w:pPr>
        <w:pStyle w:val="Heading2"/>
      </w:pPr>
      <w:r>
        <w:t>15.1 Option A: on-premise in the IIFT/IITH data centre (recommended)</w:t>
      </w:r>
    </w:p>
    <w:p>
      <w:pPr>
        <w:keepNext w:val="0"/>
      </w:pPr>
      <w:r>
        <w:rPr>
          <w:b w:val="0"/>
          <w:i w:val="0"/>
        </w:rPr>
        <w:t>Two application VMs run behind the load balancer. PostgreSQL runs as a primary with a streaming standby, and a warm standby at the DR site receives WAL log shipping. The solution uses IITH's network security, backup and monitoring services where capacity allows. Production needs two 4 vCPU / 8 GB application servers, two 4 vCPU / 16 GB database servers and 500 GB of document storage.</w:t>
      </w:r>
    </w:p>
    <w:p>
      <w:pPr>
        <w:keepNext/>
        <w:spacing w:after="0"/>
        <w:jc w:val="center"/>
      </w:pPr>
      <w:r>
        <w:drawing>
          <wp:inline xmlns:a="http://schemas.openxmlformats.org/drawingml/2006/main" xmlns:pic="http://schemas.openxmlformats.org/drawingml/2006/picture">
            <wp:extent cx="5760000" cy="3872000"/>
            <wp:docPr id="40" name="Picture 40"/>
            <wp:cNvGraphicFramePr>
              <a:graphicFrameLocks noChangeAspect="1"/>
            </wp:cNvGraphicFramePr>
            <a:graphic>
              <a:graphicData uri="http://schemas.openxmlformats.org/drawingml/2006/picture">
                <pic:pic>
                  <pic:nvPicPr>
                    <pic:cNvPr id="0" name="fig-deployment-on-prem.png"/>
                    <pic:cNvPicPr/>
                  </pic:nvPicPr>
                  <pic:blipFill>
                    <a:blip r:embed="rId50"/>
                    <a:stretch>
                      <a:fillRect/>
                    </a:stretch>
                  </pic:blipFill>
                  <pic:spPr>
                    <a:xfrm>
                      <a:off x="0" y="0"/>
                      <a:ext cx="5760000" cy="3872000"/>
                    </a:xfrm>
                    <a:prstGeom prst="rect"/>
                  </pic:spPr>
                </pic:pic>
              </a:graphicData>
            </a:graphic>
          </wp:inline>
        </w:drawing>
      </w:r>
    </w:p>
    <w:p>
      <w:pPr>
        <w:pStyle w:val="Caption"/>
        <w:jc w:val="center"/>
      </w:pPr>
      <w:r>
        <w:rPr>
          <w:b w:val="0"/>
          <w:i w:val="0"/>
        </w:rPr>
        <w:t>Figure 37: Option A: on-premise deployment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1360"/>
        <w:gridCol w:w="680"/>
        <w:gridCol w:w="793"/>
        <w:gridCol w:w="1360"/>
        <w:gridCol w:w="3402"/>
      </w:tblGrid>
      <w:tr>
        <w:trPr>
          <w:cantSplit/>
          <w:tblHeader/>
        </w:trPr>
        <w:tc>
          <w:tcPr>
            <w:tcW w:type="dxa" w:w="2041"/>
            <w:shd w:val="clear" w:color="auto" w:fill="E1058C"/>
            <w:vAlign w:val="center"/>
          </w:tcPr>
          <w:p>
            <w:pPr>
              <w:spacing w:after="0"/>
            </w:pPr>
            <w:r>
              <w:rPr>
                <w:b/>
                <w:i w:val="0"/>
                <w:color w:val="FFFFFF"/>
                <w:sz w:val="16"/>
              </w:rPr>
              <w:t>Server</w:t>
            </w:r>
          </w:p>
        </w:tc>
        <w:tc>
          <w:tcPr>
            <w:tcW w:type="dxa" w:w="1361"/>
            <w:shd w:val="clear" w:color="auto" w:fill="E1058C"/>
            <w:vAlign w:val="center"/>
          </w:tcPr>
          <w:p>
            <w:pPr>
              <w:spacing w:after="0"/>
            </w:pPr>
            <w:r>
              <w:rPr>
                <w:b/>
                <w:i w:val="0"/>
                <w:color w:val="FFFFFF"/>
                <w:sz w:val="16"/>
              </w:rPr>
              <w:t>Qty</w:t>
            </w:r>
          </w:p>
        </w:tc>
        <w:tc>
          <w:tcPr>
            <w:tcW w:type="dxa" w:w="680"/>
            <w:shd w:val="clear" w:color="auto" w:fill="E1058C"/>
            <w:vAlign w:val="center"/>
          </w:tcPr>
          <w:p>
            <w:pPr>
              <w:spacing w:after="0"/>
            </w:pPr>
            <w:r>
              <w:rPr>
                <w:b/>
                <w:i w:val="0"/>
                <w:color w:val="FFFFFF"/>
                <w:sz w:val="16"/>
              </w:rPr>
              <w:t>vCPU</w:t>
            </w:r>
          </w:p>
        </w:tc>
        <w:tc>
          <w:tcPr>
            <w:tcW w:type="dxa" w:w="794"/>
            <w:shd w:val="clear" w:color="auto" w:fill="E1058C"/>
            <w:vAlign w:val="center"/>
          </w:tcPr>
          <w:p>
            <w:pPr>
              <w:spacing w:after="0"/>
            </w:pPr>
            <w:r>
              <w:rPr>
                <w:b/>
                <w:i w:val="0"/>
                <w:color w:val="FFFFFF"/>
                <w:sz w:val="16"/>
              </w:rPr>
              <w:t>RAM</w:t>
            </w:r>
          </w:p>
        </w:tc>
        <w:tc>
          <w:tcPr>
            <w:tcW w:type="dxa" w:w="1361"/>
            <w:shd w:val="clear" w:color="auto" w:fill="E1058C"/>
            <w:vAlign w:val="center"/>
          </w:tcPr>
          <w:p>
            <w:pPr>
              <w:spacing w:after="0"/>
            </w:pPr>
            <w:r>
              <w:rPr>
                <w:b/>
                <w:i w:val="0"/>
                <w:color w:val="FFFFFF"/>
                <w:sz w:val="16"/>
              </w:rPr>
              <w:t>Storage</w:t>
            </w:r>
          </w:p>
        </w:tc>
        <w:tc>
          <w:tcPr>
            <w:tcW w:type="dxa" w:w="3402"/>
            <w:shd w:val="clear" w:color="auto" w:fill="E1058C"/>
            <w:vAlign w:val="center"/>
          </w:tcPr>
          <w:p>
            <w:pPr>
              <w:spacing w:after="0"/>
            </w:pPr>
            <w:r>
              <w:rPr>
                <w:b/>
                <w:i w:val="0"/>
                <w:color w:val="FFFFFF"/>
                <w:sz w:val="16"/>
              </w:rPr>
              <w:t>Software</w:t>
            </w:r>
          </w:p>
        </w:tc>
      </w:tr>
      <w:tr>
        <w:trPr>
          <w:cantSplit/>
        </w:trPr>
        <w:tc>
          <w:tcPr>
            <w:tcW w:type="dxa" w:w="3402"/>
            <w:gridSpan w:val="6"/>
            <w:shd w:val="clear" w:color="auto" w:fill="FEEBDD"/>
          </w:tcPr>
          <w:p>
            <w:pPr>
              <w:spacing w:after="0"/>
            </w:pPr>
            <w:r>
              <w:rPr>
                <w:b/>
                <w:i w:val="0"/>
                <w:color w:val="333333"/>
                <w:sz w:val="16"/>
              </w:rPr>
              <w:t>Production</w:t>
            </w:r>
          </w:p>
        </w:tc>
      </w:tr>
      <w:tr>
        <w:trPr>
          <w:cantSplit/>
        </w:trPr>
        <w:tc>
          <w:tcPr>
            <w:tcW w:type="dxa" w:w="2041"/>
            <w:vAlign w:val="top"/>
          </w:tcPr>
          <w:p>
            <w:pPr>
              <w:spacing w:after="20" w:line="252" w:lineRule="auto"/>
            </w:pPr>
            <w:r>
              <w:rPr>
                <w:b w:val="0"/>
                <w:i w:val="0"/>
                <w:sz w:val="16"/>
              </w:rPr>
              <w:t>WAF / load balancer</w:t>
            </w:r>
          </w:p>
        </w:tc>
        <w:tc>
          <w:tcPr>
            <w:tcW w:type="dxa" w:w="1361"/>
            <w:vAlign w:val="top"/>
          </w:tcPr>
          <w:p>
            <w:pPr>
              <w:spacing w:after="20" w:line="252" w:lineRule="auto"/>
            </w:pPr>
            <w:r>
              <w:rPr>
                <w:b w:val="0"/>
                <w:i w:val="0"/>
                <w:sz w:val="16"/>
              </w:rPr>
              <w:t>2 (or existing)</w:t>
            </w:r>
          </w:p>
        </w:tc>
        <w:tc>
          <w:tcPr>
            <w:tcW w:type="dxa" w:w="680"/>
            <w:vAlign w:val="top"/>
          </w:tcPr>
          <w:p>
            <w:pPr>
              <w:spacing w:after="20" w:line="252" w:lineRule="auto"/>
              <w:jc w:val="center"/>
            </w:pPr>
            <w:r>
              <w:rPr>
                <w:b w:val="0"/>
                <w:i w:val="0"/>
                <w:sz w:val="16"/>
              </w:rPr>
              <w:t>2</w:t>
            </w:r>
          </w:p>
        </w:tc>
        <w:tc>
          <w:tcPr>
            <w:tcW w:type="dxa" w:w="794"/>
            <w:vAlign w:val="top"/>
          </w:tcPr>
          <w:p>
            <w:pPr>
              <w:spacing w:after="20" w:line="252" w:lineRule="auto"/>
              <w:jc w:val="center"/>
            </w:pPr>
            <w:r>
              <w:rPr>
                <w:b w:val="0"/>
                <w:i w:val="0"/>
                <w:sz w:val="16"/>
              </w:rPr>
              <w:t>4 GB</w:t>
            </w:r>
          </w:p>
        </w:tc>
        <w:tc>
          <w:tcPr>
            <w:tcW w:type="dxa" w:w="1361"/>
            <w:vAlign w:val="top"/>
          </w:tcPr>
          <w:p>
            <w:pPr>
              <w:spacing w:after="20" w:line="252" w:lineRule="auto"/>
            </w:pPr>
            <w:r>
              <w:rPr>
                <w:b w:val="0"/>
                <w:i w:val="0"/>
                <w:sz w:val="16"/>
              </w:rPr>
              <w:t>–</w:t>
            </w:r>
          </w:p>
        </w:tc>
        <w:tc>
          <w:tcPr>
            <w:tcW w:type="dxa" w:w="3402"/>
            <w:vAlign w:val="top"/>
          </w:tcPr>
          <w:p>
            <w:pPr>
              <w:spacing w:after="20" w:line="252" w:lineRule="auto"/>
            </w:pPr>
            <w:r>
              <w:rPr>
                <w:b w:val="0"/>
                <w:i w:val="0"/>
                <w:sz w:val="16"/>
              </w:rPr>
              <w:t>IITH appliance or HAProxy/nginx pair</w:t>
            </w:r>
          </w:p>
        </w:tc>
      </w:tr>
      <w:tr>
        <w:trPr>
          <w:cantSplit/>
        </w:trPr>
        <w:tc>
          <w:tcPr>
            <w:tcW w:type="dxa" w:w="2041"/>
            <w:vAlign w:val="top"/>
            <w:shd w:val="clear" w:color="auto" w:fill="FDF0F7"/>
          </w:tcPr>
          <w:p>
            <w:pPr>
              <w:spacing w:after="20" w:line="252" w:lineRule="auto"/>
            </w:pPr>
            <w:r>
              <w:rPr>
                <w:b w:val="0"/>
                <w:i w:val="0"/>
                <w:sz w:val="16"/>
              </w:rPr>
              <w:t>Application VM</w:t>
            </w:r>
          </w:p>
        </w:tc>
        <w:tc>
          <w:tcPr>
            <w:tcW w:type="dxa" w:w="1361"/>
            <w:vAlign w:val="top"/>
            <w:shd w:val="clear" w:color="auto" w:fill="FDF0F7"/>
          </w:tcPr>
          <w:p>
            <w:pPr>
              <w:spacing w:after="20" w:line="252" w:lineRule="auto"/>
            </w:pPr>
            <w:r>
              <w:rPr>
                <w:b w:val="0"/>
                <w:i w:val="0"/>
                <w:sz w:val="16"/>
              </w:rPr>
              <w:t>2</w:t>
            </w:r>
          </w:p>
        </w:tc>
        <w:tc>
          <w:tcPr>
            <w:tcW w:type="dxa" w:w="680"/>
            <w:vAlign w:val="top"/>
            <w:shd w:val="clear" w:color="auto" w:fill="FDF0F7"/>
          </w:tcPr>
          <w:p>
            <w:pPr>
              <w:spacing w:after="20" w:line="252" w:lineRule="auto"/>
              <w:jc w:val="center"/>
            </w:pPr>
            <w:r>
              <w:rPr>
                <w:b w:val="0"/>
                <w:i w:val="0"/>
                <w:sz w:val="16"/>
              </w:rPr>
              <w:t>4</w:t>
            </w:r>
          </w:p>
        </w:tc>
        <w:tc>
          <w:tcPr>
            <w:tcW w:type="dxa" w:w="794"/>
            <w:vAlign w:val="top"/>
            <w:shd w:val="clear" w:color="auto" w:fill="FDF0F7"/>
          </w:tcPr>
          <w:p>
            <w:pPr>
              <w:spacing w:after="20" w:line="252" w:lineRule="auto"/>
              <w:jc w:val="center"/>
            </w:pPr>
            <w:r>
              <w:rPr>
                <w:b w:val="0"/>
                <w:i w:val="0"/>
                <w:sz w:val="16"/>
              </w:rPr>
              <w:t>8 GB</w:t>
            </w:r>
          </w:p>
        </w:tc>
        <w:tc>
          <w:tcPr>
            <w:tcW w:type="dxa" w:w="1361"/>
            <w:vAlign w:val="top"/>
            <w:shd w:val="clear" w:color="auto" w:fill="FDF0F7"/>
          </w:tcPr>
          <w:p>
            <w:pPr>
              <w:spacing w:after="20" w:line="252" w:lineRule="auto"/>
            </w:pPr>
            <w:r>
              <w:rPr>
                <w:b w:val="0"/>
                <w:i w:val="0"/>
                <w:sz w:val="16"/>
              </w:rPr>
              <w:t>100 GB</w:t>
            </w:r>
          </w:p>
        </w:tc>
        <w:tc>
          <w:tcPr>
            <w:tcW w:type="dxa" w:w="3402"/>
            <w:vAlign w:val="top"/>
            <w:shd w:val="clear" w:color="auto" w:fill="FDF0F7"/>
          </w:tcPr>
          <w:p>
            <w:pPr>
              <w:spacing w:after="20" w:line="252" w:lineRule="auto"/>
            </w:pPr>
            <w:r>
              <w:rPr>
                <w:b w:val="0"/>
                <w:i w:val="0"/>
                <w:sz w:val="16"/>
              </w:rPr>
              <w:t>Linux, Docker Engine; web, api, clamav containers</w:t>
            </w:r>
          </w:p>
        </w:tc>
      </w:tr>
      <w:tr>
        <w:trPr>
          <w:cantSplit/>
        </w:trPr>
        <w:tc>
          <w:tcPr>
            <w:tcW w:type="dxa" w:w="2041"/>
            <w:vAlign w:val="top"/>
          </w:tcPr>
          <w:p>
            <w:pPr>
              <w:spacing w:after="20" w:line="252" w:lineRule="auto"/>
            </w:pPr>
            <w:r>
              <w:rPr>
                <w:b w:val="0"/>
                <w:i w:val="0"/>
                <w:sz w:val="16"/>
              </w:rPr>
              <w:t>Database VM</w:t>
            </w:r>
          </w:p>
        </w:tc>
        <w:tc>
          <w:tcPr>
            <w:tcW w:type="dxa" w:w="1361"/>
            <w:vAlign w:val="top"/>
          </w:tcPr>
          <w:p>
            <w:pPr>
              <w:spacing w:after="20" w:line="252" w:lineRule="auto"/>
            </w:pPr>
            <w:r>
              <w:rPr>
                <w:b w:val="0"/>
                <w:i w:val="0"/>
                <w:sz w:val="16"/>
              </w:rPr>
              <w:t>2</w:t>
            </w:r>
          </w:p>
        </w:tc>
        <w:tc>
          <w:tcPr>
            <w:tcW w:type="dxa" w:w="680"/>
            <w:vAlign w:val="top"/>
          </w:tcPr>
          <w:p>
            <w:pPr>
              <w:spacing w:after="20" w:line="252" w:lineRule="auto"/>
              <w:jc w:val="center"/>
            </w:pPr>
            <w:r>
              <w:rPr>
                <w:b w:val="0"/>
                <w:i w:val="0"/>
                <w:sz w:val="16"/>
              </w:rPr>
              <w:t>4</w:t>
            </w:r>
          </w:p>
        </w:tc>
        <w:tc>
          <w:tcPr>
            <w:tcW w:type="dxa" w:w="794"/>
            <w:vAlign w:val="top"/>
          </w:tcPr>
          <w:p>
            <w:pPr>
              <w:spacing w:after="20" w:line="252" w:lineRule="auto"/>
              <w:jc w:val="center"/>
            </w:pPr>
            <w:r>
              <w:rPr>
                <w:b w:val="0"/>
                <w:i w:val="0"/>
                <w:sz w:val="16"/>
              </w:rPr>
              <w:t>16 GB</w:t>
            </w:r>
          </w:p>
        </w:tc>
        <w:tc>
          <w:tcPr>
            <w:tcW w:type="dxa" w:w="1361"/>
            <w:vAlign w:val="top"/>
          </w:tcPr>
          <w:p>
            <w:pPr>
              <w:spacing w:after="20" w:line="252" w:lineRule="auto"/>
            </w:pPr>
            <w:r>
              <w:rPr>
                <w:b w:val="0"/>
                <w:i w:val="0"/>
                <w:sz w:val="16"/>
              </w:rPr>
              <w:t>200 GB SSD</w:t>
            </w:r>
          </w:p>
        </w:tc>
        <w:tc>
          <w:tcPr>
            <w:tcW w:type="dxa" w:w="3402"/>
            <w:vAlign w:val="top"/>
          </w:tcPr>
          <w:p>
            <w:pPr>
              <w:spacing w:after="20" w:line="252" w:lineRule="auto"/>
            </w:pPr>
            <w:r>
              <w:rPr>
                <w:b w:val="0"/>
                <w:i w:val="0"/>
                <w:sz w:val="16"/>
              </w:rPr>
              <w:t>PostgreSQL 16 primary and hot standby, pgBackRest</w:t>
            </w:r>
          </w:p>
        </w:tc>
      </w:tr>
      <w:tr>
        <w:trPr>
          <w:cantSplit/>
        </w:trPr>
        <w:tc>
          <w:tcPr>
            <w:tcW w:type="dxa" w:w="2041"/>
            <w:vAlign w:val="top"/>
            <w:shd w:val="clear" w:color="auto" w:fill="FDF0F7"/>
          </w:tcPr>
          <w:p>
            <w:pPr>
              <w:spacing w:after="20" w:line="252" w:lineRule="auto"/>
            </w:pPr>
            <w:r>
              <w:rPr>
                <w:b w:val="0"/>
                <w:i w:val="0"/>
                <w:sz w:val="16"/>
              </w:rPr>
              <w:t>Document store</w:t>
            </w:r>
          </w:p>
        </w:tc>
        <w:tc>
          <w:tcPr>
            <w:tcW w:type="dxa" w:w="1361"/>
            <w:vAlign w:val="top"/>
            <w:shd w:val="clear" w:color="auto" w:fill="FDF0F7"/>
          </w:tcPr>
          <w:p>
            <w:pPr>
              <w:spacing w:after="20" w:line="252" w:lineRule="auto"/>
            </w:pPr>
            <w:r>
              <w:rPr>
                <w:b w:val="0"/>
                <w:i w:val="0"/>
                <w:sz w:val="16"/>
              </w:rPr>
              <w:t>1 share</w:t>
            </w:r>
          </w:p>
        </w:tc>
        <w:tc>
          <w:tcPr>
            <w:tcW w:type="dxa" w:w="680"/>
            <w:vAlign w:val="top"/>
            <w:shd w:val="clear" w:color="auto" w:fill="FDF0F7"/>
          </w:tcPr>
          <w:p>
            <w:pPr>
              <w:spacing w:after="20" w:line="252" w:lineRule="auto"/>
              <w:jc w:val="center"/>
            </w:pPr>
            <w:r>
              <w:rPr>
                <w:b w:val="0"/>
                <w:i w:val="0"/>
                <w:sz w:val="16"/>
              </w:rPr>
              <w:t>–</w:t>
            </w:r>
          </w:p>
        </w:tc>
        <w:tc>
          <w:tcPr>
            <w:tcW w:type="dxa" w:w="794"/>
            <w:vAlign w:val="top"/>
            <w:shd w:val="clear" w:color="auto" w:fill="FDF0F7"/>
          </w:tcPr>
          <w:p>
            <w:pPr>
              <w:spacing w:after="20" w:line="252" w:lineRule="auto"/>
              <w:jc w:val="center"/>
            </w:pPr>
            <w:r>
              <w:rPr>
                <w:b w:val="0"/>
                <w:i w:val="0"/>
                <w:sz w:val="16"/>
              </w:rPr>
              <w:t>–</w:t>
            </w:r>
          </w:p>
        </w:tc>
        <w:tc>
          <w:tcPr>
            <w:tcW w:type="dxa" w:w="1361"/>
            <w:vAlign w:val="top"/>
            <w:shd w:val="clear" w:color="auto" w:fill="FDF0F7"/>
          </w:tcPr>
          <w:p>
            <w:pPr>
              <w:spacing w:after="20" w:line="252" w:lineRule="auto"/>
            </w:pPr>
            <w:r>
              <w:rPr>
                <w:b w:val="0"/>
                <w:i w:val="0"/>
                <w:sz w:val="16"/>
              </w:rPr>
              <w:t>500 GB</w:t>
            </w:r>
          </w:p>
        </w:tc>
        <w:tc>
          <w:tcPr>
            <w:tcW w:type="dxa" w:w="3402"/>
            <w:vAlign w:val="top"/>
            <w:shd w:val="clear" w:color="auto" w:fill="FDF0F7"/>
          </w:tcPr>
          <w:p>
            <w:pPr>
              <w:spacing w:after="20" w:line="252" w:lineRule="auto"/>
            </w:pPr>
            <w:r>
              <w:rPr>
                <w:b w:val="0"/>
                <w:i w:val="0"/>
                <w:sz w:val="16"/>
              </w:rPr>
              <w:t>NFS export, encrypted volume</w:t>
            </w:r>
          </w:p>
        </w:tc>
      </w:tr>
      <w:tr>
        <w:trPr>
          <w:cantSplit/>
        </w:trPr>
        <w:tc>
          <w:tcPr>
            <w:tcW w:type="dxa" w:w="2041"/>
            <w:vAlign w:val="top"/>
          </w:tcPr>
          <w:p>
            <w:pPr>
              <w:spacing w:after="20" w:line="252" w:lineRule="auto"/>
            </w:pPr>
            <w:r>
              <w:rPr>
                <w:b w:val="0"/>
                <w:i w:val="0"/>
                <w:sz w:val="16"/>
              </w:rPr>
              <w:t>Backup repository</w:t>
            </w:r>
          </w:p>
        </w:tc>
        <w:tc>
          <w:tcPr>
            <w:tcW w:type="dxa" w:w="1361"/>
            <w:vAlign w:val="top"/>
          </w:tcPr>
          <w:p>
            <w:pPr>
              <w:spacing w:after="20" w:line="252" w:lineRule="auto"/>
            </w:pPr>
            <w:r>
              <w:rPr>
                <w:b w:val="0"/>
                <w:i w:val="0"/>
                <w:sz w:val="16"/>
              </w:rPr>
              <w:t>1</w:t>
            </w:r>
          </w:p>
        </w:tc>
        <w:tc>
          <w:tcPr>
            <w:tcW w:type="dxa" w:w="680"/>
            <w:vAlign w:val="top"/>
          </w:tcPr>
          <w:p>
            <w:pPr>
              <w:spacing w:after="20" w:line="252" w:lineRule="auto"/>
              <w:jc w:val="center"/>
            </w:pPr>
            <w:r>
              <w:rPr>
                <w:b w:val="0"/>
                <w:i w:val="0"/>
                <w:sz w:val="16"/>
              </w:rPr>
              <w:t>–</w:t>
            </w:r>
          </w:p>
        </w:tc>
        <w:tc>
          <w:tcPr>
            <w:tcW w:type="dxa" w:w="794"/>
            <w:vAlign w:val="top"/>
          </w:tcPr>
          <w:p>
            <w:pPr>
              <w:spacing w:after="20" w:line="252" w:lineRule="auto"/>
              <w:jc w:val="center"/>
            </w:pPr>
            <w:r>
              <w:rPr>
                <w:b w:val="0"/>
                <w:i w:val="0"/>
                <w:sz w:val="16"/>
              </w:rPr>
              <w:t>–</w:t>
            </w:r>
          </w:p>
        </w:tc>
        <w:tc>
          <w:tcPr>
            <w:tcW w:type="dxa" w:w="1361"/>
            <w:vAlign w:val="top"/>
          </w:tcPr>
          <w:p>
            <w:pPr>
              <w:spacing w:after="20" w:line="252" w:lineRule="auto"/>
            </w:pPr>
            <w:r>
              <w:rPr>
                <w:b w:val="0"/>
                <w:i w:val="0"/>
                <w:sz w:val="16"/>
              </w:rPr>
              <w:t>1 TB</w:t>
            </w:r>
          </w:p>
        </w:tc>
        <w:tc>
          <w:tcPr>
            <w:tcW w:type="dxa" w:w="3402"/>
            <w:vAlign w:val="top"/>
          </w:tcPr>
          <w:p>
            <w:pPr>
              <w:spacing w:after="20" w:line="252" w:lineRule="auto"/>
            </w:pPr>
            <w:r>
              <w:rPr>
                <w:b w:val="0"/>
                <w:i w:val="0"/>
                <w:sz w:val="16"/>
              </w:rPr>
              <w:t>pgBackRest repository, document backups</w:t>
            </w:r>
          </w:p>
        </w:tc>
      </w:tr>
      <w:tr>
        <w:trPr>
          <w:cantSplit/>
        </w:trPr>
        <w:tc>
          <w:tcPr>
            <w:tcW w:type="dxa" w:w="2041"/>
            <w:vAlign w:val="top"/>
            <w:shd w:val="clear" w:color="auto" w:fill="FDF0F7"/>
          </w:tcPr>
          <w:p>
            <w:pPr>
              <w:spacing w:after="20" w:line="252" w:lineRule="auto"/>
            </w:pPr>
            <w:r>
              <w:rPr>
                <w:b w:val="0"/>
                <w:i w:val="0"/>
                <w:sz w:val="16"/>
              </w:rPr>
              <w:t>Monitoring</w:t>
            </w:r>
          </w:p>
        </w:tc>
        <w:tc>
          <w:tcPr>
            <w:tcW w:type="dxa" w:w="1361"/>
            <w:vAlign w:val="top"/>
            <w:shd w:val="clear" w:color="auto" w:fill="FDF0F7"/>
          </w:tcPr>
          <w:p>
            <w:pPr>
              <w:spacing w:after="20" w:line="252" w:lineRule="auto"/>
            </w:pPr>
            <w:r>
              <w:rPr>
                <w:b w:val="0"/>
                <w:i w:val="0"/>
                <w:sz w:val="16"/>
              </w:rPr>
              <w:t>1 (or existing)</w:t>
            </w:r>
          </w:p>
        </w:tc>
        <w:tc>
          <w:tcPr>
            <w:tcW w:type="dxa" w:w="680"/>
            <w:vAlign w:val="top"/>
            <w:shd w:val="clear" w:color="auto" w:fill="FDF0F7"/>
          </w:tcPr>
          <w:p>
            <w:pPr>
              <w:spacing w:after="20" w:line="252" w:lineRule="auto"/>
              <w:jc w:val="center"/>
            </w:pPr>
            <w:r>
              <w:rPr>
                <w:b w:val="0"/>
                <w:i w:val="0"/>
                <w:sz w:val="16"/>
              </w:rPr>
              <w:t>2</w:t>
            </w:r>
          </w:p>
        </w:tc>
        <w:tc>
          <w:tcPr>
            <w:tcW w:type="dxa" w:w="794"/>
            <w:vAlign w:val="top"/>
            <w:shd w:val="clear" w:color="auto" w:fill="FDF0F7"/>
          </w:tcPr>
          <w:p>
            <w:pPr>
              <w:spacing w:after="20" w:line="252" w:lineRule="auto"/>
              <w:jc w:val="center"/>
            </w:pPr>
            <w:r>
              <w:rPr>
                <w:b w:val="0"/>
                <w:i w:val="0"/>
                <w:sz w:val="16"/>
              </w:rPr>
              <w:t>4 GB</w:t>
            </w:r>
          </w:p>
        </w:tc>
        <w:tc>
          <w:tcPr>
            <w:tcW w:type="dxa" w:w="1361"/>
            <w:vAlign w:val="top"/>
            <w:shd w:val="clear" w:color="auto" w:fill="FDF0F7"/>
          </w:tcPr>
          <w:p>
            <w:pPr>
              <w:spacing w:after="20" w:line="252" w:lineRule="auto"/>
            </w:pPr>
            <w:r>
              <w:rPr>
                <w:b w:val="0"/>
                <w:i w:val="0"/>
                <w:sz w:val="16"/>
              </w:rPr>
              <w:t>100 GB</w:t>
            </w:r>
          </w:p>
        </w:tc>
        <w:tc>
          <w:tcPr>
            <w:tcW w:type="dxa" w:w="3402"/>
            <w:vAlign w:val="top"/>
            <w:shd w:val="clear" w:color="auto" w:fill="FDF0F7"/>
          </w:tcPr>
          <w:p>
            <w:pPr>
              <w:spacing w:after="20" w:line="252" w:lineRule="auto"/>
            </w:pPr>
            <w:r>
              <w:rPr>
                <w:b w:val="0"/>
                <w:i w:val="0"/>
                <w:sz w:val="16"/>
              </w:rPr>
              <w:t>Prometheus, Grafana, log collector</w:t>
            </w:r>
          </w:p>
        </w:tc>
      </w:tr>
      <w:tr>
        <w:trPr>
          <w:cantSplit/>
        </w:trPr>
        <w:tc>
          <w:tcPr>
            <w:tcW w:type="dxa" w:w="3402"/>
            <w:gridSpan w:val="6"/>
            <w:shd w:val="clear" w:color="auto" w:fill="FEEBDD"/>
          </w:tcPr>
          <w:p>
            <w:pPr>
              <w:spacing w:after="0"/>
            </w:pPr>
            <w:r>
              <w:rPr>
                <w:b/>
                <w:i w:val="0"/>
                <w:color w:val="333333"/>
                <w:sz w:val="16"/>
              </w:rPr>
              <w:t>Non-production</w:t>
            </w:r>
          </w:p>
        </w:tc>
      </w:tr>
      <w:tr>
        <w:trPr>
          <w:cantSplit/>
        </w:trPr>
        <w:tc>
          <w:tcPr>
            <w:tcW w:type="dxa" w:w="2041"/>
            <w:vAlign w:val="top"/>
          </w:tcPr>
          <w:p>
            <w:pPr>
              <w:spacing w:after="20" w:line="252" w:lineRule="auto"/>
            </w:pPr>
            <w:r>
              <w:rPr>
                <w:b w:val="0"/>
                <w:i w:val="0"/>
                <w:sz w:val="16"/>
              </w:rPr>
              <w:t>SIT</w:t>
            </w:r>
          </w:p>
        </w:tc>
        <w:tc>
          <w:tcPr>
            <w:tcW w:type="dxa" w:w="1361"/>
            <w:vAlign w:val="top"/>
          </w:tcPr>
          <w:p>
            <w:pPr>
              <w:spacing w:after="20" w:line="252" w:lineRule="auto"/>
            </w:pPr>
            <w:r>
              <w:rPr>
                <w:b w:val="0"/>
                <w:i w:val="0"/>
                <w:sz w:val="16"/>
              </w:rPr>
              <w:t>1</w:t>
            </w:r>
          </w:p>
        </w:tc>
        <w:tc>
          <w:tcPr>
            <w:tcW w:type="dxa" w:w="680"/>
            <w:vAlign w:val="top"/>
          </w:tcPr>
          <w:p>
            <w:pPr>
              <w:spacing w:after="20" w:line="252" w:lineRule="auto"/>
              <w:jc w:val="center"/>
            </w:pPr>
            <w:r>
              <w:rPr>
                <w:b w:val="0"/>
                <w:i w:val="0"/>
                <w:sz w:val="16"/>
              </w:rPr>
              <w:t>4</w:t>
            </w:r>
          </w:p>
        </w:tc>
        <w:tc>
          <w:tcPr>
            <w:tcW w:type="dxa" w:w="794"/>
            <w:vAlign w:val="top"/>
          </w:tcPr>
          <w:p>
            <w:pPr>
              <w:spacing w:after="20" w:line="252" w:lineRule="auto"/>
              <w:jc w:val="center"/>
            </w:pPr>
            <w:r>
              <w:rPr>
                <w:b w:val="0"/>
                <w:i w:val="0"/>
                <w:sz w:val="16"/>
              </w:rPr>
              <w:t>16 GB</w:t>
            </w:r>
          </w:p>
        </w:tc>
        <w:tc>
          <w:tcPr>
            <w:tcW w:type="dxa" w:w="1361"/>
            <w:vAlign w:val="top"/>
          </w:tcPr>
          <w:p>
            <w:pPr>
              <w:spacing w:after="20" w:line="252" w:lineRule="auto"/>
            </w:pPr>
            <w:r>
              <w:rPr>
                <w:b w:val="0"/>
                <w:i w:val="0"/>
                <w:sz w:val="16"/>
              </w:rPr>
              <w:t>200 GB</w:t>
            </w:r>
          </w:p>
        </w:tc>
        <w:tc>
          <w:tcPr>
            <w:tcW w:type="dxa" w:w="3402"/>
            <w:vAlign w:val="top"/>
          </w:tcPr>
          <w:p>
            <w:pPr>
              <w:spacing w:after="20" w:line="252" w:lineRule="auto"/>
            </w:pPr>
            <w:r>
              <w:rPr>
                <w:b w:val="0"/>
                <w:i w:val="0"/>
                <w:sz w:val="16"/>
              </w:rPr>
              <w:t>Compose: web, api, clamav, PostgreSQL</w:t>
            </w:r>
          </w:p>
        </w:tc>
      </w:tr>
      <w:tr>
        <w:trPr>
          <w:cantSplit/>
        </w:trPr>
        <w:tc>
          <w:tcPr>
            <w:tcW w:type="dxa" w:w="2041"/>
            <w:vAlign w:val="top"/>
            <w:shd w:val="clear" w:color="auto" w:fill="FDF0F7"/>
          </w:tcPr>
          <w:p>
            <w:pPr>
              <w:spacing w:after="20" w:line="252" w:lineRule="auto"/>
            </w:pPr>
            <w:r>
              <w:rPr>
                <w:b w:val="0"/>
                <w:i w:val="0"/>
                <w:sz w:val="16"/>
              </w:rPr>
              <w:t>UAT</w:t>
            </w:r>
          </w:p>
        </w:tc>
        <w:tc>
          <w:tcPr>
            <w:tcW w:type="dxa" w:w="1361"/>
            <w:vAlign w:val="top"/>
            <w:shd w:val="clear" w:color="auto" w:fill="FDF0F7"/>
          </w:tcPr>
          <w:p>
            <w:pPr>
              <w:spacing w:after="20" w:line="252" w:lineRule="auto"/>
            </w:pPr>
            <w:r>
              <w:rPr>
                <w:b w:val="0"/>
                <w:i w:val="0"/>
                <w:sz w:val="16"/>
              </w:rPr>
              <w:t>1</w:t>
            </w:r>
          </w:p>
        </w:tc>
        <w:tc>
          <w:tcPr>
            <w:tcW w:type="dxa" w:w="680"/>
            <w:vAlign w:val="top"/>
            <w:shd w:val="clear" w:color="auto" w:fill="FDF0F7"/>
          </w:tcPr>
          <w:p>
            <w:pPr>
              <w:spacing w:after="20" w:line="252" w:lineRule="auto"/>
              <w:jc w:val="center"/>
            </w:pPr>
            <w:r>
              <w:rPr>
                <w:b w:val="0"/>
                <w:i w:val="0"/>
                <w:sz w:val="16"/>
              </w:rPr>
              <w:t>4</w:t>
            </w:r>
          </w:p>
        </w:tc>
        <w:tc>
          <w:tcPr>
            <w:tcW w:type="dxa" w:w="794"/>
            <w:vAlign w:val="top"/>
            <w:shd w:val="clear" w:color="auto" w:fill="FDF0F7"/>
          </w:tcPr>
          <w:p>
            <w:pPr>
              <w:spacing w:after="20" w:line="252" w:lineRule="auto"/>
              <w:jc w:val="center"/>
            </w:pPr>
            <w:r>
              <w:rPr>
                <w:b w:val="0"/>
                <w:i w:val="0"/>
                <w:sz w:val="16"/>
              </w:rPr>
              <w:t>16 GB</w:t>
            </w:r>
          </w:p>
        </w:tc>
        <w:tc>
          <w:tcPr>
            <w:tcW w:type="dxa" w:w="1361"/>
            <w:vAlign w:val="top"/>
            <w:shd w:val="clear" w:color="auto" w:fill="FDF0F7"/>
          </w:tcPr>
          <w:p>
            <w:pPr>
              <w:spacing w:after="20" w:line="252" w:lineRule="auto"/>
            </w:pPr>
            <w:r>
              <w:rPr>
                <w:b w:val="0"/>
                <w:i w:val="0"/>
                <w:sz w:val="16"/>
              </w:rPr>
              <w:t>200 GB</w:t>
            </w:r>
          </w:p>
        </w:tc>
        <w:tc>
          <w:tcPr>
            <w:tcW w:type="dxa" w:w="3402"/>
            <w:vAlign w:val="top"/>
            <w:shd w:val="clear" w:color="auto" w:fill="FDF0F7"/>
          </w:tcPr>
          <w:p>
            <w:pPr>
              <w:spacing w:after="20" w:line="252" w:lineRule="auto"/>
            </w:pPr>
            <w:r>
              <w:rPr>
                <w:b w:val="0"/>
                <w:i w:val="0"/>
                <w:sz w:val="16"/>
              </w:rPr>
              <w:t>Compose: web, api, clamav, PostgreSQL</w:t>
            </w:r>
          </w:p>
        </w:tc>
      </w:tr>
      <w:tr>
        <w:trPr>
          <w:cantSplit/>
        </w:trPr>
        <w:tc>
          <w:tcPr>
            <w:tcW w:type="dxa" w:w="2041"/>
            <w:vAlign w:val="top"/>
          </w:tcPr>
          <w:p>
            <w:pPr>
              <w:spacing w:after="20" w:line="252" w:lineRule="auto"/>
            </w:pPr>
            <w:r>
              <w:rPr>
                <w:b w:val="0"/>
                <w:i w:val="0"/>
                <w:sz w:val="16"/>
              </w:rPr>
              <w:t>DEV</w:t>
            </w:r>
          </w:p>
        </w:tc>
        <w:tc>
          <w:tcPr>
            <w:tcW w:type="dxa" w:w="1361"/>
            <w:vAlign w:val="top"/>
          </w:tcPr>
          <w:p>
            <w:pPr>
              <w:spacing w:after="20" w:line="252" w:lineRule="auto"/>
            </w:pPr>
            <w:r>
              <w:rPr>
                <w:b w:val="0"/>
                <w:i w:val="0"/>
                <w:sz w:val="16"/>
              </w:rPr>
              <w:t>Not required</w:t>
            </w:r>
          </w:p>
        </w:tc>
        <w:tc>
          <w:tcPr>
            <w:tcW w:type="dxa" w:w="680"/>
            <w:vAlign w:val="top"/>
          </w:tcPr>
          <w:p>
            <w:pPr>
              <w:spacing w:after="20" w:line="252" w:lineRule="auto"/>
              <w:jc w:val="center"/>
            </w:pPr>
            <w:r>
              <w:rPr>
                <w:b w:val="0"/>
                <w:i w:val="0"/>
                <w:sz w:val="16"/>
              </w:rPr>
              <w:t>–</w:t>
            </w:r>
          </w:p>
        </w:tc>
        <w:tc>
          <w:tcPr>
            <w:tcW w:type="dxa" w:w="794"/>
            <w:vAlign w:val="top"/>
          </w:tcPr>
          <w:p>
            <w:pPr>
              <w:spacing w:after="20" w:line="252" w:lineRule="auto"/>
              <w:jc w:val="center"/>
            </w:pPr>
            <w:r>
              <w:rPr>
                <w:b w:val="0"/>
                <w:i w:val="0"/>
                <w:sz w:val="16"/>
              </w:rPr>
              <w:t>–</w:t>
            </w:r>
          </w:p>
        </w:tc>
        <w:tc>
          <w:tcPr>
            <w:tcW w:type="dxa" w:w="1361"/>
            <w:vAlign w:val="top"/>
          </w:tcPr>
          <w:p>
            <w:pPr>
              <w:spacing w:after="20" w:line="252" w:lineRule="auto"/>
            </w:pPr>
            <w:r>
              <w:rPr>
                <w:b w:val="0"/>
                <w:i w:val="0"/>
                <w:sz w:val="16"/>
              </w:rPr>
              <w:t>–</w:t>
            </w:r>
          </w:p>
        </w:tc>
        <w:tc>
          <w:tcPr>
            <w:tcW w:type="dxa" w:w="3402"/>
            <w:vAlign w:val="top"/>
          </w:tcPr>
          <w:p>
            <w:pPr>
              <w:spacing w:after="20" w:line="252" w:lineRule="auto"/>
            </w:pPr>
            <w:r>
              <w:rPr>
                <w:b w:val="0"/>
                <w:i w:val="0"/>
                <w:sz w:val="16"/>
              </w:rPr>
              <w:t>Hosted by iorta during the project and support</w:t>
            </w:r>
          </w:p>
        </w:tc>
      </w:tr>
      <w:tr>
        <w:trPr>
          <w:cantSplit/>
        </w:trPr>
        <w:tc>
          <w:tcPr>
            <w:tcW w:type="dxa" w:w="3402"/>
            <w:gridSpan w:val="6"/>
            <w:shd w:val="clear" w:color="auto" w:fill="FEEBDD"/>
          </w:tcPr>
          <w:p>
            <w:pPr>
              <w:spacing w:after="0"/>
            </w:pPr>
            <w:r>
              <w:rPr>
                <w:b/>
                <w:i w:val="0"/>
                <w:color w:val="333333"/>
                <w:sz w:val="16"/>
              </w:rPr>
              <w:t>DR site</w:t>
            </w:r>
          </w:p>
        </w:tc>
      </w:tr>
      <w:tr>
        <w:trPr>
          <w:cantSplit/>
        </w:trPr>
        <w:tc>
          <w:tcPr>
            <w:tcW w:type="dxa" w:w="2041"/>
            <w:vAlign w:val="top"/>
          </w:tcPr>
          <w:p>
            <w:pPr>
              <w:spacing w:after="20" w:line="252" w:lineRule="auto"/>
            </w:pPr>
            <w:r>
              <w:rPr>
                <w:b w:val="0"/>
                <w:i w:val="0"/>
                <w:sz w:val="16"/>
              </w:rPr>
              <w:t>Application VM</w:t>
            </w:r>
          </w:p>
        </w:tc>
        <w:tc>
          <w:tcPr>
            <w:tcW w:type="dxa" w:w="1361"/>
            <w:vAlign w:val="top"/>
          </w:tcPr>
          <w:p>
            <w:pPr>
              <w:spacing w:after="20" w:line="252" w:lineRule="auto"/>
            </w:pPr>
            <w:r>
              <w:rPr>
                <w:b w:val="0"/>
                <w:i w:val="0"/>
                <w:sz w:val="16"/>
              </w:rPr>
              <w:t>1</w:t>
            </w:r>
          </w:p>
        </w:tc>
        <w:tc>
          <w:tcPr>
            <w:tcW w:type="dxa" w:w="680"/>
            <w:vAlign w:val="top"/>
          </w:tcPr>
          <w:p>
            <w:pPr>
              <w:spacing w:after="20" w:line="252" w:lineRule="auto"/>
              <w:jc w:val="center"/>
            </w:pPr>
            <w:r>
              <w:rPr>
                <w:b w:val="0"/>
                <w:i w:val="0"/>
                <w:sz w:val="16"/>
              </w:rPr>
              <w:t>4</w:t>
            </w:r>
          </w:p>
        </w:tc>
        <w:tc>
          <w:tcPr>
            <w:tcW w:type="dxa" w:w="794"/>
            <w:vAlign w:val="top"/>
          </w:tcPr>
          <w:p>
            <w:pPr>
              <w:spacing w:after="20" w:line="252" w:lineRule="auto"/>
              <w:jc w:val="center"/>
            </w:pPr>
            <w:r>
              <w:rPr>
                <w:b w:val="0"/>
                <w:i w:val="0"/>
                <w:sz w:val="16"/>
              </w:rPr>
              <w:t>8 GB</w:t>
            </w:r>
          </w:p>
        </w:tc>
        <w:tc>
          <w:tcPr>
            <w:tcW w:type="dxa" w:w="1361"/>
            <w:vAlign w:val="top"/>
          </w:tcPr>
          <w:p>
            <w:pPr>
              <w:spacing w:after="20" w:line="252" w:lineRule="auto"/>
            </w:pPr>
            <w:r>
              <w:rPr>
                <w:b w:val="0"/>
                <w:i w:val="0"/>
                <w:sz w:val="16"/>
              </w:rPr>
              <w:t>100 GB</w:t>
            </w:r>
          </w:p>
        </w:tc>
        <w:tc>
          <w:tcPr>
            <w:tcW w:type="dxa" w:w="3402"/>
            <w:vAlign w:val="top"/>
          </w:tcPr>
          <w:p>
            <w:pPr>
              <w:spacing w:after="20" w:line="252" w:lineRule="auto"/>
            </w:pPr>
            <w:r>
              <w:rPr>
                <w:b w:val="0"/>
                <w:i w:val="0"/>
                <w:sz w:val="16"/>
              </w:rPr>
              <w:t>Cold standby, same images</w:t>
            </w:r>
          </w:p>
        </w:tc>
      </w:tr>
      <w:tr>
        <w:trPr>
          <w:cantSplit/>
        </w:trPr>
        <w:tc>
          <w:tcPr>
            <w:tcW w:type="dxa" w:w="2041"/>
            <w:vAlign w:val="top"/>
            <w:shd w:val="clear" w:color="auto" w:fill="FDF0F7"/>
          </w:tcPr>
          <w:p>
            <w:pPr>
              <w:spacing w:after="20" w:line="252" w:lineRule="auto"/>
            </w:pPr>
            <w:r>
              <w:rPr>
                <w:b w:val="0"/>
                <w:i w:val="0"/>
                <w:sz w:val="16"/>
              </w:rPr>
              <w:t>Database VM</w:t>
            </w:r>
          </w:p>
        </w:tc>
        <w:tc>
          <w:tcPr>
            <w:tcW w:type="dxa" w:w="1361"/>
            <w:vAlign w:val="top"/>
            <w:shd w:val="clear" w:color="auto" w:fill="FDF0F7"/>
          </w:tcPr>
          <w:p>
            <w:pPr>
              <w:spacing w:after="20" w:line="252" w:lineRule="auto"/>
            </w:pPr>
            <w:r>
              <w:rPr>
                <w:b w:val="0"/>
                <w:i w:val="0"/>
                <w:sz w:val="16"/>
              </w:rPr>
              <w:t>1</w:t>
            </w:r>
          </w:p>
        </w:tc>
        <w:tc>
          <w:tcPr>
            <w:tcW w:type="dxa" w:w="680"/>
            <w:vAlign w:val="top"/>
            <w:shd w:val="clear" w:color="auto" w:fill="FDF0F7"/>
          </w:tcPr>
          <w:p>
            <w:pPr>
              <w:spacing w:after="20" w:line="252" w:lineRule="auto"/>
              <w:jc w:val="center"/>
            </w:pPr>
            <w:r>
              <w:rPr>
                <w:b w:val="0"/>
                <w:i w:val="0"/>
                <w:sz w:val="16"/>
              </w:rPr>
              <w:t>4</w:t>
            </w:r>
          </w:p>
        </w:tc>
        <w:tc>
          <w:tcPr>
            <w:tcW w:type="dxa" w:w="794"/>
            <w:vAlign w:val="top"/>
            <w:shd w:val="clear" w:color="auto" w:fill="FDF0F7"/>
          </w:tcPr>
          <w:p>
            <w:pPr>
              <w:spacing w:after="20" w:line="252" w:lineRule="auto"/>
              <w:jc w:val="center"/>
            </w:pPr>
            <w:r>
              <w:rPr>
                <w:b w:val="0"/>
                <w:i w:val="0"/>
                <w:sz w:val="16"/>
              </w:rPr>
              <w:t>16 GB</w:t>
            </w:r>
          </w:p>
        </w:tc>
        <w:tc>
          <w:tcPr>
            <w:tcW w:type="dxa" w:w="1361"/>
            <w:vAlign w:val="top"/>
            <w:shd w:val="clear" w:color="auto" w:fill="FDF0F7"/>
          </w:tcPr>
          <w:p>
            <w:pPr>
              <w:spacing w:after="20" w:line="252" w:lineRule="auto"/>
            </w:pPr>
            <w:r>
              <w:rPr>
                <w:b w:val="0"/>
                <w:i w:val="0"/>
                <w:sz w:val="16"/>
              </w:rPr>
              <w:t>200 GB SSD</w:t>
            </w:r>
          </w:p>
        </w:tc>
        <w:tc>
          <w:tcPr>
            <w:tcW w:type="dxa" w:w="3402"/>
            <w:vAlign w:val="top"/>
            <w:shd w:val="clear" w:color="auto" w:fill="FDF0F7"/>
          </w:tcPr>
          <w:p>
            <w:pPr>
              <w:spacing w:after="20" w:line="252" w:lineRule="auto"/>
            </w:pPr>
            <w:r>
              <w:rPr>
                <w:b w:val="0"/>
                <w:i w:val="0"/>
                <w:sz w:val="16"/>
              </w:rPr>
              <w:t>Asynchronous replica</w:t>
            </w:r>
          </w:p>
        </w:tc>
      </w:tr>
      <w:tr>
        <w:trPr>
          <w:cantSplit/>
        </w:trPr>
        <w:tc>
          <w:tcPr>
            <w:tcW w:type="dxa" w:w="2041"/>
            <w:vAlign w:val="top"/>
          </w:tcPr>
          <w:p>
            <w:pPr>
              <w:spacing w:after="20" w:line="252" w:lineRule="auto"/>
            </w:pPr>
            <w:r>
              <w:rPr>
                <w:b w:val="0"/>
                <w:i w:val="0"/>
                <w:sz w:val="16"/>
              </w:rPr>
              <w:t>Document and backup copies</w:t>
            </w:r>
          </w:p>
        </w:tc>
        <w:tc>
          <w:tcPr>
            <w:tcW w:type="dxa" w:w="1361"/>
            <w:vAlign w:val="top"/>
          </w:tcPr>
          <w:p>
            <w:pPr>
              <w:spacing w:after="20" w:line="252" w:lineRule="auto"/>
            </w:pPr>
            <w:r>
              <w:rPr>
                <w:b w:val="0"/>
                <w:i w:val="0"/>
                <w:sz w:val="16"/>
              </w:rPr>
              <w:t>–</w:t>
            </w:r>
          </w:p>
        </w:tc>
        <w:tc>
          <w:tcPr>
            <w:tcW w:type="dxa" w:w="680"/>
            <w:vAlign w:val="top"/>
          </w:tcPr>
          <w:p>
            <w:pPr>
              <w:spacing w:after="20" w:line="252" w:lineRule="auto"/>
              <w:jc w:val="center"/>
            </w:pPr>
            <w:r>
              <w:rPr>
                <w:b w:val="0"/>
                <w:i w:val="0"/>
                <w:sz w:val="16"/>
              </w:rPr>
              <w:t>–</w:t>
            </w:r>
          </w:p>
        </w:tc>
        <w:tc>
          <w:tcPr>
            <w:tcW w:type="dxa" w:w="794"/>
            <w:vAlign w:val="top"/>
          </w:tcPr>
          <w:p>
            <w:pPr>
              <w:spacing w:after="20" w:line="252" w:lineRule="auto"/>
              <w:jc w:val="center"/>
            </w:pPr>
            <w:r>
              <w:rPr>
                <w:b w:val="0"/>
                <w:i w:val="0"/>
                <w:sz w:val="16"/>
              </w:rPr>
              <w:t>–</w:t>
            </w:r>
          </w:p>
        </w:tc>
        <w:tc>
          <w:tcPr>
            <w:tcW w:type="dxa" w:w="1361"/>
            <w:vAlign w:val="top"/>
          </w:tcPr>
          <w:p>
            <w:pPr>
              <w:spacing w:after="20" w:line="252" w:lineRule="auto"/>
            </w:pPr>
            <w:r>
              <w:rPr>
                <w:b w:val="0"/>
                <w:i w:val="0"/>
                <w:sz w:val="16"/>
              </w:rPr>
              <w:t>500 GB + 1 TB</w:t>
            </w:r>
          </w:p>
        </w:tc>
        <w:tc>
          <w:tcPr>
            <w:tcW w:type="dxa" w:w="3402"/>
            <w:vAlign w:val="top"/>
          </w:tcPr>
          <w:p>
            <w:pPr>
              <w:spacing w:after="20" w:line="252" w:lineRule="auto"/>
            </w:pPr>
            <w:r>
              <w:rPr>
                <w:b w:val="0"/>
                <w:i w:val="0"/>
                <w:sz w:val="16"/>
              </w:rPr>
              <w:t>rsync target, backup copy</w:t>
            </w:r>
          </w:p>
        </w:tc>
      </w:tr>
    </w:tbl>
    <w:p>
      <w:pPr>
        <w:pStyle w:val="Caption"/>
        <w:jc w:val="center"/>
      </w:pPr>
      <w:r>
        <w:rPr>
          <w:b w:val="0"/>
          <w:i w:val="0"/>
        </w:rPr>
        <w:t>Table 24: Option A sizing per environment (procured by IIFT; indicative costs in Annex C)</w:t>
      </w:r>
    </w:p>
    <w:p>
      <w:pPr>
        <w:keepNext w:val="0"/>
      </w:pPr>
      <w:r>
        <w:rPr>
          <w:b w:val="0"/>
          <w:i w:val="0"/>
        </w:rPr>
        <w:t>Operating system: Ubuntu Server 24.04 LTS or Red Hat Enterprise Linux 9, hardened to the IITH baseline. DEV stays with iorta, so IIFT provides no development environment.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6"/>
        <w:gridCol w:w="2551"/>
        <w:gridCol w:w="2551"/>
      </w:tblGrid>
      <w:tr>
        <w:trPr>
          <w:cantSplit/>
          <w:tblHeader/>
        </w:trPr>
        <w:tc>
          <w:tcPr>
            <w:tcW w:type="dxa" w:w="4535"/>
            <w:shd w:val="clear" w:color="auto" w:fill="E1058C"/>
            <w:vAlign w:val="center"/>
          </w:tcPr>
          <w:p>
            <w:pPr>
              <w:spacing w:after="0"/>
            </w:pPr>
            <w:r>
              <w:rPr>
                <w:b/>
                <w:i w:val="0"/>
                <w:color w:val="FFFFFF"/>
                <w:sz w:val="16"/>
              </w:rPr>
              <w:t>Item</w:t>
            </w:r>
          </w:p>
        </w:tc>
        <w:tc>
          <w:tcPr>
            <w:tcW w:type="dxa" w:w="2551"/>
            <w:shd w:val="clear" w:color="auto" w:fill="E1058C"/>
            <w:vAlign w:val="center"/>
          </w:tcPr>
          <w:p>
            <w:pPr>
              <w:spacing w:after="0"/>
            </w:pPr>
            <w:r>
              <w:rPr>
                <w:b/>
                <w:i w:val="0"/>
                <w:color w:val="FFFFFF"/>
                <w:sz w:val="16"/>
              </w:rPr>
              <w:t>IIFT / IITH</w:t>
            </w:r>
          </w:p>
        </w:tc>
        <w:tc>
          <w:tcPr>
            <w:tcW w:type="dxa" w:w="2551"/>
            <w:shd w:val="clear" w:color="auto" w:fill="E1058C"/>
            <w:vAlign w:val="center"/>
          </w:tcPr>
          <w:p>
            <w:pPr>
              <w:spacing w:after="0"/>
            </w:pPr>
            <w:r>
              <w:rPr>
                <w:b/>
                <w:i w:val="0"/>
                <w:color w:val="FFFFFF"/>
                <w:sz w:val="16"/>
              </w:rPr>
              <w:t>iorta TechNXT</w:t>
            </w:r>
          </w:p>
        </w:tc>
      </w:tr>
      <w:tr>
        <w:trPr>
          <w:cantSplit/>
        </w:trPr>
        <w:tc>
          <w:tcPr>
            <w:tcW w:type="dxa" w:w="4535"/>
            <w:vAlign w:val="top"/>
          </w:tcPr>
          <w:p>
            <w:pPr>
              <w:spacing w:after="20" w:line="252" w:lineRule="auto"/>
            </w:pPr>
            <w:r>
              <w:rPr>
                <w:b w:val="0"/>
                <w:i w:val="0"/>
                <w:sz w:val="16"/>
              </w:rPr>
              <w:t>Servers, storage, network, firewall, load balancer</w:t>
            </w:r>
          </w:p>
        </w:tc>
        <w:tc>
          <w:tcPr>
            <w:tcW w:type="dxa" w:w="2551"/>
            <w:vAlign w:val="top"/>
          </w:tcPr>
          <w:p>
            <w:pPr>
              <w:spacing w:after="20" w:line="252" w:lineRule="auto"/>
            </w:pPr>
            <w:r>
              <w:rPr>
                <w:b w:val="0"/>
                <w:i w:val="0"/>
                <w:sz w:val="16"/>
              </w:rPr>
              <w:t>Provide</w:t>
            </w:r>
          </w:p>
        </w:tc>
        <w:tc>
          <w:tcPr>
            <w:tcW w:type="dxa" w:w="2551"/>
            <w:vAlign w:val="top"/>
          </w:tcPr>
          <w:p>
            <w:pPr>
              <w:spacing w:after="20" w:line="252" w:lineRule="auto"/>
            </w:pPr>
            <w:r>
              <w:rPr>
                <w:b w:val="0"/>
                <w:i w:val="0"/>
                <w:sz w:val="16"/>
              </w:rPr>
              <w:t>Specify, review</w:t>
            </w:r>
          </w:p>
        </w:tc>
      </w:tr>
      <w:tr>
        <w:trPr>
          <w:cantSplit/>
        </w:trPr>
        <w:tc>
          <w:tcPr>
            <w:tcW w:type="dxa" w:w="4535"/>
            <w:vAlign w:val="top"/>
            <w:shd w:val="clear" w:color="auto" w:fill="FDF0F7"/>
          </w:tcPr>
          <w:p>
            <w:pPr>
              <w:spacing w:after="20" w:line="252" w:lineRule="auto"/>
            </w:pPr>
            <w:r>
              <w:rPr>
                <w:b w:val="0"/>
                <w:i w:val="0"/>
                <w:sz w:val="16"/>
              </w:rPr>
              <w:t>Linux OS (RHEL 9 or Ubuntu 24.04 LTS) and licences</w:t>
            </w:r>
          </w:p>
        </w:tc>
        <w:tc>
          <w:tcPr>
            <w:tcW w:type="dxa" w:w="2551"/>
            <w:vAlign w:val="top"/>
            <w:shd w:val="clear" w:color="auto" w:fill="FDF0F7"/>
          </w:tcPr>
          <w:p>
            <w:pPr>
              <w:spacing w:after="20" w:line="252" w:lineRule="auto"/>
            </w:pPr>
            <w:r>
              <w:rPr>
                <w:b w:val="0"/>
                <w:i w:val="0"/>
                <w:sz w:val="16"/>
              </w:rPr>
              <w:t>Provide, patch</w:t>
            </w:r>
          </w:p>
        </w:tc>
        <w:tc>
          <w:tcPr>
            <w:tcW w:type="dxa" w:w="2551"/>
            <w:vAlign w:val="top"/>
            <w:shd w:val="clear" w:color="auto" w:fill="FDF0F7"/>
          </w:tcPr>
          <w:p>
            <w:pPr>
              <w:spacing w:after="20" w:line="252" w:lineRule="auto"/>
            </w:pPr>
            <w:r>
              <w:rPr>
                <w:b w:val="0"/>
                <w:i w:val="0"/>
                <w:sz w:val="16"/>
              </w:rPr>
              <w:t>Specify hardening</w:t>
            </w:r>
          </w:p>
        </w:tc>
      </w:tr>
      <w:tr>
        <w:trPr>
          <w:cantSplit/>
        </w:trPr>
        <w:tc>
          <w:tcPr>
            <w:tcW w:type="dxa" w:w="4535"/>
            <w:vAlign w:val="top"/>
          </w:tcPr>
          <w:p>
            <w:pPr>
              <w:spacing w:after="20" w:line="252" w:lineRule="auto"/>
            </w:pPr>
            <w:r>
              <w:rPr>
                <w:b w:val="0"/>
                <w:i w:val="0"/>
                <w:sz w:val="16"/>
              </w:rPr>
              <w:t>Container runtime, application, proxy configuration</w:t>
            </w:r>
          </w:p>
        </w:tc>
        <w:tc>
          <w:tcPr>
            <w:tcW w:type="dxa" w:w="2551"/>
            <w:vAlign w:val="top"/>
          </w:tcPr>
          <w:p>
            <w:pPr>
              <w:spacing w:after="20" w:line="252" w:lineRule="auto"/>
            </w:pPr>
            <w:r>
              <w:rPr>
                <w:b w:val="0"/>
                <w:i w:val="0"/>
                <w:sz w:val="16"/>
              </w:rPr>
              <w:t>Approve</w:t>
            </w:r>
          </w:p>
        </w:tc>
        <w:tc>
          <w:tcPr>
            <w:tcW w:type="dxa" w:w="2551"/>
            <w:vAlign w:val="top"/>
          </w:tcPr>
          <w:p>
            <w:pPr>
              <w:spacing w:after="20" w:line="252" w:lineRule="auto"/>
            </w:pPr>
            <w:r>
              <w:rPr>
                <w:b w:val="0"/>
                <w:i w:val="0"/>
                <w:sz w:val="16"/>
              </w:rPr>
              <w:t>Install, configure, operate</w:t>
            </w:r>
          </w:p>
        </w:tc>
      </w:tr>
      <w:tr>
        <w:trPr>
          <w:cantSplit/>
        </w:trPr>
        <w:tc>
          <w:tcPr>
            <w:tcW w:type="dxa" w:w="4535"/>
            <w:vAlign w:val="top"/>
            <w:shd w:val="clear" w:color="auto" w:fill="FDF0F7"/>
          </w:tcPr>
          <w:p>
            <w:pPr>
              <w:spacing w:after="20" w:line="252" w:lineRule="auto"/>
            </w:pPr>
            <w:r>
              <w:rPr>
                <w:b w:val="0"/>
                <w:i w:val="0"/>
                <w:sz w:val="16"/>
              </w:rPr>
              <w:t>PostgreSQL install, replication, backup set-up</w:t>
            </w:r>
          </w:p>
        </w:tc>
        <w:tc>
          <w:tcPr>
            <w:tcW w:type="dxa" w:w="2551"/>
            <w:vAlign w:val="top"/>
            <w:shd w:val="clear" w:color="auto" w:fill="FDF0F7"/>
          </w:tcPr>
          <w:p>
            <w:pPr>
              <w:spacing w:after="20" w:line="252" w:lineRule="auto"/>
            </w:pPr>
            <w:r>
              <w:rPr>
                <w:b w:val="0"/>
                <w:i w:val="0"/>
                <w:sz w:val="16"/>
              </w:rPr>
              <w:t>Approve; run backup infrastructure</w:t>
            </w:r>
          </w:p>
        </w:tc>
        <w:tc>
          <w:tcPr>
            <w:tcW w:type="dxa" w:w="2551"/>
            <w:vAlign w:val="top"/>
            <w:shd w:val="clear" w:color="auto" w:fill="FDF0F7"/>
          </w:tcPr>
          <w:p>
            <w:pPr>
              <w:spacing w:after="20" w:line="252" w:lineRule="auto"/>
            </w:pPr>
            <w:r>
              <w:rPr>
                <w:b w:val="0"/>
                <w:i w:val="0"/>
                <w:sz w:val="16"/>
              </w:rPr>
              <w:t>Install, configure, tune</w:t>
            </w:r>
          </w:p>
        </w:tc>
      </w:tr>
      <w:tr>
        <w:trPr>
          <w:cantSplit/>
        </w:trPr>
        <w:tc>
          <w:tcPr>
            <w:tcW w:type="dxa" w:w="4535"/>
            <w:vAlign w:val="top"/>
          </w:tcPr>
          <w:p>
            <w:pPr>
              <w:spacing w:after="20" w:line="252" w:lineRule="auto"/>
            </w:pPr>
            <w:r>
              <w:rPr>
                <w:b w:val="0"/>
                <w:i w:val="0"/>
                <w:sz w:val="16"/>
              </w:rPr>
              <w:t>Monitoring and alerting</w:t>
            </w:r>
          </w:p>
        </w:tc>
        <w:tc>
          <w:tcPr>
            <w:tcW w:type="dxa" w:w="2551"/>
            <w:vAlign w:val="top"/>
          </w:tcPr>
          <w:p>
            <w:pPr>
              <w:spacing w:after="20" w:line="252" w:lineRule="auto"/>
            </w:pPr>
            <w:r>
              <w:rPr>
                <w:b w:val="0"/>
                <w:i w:val="0"/>
                <w:sz w:val="16"/>
              </w:rPr>
              <w:t>Infrastructure monitoring; receive alerts</w:t>
            </w:r>
          </w:p>
        </w:tc>
        <w:tc>
          <w:tcPr>
            <w:tcW w:type="dxa" w:w="2551"/>
            <w:vAlign w:val="top"/>
          </w:tcPr>
          <w:p>
            <w:pPr>
              <w:spacing w:after="20" w:line="252" w:lineRule="auto"/>
            </w:pPr>
            <w:r>
              <w:rPr>
                <w:b w:val="0"/>
                <w:i w:val="0"/>
                <w:sz w:val="16"/>
              </w:rPr>
              <w:t>Application monitoring</w:t>
            </w:r>
          </w:p>
        </w:tc>
      </w:tr>
      <w:tr>
        <w:trPr>
          <w:cantSplit/>
        </w:trPr>
        <w:tc>
          <w:tcPr>
            <w:tcW w:type="dxa" w:w="4535"/>
            <w:vAlign w:val="top"/>
            <w:shd w:val="clear" w:color="auto" w:fill="FDF0F7"/>
          </w:tcPr>
          <w:p>
            <w:pPr>
              <w:spacing w:after="20" w:line="252" w:lineRule="auto"/>
            </w:pPr>
            <w:r>
              <w:rPr>
                <w:b w:val="0"/>
                <w:i w:val="0"/>
                <w:sz w:val="16"/>
              </w:rPr>
              <w:t>Certificates, DNS, SMTP relay, SMS account, AML subscription</w:t>
            </w:r>
          </w:p>
        </w:tc>
        <w:tc>
          <w:tcPr>
            <w:tcW w:type="dxa" w:w="2551"/>
            <w:vAlign w:val="top"/>
            <w:shd w:val="clear" w:color="auto" w:fill="FDF0F7"/>
          </w:tcPr>
          <w:p>
            <w:pPr>
              <w:spacing w:after="20" w:line="252" w:lineRule="auto"/>
            </w:pPr>
            <w:r>
              <w:rPr>
                <w:b w:val="0"/>
                <w:i w:val="0"/>
                <w:sz w:val="16"/>
              </w:rPr>
              <w:t>Provide</w:t>
            </w:r>
          </w:p>
        </w:tc>
        <w:tc>
          <w:tcPr>
            <w:tcW w:type="dxa" w:w="2551"/>
            <w:vAlign w:val="top"/>
            <w:shd w:val="clear" w:color="auto" w:fill="FDF0F7"/>
          </w:tcPr>
          <w:p>
            <w:pPr>
              <w:spacing w:after="20" w:line="252" w:lineRule="auto"/>
            </w:pPr>
            <w:r>
              <w:rPr>
                <w:b w:val="0"/>
                <w:i w:val="0"/>
                <w:sz w:val="16"/>
              </w:rPr>
              <w:t>Configure; support renewal</w:t>
            </w:r>
          </w:p>
        </w:tc>
      </w:tr>
      <w:tr>
        <w:trPr>
          <w:cantSplit/>
        </w:trPr>
        <w:tc>
          <w:tcPr>
            <w:tcW w:type="dxa" w:w="4535"/>
            <w:vAlign w:val="top"/>
          </w:tcPr>
          <w:p>
            <w:pPr>
              <w:spacing w:after="20" w:line="252" w:lineRule="auto"/>
            </w:pPr>
            <w:r>
              <w:rPr>
                <w:b w:val="0"/>
                <w:i w:val="0"/>
                <w:sz w:val="16"/>
              </w:rPr>
              <w:t>DR site and DR tests</w:t>
            </w:r>
          </w:p>
        </w:tc>
        <w:tc>
          <w:tcPr>
            <w:tcW w:type="dxa" w:w="2551"/>
            <w:vAlign w:val="top"/>
          </w:tcPr>
          <w:p>
            <w:pPr>
              <w:spacing w:after="20" w:line="252" w:lineRule="auto"/>
            </w:pPr>
            <w:r>
              <w:rPr>
                <w:b w:val="0"/>
                <w:i w:val="0"/>
                <w:sz w:val="16"/>
              </w:rPr>
              <w:t>Provide site; lead test</w:t>
            </w:r>
          </w:p>
        </w:tc>
        <w:tc>
          <w:tcPr>
            <w:tcW w:type="dxa" w:w="2551"/>
            <w:vAlign w:val="top"/>
          </w:tcPr>
          <w:p>
            <w:pPr>
              <w:spacing w:after="20" w:line="252" w:lineRule="auto"/>
            </w:pPr>
            <w:r>
              <w:rPr>
                <w:b w:val="0"/>
                <w:i w:val="0"/>
                <w:sz w:val="16"/>
              </w:rPr>
              <w:t>Replication; take part in tests</w:t>
            </w:r>
          </w:p>
        </w:tc>
      </w:tr>
    </w:tbl>
    <w:p>
      <w:pPr>
        <w:pStyle w:val="Caption"/>
        <w:jc w:val="center"/>
      </w:pPr>
      <w:r>
        <w:rPr>
          <w:b w:val="0"/>
          <w:i w:val="0"/>
        </w:rPr>
        <w:t>Table 25: Option A responsibilities</w:t>
      </w:r>
    </w:p>
    <w:p>
      <w:pPr>
        <w:pStyle w:val="Heading2"/>
      </w:pPr>
      <w:r>
        <w:t>15.2 Option B: iorta-hosted cloud</w:t>
      </w:r>
    </w:p>
    <w:p>
      <w:pPr>
        <w:keepNext w:val="0"/>
      </w:pPr>
      <w:r>
        <w:rPr>
          <w:b w:val="0"/>
          <w:i w:val="0"/>
        </w:rPr>
        <w:t>iorta hosts and operates the solution in a cloud account dedicated to IIFT in AWS Asia Pacific (Malaysia) or Azure Malaysia West. Cloud use depends on IIFT's data-residency decision and on AMBD's outsourcing and cloud notification, which IIFT makes and iorta supports with the required documents. A Brunei-hosted alternative can be priced on request.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7938"/>
      </w:tblGrid>
      <w:tr>
        <w:trPr>
          <w:cantSplit/>
          <w:tblHeader/>
        </w:trPr>
        <w:tc>
          <w:tcPr>
            <w:tcW w:type="dxa" w:w="1701"/>
            <w:shd w:val="clear" w:color="auto" w:fill="E1058C"/>
            <w:vAlign w:val="center"/>
          </w:tcPr>
          <w:p>
            <w:pPr>
              <w:spacing w:after="0"/>
            </w:pPr>
            <w:r>
              <w:rPr>
                <w:b/>
                <w:i w:val="0"/>
                <w:color w:val="FFFFFF"/>
                <w:sz w:val="16"/>
              </w:rPr>
              <w:t>Service</w:t>
            </w:r>
          </w:p>
        </w:tc>
        <w:tc>
          <w:tcPr>
            <w:tcW w:type="dxa" w:w="7937"/>
            <w:shd w:val="clear" w:color="auto" w:fill="E1058C"/>
            <w:vAlign w:val="center"/>
          </w:tcPr>
          <w:p>
            <w:pPr>
              <w:spacing w:after="0"/>
            </w:pPr>
            <w:r>
              <w:rPr>
                <w:b/>
                <w:i w:val="0"/>
                <w:color w:val="FFFFFF"/>
                <w:sz w:val="16"/>
              </w:rPr>
              <w:t>AWS reference (Azure equivalent)</w:t>
            </w:r>
          </w:p>
        </w:tc>
      </w:tr>
      <w:tr>
        <w:trPr>
          <w:cantSplit/>
        </w:trPr>
        <w:tc>
          <w:tcPr>
            <w:tcW w:type="dxa" w:w="1701"/>
            <w:vAlign w:val="top"/>
          </w:tcPr>
          <w:p>
            <w:pPr>
              <w:spacing w:after="20" w:line="252" w:lineRule="auto"/>
            </w:pPr>
            <w:r>
              <w:rPr>
                <w:b/>
                <w:i w:val="0"/>
                <w:sz w:val="16"/>
              </w:rPr>
              <w:t>Region</w:t>
            </w:r>
          </w:p>
        </w:tc>
        <w:tc>
          <w:tcPr>
            <w:tcW w:type="dxa" w:w="7937"/>
            <w:vAlign w:val="top"/>
          </w:tcPr>
          <w:p>
            <w:pPr>
              <w:spacing w:after="20" w:line="252" w:lineRule="auto"/>
            </w:pPr>
            <w:r>
              <w:rPr>
                <w:b w:val="0"/>
                <w:i w:val="0"/>
                <w:sz w:val="16"/>
              </w:rPr>
              <w:t>AWS Asia Pacific (Malaysia), ap-southeast-5 (Azure Malaysia West); DR copies in a second region</w:t>
            </w:r>
          </w:p>
        </w:tc>
      </w:tr>
      <w:tr>
        <w:trPr>
          <w:cantSplit/>
        </w:trPr>
        <w:tc>
          <w:tcPr>
            <w:tcW w:type="dxa" w:w="1701"/>
            <w:vAlign w:val="top"/>
            <w:shd w:val="clear" w:color="auto" w:fill="FDF0F7"/>
          </w:tcPr>
          <w:p>
            <w:pPr>
              <w:spacing w:after="20" w:line="252" w:lineRule="auto"/>
            </w:pPr>
            <w:r>
              <w:rPr>
                <w:b/>
                <w:i w:val="0"/>
                <w:sz w:val="16"/>
              </w:rPr>
              <w:t>Compute</w:t>
            </w:r>
          </w:p>
        </w:tc>
        <w:tc>
          <w:tcPr>
            <w:tcW w:type="dxa" w:w="7937"/>
            <w:vAlign w:val="top"/>
            <w:shd w:val="clear" w:color="auto" w:fill="FDF0F7"/>
          </w:tcPr>
          <w:p>
            <w:pPr>
              <w:spacing w:after="20" w:line="252" w:lineRule="auto"/>
            </w:pPr>
            <w:r>
              <w:rPr>
                <w:b w:val="0"/>
                <w:i w:val="0"/>
                <w:sz w:val="16"/>
              </w:rPr>
              <w:t>ECS Fargate across two availability zones (AKS on Azure), or two EC2 instances</w:t>
            </w:r>
          </w:p>
        </w:tc>
      </w:tr>
      <w:tr>
        <w:trPr>
          <w:cantSplit/>
        </w:trPr>
        <w:tc>
          <w:tcPr>
            <w:tcW w:type="dxa" w:w="1701"/>
            <w:vAlign w:val="top"/>
          </w:tcPr>
          <w:p>
            <w:pPr>
              <w:spacing w:after="20" w:line="252" w:lineRule="auto"/>
            </w:pPr>
            <w:r>
              <w:rPr>
                <w:b/>
                <w:i w:val="0"/>
                <w:sz w:val="16"/>
              </w:rPr>
              <w:t>Database</w:t>
            </w:r>
          </w:p>
        </w:tc>
        <w:tc>
          <w:tcPr>
            <w:tcW w:type="dxa" w:w="7937"/>
            <w:vAlign w:val="top"/>
          </w:tcPr>
          <w:p>
            <w:pPr>
              <w:spacing w:after="20" w:line="252" w:lineRule="auto"/>
            </w:pPr>
            <w:r>
              <w:rPr>
                <w:b w:val="0"/>
                <w:i w:val="0"/>
                <w:sz w:val="16"/>
              </w:rPr>
              <w:t>RDS for PostgreSQL 16 Multi-AZ (Azure Database for PostgreSQL, zone-redundant)</w:t>
            </w:r>
          </w:p>
        </w:tc>
      </w:tr>
      <w:tr>
        <w:trPr>
          <w:cantSplit/>
        </w:trPr>
        <w:tc>
          <w:tcPr>
            <w:tcW w:type="dxa" w:w="1701"/>
            <w:vAlign w:val="top"/>
            <w:shd w:val="clear" w:color="auto" w:fill="FDF0F7"/>
          </w:tcPr>
          <w:p>
            <w:pPr>
              <w:spacing w:after="20" w:line="252" w:lineRule="auto"/>
            </w:pPr>
            <w:r>
              <w:rPr>
                <w:b/>
                <w:i w:val="0"/>
                <w:sz w:val="16"/>
              </w:rPr>
              <w:t>Storage</w:t>
            </w:r>
          </w:p>
        </w:tc>
        <w:tc>
          <w:tcPr>
            <w:tcW w:type="dxa" w:w="7937"/>
            <w:vAlign w:val="top"/>
            <w:shd w:val="clear" w:color="auto" w:fill="FDF0F7"/>
          </w:tcPr>
          <w:p>
            <w:pPr>
              <w:spacing w:after="20" w:line="252" w:lineRule="auto"/>
            </w:pPr>
            <w:r>
              <w:rPr>
                <w:b w:val="0"/>
                <w:i w:val="0"/>
                <w:sz w:val="16"/>
              </w:rPr>
              <w:t>S3 and EFS with encryption, versioning and lifecycle rules (Azure Blob and Files)</w:t>
            </w:r>
          </w:p>
        </w:tc>
      </w:tr>
      <w:tr>
        <w:trPr>
          <w:cantSplit/>
        </w:trPr>
        <w:tc>
          <w:tcPr>
            <w:tcW w:type="dxa" w:w="1701"/>
            <w:vAlign w:val="top"/>
          </w:tcPr>
          <w:p>
            <w:pPr>
              <w:spacing w:after="20" w:line="252" w:lineRule="auto"/>
            </w:pPr>
            <w:r>
              <w:rPr>
                <w:b/>
                <w:i w:val="0"/>
                <w:sz w:val="16"/>
              </w:rPr>
              <w:t>Edge</w:t>
            </w:r>
          </w:p>
        </w:tc>
        <w:tc>
          <w:tcPr>
            <w:tcW w:type="dxa" w:w="7937"/>
            <w:vAlign w:val="top"/>
          </w:tcPr>
          <w:p>
            <w:pPr>
              <w:spacing w:after="20" w:line="252" w:lineRule="auto"/>
            </w:pPr>
            <w:r>
              <w:rPr>
                <w:b w:val="0"/>
                <w:i w:val="0"/>
                <w:sz w:val="16"/>
              </w:rPr>
              <w:t>Application Load Balancer with AWS WAF (Azure Application Gateway with WAF)</w:t>
            </w:r>
          </w:p>
        </w:tc>
      </w:tr>
      <w:tr>
        <w:trPr>
          <w:cantSplit/>
        </w:trPr>
        <w:tc>
          <w:tcPr>
            <w:tcW w:type="dxa" w:w="1701"/>
            <w:vAlign w:val="top"/>
            <w:shd w:val="clear" w:color="auto" w:fill="FDF0F7"/>
          </w:tcPr>
          <w:p>
            <w:pPr>
              <w:spacing w:after="20" w:line="252" w:lineRule="auto"/>
            </w:pPr>
            <w:r>
              <w:rPr>
                <w:b/>
                <w:i w:val="0"/>
                <w:sz w:val="16"/>
              </w:rPr>
              <w:t>Monitoring</w:t>
            </w:r>
          </w:p>
        </w:tc>
        <w:tc>
          <w:tcPr>
            <w:tcW w:type="dxa" w:w="7937"/>
            <w:vAlign w:val="top"/>
            <w:shd w:val="clear" w:color="auto" w:fill="FDF0F7"/>
          </w:tcPr>
          <w:p>
            <w:pPr>
              <w:spacing w:after="20" w:line="252" w:lineRule="auto"/>
            </w:pPr>
            <w:r>
              <w:rPr>
                <w:b w:val="0"/>
                <w:i w:val="0"/>
                <w:sz w:val="16"/>
              </w:rPr>
              <w:t>CloudWatch logs, metrics and alarms; GuardDuty threat detection (Azure Monitor, Defender)</w:t>
            </w:r>
          </w:p>
        </w:tc>
      </w:tr>
      <w:tr>
        <w:trPr>
          <w:cantSplit/>
        </w:trPr>
        <w:tc>
          <w:tcPr>
            <w:tcW w:type="dxa" w:w="1701"/>
            <w:vAlign w:val="top"/>
          </w:tcPr>
          <w:p>
            <w:pPr>
              <w:spacing w:after="20" w:line="252" w:lineRule="auto"/>
            </w:pPr>
            <w:r>
              <w:rPr>
                <w:b/>
                <w:i w:val="0"/>
                <w:sz w:val="16"/>
              </w:rPr>
              <w:t>Connectivity</w:t>
            </w:r>
          </w:p>
        </w:tc>
        <w:tc>
          <w:tcPr>
            <w:tcW w:type="dxa" w:w="7937"/>
            <w:vAlign w:val="top"/>
          </w:tcPr>
          <w:p>
            <w:pPr>
              <w:spacing w:after="20" w:line="252" w:lineRule="auto"/>
            </w:pPr>
            <w:r>
              <w:rPr>
                <w:b w:val="0"/>
                <w:i w:val="0"/>
                <w:sz w:val="16"/>
              </w:rPr>
              <w:t>Site-to-site VPN to the IITH data centre for Core, FIN, AD, SMTP and back-office users</w:t>
            </w:r>
          </w:p>
        </w:tc>
      </w:tr>
      <w:tr>
        <w:trPr>
          <w:cantSplit/>
        </w:trPr>
        <w:tc>
          <w:tcPr>
            <w:tcW w:type="dxa" w:w="1701"/>
            <w:vAlign w:val="top"/>
            <w:shd w:val="clear" w:color="auto" w:fill="FDF0F7"/>
          </w:tcPr>
          <w:p>
            <w:pPr>
              <w:spacing w:after="20" w:line="252" w:lineRule="auto"/>
            </w:pPr>
            <w:r>
              <w:rPr>
                <w:b/>
                <w:i w:val="0"/>
                <w:sz w:val="16"/>
              </w:rPr>
              <w:t>DR</w:t>
            </w:r>
          </w:p>
        </w:tc>
        <w:tc>
          <w:tcPr>
            <w:tcW w:type="dxa" w:w="7937"/>
            <w:vAlign w:val="top"/>
            <w:shd w:val="clear" w:color="auto" w:fill="FDF0F7"/>
          </w:tcPr>
          <w:p>
            <w:pPr>
              <w:spacing w:after="20" w:line="252" w:lineRule="auto"/>
            </w:pPr>
            <w:r>
              <w:rPr>
                <w:b w:val="0"/>
                <w:i w:val="0"/>
                <w:sz w:val="16"/>
              </w:rPr>
              <w:t>Automated backups with point-in-time recovery; pilot-light DR in a second region</w:t>
            </w:r>
          </w:p>
        </w:tc>
      </w:tr>
    </w:tbl>
    <w:p>
      <w:pPr>
        <w:spacing w:after="0" w:before="0"/>
      </w:pPr>
      <w:r>
        <w:rPr>
          <w:sz w:val="8"/>
        </w:rPr>
      </w:r>
    </w:p>
    <w:p>
      <w:pPr>
        <w:keepNext/>
        <w:spacing w:after="0"/>
        <w:jc w:val="center"/>
      </w:pPr>
      <w:r>
        <w:drawing>
          <wp:inline xmlns:a="http://schemas.openxmlformats.org/drawingml/2006/main" xmlns:pic="http://schemas.openxmlformats.org/drawingml/2006/picture">
            <wp:extent cx="5760000" cy="3584000"/>
            <wp:docPr id="41" name="Picture 41"/>
            <wp:cNvGraphicFramePr>
              <a:graphicFrameLocks noChangeAspect="1"/>
            </wp:cNvGraphicFramePr>
            <a:graphic>
              <a:graphicData uri="http://schemas.openxmlformats.org/drawingml/2006/picture">
                <pic:pic>
                  <pic:nvPicPr>
                    <pic:cNvPr id="0" name="fig-deployment-cloud.png"/>
                    <pic:cNvPicPr/>
                  </pic:nvPicPr>
                  <pic:blipFill>
                    <a:blip r:embed="rId51"/>
                    <a:stretch>
                      <a:fillRect/>
                    </a:stretch>
                  </pic:blipFill>
                  <pic:spPr>
                    <a:xfrm>
                      <a:off x="0" y="0"/>
                      <a:ext cx="5760000" cy="3584000"/>
                    </a:xfrm>
                    <a:prstGeom prst="rect"/>
                  </pic:spPr>
                </pic:pic>
              </a:graphicData>
            </a:graphic>
          </wp:inline>
        </w:drawing>
      </w:r>
    </w:p>
    <w:p>
      <w:pPr>
        <w:pStyle w:val="Caption"/>
        <w:jc w:val="center"/>
      </w:pPr>
      <w:r>
        <w:rPr>
          <w:b w:val="0"/>
          <w:i w:val="0"/>
        </w:rPr>
        <w:t>Figure 38: Option B: iorta-hosted cloud deployment (AWS reference)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628"/>
        <w:gridCol w:w="4536"/>
        <w:gridCol w:w="1474"/>
      </w:tblGrid>
      <w:tr>
        <w:trPr>
          <w:cantSplit/>
          <w:tblHeader/>
        </w:trPr>
        <w:tc>
          <w:tcPr>
            <w:tcW w:type="dxa" w:w="3628"/>
            <w:shd w:val="clear" w:color="auto" w:fill="E1058C"/>
            <w:vAlign w:val="center"/>
          </w:tcPr>
          <w:p>
            <w:pPr>
              <w:spacing w:after="0"/>
            </w:pPr>
            <w:r>
              <w:rPr>
                <w:b/>
                <w:i w:val="0"/>
                <w:color w:val="FFFFFF"/>
                <w:sz w:val="16"/>
              </w:rPr>
              <w:t>Service</w:t>
            </w:r>
          </w:p>
        </w:tc>
        <w:tc>
          <w:tcPr>
            <w:tcW w:type="dxa" w:w="4535"/>
            <w:shd w:val="clear" w:color="auto" w:fill="E1058C"/>
            <w:vAlign w:val="center"/>
          </w:tcPr>
          <w:p>
            <w:pPr>
              <w:spacing w:after="0"/>
            </w:pPr>
            <w:r>
              <w:rPr>
                <w:b/>
                <w:i w:val="0"/>
                <w:color w:val="FFFFFF"/>
                <w:sz w:val="16"/>
              </w:rPr>
              <w:t>Reference sizing</w:t>
            </w:r>
          </w:p>
        </w:tc>
        <w:tc>
          <w:tcPr>
            <w:tcW w:type="dxa" w:w="1474"/>
            <w:shd w:val="clear" w:color="auto" w:fill="E1058C"/>
            <w:vAlign w:val="center"/>
          </w:tcPr>
          <w:p>
            <w:pPr>
              <w:spacing w:after="0"/>
            </w:pPr>
            <w:r>
              <w:rPr>
                <w:b/>
                <w:i w:val="0"/>
                <w:color w:val="FFFFFF"/>
                <w:sz w:val="16"/>
              </w:rPr>
              <w:t>B$ / month</w:t>
            </w:r>
          </w:p>
        </w:tc>
      </w:tr>
      <w:tr>
        <w:trPr>
          <w:cantSplit/>
        </w:trPr>
        <w:tc>
          <w:tcPr>
            <w:tcW w:type="dxa" w:w="3628"/>
            <w:vAlign w:val="top"/>
          </w:tcPr>
          <w:p>
            <w:pPr>
              <w:spacing w:after="20" w:line="252" w:lineRule="auto"/>
            </w:pPr>
            <w:r>
              <w:rPr>
                <w:b w:val="0"/>
                <w:i w:val="0"/>
                <w:sz w:val="16"/>
              </w:rPr>
              <w:t>Container compute, 2 tasks across 2 availability zones</w:t>
            </w:r>
          </w:p>
        </w:tc>
        <w:tc>
          <w:tcPr>
            <w:tcW w:type="dxa" w:w="4535"/>
            <w:vAlign w:val="top"/>
          </w:tcPr>
          <w:p>
            <w:pPr>
              <w:spacing w:after="20" w:line="252" w:lineRule="auto"/>
            </w:pPr>
            <w:r>
              <w:rPr>
                <w:b w:val="0"/>
                <w:i w:val="0"/>
                <w:sz w:val="16"/>
              </w:rPr>
              <w:t>2 tasks × (1 vCPU, 2 GB) incl. ClamAV sidecar; scales to 4 tasks</w:t>
            </w:r>
          </w:p>
        </w:tc>
        <w:tc>
          <w:tcPr>
            <w:tcW w:type="dxa" w:w="1474"/>
            <w:vAlign w:val="top"/>
          </w:tcPr>
          <w:p>
            <w:pPr>
              <w:spacing w:after="20" w:line="252" w:lineRule="auto"/>
              <w:jc w:val="right"/>
            </w:pPr>
            <w:r>
              <w:rPr>
                <w:b w:val="0"/>
                <w:i w:val="0"/>
                <w:sz w:val="16"/>
              </w:rPr>
              <w:t>B$ 260</w:t>
            </w:r>
          </w:p>
        </w:tc>
      </w:tr>
      <w:tr>
        <w:trPr>
          <w:cantSplit/>
        </w:trPr>
        <w:tc>
          <w:tcPr>
            <w:tcW w:type="dxa" w:w="3628"/>
            <w:vAlign w:val="top"/>
            <w:shd w:val="clear" w:color="auto" w:fill="FDF0F7"/>
          </w:tcPr>
          <w:p>
            <w:pPr>
              <w:spacing w:after="20" w:line="252" w:lineRule="auto"/>
            </w:pPr>
            <w:r>
              <w:rPr>
                <w:b w:val="0"/>
                <w:i w:val="0"/>
                <w:sz w:val="16"/>
              </w:rPr>
              <w:t>Managed PostgreSQL, Multi-AZ, 100 GB, automated backups</w:t>
            </w:r>
          </w:p>
        </w:tc>
        <w:tc>
          <w:tcPr>
            <w:tcW w:type="dxa" w:w="4535"/>
            <w:vAlign w:val="top"/>
            <w:shd w:val="clear" w:color="auto" w:fill="FDF0F7"/>
          </w:tcPr>
          <w:p>
            <w:pPr>
              <w:spacing w:after="20" w:line="252" w:lineRule="auto"/>
            </w:pPr>
            <w:r>
              <w:rPr>
                <w:b w:val="0"/>
                <w:i w:val="0"/>
                <w:sz w:val="16"/>
              </w:rPr>
              <w:t>db.t4g.large (2 vCPU, 8 GB), Multi-AZ, 100 GB gp3, 35-day backups and PITR</w:t>
            </w:r>
          </w:p>
        </w:tc>
        <w:tc>
          <w:tcPr>
            <w:tcW w:type="dxa" w:w="1474"/>
            <w:vAlign w:val="top"/>
            <w:shd w:val="clear" w:color="auto" w:fill="FDF0F7"/>
          </w:tcPr>
          <w:p>
            <w:pPr>
              <w:spacing w:after="20" w:line="252" w:lineRule="auto"/>
              <w:jc w:val="right"/>
            </w:pPr>
            <w:r>
              <w:rPr>
                <w:b w:val="0"/>
                <w:i w:val="0"/>
                <w:sz w:val="16"/>
              </w:rPr>
              <w:t>B$ 420</w:t>
            </w:r>
          </w:p>
        </w:tc>
      </w:tr>
      <w:tr>
        <w:trPr>
          <w:cantSplit/>
        </w:trPr>
        <w:tc>
          <w:tcPr>
            <w:tcW w:type="dxa" w:w="3628"/>
            <w:vAlign w:val="top"/>
          </w:tcPr>
          <w:p>
            <w:pPr>
              <w:spacing w:after="20" w:line="252" w:lineRule="auto"/>
            </w:pPr>
            <w:r>
              <w:rPr>
                <w:b w:val="0"/>
                <w:i w:val="0"/>
                <w:sz w:val="16"/>
              </w:rPr>
              <w:t>Application load balancer and web application firewall</w:t>
            </w:r>
          </w:p>
        </w:tc>
        <w:tc>
          <w:tcPr>
            <w:tcW w:type="dxa" w:w="4535"/>
            <w:vAlign w:val="top"/>
          </w:tcPr>
          <w:p>
            <w:pPr>
              <w:spacing w:after="20" w:line="252" w:lineRule="auto"/>
            </w:pPr>
            <w:r>
              <w:rPr>
                <w:b w:val="0"/>
                <w:i w:val="0"/>
                <w:sz w:val="16"/>
              </w:rPr>
              <w:t>1 load balancer; WAF with managed OWASP rule sets; managed TLS certificate</w:t>
            </w:r>
          </w:p>
        </w:tc>
        <w:tc>
          <w:tcPr>
            <w:tcW w:type="dxa" w:w="1474"/>
            <w:vAlign w:val="top"/>
          </w:tcPr>
          <w:p>
            <w:pPr>
              <w:spacing w:after="20" w:line="252" w:lineRule="auto"/>
              <w:jc w:val="right"/>
            </w:pPr>
            <w:r>
              <w:rPr>
                <w:b w:val="0"/>
                <w:i w:val="0"/>
                <w:sz w:val="16"/>
              </w:rPr>
              <w:t>B$ 130</w:t>
            </w:r>
          </w:p>
        </w:tc>
      </w:tr>
      <w:tr>
        <w:trPr>
          <w:cantSplit/>
        </w:trPr>
        <w:tc>
          <w:tcPr>
            <w:tcW w:type="dxa" w:w="3628"/>
            <w:vAlign w:val="top"/>
            <w:shd w:val="clear" w:color="auto" w:fill="FDF0F7"/>
          </w:tcPr>
          <w:p>
            <w:pPr>
              <w:spacing w:after="20" w:line="252" w:lineRule="auto"/>
            </w:pPr>
            <w:r>
              <w:rPr>
                <w:b w:val="0"/>
                <w:i w:val="0"/>
                <w:sz w:val="16"/>
              </w:rPr>
              <w:t>NAT gateway and data transfer</w:t>
            </w:r>
          </w:p>
        </w:tc>
        <w:tc>
          <w:tcPr>
            <w:tcW w:type="dxa" w:w="4535"/>
            <w:vAlign w:val="top"/>
            <w:shd w:val="clear" w:color="auto" w:fill="FDF0F7"/>
          </w:tcPr>
          <w:p>
            <w:pPr>
              <w:spacing w:after="20" w:line="252" w:lineRule="auto"/>
            </w:pPr>
            <w:r>
              <w:rPr>
                <w:b w:val="0"/>
                <w:i w:val="0"/>
                <w:sz w:val="16"/>
              </w:rPr>
              <w:t>NAT gateway, site-to-site VPN to the IITH data centre, outbound data</w:t>
            </w:r>
          </w:p>
        </w:tc>
        <w:tc>
          <w:tcPr>
            <w:tcW w:type="dxa" w:w="1474"/>
            <w:vAlign w:val="top"/>
            <w:shd w:val="clear" w:color="auto" w:fill="FDF0F7"/>
          </w:tcPr>
          <w:p>
            <w:pPr>
              <w:spacing w:after="20" w:line="252" w:lineRule="auto"/>
              <w:jc w:val="right"/>
            </w:pPr>
            <w:r>
              <w:rPr>
                <w:b w:val="0"/>
                <w:i w:val="0"/>
                <w:sz w:val="16"/>
              </w:rPr>
              <w:t>B$ 90</w:t>
            </w:r>
          </w:p>
        </w:tc>
      </w:tr>
      <w:tr>
        <w:trPr>
          <w:cantSplit/>
        </w:trPr>
        <w:tc>
          <w:tcPr>
            <w:tcW w:type="dxa" w:w="3628"/>
            <w:vAlign w:val="top"/>
          </w:tcPr>
          <w:p>
            <w:pPr>
              <w:spacing w:after="20" w:line="252" w:lineRule="auto"/>
            </w:pPr>
            <w:r>
              <w:rPr>
                <w:b w:val="0"/>
                <w:i w:val="0"/>
                <w:sz w:val="16"/>
              </w:rPr>
              <w:t>Object storage (encrypted) and cross-region backup copies</w:t>
            </w:r>
          </w:p>
        </w:tc>
        <w:tc>
          <w:tcPr>
            <w:tcW w:type="dxa" w:w="4535"/>
            <w:vAlign w:val="top"/>
          </w:tcPr>
          <w:p>
            <w:pPr>
              <w:spacing w:after="20" w:line="252" w:lineRule="auto"/>
            </w:pPr>
            <w:r>
              <w:rPr>
                <w:b w:val="0"/>
                <w:i w:val="0"/>
                <w:sz w:val="16"/>
              </w:rPr>
              <w:t>Shared file storage up to 100 GB; about 200 GB object storage; cross-region copy</w:t>
            </w:r>
          </w:p>
        </w:tc>
        <w:tc>
          <w:tcPr>
            <w:tcW w:type="dxa" w:w="1474"/>
            <w:vAlign w:val="top"/>
          </w:tcPr>
          <w:p>
            <w:pPr>
              <w:spacing w:after="20" w:line="252" w:lineRule="auto"/>
              <w:jc w:val="right"/>
            </w:pPr>
            <w:r>
              <w:rPr>
                <w:b w:val="0"/>
                <w:i w:val="0"/>
                <w:sz w:val="16"/>
              </w:rPr>
              <w:t>B$ 70</w:t>
            </w:r>
          </w:p>
        </w:tc>
      </w:tr>
      <w:tr>
        <w:trPr>
          <w:cantSplit/>
        </w:trPr>
        <w:tc>
          <w:tcPr>
            <w:tcW w:type="dxa" w:w="3628"/>
            <w:vAlign w:val="top"/>
            <w:shd w:val="clear" w:color="auto" w:fill="FDF0F7"/>
          </w:tcPr>
          <w:p>
            <w:pPr>
              <w:spacing w:after="20" w:line="252" w:lineRule="auto"/>
            </w:pPr>
            <w:r>
              <w:rPr>
                <w:b w:val="0"/>
                <w:i w:val="0"/>
                <w:sz w:val="16"/>
              </w:rPr>
              <w:t>Logging, metrics, alarms and threat detection</w:t>
            </w:r>
          </w:p>
        </w:tc>
        <w:tc>
          <w:tcPr>
            <w:tcW w:type="dxa" w:w="4535"/>
            <w:vAlign w:val="top"/>
            <w:shd w:val="clear" w:color="auto" w:fill="FDF0F7"/>
          </w:tcPr>
          <w:p>
            <w:pPr>
              <w:spacing w:after="20" w:line="252" w:lineRule="auto"/>
            </w:pPr>
            <w:r>
              <w:rPr>
                <w:b w:val="0"/>
                <w:i w:val="0"/>
                <w:sz w:val="16"/>
              </w:rPr>
              <w:t>Log retention 90 days, metrics, alarms, threat detection</w:t>
            </w:r>
          </w:p>
        </w:tc>
        <w:tc>
          <w:tcPr>
            <w:tcW w:type="dxa" w:w="1474"/>
            <w:vAlign w:val="top"/>
            <w:shd w:val="clear" w:color="auto" w:fill="FDF0F7"/>
          </w:tcPr>
          <w:p>
            <w:pPr>
              <w:spacing w:after="20" w:line="252" w:lineRule="auto"/>
              <w:jc w:val="right"/>
            </w:pPr>
            <w:r>
              <w:rPr>
                <w:b w:val="0"/>
                <w:i w:val="0"/>
                <w:sz w:val="16"/>
              </w:rPr>
              <w:t>B$ 70</w:t>
            </w:r>
          </w:p>
        </w:tc>
      </w:tr>
      <w:tr>
        <w:trPr>
          <w:cantSplit/>
        </w:trPr>
        <w:tc>
          <w:tcPr>
            <w:tcW w:type="dxa" w:w="3628"/>
            <w:vAlign w:val="top"/>
          </w:tcPr>
          <w:p>
            <w:pPr>
              <w:spacing w:after="20" w:line="252" w:lineRule="auto"/>
            </w:pPr>
            <w:r>
              <w:rPr>
                <w:b w:val="0"/>
                <w:i w:val="0"/>
                <w:sz w:val="16"/>
              </w:rPr>
              <w:t>Secrets and key management</w:t>
            </w:r>
          </w:p>
        </w:tc>
        <w:tc>
          <w:tcPr>
            <w:tcW w:type="dxa" w:w="4535"/>
            <w:vAlign w:val="top"/>
          </w:tcPr>
          <w:p>
            <w:pPr>
              <w:spacing w:after="20" w:line="252" w:lineRule="auto"/>
            </w:pPr>
            <w:r>
              <w:rPr>
                <w:b w:val="0"/>
                <w:i w:val="0"/>
                <w:sz w:val="16"/>
              </w:rPr>
              <w:t>Secrets store and customer-managed encryption keys</w:t>
            </w:r>
          </w:p>
        </w:tc>
        <w:tc>
          <w:tcPr>
            <w:tcW w:type="dxa" w:w="1474"/>
            <w:vAlign w:val="top"/>
          </w:tcPr>
          <w:p>
            <w:pPr>
              <w:spacing w:after="20" w:line="252" w:lineRule="auto"/>
              <w:jc w:val="right"/>
            </w:pPr>
            <w:r>
              <w:rPr>
                <w:b w:val="0"/>
                <w:i w:val="0"/>
                <w:sz w:val="16"/>
              </w:rPr>
              <w:t>B$ 20</w:t>
            </w:r>
          </w:p>
        </w:tc>
      </w:tr>
      <w:tr>
        <w:trPr>
          <w:cantSplit/>
        </w:trPr>
        <w:tc>
          <w:tcPr>
            <w:tcW w:type="dxa" w:w="3628"/>
            <w:vAlign w:val="top"/>
            <w:shd w:val="clear" w:color="auto" w:fill="FDF0F7"/>
          </w:tcPr>
          <w:p>
            <w:pPr>
              <w:spacing w:after="20" w:line="252" w:lineRule="auto"/>
            </w:pPr>
            <w:r>
              <w:rPr>
                <w:b w:val="0"/>
                <w:i w:val="0"/>
                <w:sz w:val="16"/>
              </w:rPr>
              <w:t>UAT environment, scaled down, stopped out of hours</w:t>
            </w:r>
          </w:p>
        </w:tc>
        <w:tc>
          <w:tcPr>
            <w:tcW w:type="dxa" w:w="4535"/>
            <w:vAlign w:val="top"/>
            <w:shd w:val="clear" w:color="auto" w:fill="FDF0F7"/>
          </w:tcPr>
          <w:p>
            <w:pPr>
              <w:spacing w:after="20" w:line="252" w:lineRule="auto"/>
            </w:pPr>
            <w:r>
              <w:rPr>
                <w:b w:val="0"/>
                <w:i w:val="0"/>
                <w:sz w:val="16"/>
              </w:rPr>
              <w:t>1 task and a single-AZ db.t4g.medium; stopped outside test periods</w:t>
            </w:r>
          </w:p>
        </w:tc>
        <w:tc>
          <w:tcPr>
            <w:tcW w:type="dxa" w:w="1474"/>
            <w:vAlign w:val="top"/>
            <w:shd w:val="clear" w:color="auto" w:fill="FDF0F7"/>
          </w:tcPr>
          <w:p>
            <w:pPr>
              <w:spacing w:after="20" w:line="252" w:lineRule="auto"/>
              <w:jc w:val="right"/>
            </w:pPr>
            <w:r>
              <w:rPr>
                <w:b w:val="0"/>
                <w:i w:val="0"/>
                <w:sz w:val="16"/>
              </w:rPr>
              <w:t>B$ 120</w:t>
            </w:r>
          </w:p>
        </w:tc>
      </w:tr>
      <w:tr>
        <w:trPr>
          <w:cantSplit/>
        </w:trPr>
        <w:tc>
          <w:tcPr>
            <w:tcW w:type="dxa" w:w="3628"/>
            <w:vAlign w:val="top"/>
          </w:tcPr>
          <w:p>
            <w:pPr>
              <w:spacing w:after="20" w:line="252" w:lineRule="auto"/>
            </w:pPr>
            <w:r>
              <w:rPr>
                <w:b w:val="0"/>
                <w:i w:val="0"/>
                <w:sz w:val="16"/>
              </w:rPr>
              <w:t>DR environment, pilot light in a second region</w:t>
            </w:r>
          </w:p>
        </w:tc>
        <w:tc>
          <w:tcPr>
            <w:tcW w:type="dxa" w:w="4535"/>
            <w:vAlign w:val="top"/>
          </w:tcPr>
          <w:p>
            <w:pPr>
              <w:spacing w:after="20" w:line="252" w:lineRule="auto"/>
            </w:pPr>
            <w:r>
              <w:rPr>
                <w:b w:val="0"/>
                <w:i w:val="0"/>
                <w:sz w:val="16"/>
              </w:rPr>
              <w:t>Cross-region database replica or snapshots and standby images</w:t>
            </w:r>
          </w:p>
        </w:tc>
        <w:tc>
          <w:tcPr>
            <w:tcW w:type="dxa" w:w="1474"/>
            <w:vAlign w:val="top"/>
          </w:tcPr>
          <w:p>
            <w:pPr>
              <w:spacing w:after="20" w:line="252" w:lineRule="auto"/>
              <w:jc w:val="right"/>
            </w:pPr>
            <w:r>
              <w:rPr>
                <w:b w:val="0"/>
                <w:i w:val="0"/>
                <w:sz w:val="16"/>
              </w:rPr>
              <w:t>B$ 150</w:t>
            </w:r>
          </w:p>
        </w:tc>
      </w:tr>
      <w:tr>
        <w:trPr>
          <w:cantSplit/>
        </w:trPr>
        <w:tc>
          <w:tcPr>
            <w:tcW w:type="dxa" w:w="3628"/>
            <w:vAlign w:val="top"/>
            <w:shd w:val="clear" w:color="auto" w:fill="FEEBDD"/>
          </w:tcPr>
          <w:p>
            <w:pPr>
              <w:spacing w:after="20" w:line="252" w:lineRule="auto"/>
            </w:pPr>
            <w:r>
              <w:rPr>
                <w:b/>
                <w:i w:val="0"/>
                <w:sz w:val="16"/>
              </w:rPr>
              <w:t>Total per month</w:t>
            </w:r>
          </w:p>
        </w:tc>
        <w:tc>
          <w:tcPr>
            <w:tcW w:type="dxa" w:w="4535"/>
            <w:vAlign w:val="top"/>
            <w:shd w:val="clear" w:color="auto" w:fill="FEEBDD"/>
          </w:tcPr>
          <w:p>
            <w:pPr>
              <w:spacing w:after="20" w:line="252" w:lineRule="auto"/>
            </w:pPr>
          </w:p>
        </w:tc>
        <w:tc>
          <w:tcPr>
            <w:tcW w:type="dxa" w:w="1474"/>
            <w:vAlign w:val="top"/>
            <w:shd w:val="clear" w:color="auto" w:fill="FEEBDD"/>
          </w:tcPr>
          <w:p>
            <w:pPr>
              <w:spacing w:after="20" w:line="252" w:lineRule="auto"/>
              <w:jc w:val="right"/>
            </w:pPr>
            <w:r>
              <w:rPr>
                <w:b/>
                <w:i w:val="0"/>
                <w:sz w:val="16"/>
              </w:rPr>
              <w:t>B$ 1,330</w:t>
            </w:r>
          </w:p>
        </w:tc>
      </w:tr>
      <w:tr>
        <w:trPr>
          <w:cantSplit/>
        </w:trPr>
        <w:tc>
          <w:tcPr>
            <w:tcW w:type="dxa" w:w="3628"/>
            <w:vAlign w:val="top"/>
            <w:shd w:val="clear" w:color="auto" w:fill="FEEBDD"/>
          </w:tcPr>
          <w:p>
            <w:pPr>
              <w:spacing w:after="20" w:line="252" w:lineRule="auto"/>
            </w:pPr>
            <w:r>
              <w:rPr>
                <w:b/>
                <w:i w:val="0"/>
                <w:sz w:val="16"/>
              </w:rPr>
              <w:t>Total per year (at cost, estimate)</w:t>
            </w:r>
          </w:p>
        </w:tc>
        <w:tc>
          <w:tcPr>
            <w:tcW w:type="dxa" w:w="4535"/>
            <w:vAlign w:val="top"/>
            <w:shd w:val="clear" w:color="auto" w:fill="FEEBDD"/>
          </w:tcPr>
          <w:p>
            <w:pPr>
              <w:spacing w:after="20" w:line="252" w:lineRule="auto"/>
            </w:pPr>
          </w:p>
        </w:tc>
        <w:tc>
          <w:tcPr>
            <w:tcW w:type="dxa" w:w="1474"/>
            <w:vAlign w:val="top"/>
            <w:shd w:val="clear" w:color="auto" w:fill="FEEBDD"/>
          </w:tcPr>
          <w:p>
            <w:pPr>
              <w:spacing w:after="20" w:line="252" w:lineRule="auto"/>
              <w:jc w:val="right"/>
            </w:pPr>
            <w:r>
              <w:rPr>
                <w:b/>
                <w:i w:val="0"/>
                <w:sz w:val="16"/>
              </w:rPr>
              <w:t>B$ 15,960</w:t>
            </w:r>
          </w:p>
        </w:tc>
      </w:tr>
    </w:tbl>
    <w:p>
      <w:pPr>
        <w:pStyle w:val="Caption"/>
        <w:jc w:val="center"/>
      </w:pPr>
      <w:r>
        <w:rPr>
          <w:b w:val="0"/>
          <w:i w:val="0"/>
        </w:rPr>
        <w:t>Table 26: Option B cloud infrastructure estimate (recharged at cost)</w:t>
      </w:r>
    </w:p>
    <w:p>
      <w:pPr>
        <w:keepNext w:val="0"/>
      </w:pPr>
      <w:r>
        <w:rPr>
          <w:b w:val="0"/>
          <w:i w:val="0"/>
        </w:rPr>
        <w:t>iorta's managed services (monitoring, patching, backups, DR drills, security monitoring and cost management) cost B$ 1,100 a month in Year 1. Cloud charges move with usage and exchange rates; they are recharged at the provider's cost without mark-up, or IIFT holds the account and pays the provider directly. The one-off cloud set-up fee is B$ 15,000.</w:t>
      </w:r>
    </w:p>
    <w:p>
      <w:pPr>
        <w:pStyle w:val="Heading2"/>
      </w:pPr>
      <w:r>
        <w:t>15.3 Hybrid variant of Option A</w:t>
      </w:r>
    </w:p>
    <w:p>
      <w:pPr>
        <w:keepNext w:val="0"/>
      </w:pPr>
      <w:r>
        <w:rPr>
          <w:b w:val="0"/>
          <w:i w:val="0"/>
        </w:rPr>
        <w:t>The back-office, database and documents stay in the IITH data centre. Only the portal's web tier (static application and reverse proxy) sits in the DMZ or at a cloud edge and forwards API calls over an encrypted private link. Personal data never leaves the data centre. This suits IIFT if internet-facing capacity in the data centre is limited; it is priced as Option A, with any edge hosting at actuals.</w:t>
      </w:r>
    </w:p>
    <w:p>
      <w:pPr>
        <w:pStyle w:val="Heading2"/>
      </w:pPr>
      <w:r>
        <w:t>15.4 Comparison and recommendation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2608"/>
        <w:gridCol w:w="2835"/>
        <w:gridCol w:w="2381"/>
      </w:tblGrid>
      <w:tr>
        <w:trPr>
          <w:cantSplit/>
          <w:tblHeader/>
        </w:trPr>
        <w:tc>
          <w:tcPr>
            <w:tcW w:type="dxa" w:w="1814"/>
            <w:shd w:val="clear" w:color="auto" w:fill="E1058C"/>
            <w:vAlign w:val="center"/>
          </w:tcPr>
          <w:p>
            <w:pPr>
              <w:spacing w:after="0"/>
            </w:pPr>
            <w:r>
              <w:rPr>
                <w:b/>
                <w:i w:val="0"/>
                <w:color w:val="FFFFFF"/>
                <w:sz w:val="16"/>
              </w:rPr>
              <w:t>Criterion</w:t>
            </w:r>
          </w:p>
        </w:tc>
        <w:tc>
          <w:tcPr>
            <w:tcW w:type="dxa" w:w="2608"/>
            <w:shd w:val="clear" w:color="auto" w:fill="E1058C"/>
            <w:vAlign w:val="center"/>
          </w:tcPr>
          <w:p>
            <w:pPr>
              <w:spacing w:after="0"/>
            </w:pPr>
            <w:r>
              <w:rPr>
                <w:b/>
                <w:i w:val="0"/>
                <w:color w:val="FFFFFF"/>
                <w:sz w:val="16"/>
              </w:rPr>
              <w:t>A: On-premise</w:t>
            </w:r>
          </w:p>
        </w:tc>
        <w:tc>
          <w:tcPr>
            <w:tcW w:type="dxa" w:w="2835"/>
            <w:shd w:val="clear" w:color="auto" w:fill="E1058C"/>
            <w:vAlign w:val="center"/>
          </w:tcPr>
          <w:p>
            <w:pPr>
              <w:spacing w:after="0"/>
            </w:pPr>
            <w:r>
              <w:rPr>
                <w:b/>
                <w:i w:val="0"/>
                <w:color w:val="FFFFFF"/>
                <w:sz w:val="16"/>
              </w:rPr>
              <w:t>B: iorta-hosted cloud</w:t>
            </w:r>
          </w:p>
        </w:tc>
        <w:tc>
          <w:tcPr>
            <w:tcW w:type="dxa" w:w="2381"/>
            <w:shd w:val="clear" w:color="auto" w:fill="E1058C"/>
            <w:vAlign w:val="center"/>
          </w:tcPr>
          <w:p>
            <w:pPr>
              <w:spacing w:after="0"/>
            </w:pPr>
            <w:r>
              <w:rPr>
                <w:b/>
                <w:i w:val="0"/>
                <w:color w:val="FFFFFF"/>
                <w:sz w:val="16"/>
              </w:rPr>
              <w:t>Hybrid variant</w:t>
            </w:r>
          </w:p>
        </w:tc>
      </w:tr>
      <w:tr>
        <w:trPr>
          <w:cantSplit/>
        </w:trPr>
        <w:tc>
          <w:tcPr>
            <w:tcW w:type="dxa" w:w="1814"/>
            <w:vAlign w:val="top"/>
          </w:tcPr>
          <w:p>
            <w:pPr>
              <w:spacing w:after="20" w:line="252" w:lineRule="auto"/>
            </w:pPr>
            <w:r>
              <w:rPr>
                <w:b/>
                <w:i w:val="0"/>
                <w:sz w:val="16"/>
              </w:rPr>
              <w:t>Commercial option</w:t>
            </w:r>
          </w:p>
        </w:tc>
        <w:tc>
          <w:tcPr>
            <w:tcW w:type="dxa" w:w="2608"/>
            <w:vAlign w:val="top"/>
          </w:tcPr>
          <w:p>
            <w:pPr>
              <w:spacing w:after="20" w:line="252" w:lineRule="auto"/>
            </w:pPr>
            <w:r>
              <w:rPr>
                <w:b w:val="0"/>
                <w:i w:val="0"/>
                <w:sz w:val="16"/>
              </w:rPr>
              <w:t>Option A: perpetual licence and AMC</w:t>
            </w:r>
          </w:p>
        </w:tc>
        <w:tc>
          <w:tcPr>
            <w:tcW w:type="dxa" w:w="2835"/>
            <w:vAlign w:val="top"/>
          </w:tcPr>
          <w:p>
            <w:pPr>
              <w:spacing w:after="20" w:line="252" w:lineRule="auto"/>
            </w:pPr>
            <w:r>
              <w:rPr>
                <w:b w:val="0"/>
                <w:i w:val="0"/>
                <w:sz w:val="16"/>
              </w:rPr>
              <w:t>Option B: subscription and managed services</w:t>
            </w:r>
          </w:p>
        </w:tc>
        <w:tc>
          <w:tcPr>
            <w:tcW w:type="dxa" w:w="2381"/>
            <w:vAlign w:val="top"/>
          </w:tcPr>
          <w:p>
            <w:pPr>
              <w:spacing w:after="20" w:line="252" w:lineRule="auto"/>
            </w:pPr>
            <w:r>
              <w:rPr>
                <w:b w:val="0"/>
                <w:i w:val="0"/>
                <w:sz w:val="16"/>
              </w:rPr>
              <w:t>Option A</w:t>
            </w:r>
          </w:p>
        </w:tc>
      </w:tr>
      <w:tr>
        <w:trPr>
          <w:cantSplit/>
        </w:trPr>
        <w:tc>
          <w:tcPr>
            <w:tcW w:type="dxa" w:w="1814"/>
            <w:vAlign w:val="top"/>
            <w:shd w:val="clear" w:color="auto" w:fill="FDF0F7"/>
          </w:tcPr>
          <w:p>
            <w:pPr>
              <w:spacing w:after="20" w:line="252" w:lineRule="auto"/>
            </w:pPr>
            <w:r>
              <w:rPr>
                <w:b/>
                <w:i w:val="0"/>
                <w:sz w:val="16"/>
              </w:rPr>
              <w:t>Data residency</w:t>
            </w:r>
          </w:p>
        </w:tc>
        <w:tc>
          <w:tcPr>
            <w:tcW w:type="dxa" w:w="2608"/>
            <w:vAlign w:val="top"/>
            <w:shd w:val="clear" w:color="auto" w:fill="FDF0F7"/>
          </w:tcPr>
          <w:p>
            <w:pPr>
              <w:spacing w:after="20" w:line="252" w:lineRule="auto"/>
            </w:pPr>
            <w:r>
              <w:rPr>
                <w:b w:val="0"/>
                <w:i w:val="0"/>
                <w:sz w:val="16"/>
              </w:rPr>
              <w:t>Data stays in Brunei</w:t>
            </w:r>
          </w:p>
        </w:tc>
        <w:tc>
          <w:tcPr>
            <w:tcW w:type="dxa" w:w="2835"/>
            <w:vAlign w:val="top"/>
            <w:shd w:val="clear" w:color="auto" w:fill="FDF0F7"/>
          </w:tcPr>
          <w:p>
            <w:pPr>
              <w:spacing w:after="20" w:line="252" w:lineRule="auto"/>
            </w:pPr>
            <w:r>
              <w:rPr>
                <w:b w:val="0"/>
                <w:i w:val="0"/>
                <w:sz w:val="16"/>
              </w:rPr>
              <w:t>Malaysia region; DR copies in a second region; needs IIFT approval and AMBD notification</w:t>
            </w:r>
          </w:p>
        </w:tc>
        <w:tc>
          <w:tcPr>
            <w:tcW w:type="dxa" w:w="2381"/>
            <w:vAlign w:val="top"/>
            <w:shd w:val="clear" w:color="auto" w:fill="FDF0F7"/>
          </w:tcPr>
          <w:p>
            <w:pPr>
              <w:spacing w:after="20" w:line="252" w:lineRule="auto"/>
            </w:pPr>
            <w:r>
              <w:rPr>
                <w:b w:val="0"/>
                <w:i w:val="0"/>
                <w:sz w:val="16"/>
              </w:rPr>
              <w:t>Personal data on-premise; portal web tier in DMZ or cloud</w:t>
            </w:r>
          </w:p>
        </w:tc>
      </w:tr>
      <w:tr>
        <w:trPr>
          <w:cantSplit/>
        </w:trPr>
        <w:tc>
          <w:tcPr>
            <w:tcW w:type="dxa" w:w="1814"/>
            <w:vAlign w:val="top"/>
          </w:tcPr>
          <w:p>
            <w:pPr>
              <w:spacing w:after="20" w:line="252" w:lineRule="auto"/>
            </w:pPr>
            <w:r>
              <w:rPr>
                <w:b/>
                <w:i w:val="0"/>
                <w:sz w:val="16"/>
              </w:rPr>
              <w:t>Regulatory steps</w:t>
            </w:r>
          </w:p>
        </w:tc>
        <w:tc>
          <w:tcPr>
            <w:tcW w:type="dxa" w:w="2608"/>
            <w:vAlign w:val="top"/>
          </w:tcPr>
          <w:p>
            <w:pPr>
              <w:spacing w:after="20" w:line="252" w:lineRule="auto"/>
            </w:pPr>
            <w:r>
              <w:rPr>
                <w:b w:val="0"/>
                <w:i w:val="0"/>
                <w:sz w:val="16"/>
              </w:rPr>
              <w:t>Internal approval only</w:t>
            </w:r>
          </w:p>
        </w:tc>
        <w:tc>
          <w:tcPr>
            <w:tcW w:type="dxa" w:w="2835"/>
            <w:vAlign w:val="top"/>
          </w:tcPr>
          <w:p>
            <w:pPr>
              <w:spacing w:after="20" w:line="252" w:lineRule="auto"/>
            </w:pPr>
            <w:r>
              <w:rPr>
                <w:b w:val="0"/>
                <w:i w:val="0"/>
                <w:sz w:val="16"/>
              </w:rPr>
              <w:t>AMBD outsourcing and cloud notification by IIFT</w:t>
            </w:r>
          </w:p>
        </w:tc>
        <w:tc>
          <w:tcPr>
            <w:tcW w:type="dxa" w:w="2381"/>
            <w:vAlign w:val="top"/>
          </w:tcPr>
          <w:p>
            <w:pPr>
              <w:spacing w:after="20" w:line="252" w:lineRule="auto"/>
            </w:pPr>
            <w:r>
              <w:rPr>
                <w:b w:val="0"/>
                <w:i w:val="0"/>
                <w:sz w:val="16"/>
              </w:rPr>
              <w:t>Depends on what sits in the cloud</w:t>
            </w:r>
          </w:p>
        </w:tc>
      </w:tr>
      <w:tr>
        <w:trPr>
          <w:cantSplit/>
        </w:trPr>
        <w:tc>
          <w:tcPr>
            <w:tcW w:type="dxa" w:w="1814"/>
            <w:vAlign w:val="top"/>
            <w:shd w:val="clear" w:color="auto" w:fill="FDF0F7"/>
          </w:tcPr>
          <w:p>
            <w:pPr>
              <w:spacing w:after="20" w:line="252" w:lineRule="auto"/>
            </w:pPr>
            <w:r>
              <w:rPr>
                <w:b/>
                <w:i w:val="0"/>
                <w:sz w:val="16"/>
              </w:rPr>
              <w:t>Infrastructure cost</w:t>
            </w:r>
          </w:p>
        </w:tc>
        <w:tc>
          <w:tcPr>
            <w:tcW w:type="dxa" w:w="2608"/>
            <w:vAlign w:val="top"/>
            <w:shd w:val="clear" w:color="auto" w:fill="FDF0F7"/>
          </w:tcPr>
          <w:p>
            <w:pPr>
              <w:spacing w:after="20" w:line="252" w:lineRule="auto"/>
            </w:pPr>
            <w:r>
              <w:rPr>
                <w:b w:val="0"/>
                <w:i w:val="0"/>
                <w:sz w:val="16"/>
              </w:rPr>
              <w:t>IIFT procures: indicative B$ 20,500–42,000 one-time (less where IITH capacity is reused)</w:t>
            </w:r>
          </w:p>
        </w:tc>
        <w:tc>
          <w:tcPr>
            <w:tcW w:type="dxa" w:w="2835"/>
            <w:vAlign w:val="top"/>
            <w:shd w:val="clear" w:color="auto" w:fill="FDF0F7"/>
          </w:tcPr>
          <w:p>
            <w:pPr>
              <w:spacing w:after="20" w:line="252" w:lineRule="auto"/>
            </w:pPr>
            <w:r>
              <w:rPr>
                <w:b w:val="0"/>
                <w:i w:val="0"/>
                <w:sz w:val="16"/>
              </w:rPr>
              <w:t>Set-up B$ 15,000 one-off; cloud at cost, no mark-up: about B$ 1,330 a month</w:t>
            </w:r>
          </w:p>
        </w:tc>
        <w:tc>
          <w:tcPr>
            <w:tcW w:type="dxa" w:w="2381"/>
            <w:vAlign w:val="top"/>
            <w:shd w:val="clear" w:color="auto" w:fill="FDF0F7"/>
          </w:tcPr>
          <w:p>
            <w:pPr>
              <w:spacing w:after="20" w:line="252" w:lineRule="auto"/>
            </w:pPr>
            <w:r>
              <w:rPr>
                <w:b w:val="0"/>
                <w:i w:val="0"/>
                <w:sz w:val="16"/>
              </w:rPr>
              <w:t>Mostly as Option A</w:t>
            </w:r>
          </w:p>
        </w:tc>
      </w:tr>
      <w:tr>
        <w:trPr>
          <w:cantSplit/>
        </w:trPr>
        <w:tc>
          <w:tcPr>
            <w:tcW w:type="dxa" w:w="1814"/>
            <w:vAlign w:val="top"/>
          </w:tcPr>
          <w:p>
            <w:pPr>
              <w:spacing w:after="20" w:line="252" w:lineRule="auto"/>
            </w:pPr>
            <w:r>
              <w:rPr>
                <w:b/>
                <w:i w:val="0"/>
                <w:sz w:val="16"/>
              </w:rPr>
              <w:t>Operations</w:t>
            </w:r>
          </w:p>
        </w:tc>
        <w:tc>
          <w:tcPr>
            <w:tcW w:type="dxa" w:w="2608"/>
            <w:vAlign w:val="top"/>
          </w:tcPr>
          <w:p>
            <w:pPr>
              <w:spacing w:after="20" w:line="252" w:lineRule="auto"/>
            </w:pPr>
            <w:r>
              <w:rPr>
                <w:b w:val="0"/>
                <w:i w:val="0"/>
                <w:sz w:val="16"/>
              </w:rPr>
              <w:t>IITH infrastructure team; iorta application support under the AMC</w:t>
            </w:r>
          </w:p>
        </w:tc>
        <w:tc>
          <w:tcPr>
            <w:tcW w:type="dxa" w:w="2835"/>
            <w:vAlign w:val="top"/>
          </w:tcPr>
          <w:p>
            <w:pPr>
              <w:spacing w:after="20" w:line="252" w:lineRule="auto"/>
            </w:pPr>
            <w:r>
              <w:rPr>
                <w:b w:val="0"/>
                <w:i w:val="0"/>
                <w:sz w:val="16"/>
              </w:rPr>
              <w:t>iorta managed services, B$ 1,100 a month in Year 1</w:t>
            </w:r>
          </w:p>
        </w:tc>
        <w:tc>
          <w:tcPr>
            <w:tcW w:type="dxa" w:w="2381"/>
            <w:vAlign w:val="top"/>
          </w:tcPr>
          <w:p>
            <w:pPr>
              <w:spacing w:after="20" w:line="252" w:lineRule="auto"/>
            </w:pPr>
            <w:r>
              <w:rPr>
                <w:b w:val="0"/>
                <w:i w:val="0"/>
                <w:sz w:val="16"/>
              </w:rPr>
              <w:t>Shared</w:t>
            </w:r>
          </w:p>
        </w:tc>
      </w:tr>
      <w:tr>
        <w:trPr>
          <w:cantSplit/>
        </w:trPr>
        <w:tc>
          <w:tcPr>
            <w:tcW w:type="dxa" w:w="1814"/>
            <w:vAlign w:val="top"/>
            <w:shd w:val="clear" w:color="auto" w:fill="FDF0F7"/>
          </w:tcPr>
          <w:p>
            <w:pPr>
              <w:spacing w:after="20" w:line="252" w:lineRule="auto"/>
            </w:pPr>
            <w:r>
              <w:rPr>
                <w:b/>
                <w:i w:val="0"/>
                <w:sz w:val="16"/>
              </w:rPr>
              <w:t>Provisioning time</w:t>
            </w:r>
          </w:p>
        </w:tc>
        <w:tc>
          <w:tcPr>
            <w:tcW w:type="dxa" w:w="2608"/>
            <w:vAlign w:val="top"/>
            <w:shd w:val="clear" w:color="auto" w:fill="FDF0F7"/>
          </w:tcPr>
          <w:p>
            <w:pPr>
              <w:spacing w:after="20" w:line="252" w:lineRule="auto"/>
            </w:pPr>
            <w:r>
              <w:rPr>
                <w:b w:val="0"/>
                <w:i w:val="0"/>
                <w:sz w:val="16"/>
              </w:rPr>
              <w:t>Depends on IITH VM provisioning</w:t>
            </w:r>
          </w:p>
        </w:tc>
        <w:tc>
          <w:tcPr>
            <w:tcW w:type="dxa" w:w="2835"/>
            <w:vAlign w:val="top"/>
            <w:shd w:val="clear" w:color="auto" w:fill="FDF0F7"/>
          </w:tcPr>
          <w:p>
            <w:pPr>
              <w:spacing w:after="20" w:line="252" w:lineRule="auto"/>
            </w:pPr>
            <w:r>
              <w:rPr>
                <w:b w:val="0"/>
                <w:i w:val="0"/>
                <w:sz w:val="16"/>
              </w:rPr>
              <w:t>Days</w:t>
            </w:r>
          </w:p>
        </w:tc>
        <w:tc>
          <w:tcPr>
            <w:tcW w:type="dxa" w:w="2381"/>
            <w:vAlign w:val="top"/>
            <w:shd w:val="clear" w:color="auto" w:fill="FDF0F7"/>
          </w:tcPr>
          <w:p>
            <w:pPr>
              <w:spacing w:after="20" w:line="252" w:lineRule="auto"/>
            </w:pPr>
            <w:r>
              <w:rPr>
                <w:b w:val="0"/>
                <w:i w:val="0"/>
                <w:sz w:val="16"/>
              </w:rPr>
              <w:t>Mixed</w:t>
            </w:r>
          </w:p>
        </w:tc>
      </w:tr>
      <w:tr>
        <w:trPr>
          <w:cantSplit/>
        </w:trPr>
        <w:tc>
          <w:tcPr>
            <w:tcW w:type="dxa" w:w="1814"/>
            <w:vAlign w:val="top"/>
          </w:tcPr>
          <w:p>
            <w:pPr>
              <w:spacing w:after="20" w:line="252" w:lineRule="auto"/>
            </w:pPr>
            <w:r>
              <w:rPr>
                <w:b/>
                <w:i w:val="0"/>
                <w:sz w:val="16"/>
              </w:rPr>
              <w:t>Resilience</w:t>
            </w:r>
          </w:p>
        </w:tc>
        <w:tc>
          <w:tcPr>
            <w:tcW w:type="dxa" w:w="2608"/>
            <w:vAlign w:val="top"/>
          </w:tcPr>
          <w:p>
            <w:pPr>
              <w:spacing w:after="20" w:line="252" w:lineRule="auto"/>
            </w:pPr>
            <w:r>
              <w:rPr>
                <w:b w:val="0"/>
                <w:i w:val="0"/>
                <w:sz w:val="16"/>
              </w:rPr>
              <w:t>Two nodes, standby database, DR site</w:t>
            </w:r>
          </w:p>
        </w:tc>
        <w:tc>
          <w:tcPr>
            <w:tcW w:type="dxa" w:w="2835"/>
            <w:vAlign w:val="top"/>
          </w:tcPr>
          <w:p>
            <w:pPr>
              <w:spacing w:after="20" w:line="252" w:lineRule="auto"/>
            </w:pPr>
            <w:r>
              <w:rPr>
                <w:b w:val="0"/>
                <w:i w:val="0"/>
                <w:sz w:val="16"/>
              </w:rPr>
              <w:t>Multi-AZ; DR in a second region</w:t>
            </w:r>
          </w:p>
        </w:tc>
        <w:tc>
          <w:tcPr>
            <w:tcW w:type="dxa" w:w="2381"/>
            <w:vAlign w:val="top"/>
          </w:tcPr>
          <w:p>
            <w:pPr>
              <w:spacing w:after="20" w:line="252" w:lineRule="auto"/>
            </w:pPr>
            <w:r>
              <w:rPr>
                <w:b w:val="0"/>
                <w:i w:val="0"/>
                <w:sz w:val="16"/>
              </w:rPr>
              <w:t>Per component</w:t>
            </w:r>
          </w:p>
        </w:tc>
      </w:tr>
    </w:tbl>
    <w:p>
      <w:pPr>
        <w:pStyle w:val="Caption"/>
        <w:jc w:val="center"/>
      </w:pPr>
      <w:r>
        <w:rPr>
          <w:b w:val="0"/>
          <w:i w:val="0"/>
        </w:rPr>
        <w:t>Table 27: Deployment models compared</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Recommendation: Option A, on-premise in the IITH/IIFT data centre</w:t>
            </w:r>
          </w:p>
          <w:p>
            <w:pPr>
              <w:spacing w:after="40"/>
            </w:pPr>
            <w:r>
              <w:rPr>
                <w:b w:val="0"/>
                <w:i w:val="0"/>
                <w:sz w:val="19"/>
              </w:rPr>
              <w:t>Participant and agent data stays in Brunei and no extra regulatory step is needed.</w:t>
            </w:r>
          </w:p>
          <w:p>
            <w:pPr>
              <w:spacing w:after="40"/>
            </w:pPr>
            <w:r>
              <w:rPr>
                <w:b w:val="0"/>
                <w:i w:val="0"/>
                <w:sz w:val="19"/>
              </w:rPr>
              <w:t>IITH's existing data-centre services and operating model are reused, as for other group systems, which keeps cost and support effort down.</w:t>
            </w:r>
          </w:p>
          <w:p>
            <w:pPr>
              <w:spacing w:after="40"/>
            </w:pPr>
            <w:r>
              <w:rPr>
                <w:b w:val="0"/>
                <w:i w:val="0"/>
                <w:sz w:val="19"/>
              </w:rPr>
              <w:t>Option A has the lowest five-year cost (Section 19). Option B remains available if IIFT prefers an operating-expense model with iorta running the infrastructure.</w:t>
            </w:r>
          </w:p>
        </w:tc>
      </w:tr>
    </w:tbl>
    <w:p>
      <w:pPr>
        <w:spacing w:after="0" w:before="0"/>
      </w:pPr>
      <w:r>
        <w:rPr>
          <w:sz w:val="12"/>
        </w:rPr>
      </w:r>
    </w:p>
    <w:p>
      <w:pPr>
        <w:pStyle w:val="Heading1"/>
        <w:pageBreakBefore/>
        <w:pBdr>
          <w:bottom w:val="single" w:sz="12" w:space="4" w:color="F58220"/>
        </w:pBdr>
      </w:pPr>
      <w:r>
        <w:t>16. Technical Document Pack</w:t>
      </w:r>
    </w:p>
    <w:p>
      <w:pPr>
        <w:keepNext w:val="0"/>
      </w:pPr>
      <w:r>
        <w:rPr>
          <w:b w:val="0"/>
          <w:i w:val="0"/>
        </w:rPr>
        <w:t>The technical documents below accompany this proposal in the folder docs/technical. They describe SalesVerse 2.0 as it stands today and are updated for IIFT during the project. This chapter summarises them; it does not repeat their content.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4422"/>
        <w:gridCol w:w="2041"/>
      </w:tblGrid>
      <w:tr>
        <w:trPr>
          <w:cantSplit/>
          <w:tblHeader/>
        </w:trPr>
        <w:tc>
          <w:tcPr>
            <w:tcW w:type="dxa" w:w="3175"/>
            <w:shd w:val="clear" w:color="auto" w:fill="E1058C"/>
            <w:vAlign w:val="center"/>
          </w:tcPr>
          <w:p>
            <w:pPr>
              <w:spacing w:after="0"/>
            </w:pPr>
            <w:r>
              <w:rPr>
                <w:b/>
                <w:i w:val="0"/>
                <w:color w:val="FFFFFF"/>
                <w:sz w:val="16"/>
              </w:rPr>
              <w:t>Document</w:t>
            </w:r>
          </w:p>
        </w:tc>
        <w:tc>
          <w:tcPr>
            <w:tcW w:type="dxa" w:w="4422"/>
            <w:shd w:val="clear" w:color="auto" w:fill="E1058C"/>
            <w:vAlign w:val="center"/>
          </w:tcPr>
          <w:p>
            <w:pPr>
              <w:spacing w:after="0"/>
            </w:pPr>
            <w:r>
              <w:rPr>
                <w:b/>
                <w:i w:val="0"/>
                <w:color w:val="FFFFFF"/>
                <w:sz w:val="16"/>
              </w:rPr>
              <w:t>Content</w:t>
            </w:r>
          </w:p>
        </w:tc>
        <w:tc>
          <w:tcPr>
            <w:tcW w:type="dxa" w:w="2041"/>
            <w:shd w:val="clear" w:color="auto" w:fill="E1058C"/>
            <w:vAlign w:val="center"/>
          </w:tcPr>
          <w:p>
            <w:pPr>
              <w:spacing w:after="0"/>
            </w:pPr>
            <w:r>
              <w:rPr>
                <w:b/>
                <w:i w:val="0"/>
                <w:color w:val="FFFFFF"/>
                <w:sz w:val="16"/>
              </w:rPr>
              <w:t>RFP references</w:t>
            </w:r>
          </w:p>
        </w:tc>
      </w:tr>
      <w:tr>
        <w:trPr>
          <w:cantSplit/>
        </w:trPr>
        <w:tc>
          <w:tcPr>
            <w:tcW w:type="dxa" w:w="3175"/>
            <w:vAlign w:val="top"/>
          </w:tcPr>
          <w:p>
            <w:pPr>
              <w:spacing w:after="20" w:line="252" w:lineRule="auto"/>
            </w:pPr>
            <w:r>
              <w:rPr>
                <w:b/>
                <w:i w:val="0"/>
                <w:sz w:val="16"/>
              </w:rPr>
              <w:t>SalesVerse-2.0-Solution-Architecture.docx</w:t>
            </w:r>
          </w:p>
        </w:tc>
        <w:tc>
          <w:tcPr>
            <w:tcW w:type="dxa" w:w="4422"/>
            <w:vAlign w:val="top"/>
          </w:tcPr>
          <w:p>
            <w:pPr>
              <w:spacing w:after="20" w:line="252" w:lineRule="auto"/>
            </w:pPr>
            <w:r>
              <w:rPr>
                <w:b w:val="0"/>
                <w:i w:val="0"/>
                <w:sz w:val="16"/>
              </w:rPr>
              <w:t>Logical, functional and deployment architecture; integration and security architecture; on-premise and cloud infrastructure sizing</w:t>
            </w:r>
          </w:p>
        </w:tc>
        <w:tc>
          <w:tcPr>
            <w:tcW w:type="dxa" w:w="2041"/>
            <w:vAlign w:val="top"/>
          </w:tcPr>
          <w:p>
            <w:pPr>
              <w:spacing w:after="20" w:line="252" w:lineRule="auto"/>
            </w:pPr>
            <w:r>
              <w:rPr>
                <w:b w:val="0"/>
                <w:i w:val="0"/>
                <w:sz w:val="16"/>
              </w:rPr>
              <w:t>DEL-06, DEL-07, DEL-09 (baseline)</w:t>
            </w:r>
          </w:p>
        </w:tc>
      </w:tr>
      <w:tr>
        <w:trPr>
          <w:cantSplit/>
        </w:trPr>
        <w:tc>
          <w:tcPr>
            <w:tcW w:type="dxa" w:w="3175"/>
            <w:vAlign w:val="top"/>
            <w:shd w:val="clear" w:color="auto" w:fill="FDF0F7"/>
          </w:tcPr>
          <w:p>
            <w:pPr>
              <w:spacing w:after="20" w:line="252" w:lineRule="auto"/>
            </w:pPr>
            <w:r>
              <w:rPr>
                <w:b/>
                <w:i w:val="0"/>
                <w:sz w:val="16"/>
              </w:rPr>
              <w:t>SalesVerse-2.0-Data-Dictionary.xlsx and .docx</w:t>
            </w:r>
          </w:p>
        </w:tc>
        <w:tc>
          <w:tcPr>
            <w:tcW w:type="dxa" w:w="4422"/>
            <w:vAlign w:val="top"/>
            <w:shd w:val="clear" w:color="auto" w:fill="FDF0F7"/>
          </w:tcPr>
          <w:p>
            <w:pPr>
              <w:spacing w:after="20" w:line="252" w:lineRule="auto"/>
            </w:pPr>
            <w:r>
              <w:rPr>
                <w:b w:val="0"/>
                <w:i w:val="0"/>
                <w:sz w:val="16"/>
              </w:rPr>
              <w:t>Every table and field with type, constraints, encryption and retention</w:t>
            </w:r>
          </w:p>
        </w:tc>
        <w:tc>
          <w:tcPr>
            <w:tcW w:type="dxa" w:w="2041"/>
            <w:vAlign w:val="top"/>
            <w:shd w:val="clear" w:color="auto" w:fill="FDF0F7"/>
          </w:tcPr>
          <w:p>
            <w:pPr>
              <w:spacing w:after="20" w:line="252" w:lineRule="auto"/>
            </w:pPr>
            <w:r>
              <w:rPr>
                <w:b w:val="0"/>
                <w:i w:val="0"/>
                <w:sz w:val="16"/>
              </w:rPr>
              <w:t>DEL-07, DEL-26</w:t>
            </w:r>
          </w:p>
        </w:tc>
      </w:tr>
      <w:tr>
        <w:trPr>
          <w:cantSplit/>
        </w:trPr>
        <w:tc>
          <w:tcPr>
            <w:tcW w:type="dxa" w:w="3175"/>
            <w:vAlign w:val="top"/>
          </w:tcPr>
          <w:p>
            <w:pPr>
              <w:spacing w:after="20" w:line="252" w:lineRule="auto"/>
            </w:pPr>
            <w:r>
              <w:rPr>
                <w:b/>
                <w:i w:val="0"/>
                <w:sz w:val="16"/>
              </w:rPr>
              <w:t>SalesVerse-2.0-Code-Standards-and-Quality-Report.docx</w:t>
            </w:r>
          </w:p>
        </w:tc>
        <w:tc>
          <w:tcPr>
            <w:tcW w:type="dxa" w:w="4422"/>
            <w:vAlign w:val="top"/>
          </w:tcPr>
          <w:p>
            <w:pPr>
              <w:spacing w:after="20" w:line="252" w:lineRule="auto"/>
            </w:pPr>
            <w:r>
              <w:rPr>
                <w:b w:val="0"/>
                <w:i w:val="0"/>
                <w:sz w:val="16"/>
              </w:rPr>
              <w:t>Coding standards, review process, automated test coverage and static analysis results</w:t>
            </w:r>
          </w:p>
        </w:tc>
        <w:tc>
          <w:tcPr>
            <w:tcW w:type="dxa" w:w="2041"/>
            <w:vAlign w:val="top"/>
          </w:tcPr>
          <w:p>
            <w:pPr>
              <w:spacing w:after="20" w:line="252" w:lineRule="auto"/>
            </w:pPr>
            <w:r>
              <w:rPr>
                <w:b w:val="0"/>
                <w:i w:val="0"/>
                <w:sz w:val="16"/>
              </w:rPr>
              <w:t>NFR-14, NFR-20</w:t>
            </w:r>
          </w:p>
        </w:tc>
      </w:tr>
      <w:tr>
        <w:trPr>
          <w:cantSplit/>
        </w:trPr>
        <w:tc>
          <w:tcPr>
            <w:tcW w:type="dxa" w:w="3175"/>
            <w:vAlign w:val="top"/>
            <w:shd w:val="clear" w:color="auto" w:fill="FDF0F7"/>
          </w:tcPr>
          <w:p>
            <w:pPr>
              <w:spacing w:after="20" w:line="252" w:lineRule="auto"/>
            </w:pPr>
            <w:r>
              <w:rPr>
                <w:b/>
                <w:i w:val="0"/>
                <w:sz w:val="16"/>
              </w:rPr>
              <w:t>SalesVerse-2.0-Security-Assessment-Report.docx</w:t>
            </w:r>
          </w:p>
        </w:tc>
        <w:tc>
          <w:tcPr>
            <w:tcW w:type="dxa" w:w="4422"/>
            <w:vAlign w:val="top"/>
            <w:shd w:val="clear" w:color="auto" w:fill="FDF0F7"/>
          </w:tcPr>
          <w:p>
            <w:pPr>
              <w:spacing w:after="20" w:line="252" w:lineRule="auto"/>
            </w:pPr>
            <w:r>
              <w:rPr>
                <w:b w:val="0"/>
                <w:i w:val="0"/>
                <w:sz w:val="16"/>
              </w:rPr>
              <w:t>Internal vulnerability assessment and security test results; the independent third-party penetration test follows before go-live</w:t>
            </w:r>
          </w:p>
        </w:tc>
        <w:tc>
          <w:tcPr>
            <w:tcW w:type="dxa" w:w="2041"/>
            <w:vAlign w:val="top"/>
            <w:shd w:val="clear" w:color="auto" w:fill="FDF0F7"/>
          </w:tcPr>
          <w:p>
            <w:pPr>
              <w:spacing w:after="20" w:line="252" w:lineRule="auto"/>
            </w:pPr>
            <w:r>
              <w:rPr>
                <w:b w:val="0"/>
                <w:i w:val="0"/>
                <w:sz w:val="16"/>
              </w:rPr>
              <w:t>NFR-12 to NFR-14; DEL-17 (precursor)</w:t>
            </w:r>
          </w:p>
        </w:tc>
      </w:tr>
      <w:tr>
        <w:trPr>
          <w:cantSplit/>
        </w:trPr>
        <w:tc>
          <w:tcPr>
            <w:tcW w:type="dxa" w:w="3175"/>
            <w:vAlign w:val="top"/>
          </w:tcPr>
          <w:p>
            <w:pPr>
              <w:spacing w:after="20" w:line="252" w:lineRule="auto"/>
            </w:pPr>
            <w:r>
              <w:rPr>
                <w:b/>
                <w:i w:val="0"/>
                <w:sz w:val="16"/>
              </w:rPr>
              <w:t>SalesVerse-2.0-Production-Support-Handover.docx</w:t>
            </w:r>
          </w:p>
        </w:tc>
        <w:tc>
          <w:tcPr>
            <w:tcW w:type="dxa" w:w="4422"/>
            <w:vAlign w:val="top"/>
          </w:tcPr>
          <w:p>
            <w:pPr>
              <w:spacing w:after="20" w:line="252" w:lineRule="auto"/>
            </w:pPr>
            <w:r>
              <w:rPr>
                <w:b w:val="0"/>
                <w:i w:val="0"/>
                <w:sz w:val="16"/>
              </w:rPr>
              <w:t>Support process, runbooks, knowledge transfer and release management</w:t>
            </w:r>
          </w:p>
        </w:tc>
        <w:tc>
          <w:tcPr>
            <w:tcW w:type="dxa" w:w="2041"/>
            <w:vAlign w:val="top"/>
          </w:tcPr>
          <w:p>
            <w:pPr>
              <w:spacing w:after="20" w:line="252" w:lineRule="auto"/>
            </w:pPr>
            <w:r>
              <w:rPr>
                <w:b w:val="0"/>
                <w:i w:val="0"/>
                <w:sz w:val="16"/>
              </w:rPr>
              <w:t>DEL-27, MNT-01 to MNT-04, MNT-21, MNT-28</w:t>
            </w:r>
          </w:p>
        </w:tc>
      </w:tr>
    </w:tbl>
    <w:p>
      <w:pPr>
        <w:pStyle w:val="Caption"/>
        <w:jc w:val="center"/>
      </w:pPr>
      <w:r>
        <w:rPr>
          <w:b w:val="0"/>
          <w:i w:val="0"/>
        </w:rPr>
        <w:t>Table 28: Technical document pack</w:t>
      </w:r>
    </w:p>
    <w:p>
      <w:pPr>
        <w:keepNext w:val="0"/>
      </w:pPr>
      <w:r>
        <w:rPr>
          <w:b w:val="0"/>
          <w:i w:val="0"/>
        </w:rPr>
        <w:t>The security assessment report covers iorta's internal testing. It does not replace the independent penetration test, which is performed by a third party on the IIFT environment before go-live (DEL-17).</w:t>
      </w:r>
    </w:p>
    <w:p>
      <w:pPr>
        <w:pStyle w:val="Heading1"/>
        <w:pageBreakBefore/>
        <w:pBdr>
          <w:bottom w:val="single" w:sz="12" w:space="4" w:color="F58220"/>
        </w:pBdr>
      </w:pPr>
      <w:r>
        <w:t>17. Implementation Methodology</w:t>
      </w:r>
    </w:p>
    <w:p>
      <w:pPr>
        <w:pStyle w:val="Heading2"/>
      </w:pPr>
      <w:r>
        <w:t>17.1 Delivery approach: configure and integrate</w:t>
      </w:r>
    </w:p>
    <w:p>
      <w:pPr>
        <w:keepNext w:val="0"/>
      </w:pPr>
      <w:r>
        <w:rPr>
          <w:b w:val="0"/>
          <w:i w:val="0"/>
        </w:rPr>
        <w:t>SalesVerse 2.0 already runs IIFT's products and rules, so the project configures and integrates an existing platform instead of building one. Discovery starts with fit-gap workshops on the working system: IIFT users walk through each journey with their own products, confirm what fits, and record the gaps. The gaps become the configuration backlog.</w:t>
      </w:r>
    </w:p>
    <w:p>
      <w:pPr>
        <w:keepNext w:val="0"/>
      </w:pPr>
      <w:r>
        <w:rPr>
          <w:b w:val="0"/>
          <w:i w:val="0"/>
        </w:rPr>
        <w:t>Governance follows formal gates, so IIFT signs off scope, design, test exit and go-live at fixed points and pays against them. Configuration and integration run in two-week sprints, each ending with a demonstration to IIFT key users. SIT, an independent VAPT, UAT, two migration rehearsals and a rehearsed cut-over follow, then four weeks of hypercare.</w:t>
      </w:r>
    </w:p>
    <w:p>
      <w:pPr>
        <w:keepNext w:val="0"/>
      </w:pPr>
      <w:r>
        <w:rPr>
          <w:b w:val="0"/>
          <w:i w:val="0"/>
        </w:rPr>
        <w:t>The Steering Committee reviews each gate: design sign-off (M2), build complete (M3), SIT exit and security clearance (M4), UAT sign-off (M5), go-live (M6) and hypercare exit (M7).</w:t>
      </w:r>
    </w:p>
    <w:p>
      <w:pPr>
        <w:pStyle w:val="Heading2"/>
      </w:pPr>
      <w:r>
        <w:t>17.2 Phases and activities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
        <w:gridCol w:w="1757"/>
        <w:gridCol w:w="793"/>
        <w:gridCol w:w="3572"/>
        <w:gridCol w:w="3118"/>
      </w:tblGrid>
      <w:tr>
        <w:trPr>
          <w:cantSplit/>
          <w:tblHeader/>
        </w:trPr>
        <w:tc>
          <w:tcPr>
            <w:tcW w:type="dxa" w:w="397"/>
            <w:shd w:val="clear" w:color="auto" w:fill="E1058C"/>
            <w:vAlign w:val="center"/>
          </w:tcPr>
          <w:p>
            <w:pPr>
              <w:spacing w:after="0"/>
            </w:pPr>
            <w:r>
              <w:rPr>
                <w:b/>
                <w:i w:val="0"/>
                <w:color w:val="FFFFFF"/>
                <w:sz w:val="16"/>
              </w:rPr>
              <w:t>#</w:t>
            </w:r>
          </w:p>
        </w:tc>
        <w:tc>
          <w:tcPr>
            <w:tcW w:type="dxa" w:w="1757"/>
            <w:shd w:val="clear" w:color="auto" w:fill="E1058C"/>
            <w:vAlign w:val="center"/>
          </w:tcPr>
          <w:p>
            <w:pPr>
              <w:spacing w:after="0"/>
            </w:pPr>
            <w:r>
              <w:rPr>
                <w:b/>
                <w:i w:val="0"/>
                <w:color w:val="FFFFFF"/>
                <w:sz w:val="16"/>
              </w:rPr>
              <w:t>Phase</w:t>
            </w:r>
          </w:p>
        </w:tc>
        <w:tc>
          <w:tcPr>
            <w:tcW w:type="dxa" w:w="794"/>
            <w:shd w:val="clear" w:color="auto" w:fill="E1058C"/>
            <w:vAlign w:val="center"/>
          </w:tcPr>
          <w:p>
            <w:pPr>
              <w:spacing w:after="0"/>
            </w:pPr>
            <w:r>
              <w:rPr>
                <w:b/>
                <w:i w:val="0"/>
                <w:color w:val="FFFFFF"/>
                <w:sz w:val="16"/>
              </w:rPr>
              <w:t>Weeks</w:t>
            </w:r>
          </w:p>
        </w:tc>
        <w:tc>
          <w:tcPr>
            <w:tcW w:type="dxa" w:w="3572"/>
            <w:shd w:val="clear" w:color="auto" w:fill="E1058C"/>
            <w:vAlign w:val="center"/>
          </w:tcPr>
          <w:p>
            <w:pPr>
              <w:spacing w:after="0"/>
            </w:pPr>
            <w:r>
              <w:rPr>
                <w:b/>
                <w:i w:val="0"/>
                <w:color w:val="FFFFFF"/>
                <w:sz w:val="16"/>
              </w:rPr>
              <w:t>Key activities</w:t>
            </w:r>
          </w:p>
        </w:tc>
        <w:tc>
          <w:tcPr>
            <w:tcW w:type="dxa" w:w="3118"/>
            <w:shd w:val="clear" w:color="auto" w:fill="E1058C"/>
            <w:vAlign w:val="center"/>
          </w:tcPr>
          <w:p>
            <w:pPr>
              <w:spacing w:after="0"/>
            </w:pPr>
            <w:r>
              <w:rPr>
                <w:b/>
                <w:i w:val="0"/>
                <w:color w:val="FFFFFF"/>
                <w:sz w:val="16"/>
              </w:rPr>
              <w:t>Outputs</w:t>
            </w:r>
          </w:p>
        </w:tc>
      </w:tr>
      <w:tr>
        <w:trPr>
          <w:cantSplit/>
        </w:trPr>
        <w:tc>
          <w:tcPr>
            <w:tcW w:type="dxa" w:w="397"/>
            <w:vAlign w:val="top"/>
          </w:tcPr>
          <w:p>
            <w:pPr>
              <w:spacing w:after="20" w:line="252" w:lineRule="auto"/>
              <w:jc w:val="center"/>
            </w:pPr>
            <w:r>
              <w:rPr>
                <w:b w:val="0"/>
                <w:i w:val="0"/>
                <w:sz w:val="16"/>
              </w:rPr>
              <w:t>0</w:t>
            </w:r>
          </w:p>
        </w:tc>
        <w:tc>
          <w:tcPr>
            <w:tcW w:type="dxa" w:w="1757"/>
            <w:vAlign w:val="top"/>
          </w:tcPr>
          <w:p>
            <w:pPr>
              <w:spacing w:after="20" w:line="252" w:lineRule="auto"/>
            </w:pPr>
            <w:r>
              <w:rPr>
                <w:b w:val="0"/>
                <w:i w:val="0"/>
                <w:sz w:val="16"/>
              </w:rPr>
              <w:t>Mobilisation</w:t>
            </w:r>
          </w:p>
        </w:tc>
        <w:tc>
          <w:tcPr>
            <w:tcW w:type="dxa" w:w="794"/>
            <w:vAlign w:val="top"/>
          </w:tcPr>
          <w:p>
            <w:pPr>
              <w:spacing w:after="20" w:line="252" w:lineRule="auto"/>
              <w:jc w:val="center"/>
            </w:pPr>
            <w:r>
              <w:rPr>
                <w:b w:val="0"/>
                <w:i w:val="0"/>
                <w:sz w:val="16"/>
              </w:rPr>
              <w:t>1–2</w:t>
            </w:r>
          </w:p>
        </w:tc>
        <w:tc>
          <w:tcPr>
            <w:tcW w:type="dxa" w:w="3572"/>
            <w:vAlign w:val="top"/>
          </w:tcPr>
          <w:p>
            <w:pPr>
              <w:spacing w:after="20" w:line="252" w:lineRule="auto"/>
            </w:pPr>
            <w:r>
              <w:rPr>
                <w:b w:val="0"/>
                <w:i w:val="0"/>
                <w:sz w:val="16"/>
              </w:rPr>
              <w:t>Kick-off, governance set-up, environment and data requests, detailed plan</w:t>
            </w:r>
          </w:p>
        </w:tc>
        <w:tc>
          <w:tcPr>
            <w:tcW w:type="dxa" w:w="3118"/>
            <w:vAlign w:val="top"/>
          </w:tcPr>
          <w:p>
            <w:pPr>
              <w:spacing w:after="20" w:line="252" w:lineRule="auto"/>
            </w:pPr>
            <w:r>
              <w:rPr>
                <w:b w:val="0"/>
                <w:i w:val="0"/>
                <w:sz w:val="16"/>
              </w:rPr>
              <w:t>Project charter, project plan (DEL-01, 02)</w:t>
            </w:r>
          </w:p>
        </w:tc>
      </w:tr>
      <w:tr>
        <w:trPr>
          <w:cantSplit/>
        </w:trPr>
        <w:tc>
          <w:tcPr>
            <w:tcW w:type="dxa" w:w="397"/>
            <w:vAlign w:val="top"/>
            <w:shd w:val="clear" w:color="auto" w:fill="FDF0F7"/>
          </w:tcPr>
          <w:p>
            <w:pPr>
              <w:spacing w:after="20" w:line="252" w:lineRule="auto"/>
              <w:jc w:val="center"/>
            </w:pPr>
            <w:r>
              <w:rPr>
                <w:b w:val="0"/>
                <w:i w:val="0"/>
                <w:sz w:val="16"/>
              </w:rPr>
              <w:t>1</w:t>
            </w:r>
          </w:p>
        </w:tc>
        <w:tc>
          <w:tcPr>
            <w:tcW w:type="dxa" w:w="1757"/>
            <w:vAlign w:val="top"/>
            <w:shd w:val="clear" w:color="auto" w:fill="FDF0F7"/>
          </w:tcPr>
          <w:p>
            <w:pPr>
              <w:spacing w:after="20" w:line="252" w:lineRule="auto"/>
            </w:pPr>
            <w:r>
              <w:rPr>
                <w:b w:val="0"/>
                <w:i w:val="0"/>
                <w:sz w:val="16"/>
              </w:rPr>
              <w:t>Discovery and fit-gap confirmation</w:t>
            </w:r>
          </w:p>
        </w:tc>
        <w:tc>
          <w:tcPr>
            <w:tcW w:type="dxa" w:w="794"/>
            <w:vAlign w:val="top"/>
            <w:shd w:val="clear" w:color="auto" w:fill="FDF0F7"/>
          </w:tcPr>
          <w:p>
            <w:pPr>
              <w:spacing w:after="20" w:line="252" w:lineRule="auto"/>
              <w:jc w:val="center"/>
            </w:pPr>
            <w:r>
              <w:rPr>
                <w:b w:val="0"/>
                <w:i w:val="0"/>
                <w:sz w:val="16"/>
              </w:rPr>
              <w:t>2–6</w:t>
            </w:r>
          </w:p>
        </w:tc>
        <w:tc>
          <w:tcPr>
            <w:tcW w:type="dxa" w:w="3572"/>
            <w:vAlign w:val="top"/>
            <w:shd w:val="clear" w:color="auto" w:fill="FDF0F7"/>
          </w:tcPr>
          <w:p>
            <w:pPr>
              <w:spacing w:after="20" w:line="252" w:lineRule="auto"/>
            </w:pPr>
            <w:r>
              <w:rPr>
                <w:b w:val="0"/>
                <w:i w:val="0"/>
                <w:sz w:val="16"/>
              </w:rPr>
              <w:t>Workshops per product and process on the working system; collect IIFT rates, wording, questionnaires, templates; confirm gaps</w:t>
            </w:r>
          </w:p>
        </w:tc>
        <w:tc>
          <w:tcPr>
            <w:tcW w:type="dxa" w:w="3118"/>
            <w:vAlign w:val="top"/>
            <w:shd w:val="clear" w:color="auto" w:fill="FDF0F7"/>
          </w:tcPr>
          <w:p>
            <w:pPr>
              <w:spacing w:after="20" w:line="252" w:lineRule="auto"/>
            </w:pPr>
            <w:r>
              <w:rPr>
                <w:b w:val="0"/>
                <w:i w:val="0"/>
                <w:sz w:val="16"/>
              </w:rPr>
              <w:t>BRS, FRS, RTM, SAD, TDD, UI/UX, interface specification, test strategy (DEL-03 to 09, 12)</w:t>
            </w:r>
          </w:p>
        </w:tc>
      </w:tr>
      <w:tr>
        <w:trPr>
          <w:cantSplit/>
        </w:trPr>
        <w:tc>
          <w:tcPr>
            <w:tcW w:type="dxa" w:w="397"/>
            <w:vAlign w:val="top"/>
          </w:tcPr>
          <w:p>
            <w:pPr>
              <w:spacing w:after="20" w:line="252" w:lineRule="auto"/>
              <w:jc w:val="center"/>
            </w:pPr>
            <w:r>
              <w:rPr>
                <w:b w:val="0"/>
                <w:i w:val="0"/>
                <w:sz w:val="16"/>
              </w:rPr>
              <w:t>2</w:t>
            </w:r>
          </w:p>
        </w:tc>
        <w:tc>
          <w:tcPr>
            <w:tcW w:type="dxa" w:w="1757"/>
            <w:vAlign w:val="top"/>
          </w:tcPr>
          <w:p>
            <w:pPr>
              <w:spacing w:after="20" w:line="252" w:lineRule="auto"/>
            </w:pPr>
            <w:r>
              <w:rPr>
                <w:b w:val="0"/>
                <w:i w:val="0"/>
                <w:sz w:val="16"/>
              </w:rPr>
              <w:t>Configuration sprints</w:t>
            </w:r>
          </w:p>
        </w:tc>
        <w:tc>
          <w:tcPr>
            <w:tcW w:type="dxa" w:w="794"/>
            <w:vAlign w:val="top"/>
          </w:tcPr>
          <w:p>
            <w:pPr>
              <w:spacing w:after="20" w:line="252" w:lineRule="auto"/>
              <w:jc w:val="center"/>
            </w:pPr>
            <w:r>
              <w:rPr>
                <w:b w:val="0"/>
                <w:i w:val="0"/>
                <w:sz w:val="16"/>
              </w:rPr>
              <w:t>6–16</w:t>
            </w:r>
          </w:p>
        </w:tc>
        <w:tc>
          <w:tcPr>
            <w:tcW w:type="dxa" w:w="3572"/>
            <w:vAlign w:val="top"/>
          </w:tcPr>
          <w:p>
            <w:pPr>
              <w:spacing w:after="20" w:line="252" w:lineRule="auto"/>
            </w:pPr>
            <w:r>
              <w:rPr>
                <w:b w:val="0"/>
                <w:i w:val="0"/>
                <w:sz w:val="16"/>
              </w:rPr>
              <w:t>Five two-week sprints configuring products, rates, workflows, roles, reports and templates; demo every sprint</w:t>
            </w:r>
          </w:p>
        </w:tc>
        <w:tc>
          <w:tcPr>
            <w:tcW w:type="dxa" w:w="3118"/>
            <w:vAlign w:val="top"/>
          </w:tcPr>
          <w:p>
            <w:pPr>
              <w:spacing w:after="20" w:line="252" w:lineRule="auto"/>
            </w:pPr>
            <w:r>
              <w:rPr>
                <w:b w:val="0"/>
                <w:i w:val="0"/>
                <w:sz w:val="16"/>
              </w:rPr>
              <w:t>Configured solution, source code (DEL-10, 11)</w:t>
            </w:r>
          </w:p>
        </w:tc>
      </w:tr>
      <w:tr>
        <w:trPr>
          <w:cantSplit/>
        </w:trPr>
        <w:tc>
          <w:tcPr>
            <w:tcW w:type="dxa" w:w="397"/>
            <w:vAlign w:val="top"/>
            <w:shd w:val="clear" w:color="auto" w:fill="FDF0F7"/>
          </w:tcPr>
          <w:p>
            <w:pPr>
              <w:spacing w:after="20" w:line="252" w:lineRule="auto"/>
              <w:jc w:val="center"/>
            </w:pPr>
            <w:r>
              <w:rPr>
                <w:b w:val="0"/>
                <w:i w:val="0"/>
                <w:sz w:val="16"/>
              </w:rPr>
              <w:t>3</w:t>
            </w:r>
          </w:p>
        </w:tc>
        <w:tc>
          <w:tcPr>
            <w:tcW w:type="dxa" w:w="1757"/>
            <w:vAlign w:val="top"/>
            <w:shd w:val="clear" w:color="auto" w:fill="FDF0F7"/>
          </w:tcPr>
          <w:p>
            <w:pPr>
              <w:spacing w:after="20" w:line="252" w:lineRule="auto"/>
            </w:pPr>
            <w:r>
              <w:rPr>
                <w:b w:val="0"/>
                <w:i w:val="0"/>
                <w:sz w:val="16"/>
              </w:rPr>
              <w:t>Integration with IIFT systems</w:t>
            </w:r>
          </w:p>
        </w:tc>
        <w:tc>
          <w:tcPr>
            <w:tcW w:type="dxa" w:w="794"/>
            <w:vAlign w:val="top"/>
            <w:shd w:val="clear" w:color="auto" w:fill="FDF0F7"/>
          </w:tcPr>
          <w:p>
            <w:pPr>
              <w:spacing w:after="20" w:line="252" w:lineRule="auto"/>
              <w:jc w:val="center"/>
            </w:pPr>
            <w:r>
              <w:rPr>
                <w:b w:val="0"/>
                <w:i w:val="0"/>
                <w:sz w:val="16"/>
              </w:rPr>
              <w:t>8–17</w:t>
            </w:r>
          </w:p>
        </w:tc>
        <w:tc>
          <w:tcPr>
            <w:tcW w:type="dxa" w:w="3572"/>
            <w:vAlign w:val="top"/>
            <w:shd w:val="clear" w:color="auto" w:fill="FDF0F7"/>
          </w:tcPr>
          <w:p>
            <w:pPr>
              <w:spacing w:after="20" w:line="252" w:lineRule="auto"/>
            </w:pPr>
            <w:r>
              <w:rPr>
                <w:b w:val="0"/>
                <w:i w:val="0"/>
                <w:sz w:val="16"/>
              </w:rPr>
              <w:t>Adapters to core, FIN, AML provider, SMS, SMTP and Active Directory; joint tests with system owners</w:t>
            </w:r>
          </w:p>
        </w:tc>
        <w:tc>
          <w:tcPr>
            <w:tcW w:type="dxa" w:w="3118"/>
            <w:vAlign w:val="top"/>
            <w:shd w:val="clear" w:color="auto" w:fill="FDF0F7"/>
          </w:tcPr>
          <w:p>
            <w:pPr>
              <w:spacing w:after="20" w:line="252" w:lineRule="auto"/>
            </w:pPr>
            <w:r>
              <w:rPr>
                <w:b w:val="0"/>
                <w:i w:val="0"/>
                <w:sz w:val="16"/>
              </w:rPr>
              <w:t>Working interfaces, test evidence</w:t>
            </w:r>
          </w:p>
        </w:tc>
      </w:tr>
      <w:tr>
        <w:trPr>
          <w:cantSplit/>
        </w:trPr>
        <w:tc>
          <w:tcPr>
            <w:tcW w:type="dxa" w:w="397"/>
            <w:vAlign w:val="top"/>
          </w:tcPr>
          <w:p>
            <w:pPr>
              <w:spacing w:after="20" w:line="252" w:lineRule="auto"/>
              <w:jc w:val="center"/>
            </w:pPr>
            <w:r>
              <w:rPr>
                <w:b w:val="0"/>
                <w:i w:val="0"/>
                <w:sz w:val="16"/>
              </w:rPr>
              <w:t>4</w:t>
            </w:r>
          </w:p>
        </w:tc>
        <w:tc>
          <w:tcPr>
            <w:tcW w:type="dxa" w:w="1757"/>
            <w:vAlign w:val="top"/>
          </w:tcPr>
          <w:p>
            <w:pPr>
              <w:spacing w:after="20" w:line="252" w:lineRule="auto"/>
            </w:pPr>
            <w:r>
              <w:rPr>
                <w:b w:val="0"/>
                <w:i w:val="0"/>
                <w:sz w:val="16"/>
              </w:rPr>
              <w:t>SIT, performance and VAPT</w:t>
            </w:r>
          </w:p>
        </w:tc>
        <w:tc>
          <w:tcPr>
            <w:tcW w:type="dxa" w:w="794"/>
            <w:vAlign w:val="top"/>
          </w:tcPr>
          <w:p>
            <w:pPr>
              <w:spacing w:after="20" w:line="252" w:lineRule="auto"/>
              <w:jc w:val="center"/>
            </w:pPr>
            <w:r>
              <w:rPr>
                <w:b w:val="0"/>
                <w:i w:val="0"/>
                <w:sz w:val="16"/>
              </w:rPr>
              <w:t>16–19</w:t>
            </w:r>
          </w:p>
        </w:tc>
        <w:tc>
          <w:tcPr>
            <w:tcW w:type="dxa" w:w="3572"/>
            <w:vAlign w:val="top"/>
          </w:tcPr>
          <w:p>
            <w:pPr>
              <w:spacing w:after="20" w:line="252" w:lineRule="auto"/>
            </w:pPr>
            <w:r>
              <w:rPr>
                <w:b w:val="0"/>
                <w:i w:val="0"/>
                <w:sz w:val="16"/>
              </w:rPr>
              <w:t>SIT, regression, performance test, independent VAPT, remediation, re-test</w:t>
            </w:r>
          </w:p>
        </w:tc>
        <w:tc>
          <w:tcPr>
            <w:tcW w:type="dxa" w:w="3118"/>
            <w:vAlign w:val="top"/>
          </w:tcPr>
          <w:p>
            <w:pPr>
              <w:spacing w:after="20" w:line="252" w:lineRule="auto"/>
            </w:pPr>
            <w:r>
              <w:rPr>
                <w:b w:val="0"/>
                <w:i w:val="0"/>
                <w:sz w:val="16"/>
              </w:rPr>
              <w:t>SIT results, performance report, security assessment (DEL-13, 14, 17, 18)</w:t>
            </w:r>
          </w:p>
        </w:tc>
      </w:tr>
      <w:tr>
        <w:trPr>
          <w:cantSplit/>
        </w:trPr>
        <w:tc>
          <w:tcPr>
            <w:tcW w:type="dxa" w:w="397"/>
            <w:vAlign w:val="top"/>
            <w:shd w:val="clear" w:color="auto" w:fill="FDF0F7"/>
          </w:tcPr>
          <w:p>
            <w:pPr>
              <w:spacing w:after="20" w:line="252" w:lineRule="auto"/>
              <w:jc w:val="center"/>
            </w:pPr>
            <w:r>
              <w:rPr>
                <w:b w:val="0"/>
                <w:i w:val="0"/>
                <w:sz w:val="16"/>
              </w:rPr>
              <w:t>5</w:t>
            </w:r>
          </w:p>
        </w:tc>
        <w:tc>
          <w:tcPr>
            <w:tcW w:type="dxa" w:w="1757"/>
            <w:vAlign w:val="top"/>
            <w:shd w:val="clear" w:color="auto" w:fill="FDF0F7"/>
          </w:tcPr>
          <w:p>
            <w:pPr>
              <w:spacing w:after="20" w:line="252" w:lineRule="auto"/>
            </w:pPr>
            <w:r>
              <w:rPr>
                <w:b w:val="0"/>
                <w:i w:val="0"/>
                <w:sz w:val="16"/>
              </w:rPr>
              <w:t>UAT, migration rehearsals, training</w:t>
            </w:r>
          </w:p>
        </w:tc>
        <w:tc>
          <w:tcPr>
            <w:tcW w:type="dxa" w:w="794"/>
            <w:vAlign w:val="top"/>
            <w:shd w:val="clear" w:color="auto" w:fill="FDF0F7"/>
          </w:tcPr>
          <w:p>
            <w:pPr>
              <w:spacing w:after="20" w:line="252" w:lineRule="auto"/>
              <w:jc w:val="center"/>
            </w:pPr>
            <w:r>
              <w:rPr>
                <w:b w:val="0"/>
                <w:i w:val="0"/>
                <w:sz w:val="16"/>
              </w:rPr>
              <w:t>19–23</w:t>
            </w:r>
          </w:p>
        </w:tc>
        <w:tc>
          <w:tcPr>
            <w:tcW w:type="dxa" w:w="3572"/>
            <w:vAlign w:val="top"/>
            <w:shd w:val="clear" w:color="auto" w:fill="FDF0F7"/>
          </w:tcPr>
          <w:p>
            <w:pPr>
              <w:spacing w:after="20" w:line="252" w:lineRule="auto"/>
            </w:pPr>
            <w:r>
              <w:rPr>
                <w:b w:val="0"/>
                <w:i w:val="0"/>
                <w:sz w:val="16"/>
              </w:rPr>
              <w:t>UAT support, two migration rehearsals, train-the-trainer and end-user training, manuals</w:t>
            </w:r>
          </w:p>
        </w:tc>
        <w:tc>
          <w:tcPr>
            <w:tcW w:type="dxa" w:w="3118"/>
            <w:vAlign w:val="top"/>
            <w:shd w:val="clear" w:color="auto" w:fill="FDF0F7"/>
          </w:tcPr>
          <w:p>
            <w:pPr>
              <w:spacing w:after="20" w:line="252" w:lineRule="auto"/>
            </w:pPr>
            <w:r>
              <w:rPr>
                <w:b w:val="0"/>
                <w:i w:val="0"/>
                <w:sz w:val="16"/>
              </w:rPr>
              <w:t>UAT results, migration plan, training, manuals (DEL-15, 16, 19, 22 to 27)</w:t>
            </w:r>
          </w:p>
        </w:tc>
      </w:tr>
      <w:tr>
        <w:trPr>
          <w:cantSplit/>
        </w:trPr>
        <w:tc>
          <w:tcPr>
            <w:tcW w:type="dxa" w:w="397"/>
            <w:vAlign w:val="top"/>
          </w:tcPr>
          <w:p>
            <w:pPr>
              <w:spacing w:after="20" w:line="252" w:lineRule="auto"/>
              <w:jc w:val="center"/>
            </w:pPr>
            <w:r>
              <w:rPr>
                <w:b w:val="0"/>
                <w:i w:val="0"/>
                <w:sz w:val="16"/>
              </w:rPr>
              <w:t>6</w:t>
            </w:r>
          </w:p>
        </w:tc>
        <w:tc>
          <w:tcPr>
            <w:tcW w:type="dxa" w:w="1757"/>
            <w:vAlign w:val="top"/>
          </w:tcPr>
          <w:p>
            <w:pPr>
              <w:spacing w:after="20" w:line="252" w:lineRule="auto"/>
            </w:pPr>
            <w:r>
              <w:rPr>
                <w:b w:val="0"/>
                <w:i w:val="0"/>
                <w:sz w:val="16"/>
              </w:rPr>
              <w:t>Cut-over and go-live</w:t>
            </w:r>
          </w:p>
        </w:tc>
        <w:tc>
          <w:tcPr>
            <w:tcW w:type="dxa" w:w="794"/>
            <w:vAlign w:val="top"/>
          </w:tcPr>
          <w:p>
            <w:pPr>
              <w:spacing w:after="20" w:line="252" w:lineRule="auto"/>
              <w:jc w:val="center"/>
            </w:pPr>
            <w:r>
              <w:rPr>
                <w:b w:val="0"/>
                <w:i w:val="0"/>
                <w:sz w:val="16"/>
              </w:rPr>
              <w:t>24</w:t>
            </w:r>
          </w:p>
        </w:tc>
        <w:tc>
          <w:tcPr>
            <w:tcW w:type="dxa" w:w="3572"/>
            <w:vAlign w:val="top"/>
          </w:tcPr>
          <w:p>
            <w:pPr>
              <w:spacing w:after="20" w:line="252" w:lineRule="auto"/>
            </w:pPr>
            <w:r>
              <w:rPr>
                <w:b w:val="0"/>
                <w:i w:val="0"/>
                <w:sz w:val="16"/>
              </w:rPr>
              <w:t>Production deployment, final migration, go/no-go</w:t>
            </w:r>
          </w:p>
        </w:tc>
        <w:tc>
          <w:tcPr>
            <w:tcW w:type="dxa" w:w="3118"/>
            <w:vAlign w:val="top"/>
          </w:tcPr>
          <w:p>
            <w:pPr>
              <w:spacing w:after="20" w:line="252" w:lineRule="auto"/>
            </w:pPr>
            <w:r>
              <w:rPr>
                <w:b w:val="0"/>
                <w:i w:val="0"/>
                <w:sz w:val="16"/>
              </w:rPr>
              <w:t>Deployment plan, go-live checklist, production deployment (DEL-20, 21, 28)</w:t>
            </w:r>
          </w:p>
        </w:tc>
      </w:tr>
      <w:tr>
        <w:trPr>
          <w:cantSplit/>
        </w:trPr>
        <w:tc>
          <w:tcPr>
            <w:tcW w:type="dxa" w:w="397"/>
            <w:vAlign w:val="top"/>
            <w:shd w:val="clear" w:color="auto" w:fill="FDF0F7"/>
          </w:tcPr>
          <w:p>
            <w:pPr>
              <w:spacing w:after="20" w:line="252" w:lineRule="auto"/>
              <w:jc w:val="center"/>
            </w:pPr>
            <w:r>
              <w:rPr>
                <w:b w:val="0"/>
                <w:i w:val="0"/>
                <w:sz w:val="16"/>
              </w:rPr>
              <w:t>7</w:t>
            </w:r>
          </w:p>
        </w:tc>
        <w:tc>
          <w:tcPr>
            <w:tcW w:type="dxa" w:w="1757"/>
            <w:vAlign w:val="top"/>
            <w:shd w:val="clear" w:color="auto" w:fill="FDF0F7"/>
          </w:tcPr>
          <w:p>
            <w:pPr>
              <w:spacing w:after="20" w:line="252" w:lineRule="auto"/>
            </w:pPr>
            <w:r>
              <w:rPr>
                <w:b w:val="0"/>
                <w:i w:val="0"/>
                <w:sz w:val="16"/>
              </w:rPr>
              <w:t>Hypercare and closure</w:t>
            </w:r>
          </w:p>
        </w:tc>
        <w:tc>
          <w:tcPr>
            <w:tcW w:type="dxa" w:w="794"/>
            <w:vAlign w:val="top"/>
            <w:shd w:val="clear" w:color="auto" w:fill="FDF0F7"/>
          </w:tcPr>
          <w:p>
            <w:pPr>
              <w:spacing w:after="20" w:line="252" w:lineRule="auto"/>
              <w:jc w:val="center"/>
            </w:pPr>
            <w:r>
              <w:rPr>
                <w:b w:val="0"/>
                <w:i w:val="0"/>
                <w:sz w:val="16"/>
              </w:rPr>
              <w:t>25–28</w:t>
            </w:r>
          </w:p>
        </w:tc>
        <w:tc>
          <w:tcPr>
            <w:tcW w:type="dxa" w:w="3572"/>
            <w:vAlign w:val="top"/>
            <w:shd w:val="clear" w:color="auto" w:fill="FDF0F7"/>
          </w:tcPr>
          <w:p>
            <w:pPr>
              <w:spacing w:after="20" w:line="252" w:lineRule="auto"/>
            </w:pPr>
            <w:r>
              <w:rPr>
                <w:b w:val="0"/>
                <w:i w:val="0"/>
                <w:sz w:val="16"/>
              </w:rPr>
              <w:t>Hypercare, stabilisation, handover to support, closure</w:t>
            </w:r>
          </w:p>
        </w:tc>
        <w:tc>
          <w:tcPr>
            <w:tcW w:type="dxa" w:w="3118"/>
            <w:vAlign w:val="top"/>
            <w:shd w:val="clear" w:color="auto" w:fill="FDF0F7"/>
          </w:tcPr>
          <w:p>
            <w:pPr>
              <w:spacing w:after="20" w:line="252" w:lineRule="auto"/>
            </w:pPr>
            <w:r>
              <w:rPr>
                <w:b w:val="0"/>
                <w:i w:val="0"/>
                <w:sz w:val="16"/>
              </w:rPr>
              <w:t>Go-live support, closure report (DEL-29, 30)</w:t>
            </w:r>
          </w:p>
        </w:tc>
      </w:tr>
    </w:tbl>
    <w:p>
      <w:pPr>
        <w:pStyle w:val="Caption"/>
        <w:jc w:val="center"/>
      </w:pPr>
      <w:r>
        <w:rPr>
          <w:b w:val="0"/>
          <w:i w:val="0"/>
        </w:rPr>
        <w:t>Table 29: Implementation phases</w:t>
      </w:r>
    </w:p>
    <w:p>
      <w:pPr>
        <w:pStyle w:val="Heading3"/>
      </w:pPr>
      <w:r>
        <w:t>Configuration sprints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7711"/>
      </w:tblGrid>
      <w:tr>
        <w:trPr>
          <w:cantSplit/>
          <w:tblHeader/>
        </w:trPr>
        <w:tc>
          <w:tcPr>
            <w:tcW w:type="dxa" w:w="1928"/>
            <w:shd w:val="clear" w:color="auto" w:fill="E1058C"/>
            <w:vAlign w:val="center"/>
          </w:tcPr>
          <w:p>
            <w:pPr>
              <w:spacing w:after="0"/>
            </w:pPr>
            <w:r>
              <w:rPr>
                <w:b/>
                <w:i w:val="0"/>
                <w:color w:val="FFFFFF"/>
                <w:sz w:val="17"/>
              </w:rPr>
              <w:t>Sprint</w:t>
            </w:r>
          </w:p>
        </w:tc>
        <w:tc>
          <w:tcPr>
            <w:tcW w:type="dxa" w:w="7710"/>
            <w:shd w:val="clear" w:color="auto" w:fill="E1058C"/>
            <w:vAlign w:val="center"/>
          </w:tcPr>
          <w:p>
            <w:pPr>
              <w:spacing w:after="0"/>
            </w:pPr>
            <w:r>
              <w:rPr>
                <w:b/>
                <w:i w:val="0"/>
                <w:color w:val="FFFFFF"/>
                <w:sz w:val="17"/>
              </w:rPr>
              <w:t>Scope</w:t>
            </w:r>
          </w:p>
        </w:tc>
      </w:tr>
      <w:tr>
        <w:trPr>
          <w:cantSplit/>
        </w:trPr>
        <w:tc>
          <w:tcPr>
            <w:tcW w:type="dxa" w:w="1928"/>
            <w:vAlign w:val="top"/>
          </w:tcPr>
          <w:p>
            <w:pPr>
              <w:spacing w:after="20" w:line="252" w:lineRule="auto"/>
            </w:pPr>
            <w:r>
              <w:rPr>
                <w:b/>
                <w:i w:val="0"/>
                <w:sz w:val="17"/>
              </w:rPr>
              <w:t>Sprint 1 (wk 6–7)</w:t>
            </w:r>
          </w:p>
        </w:tc>
        <w:tc>
          <w:tcPr>
            <w:tcW w:type="dxa" w:w="7710"/>
            <w:vAlign w:val="top"/>
          </w:tcPr>
          <w:p>
            <w:pPr>
              <w:spacing w:after="20" w:line="252" w:lineRule="auto"/>
            </w:pPr>
            <w:r>
              <w:rPr>
                <w:b w:val="0"/>
                <w:i w:val="0"/>
                <w:sz w:val="17"/>
              </w:rPr>
              <w:t>Access set-up to IITH policy, MFA, roles and data scopes; agent, agency and bank master data loaded</w:t>
            </w:r>
          </w:p>
        </w:tc>
      </w:tr>
      <w:tr>
        <w:trPr>
          <w:cantSplit/>
        </w:trPr>
        <w:tc>
          <w:tcPr>
            <w:tcW w:type="dxa" w:w="1928"/>
            <w:vAlign w:val="top"/>
            <w:shd w:val="clear" w:color="auto" w:fill="FDF0F7"/>
          </w:tcPr>
          <w:p>
            <w:pPr>
              <w:spacing w:after="20" w:line="252" w:lineRule="auto"/>
            </w:pPr>
            <w:r>
              <w:rPr>
                <w:b/>
                <w:i w:val="0"/>
                <w:sz w:val="17"/>
              </w:rPr>
              <w:t>Sprint 2 (wk 8–9)</w:t>
            </w:r>
          </w:p>
        </w:tc>
        <w:tc>
          <w:tcPr>
            <w:tcW w:type="dxa" w:w="7710"/>
            <w:vAlign w:val="top"/>
            <w:shd w:val="clear" w:color="auto" w:fill="FDF0F7"/>
          </w:tcPr>
          <w:p>
            <w:pPr>
              <w:spacing w:after="20" w:line="252" w:lineRule="auto"/>
            </w:pPr>
            <w:r>
              <w:rPr>
                <w:b w:val="0"/>
                <w:i w:val="0"/>
                <w:sz w:val="17"/>
              </w:rPr>
              <w:t>Onboarding and approval matrix; participant rules; AML connection to IIFT's screening service</w:t>
            </w:r>
          </w:p>
        </w:tc>
      </w:tr>
      <w:tr>
        <w:trPr>
          <w:cantSplit/>
        </w:trPr>
        <w:tc>
          <w:tcPr>
            <w:tcW w:type="dxa" w:w="1928"/>
            <w:vAlign w:val="top"/>
          </w:tcPr>
          <w:p>
            <w:pPr>
              <w:spacing w:after="20" w:line="252" w:lineRule="auto"/>
            </w:pPr>
            <w:r>
              <w:rPr>
                <w:b/>
                <w:i w:val="0"/>
                <w:sz w:val="17"/>
              </w:rPr>
              <w:t>Sprint 3 (wk 10–11)</w:t>
            </w:r>
          </w:p>
        </w:tc>
        <w:tc>
          <w:tcPr>
            <w:tcW w:type="dxa" w:w="7710"/>
            <w:vAlign w:val="top"/>
          </w:tcPr>
          <w:p>
            <w:pPr>
              <w:spacing w:after="20" w:line="252" w:lineRule="auto"/>
            </w:pPr>
            <w:r>
              <w:rPr>
                <w:b w:val="0"/>
                <w:i w:val="0"/>
                <w:sz w:val="17"/>
              </w:rPr>
              <w:t>IIFT actuarial rates, questionnaires and document templates for all seven products</w:t>
            </w:r>
          </w:p>
        </w:tc>
      </w:tr>
      <w:tr>
        <w:trPr>
          <w:cantSplit/>
        </w:trPr>
        <w:tc>
          <w:tcPr>
            <w:tcW w:type="dxa" w:w="1928"/>
            <w:vAlign w:val="top"/>
            <w:shd w:val="clear" w:color="auto" w:fill="FDF0F7"/>
          </w:tcPr>
          <w:p>
            <w:pPr>
              <w:spacing w:after="20" w:line="252" w:lineRule="auto"/>
            </w:pPr>
            <w:r>
              <w:rPr>
                <w:b/>
                <w:i w:val="0"/>
                <w:sz w:val="17"/>
              </w:rPr>
              <w:t>Sprint 4 (wk 12–13)</w:t>
            </w:r>
          </w:p>
        </w:tc>
        <w:tc>
          <w:tcPr>
            <w:tcW w:type="dxa" w:w="7710"/>
            <w:vAlign w:val="top"/>
            <w:shd w:val="clear" w:color="auto" w:fill="FDF0F7"/>
          </w:tcPr>
          <w:p>
            <w:pPr>
              <w:spacing w:after="20" w:line="252" w:lineRule="auto"/>
            </w:pPr>
            <w:r>
              <w:rPr>
                <w:b w:val="0"/>
                <w:i w:val="0"/>
                <w:sz w:val="17"/>
              </w:rPr>
              <w:t>Referral and QC rules, policy servicing, e-Policy and e-Receipt wording and branding</w:t>
            </w:r>
          </w:p>
        </w:tc>
      </w:tr>
      <w:tr>
        <w:trPr>
          <w:cantSplit/>
        </w:trPr>
        <w:tc>
          <w:tcPr>
            <w:tcW w:type="dxa" w:w="1928"/>
            <w:vAlign w:val="top"/>
          </w:tcPr>
          <w:p>
            <w:pPr>
              <w:spacing w:after="20" w:line="252" w:lineRule="auto"/>
            </w:pPr>
            <w:r>
              <w:rPr>
                <w:b/>
                <w:i w:val="0"/>
                <w:sz w:val="17"/>
              </w:rPr>
              <w:t>Sprint 5 (wk 14–15)</w:t>
            </w:r>
          </w:p>
        </w:tc>
        <w:tc>
          <w:tcPr>
            <w:tcW w:type="dxa" w:w="7710"/>
            <w:vAlign w:val="top"/>
          </w:tcPr>
          <w:p>
            <w:pPr>
              <w:spacing w:after="20" w:line="252" w:lineRule="auto"/>
            </w:pPr>
            <w:r>
              <w:rPr>
                <w:b w:val="0"/>
                <w:i w:val="0"/>
                <w:sz w:val="17"/>
              </w:rPr>
              <w:t>Payment rules, EOD and FIN file sign-off, BRR reconciliation, remaining reports, notifications</w:t>
            </w:r>
          </w:p>
        </w:tc>
      </w:tr>
      <w:tr>
        <w:trPr>
          <w:cantSplit/>
        </w:trPr>
        <w:tc>
          <w:tcPr>
            <w:tcW w:type="dxa" w:w="1928"/>
            <w:vAlign w:val="top"/>
            <w:shd w:val="clear" w:color="auto" w:fill="FDF0F7"/>
          </w:tcPr>
          <w:p>
            <w:pPr>
              <w:spacing w:after="20" w:line="252" w:lineRule="auto"/>
            </w:pPr>
            <w:r>
              <w:rPr>
                <w:b/>
                <w:i w:val="0"/>
                <w:sz w:val="17"/>
              </w:rPr>
              <w:t>Hardening (wk 16)</w:t>
            </w:r>
          </w:p>
        </w:tc>
        <w:tc>
          <w:tcPr>
            <w:tcW w:type="dxa" w:w="7710"/>
            <w:vAlign w:val="top"/>
            <w:shd w:val="clear" w:color="auto" w:fill="FDF0F7"/>
          </w:tcPr>
          <w:p>
            <w:pPr>
              <w:spacing w:after="20" w:line="252" w:lineRule="auto"/>
            </w:pPr>
            <w:r>
              <w:rPr>
                <w:b w:val="0"/>
                <w:i w:val="0"/>
                <w:sz w:val="17"/>
              </w:rPr>
              <w:t>Performance tuning, security hardening, defect fixing, documentation; build complete (M3)</w:t>
            </w:r>
          </w:p>
        </w:tc>
      </w:tr>
    </w:tbl>
    <w:p>
      <w:pPr>
        <w:spacing w:after="0" w:before="0"/>
      </w:pPr>
      <w:r>
        <w:rPr>
          <w:sz w:val="8"/>
        </w:rPr>
      </w:r>
    </w:p>
    <w:p>
      <w:pPr>
        <w:keepNext w:val="0"/>
      </w:pPr>
      <w:r>
        <w:rPr>
          <w:b w:val="0"/>
          <w:i w:val="0"/>
        </w:rPr>
        <w:t>All 30 deliverables in RFP section 7 are provided; Section 5 gives the due week and acceptance evidence of each.</w:t>
      </w:r>
    </w:p>
    <w:p>
      <w:pPr>
        <w:pStyle w:val="Heading2"/>
      </w:pPr>
      <w:r>
        <w:t>17.3 Project governance</w:t>
      </w:r>
    </w:p>
    <w:p>
      <w:pPr>
        <w:keepNext/>
        <w:spacing w:after="0"/>
        <w:jc w:val="center"/>
      </w:pPr>
      <w:r>
        <w:drawing>
          <wp:inline xmlns:a="http://schemas.openxmlformats.org/drawingml/2006/main" xmlns:pic="http://schemas.openxmlformats.org/drawingml/2006/picture">
            <wp:extent cx="5760000" cy="2304000"/>
            <wp:docPr id="42" name="Picture 42"/>
            <wp:cNvGraphicFramePr>
              <a:graphicFrameLocks noChangeAspect="1"/>
            </wp:cNvGraphicFramePr>
            <a:graphic>
              <a:graphicData uri="http://schemas.openxmlformats.org/drawingml/2006/picture">
                <pic:pic>
                  <pic:nvPicPr>
                    <pic:cNvPr id="0" name="fig-governance.png"/>
                    <pic:cNvPicPr/>
                  </pic:nvPicPr>
                  <pic:blipFill>
                    <a:blip r:embed="rId52"/>
                    <a:stretch>
                      <a:fillRect/>
                    </a:stretch>
                  </pic:blipFill>
                  <pic:spPr>
                    <a:xfrm>
                      <a:off x="0" y="0"/>
                      <a:ext cx="5760000" cy="2304000"/>
                    </a:xfrm>
                    <a:prstGeom prst="rect"/>
                  </pic:spPr>
                </pic:pic>
              </a:graphicData>
            </a:graphic>
          </wp:inline>
        </w:drawing>
      </w:r>
    </w:p>
    <w:p>
      <w:pPr>
        <w:pStyle w:val="Caption"/>
        <w:jc w:val="center"/>
      </w:pPr>
      <w:r>
        <w:rPr>
          <w:b w:val="0"/>
          <w:i w:val="0"/>
        </w:rPr>
        <w:t>Figure 39: Project governance structure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3402"/>
        <w:gridCol w:w="1587"/>
        <w:gridCol w:w="2721"/>
      </w:tblGrid>
      <w:tr>
        <w:trPr>
          <w:cantSplit/>
          <w:tblHeader/>
        </w:trPr>
        <w:tc>
          <w:tcPr>
            <w:tcW w:type="dxa" w:w="1928"/>
            <w:shd w:val="clear" w:color="auto" w:fill="E1058C"/>
            <w:vAlign w:val="center"/>
          </w:tcPr>
          <w:p>
            <w:pPr>
              <w:spacing w:after="0"/>
            </w:pPr>
            <w:r>
              <w:rPr>
                <w:b/>
                <w:i w:val="0"/>
                <w:color w:val="FFFFFF"/>
                <w:sz w:val="16"/>
              </w:rPr>
              <w:t>Forum</w:t>
            </w:r>
          </w:p>
        </w:tc>
        <w:tc>
          <w:tcPr>
            <w:tcW w:type="dxa" w:w="3402"/>
            <w:shd w:val="clear" w:color="auto" w:fill="E1058C"/>
            <w:vAlign w:val="center"/>
          </w:tcPr>
          <w:p>
            <w:pPr>
              <w:spacing w:after="0"/>
            </w:pPr>
            <w:r>
              <w:rPr>
                <w:b/>
                <w:i w:val="0"/>
                <w:color w:val="FFFFFF"/>
                <w:sz w:val="16"/>
              </w:rPr>
              <w:t>Members</w:t>
            </w:r>
          </w:p>
        </w:tc>
        <w:tc>
          <w:tcPr>
            <w:tcW w:type="dxa" w:w="1587"/>
            <w:shd w:val="clear" w:color="auto" w:fill="E1058C"/>
            <w:vAlign w:val="center"/>
          </w:tcPr>
          <w:p>
            <w:pPr>
              <w:spacing w:after="0"/>
            </w:pPr>
            <w:r>
              <w:rPr>
                <w:b/>
                <w:i w:val="0"/>
                <w:color w:val="FFFFFF"/>
                <w:sz w:val="16"/>
              </w:rPr>
              <w:t>Frequency</w:t>
            </w:r>
          </w:p>
        </w:tc>
        <w:tc>
          <w:tcPr>
            <w:tcW w:type="dxa" w:w="2721"/>
            <w:shd w:val="clear" w:color="auto" w:fill="E1058C"/>
            <w:vAlign w:val="center"/>
          </w:tcPr>
          <w:p>
            <w:pPr>
              <w:spacing w:after="0"/>
            </w:pPr>
            <w:r>
              <w:rPr>
                <w:b/>
                <w:i w:val="0"/>
                <w:color w:val="FFFFFF"/>
                <w:sz w:val="16"/>
              </w:rPr>
              <w:t>Purpose</w:t>
            </w:r>
          </w:p>
        </w:tc>
      </w:tr>
      <w:tr>
        <w:trPr>
          <w:cantSplit/>
        </w:trPr>
        <w:tc>
          <w:tcPr>
            <w:tcW w:type="dxa" w:w="1928"/>
            <w:vAlign w:val="top"/>
          </w:tcPr>
          <w:p>
            <w:pPr>
              <w:spacing w:after="20" w:line="252" w:lineRule="auto"/>
            </w:pPr>
            <w:r>
              <w:rPr>
                <w:b/>
                <w:i w:val="0"/>
                <w:sz w:val="16"/>
              </w:rPr>
              <w:t>Steering Committee</w:t>
            </w:r>
          </w:p>
        </w:tc>
        <w:tc>
          <w:tcPr>
            <w:tcW w:type="dxa" w:w="3402"/>
            <w:vAlign w:val="top"/>
          </w:tcPr>
          <w:p>
            <w:pPr>
              <w:spacing w:after="20" w:line="252" w:lineRule="auto"/>
            </w:pPr>
            <w:r>
              <w:rPr>
                <w:b w:val="0"/>
                <w:i w:val="0"/>
                <w:sz w:val="16"/>
              </w:rPr>
              <w:t>IIFT sponsor (chair), IITH IT head, IIFT business heads, iorta Engagement Director, both PMs</w:t>
            </w:r>
          </w:p>
        </w:tc>
        <w:tc>
          <w:tcPr>
            <w:tcW w:type="dxa" w:w="1587"/>
            <w:vAlign w:val="top"/>
          </w:tcPr>
          <w:p>
            <w:pPr>
              <w:spacing w:after="20" w:line="252" w:lineRule="auto"/>
            </w:pPr>
            <w:r>
              <w:rPr>
                <w:b w:val="0"/>
                <w:i w:val="0"/>
                <w:sz w:val="16"/>
              </w:rPr>
              <w:t>Monthly and at milestone gates</w:t>
            </w:r>
          </w:p>
        </w:tc>
        <w:tc>
          <w:tcPr>
            <w:tcW w:type="dxa" w:w="2721"/>
            <w:vAlign w:val="top"/>
          </w:tcPr>
          <w:p>
            <w:pPr>
              <w:spacing w:after="20" w:line="252" w:lineRule="auto"/>
            </w:pPr>
            <w:r>
              <w:rPr>
                <w:b w:val="0"/>
                <w:i w:val="0"/>
                <w:sz w:val="16"/>
              </w:rPr>
              <w:t>Direction, milestone approval, escalated risks and changes, go/no-go</w:t>
            </w:r>
          </w:p>
        </w:tc>
      </w:tr>
      <w:tr>
        <w:trPr>
          <w:cantSplit/>
        </w:trPr>
        <w:tc>
          <w:tcPr>
            <w:tcW w:type="dxa" w:w="1928"/>
            <w:vAlign w:val="top"/>
            <w:shd w:val="clear" w:color="auto" w:fill="FDF0F7"/>
          </w:tcPr>
          <w:p>
            <w:pPr>
              <w:spacing w:after="20" w:line="252" w:lineRule="auto"/>
            </w:pPr>
            <w:r>
              <w:rPr>
                <w:b/>
                <w:i w:val="0"/>
                <w:sz w:val="16"/>
              </w:rPr>
              <w:t>Project Working Committee</w:t>
            </w:r>
          </w:p>
        </w:tc>
        <w:tc>
          <w:tcPr>
            <w:tcW w:type="dxa" w:w="3402"/>
            <w:vAlign w:val="top"/>
            <w:shd w:val="clear" w:color="auto" w:fill="FDF0F7"/>
          </w:tcPr>
          <w:p>
            <w:pPr>
              <w:spacing w:after="20" w:line="252" w:lineRule="auto"/>
            </w:pPr>
            <w:r>
              <w:rPr>
                <w:b w:val="0"/>
                <w:i w:val="0"/>
                <w:sz w:val="16"/>
              </w:rPr>
              <w:t>IIFT PM, iorta PM, business and IT leads</w:t>
            </w:r>
          </w:p>
        </w:tc>
        <w:tc>
          <w:tcPr>
            <w:tcW w:type="dxa" w:w="1587"/>
            <w:vAlign w:val="top"/>
            <w:shd w:val="clear" w:color="auto" w:fill="FDF0F7"/>
          </w:tcPr>
          <w:p>
            <w:pPr>
              <w:spacing w:after="20" w:line="252" w:lineRule="auto"/>
            </w:pPr>
            <w:r>
              <w:rPr>
                <w:b w:val="0"/>
                <w:i w:val="0"/>
                <w:sz w:val="16"/>
              </w:rPr>
              <w:t>Weekly</w:t>
            </w:r>
          </w:p>
        </w:tc>
        <w:tc>
          <w:tcPr>
            <w:tcW w:type="dxa" w:w="2721"/>
            <w:vAlign w:val="top"/>
            <w:shd w:val="clear" w:color="auto" w:fill="FDF0F7"/>
          </w:tcPr>
          <w:p>
            <w:pPr>
              <w:spacing w:after="20" w:line="252" w:lineRule="auto"/>
            </w:pPr>
            <w:r>
              <w:rPr>
                <w:b w:val="0"/>
                <w:i w:val="0"/>
                <w:sz w:val="16"/>
              </w:rPr>
              <w:t>Progress, RAID log, dependencies, decisions</w:t>
            </w:r>
          </w:p>
        </w:tc>
      </w:tr>
      <w:tr>
        <w:trPr>
          <w:cantSplit/>
        </w:trPr>
        <w:tc>
          <w:tcPr>
            <w:tcW w:type="dxa" w:w="1928"/>
            <w:vAlign w:val="top"/>
          </w:tcPr>
          <w:p>
            <w:pPr>
              <w:spacing w:after="20" w:line="252" w:lineRule="auto"/>
            </w:pPr>
            <w:r>
              <w:rPr>
                <w:b/>
                <w:i w:val="0"/>
                <w:sz w:val="16"/>
              </w:rPr>
              <w:t>Sprint review &amp; planning</w:t>
            </w:r>
          </w:p>
        </w:tc>
        <w:tc>
          <w:tcPr>
            <w:tcW w:type="dxa" w:w="3402"/>
            <w:vAlign w:val="top"/>
          </w:tcPr>
          <w:p>
            <w:pPr>
              <w:spacing w:after="20" w:line="252" w:lineRule="auto"/>
            </w:pPr>
            <w:r>
              <w:rPr>
                <w:b w:val="0"/>
                <w:i w:val="0"/>
                <w:sz w:val="16"/>
              </w:rPr>
              <w:t>Product owner, key users, iorta team</w:t>
            </w:r>
          </w:p>
        </w:tc>
        <w:tc>
          <w:tcPr>
            <w:tcW w:type="dxa" w:w="1587"/>
            <w:vAlign w:val="top"/>
          </w:tcPr>
          <w:p>
            <w:pPr>
              <w:spacing w:after="20" w:line="252" w:lineRule="auto"/>
            </w:pPr>
            <w:r>
              <w:rPr>
                <w:b w:val="0"/>
                <w:i w:val="0"/>
                <w:sz w:val="16"/>
              </w:rPr>
              <w:t>Every two weeks</w:t>
            </w:r>
          </w:p>
        </w:tc>
        <w:tc>
          <w:tcPr>
            <w:tcW w:type="dxa" w:w="2721"/>
            <w:vAlign w:val="top"/>
          </w:tcPr>
          <w:p>
            <w:pPr>
              <w:spacing w:after="20" w:line="252" w:lineRule="auto"/>
            </w:pPr>
            <w:r>
              <w:rPr>
                <w:b w:val="0"/>
                <w:i w:val="0"/>
                <w:sz w:val="16"/>
              </w:rPr>
              <w:t>Demo of completed features, backlog priorities</w:t>
            </w:r>
          </w:p>
        </w:tc>
      </w:tr>
      <w:tr>
        <w:trPr>
          <w:cantSplit/>
        </w:trPr>
        <w:tc>
          <w:tcPr>
            <w:tcW w:type="dxa" w:w="1928"/>
            <w:vAlign w:val="top"/>
            <w:shd w:val="clear" w:color="auto" w:fill="FDF0F7"/>
          </w:tcPr>
          <w:p>
            <w:pPr>
              <w:spacing w:after="20" w:line="252" w:lineRule="auto"/>
            </w:pPr>
            <w:r>
              <w:rPr>
                <w:b/>
                <w:i w:val="0"/>
                <w:sz w:val="16"/>
              </w:rPr>
              <w:t>Design Authority</w:t>
            </w:r>
          </w:p>
        </w:tc>
        <w:tc>
          <w:tcPr>
            <w:tcW w:type="dxa" w:w="3402"/>
            <w:vAlign w:val="top"/>
            <w:shd w:val="clear" w:color="auto" w:fill="FDF0F7"/>
          </w:tcPr>
          <w:p>
            <w:pPr>
              <w:spacing w:after="20" w:line="252" w:lineRule="auto"/>
            </w:pPr>
            <w:r>
              <w:rPr>
                <w:b w:val="0"/>
                <w:i w:val="0"/>
                <w:sz w:val="16"/>
              </w:rPr>
              <w:t>IITH IT architecture &amp; security, iorta Solution Architect</w:t>
            </w:r>
          </w:p>
        </w:tc>
        <w:tc>
          <w:tcPr>
            <w:tcW w:type="dxa" w:w="1587"/>
            <w:vAlign w:val="top"/>
            <w:shd w:val="clear" w:color="auto" w:fill="FDF0F7"/>
          </w:tcPr>
          <w:p>
            <w:pPr>
              <w:spacing w:after="20" w:line="252" w:lineRule="auto"/>
            </w:pPr>
            <w:r>
              <w:rPr>
                <w:b w:val="0"/>
                <w:i w:val="0"/>
                <w:sz w:val="16"/>
              </w:rPr>
              <w:t>As needed in phases 1–4</w:t>
            </w:r>
          </w:p>
        </w:tc>
        <w:tc>
          <w:tcPr>
            <w:tcW w:type="dxa" w:w="2721"/>
            <w:vAlign w:val="top"/>
            <w:shd w:val="clear" w:color="auto" w:fill="FDF0F7"/>
          </w:tcPr>
          <w:p>
            <w:pPr>
              <w:spacing w:after="20" w:line="252" w:lineRule="auto"/>
            </w:pPr>
            <w:r>
              <w:rPr>
                <w:b w:val="0"/>
                <w:i w:val="0"/>
                <w:sz w:val="16"/>
              </w:rPr>
              <w:t>Architecture, security and integration decisions</w:t>
            </w:r>
          </w:p>
        </w:tc>
      </w:tr>
      <w:tr>
        <w:trPr>
          <w:cantSplit/>
        </w:trPr>
        <w:tc>
          <w:tcPr>
            <w:tcW w:type="dxa" w:w="1928"/>
            <w:vAlign w:val="top"/>
          </w:tcPr>
          <w:p>
            <w:pPr>
              <w:spacing w:after="20" w:line="252" w:lineRule="auto"/>
            </w:pPr>
            <w:r>
              <w:rPr>
                <w:b/>
                <w:i w:val="0"/>
                <w:sz w:val="16"/>
              </w:rPr>
              <w:t>Change Control Board</w:t>
            </w:r>
          </w:p>
        </w:tc>
        <w:tc>
          <w:tcPr>
            <w:tcW w:type="dxa" w:w="3402"/>
            <w:vAlign w:val="top"/>
          </w:tcPr>
          <w:p>
            <w:pPr>
              <w:spacing w:after="20" w:line="252" w:lineRule="auto"/>
            </w:pPr>
            <w:r>
              <w:rPr>
                <w:b w:val="0"/>
                <w:i w:val="0"/>
                <w:sz w:val="16"/>
              </w:rPr>
              <w:t>IIFT PM, sponsor delegate, iorta PM</w:t>
            </w:r>
          </w:p>
        </w:tc>
        <w:tc>
          <w:tcPr>
            <w:tcW w:type="dxa" w:w="1587"/>
            <w:vAlign w:val="top"/>
          </w:tcPr>
          <w:p>
            <w:pPr>
              <w:spacing w:after="20" w:line="252" w:lineRule="auto"/>
            </w:pPr>
            <w:r>
              <w:rPr>
                <w:b w:val="0"/>
                <w:i w:val="0"/>
                <w:sz w:val="16"/>
              </w:rPr>
              <w:t>As needed</w:t>
            </w:r>
          </w:p>
        </w:tc>
        <w:tc>
          <w:tcPr>
            <w:tcW w:type="dxa" w:w="2721"/>
            <w:vAlign w:val="top"/>
          </w:tcPr>
          <w:p>
            <w:pPr>
              <w:spacing w:after="20" w:line="252" w:lineRule="auto"/>
            </w:pPr>
            <w:r>
              <w:rPr>
                <w:b w:val="0"/>
                <w:i w:val="0"/>
                <w:sz w:val="16"/>
              </w:rPr>
              <w:t>Assess and approve change requests</w:t>
            </w:r>
          </w:p>
        </w:tc>
      </w:tr>
    </w:tbl>
    <w:p>
      <w:pPr>
        <w:spacing w:after="0" w:before="0"/>
      </w:pPr>
      <w:r>
        <w:rPr>
          <w:sz w:val="8"/>
        </w:rPr>
      </w:r>
    </w:p>
    <w:p>
      <w:pPr>
        <w:keepNext w:val="0"/>
      </w:pPr>
      <w:r>
        <w:rPr>
          <w:b w:val="0"/>
          <w:i w:val="0"/>
        </w:rPr>
        <w:t>Progress is reported weekly (status, milestones and the RAID log of risks, assumptions, issues and dependencies) and monthly to the Steering Committee. Issues that cannot be resolved by the Working Committee within five business days are escalated to the Steering Committee.</w:t>
      </w:r>
    </w:p>
    <w:p>
      <w:pPr>
        <w:pStyle w:val="Heading3"/>
      </w:pPr>
      <w:r>
        <w:t>RACI matrix</w:t>
      </w:r>
    </w:p>
    <w:p>
      <w:pPr>
        <w:keepNext w:val="0"/>
      </w:pPr>
      <w:r>
        <w:rPr>
          <w:b w:val="0"/>
          <w:i w:val="0"/>
        </w:rPr>
        <w:t>R = Responsible, A = Accountable, C = Consulted, I = Informed.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1077"/>
        <w:gridCol w:w="1077"/>
        <w:gridCol w:w="1077"/>
        <w:gridCol w:w="1077"/>
        <w:gridCol w:w="1077"/>
        <w:gridCol w:w="1077"/>
      </w:tblGrid>
      <w:tr>
        <w:trPr>
          <w:cantSplit/>
          <w:tblHeader/>
        </w:trPr>
        <w:tc>
          <w:tcPr>
            <w:tcW w:type="dxa" w:w="3175"/>
            <w:shd w:val="clear" w:color="auto" w:fill="E1058C"/>
            <w:vAlign w:val="center"/>
          </w:tcPr>
          <w:p>
            <w:pPr>
              <w:spacing w:after="0"/>
            </w:pPr>
            <w:r>
              <w:rPr>
                <w:b/>
                <w:i w:val="0"/>
                <w:color w:val="FFFFFF"/>
                <w:sz w:val="16"/>
              </w:rPr>
              <w:t>Activity</w:t>
            </w:r>
          </w:p>
        </w:tc>
        <w:tc>
          <w:tcPr>
            <w:tcW w:type="dxa" w:w="1077"/>
            <w:shd w:val="clear" w:color="auto" w:fill="E1058C"/>
            <w:vAlign w:val="center"/>
          </w:tcPr>
          <w:p>
            <w:pPr>
              <w:spacing w:after="0"/>
            </w:pPr>
            <w:r>
              <w:rPr>
                <w:b/>
                <w:i w:val="0"/>
                <w:color w:val="FFFFFF"/>
                <w:sz w:val="16"/>
              </w:rPr>
              <w:t>IIFT Sponsor</w:t>
            </w:r>
          </w:p>
        </w:tc>
        <w:tc>
          <w:tcPr>
            <w:tcW w:type="dxa" w:w="1077"/>
            <w:shd w:val="clear" w:color="auto" w:fill="E1058C"/>
            <w:vAlign w:val="center"/>
          </w:tcPr>
          <w:p>
            <w:pPr>
              <w:spacing w:after="0"/>
            </w:pPr>
            <w:r>
              <w:rPr>
                <w:b/>
                <w:i w:val="0"/>
                <w:color w:val="FFFFFF"/>
                <w:sz w:val="16"/>
              </w:rPr>
              <w:t>IIFT PM</w:t>
            </w:r>
          </w:p>
        </w:tc>
        <w:tc>
          <w:tcPr>
            <w:tcW w:type="dxa" w:w="1077"/>
            <w:shd w:val="clear" w:color="auto" w:fill="E1058C"/>
            <w:vAlign w:val="center"/>
          </w:tcPr>
          <w:p>
            <w:pPr>
              <w:spacing w:after="0"/>
            </w:pPr>
            <w:r>
              <w:rPr>
                <w:b/>
                <w:i w:val="0"/>
                <w:color w:val="FFFFFF"/>
                <w:sz w:val="16"/>
              </w:rPr>
              <w:t>IIFT business</w:t>
            </w:r>
          </w:p>
        </w:tc>
        <w:tc>
          <w:tcPr>
            <w:tcW w:type="dxa" w:w="1077"/>
            <w:shd w:val="clear" w:color="auto" w:fill="E1058C"/>
            <w:vAlign w:val="center"/>
          </w:tcPr>
          <w:p>
            <w:pPr>
              <w:spacing w:after="0"/>
            </w:pPr>
            <w:r>
              <w:rPr>
                <w:b/>
                <w:i w:val="0"/>
                <w:color w:val="FFFFFF"/>
                <w:sz w:val="16"/>
              </w:rPr>
              <w:t>IITH IT</w:t>
            </w:r>
          </w:p>
        </w:tc>
        <w:tc>
          <w:tcPr>
            <w:tcW w:type="dxa" w:w="1077"/>
            <w:shd w:val="clear" w:color="auto" w:fill="E1058C"/>
            <w:vAlign w:val="center"/>
          </w:tcPr>
          <w:p>
            <w:pPr>
              <w:spacing w:after="0"/>
            </w:pPr>
            <w:r>
              <w:rPr>
                <w:b/>
                <w:i w:val="0"/>
                <w:color w:val="FFFFFF"/>
                <w:sz w:val="16"/>
              </w:rPr>
              <w:t>iorta PM</w:t>
            </w:r>
          </w:p>
        </w:tc>
        <w:tc>
          <w:tcPr>
            <w:tcW w:type="dxa" w:w="1077"/>
            <w:shd w:val="clear" w:color="auto" w:fill="E1058C"/>
            <w:vAlign w:val="center"/>
          </w:tcPr>
          <w:p>
            <w:pPr>
              <w:spacing w:after="0"/>
            </w:pPr>
            <w:r>
              <w:rPr>
                <w:b/>
                <w:i w:val="0"/>
                <w:color w:val="FFFFFF"/>
                <w:sz w:val="16"/>
              </w:rPr>
              <w:t>iorta team</w:t>
            </w:r>
          </w:p>
        </w:tc>
      </w:tr>
      <w:tr>
        <w:trPr>
          <w:cantSplit/>
        </w:trPr>
        <w:tc>
          <w:tcPr>
            <w:tcW w:type="dxa" w:w="3175"/>
            <w:vAlign w:val="top"/>
          </w:tcPr>
          <w:p>
            <w:pPr>
              <w:spacing w:after="20" w:line="252" w:lineRule="auto"/>
            </w:pPr>
            <w:r>
              <w:rPr>
                <w:b w:val="0"/>
                <w:i w:val="0"/>
                <w:sz w:val="16"/>
              </w:rPr>
              <w:t>Project governance &amp; reporting</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C</w:t>
            </w:r>
          </w:p>
        </w:tc>
      </w:tr>
      <w:tr>
        <w:trPr>
          <w:cantSplit/>
        </w:trPr>
        <w:tc>
          <w:tcPr>
            <w:tcW w:type="dxa" w:w="3175"/>
            <w:vAlign w:val="top"/>
            <w:shd w:val="clear" w:color="auto" w:fill="FDF0F7"/>
          </w:tcPr>
          <w:p>
            <w:pPr>
              <w:spacing w:after="20" w:line="252" w:lineRule="auto"/>
            </w:pPr>
            <w:r>
              <w:rPr>
                <w:b w:val="0"/>
                <w:i w:val="0"/>
                <w:sz w:val="16"/>
              </w:rPr>
              <w:t>Requirements &amp; process sign-off</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R</w:t>
            </w:r>
          </w:p>
        </w:tc>
        <w:tc>
          <w:tcPr>
            <w:tcW w:type="dxa" w:w="1077"/>
            <w:vAlign w:val="top"/>
            <w:shd w:val="clear" w:color="auto" w:fill="FDF0F7"/>
          </w:tcPr>
          <w:p>
            <w:pPr>
              <w:spacing w:after="20" w:line="252" w:lineRule="auto"/>
              <w:jc w:val="center"/>
            </w:pPr>
            <w:r>
              <w:rPr>
                <w:b w:val="0"/>
                <w:i w:val="0"/>
                <w:sz w:val="16"/>
              </w:rPr>
              <w:t>R</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R</w:t>
            </w:r>
          </w:p>
        </w:tc>
      </w:tr>
      <w:tr>
        <w:trPr>
          <w:cantSplit/>
        </w:trPr>
        <w:tc>
          <w:tcPr>
            <w:tcW w:type="dxa" w:w="3175"/>
            <w:vAlign w:val="top"/>
          </w:tcPr>
          <w:p>
            <w:pPr>
              <w:spacing w:after="20" w:line="252" w:lineRule="auto"/>
            </w:pPr>
            <w:r>
              <w:rPr>
                <w:b w:val="0"/>
                <w:i w:val="0"/>
                <w:sz w:val="16"/>
              </w:rPr>
              <w:t>Solution design &amp; architecture</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R</w:t>
            </w:r>
          </w:p>
        </w:tc>
      </w:tr>
      <w:tr>
        <w:trPr>
          <w:cantSplit/>
        </w:trPr>
        <w:tc>
          <w:tcPr>
            <w:tcW w:type="dxa" w:w="3175"/>
            <w:vAlign w:val="top"/>
            <w:shd w:val="clear" w:color="auto" w:fill="FDF0F7"/>
          </w:tcPr>
          <w:p>
            <w:pPr>
              <w:spacing w:after="20" w:line="252" w:lineRule="auto"/>
            </w:pPr>
            <w:r>
              <w:rPr>
                <w:b w:val="0"/>
                <w:i w:val="0"/>
                <w:sz w:val="16"/>
              </w:rPr>
              <w:t>Build &amp; configuration</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R</w:t>
            </w:r>
          </w:p>
        </w:tc>
      </w:tr>
      <w:tr>
        <w:trPr>
          <w:cantSplit/>
        </w:trPr>
        <w:tc>
          <w:tcPr>
            <w:tcW w:type="dxa" w:w="3175"/>
            <w:vAlign w:val="top"/>
          </w:tcPr>
          <w:p>
            <w:pPr>
              <w:spacing w:after="20" w:line="252" w:lineRule="auto"/>
            </w:pPr>
            <w:r>
              <w:rPr>
                <w:b w:val="0"/>
                <w:i w:val="0"/>
                <w:sz w:val="16"/>
              </w:rPr>
              <w:t>Infrastructure provisioning (Option A)</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A/R</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r>
      <w:tr>
        <w:trPr>
          <w:cantSplit/>
        </w:trPr>
        <w:tc>
          <w:tcPr>
            <w:tcW w:type="dxa" w:w="3175"/>
            <w:vAlign w:val="top"/>
            <w:shd w:val="clear" w:color="auto" w:fill="FDF0F7"/>
          </w:tcPr>
          <w:p>
            <w:pPr>
              <w:spacing w:after="20" w:line="252" w:lineRule="auto"/>
            </w:pPr>
            <w:r>
              <w:rPr>
                <w:b w:val="0"/>
                <w:i w:val="0"/>
                <w:sz w:val="16"/>
              </w:rPr>
              <w:t>Interface availability (Core, FIN, AML, AD)</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A/R</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R</w:t>
            </w:r>
          </w:p>
        </w:tc>
      </w:tr>
      <w:tr>
        <w:trPr>
          <w:cantSplit/>
        </w:trPr>
        <w:tc>
          <w:tcPr>
            <w:tcW w:type="dxa" w:w="3175"/>
            <w:vAlign w:val="top"/>
          </w:tcPr>
          <w:p>
            <w:pPr>
              <w:spacing w:after="20" w:line="252" w:lineRule="auto"/>
            </w:pPr>
            <w:r>
              <w:rPr>
                <w:b w:val="0"/>
                <w:i w:val="0"/>
                <w:sz w:val="16"/>
              </w:rPr>
              <w:t>SIT &amp; performance testing</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r>
      <w:tr>
        <w:trPr>
          <w:cantSplit/>
        </w:trPr>
        <w:tc>
          <w:tcPr>
            <w:tcW w:type="dxa" w:w="3175"/>
            <w:vAlign w:val="top"/>
            <w:shd w:val="clear" w:color="auto" w:fill="FDF0F7"/>
          </w:tcPr>
          <w:p>
            <w:pPr>
              <w:spacing w:after="20" w:line="252" w:lineRule="auto"/>
            </w:pPr>
            <w:r>
              <w:rPr>
                <w:b w:val="0"/>
                <w:i w:val="0"/>
                <w:sz w:val="16"/>
              </w:rPr>
              <w:t>VAPT (independent)</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R</w:t>
            </w:r>
          </w:p>
        </w:tc>
      </w:tr>
      <w:tr>
        <w:trPr>
          <w:cantSplit/>
        </w:trPr>
        <w:tc>
          <w:tcPr>
            <w:tcW w:type="dxa" w:w="3175"/>
            <w:vAlign w:val="top"/>
          </w:tcPr>
          <w:p>
            <w:pPr>
              <w:spacing w:after="20" w:line="252" w:lineRule="auto"/>
            </w:pPr>
            <w:r>
              <w:rPr>
                <w:b w:val="0"/>
                <w:i w:val="0"/>
                <w:sz w:val="16"/>
              </w:rPr>
              <w:t>UAT execution &amp; sign-off</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r>
      <w:tr>
        <w:trPr>
          <w:cantSplit/>
        </w:trPr>
        <w:tc>
          <w:tcPr>
            <w:tcW w:type="dxa" w:w="3175"/>
            <w:vAlign w:val="top"/>
            <w:shd w:val="clear" w:color="auto" w:fill="FDF0F7"/>
          </w:tcPr>
          <w:p>
            <w:pPr>
              <w:spacing w:after="20" w:line="252" w:lineRule="auto"/>
            </w:pPr>
            <w:r>
              <w:rPr>
                <w:b w:val="0"/>
                <w:i w:val="0"/>
                <w:sz w:val="16"/>
              </w:rPr>
              <w:t>Data extraction from legacy sources</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R</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C</w:t>
            </w:r>
          </w:p>
        </w:tc>
      </w:tr>
      <w:tr>
        <w:trPr>
          <w:cantSplit/>
        </w:trPr>
        <w:tc>
          <w:tcPr>
            <w:tcW w:type="dxa" w:w="3175"/>
            <w:vAlign w:val="top"/>
          </w:tcPr>
          <w:p>
            <w:pPr>
              <w:spacing w:after="20" w:line="252" w:lineRule="auto"/>
            </w:pPr>
            <w:r>
              <w:rPr>
                <w:b w:val="0"/>
                <w:i w:val="0"/>
                <w:sz w:val="16"/>
              </w:rPr>
              <w:t>Data transformation, load &amp; reconciliation</w:t>
            </w:r>
          </w:p>
        </w:tc>
        <w:tc>
          <w:tcPr>
            <w:tcW w:type="dxa" w:w="1077"/>
            <w:vAlign w:val="top"/>
          </w:tcPr>
          <w:p>
            <w:pPr>
              <w:spacing w:after="20" w:line="252" w:lineRule="auto"/>
              <w:jc w:val="center"/>
            </w:pPr>
            <w:r>
              <w:rPr>
                <w:b w:val="0"/>
                <w:i w:val="0"/>
                <w:sz w:val="16"/>
              </w:rPr>
              <w:t>I</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r>
      <w:tr>
        <w:trPr>
          <w:cantSplit/>
        </w:trPr>
        <w:tc>
          <w:tcPr>
            <w:tcW w:type="dxa" w:w="3175"/>
            <w:vAlign w:val="top"/>
            <w:shd w:val="clear" w:color="auto" w:fill="FDF0F7"/>
          </w:tcPr>
          <w:p>
            <w:pPr>
              <w:spacing w:after="20" w:line="252" w:lineRule="auto"/>
            </w:pPr>
            <w:r>
              <w:rPr>
                <w:b w:val="0"/>
                <w:i w:val="0"/>
                <w:sz w:val="16"/>
              </w:rPr>
              <w:t>Training delivery</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R</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R</w:t>
            </w:r>
          </w:p>
        </w:tc>
      </w:tr>
      <w:tr>
        <w:trPr>
          <w:cantSplit/>
        </w:trPr>
        <w:tc>
          <w:tcPr>
            <w:tcW w:type="dxa" w:w="3175"/>
            <w:vAlign w:val="top"/>
          </w:tcPr>
          <w:p>
            <w:pPr>
              <w:spacing w:after="20" w:line="252" w:lineRule="auto"/>
            </w:pPr>
            <w:r>
              <w:rPr>
                <w:b w:val="0"/>
                <w:i w:val="0"/>
                <w:sz w:val="16"/>
              </w:rPr>
              <w:t>Go-live decision</w:t>
            </w:r>
          </w:p>
        </w:tc>
        <w:tc>
          <w:tcPr>
            <w:tcW w:type="dxa" w:w="1077"/>
            <w:vAlign w:val="top"/>
          </w:tcPr>
          <w:p>
            <w:pPr>
              <w:spacing w:after="20" w:line="252" w:lineRule="auto"/>
              <w:jc w:val="center"/>
            </w:pPr>
            <w:r>
              <w:rPr>
                <w:b w:val="0"/>
                <w:i w:val="0"/>
                <w:sz w:val="16"/>
              </w:rPr>
              <w:t>A</w:t>
            </w:r>
          </w:p>
        </w:tc>
        <w:tc>
          <w:tcPr>
            <w:tcW w:type="dxa" w:w="1077"/>
            <w:vAlign w:val="top"/>
          </w:tcPr>
          <w:p>
            <w:pPr>
              <w:spacing w:after="20" w:line="252" w:lineRule="auto"/>
              <w:jc w:val="center"/>
            </w:pPr>
            <w:r>
              <w:rPr>
                <w:b w:val="0"/>
                <w:i w:val="0"/>
                <w:sz w:val="16"/>
              </w:rPr>
              <w:t>R</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C</w:t>
            </w:r>
          </w:p>
        </w:tc>
        <w:tc>
          <w:tcPr>
            <w:tcW w:type="dxa" w:w="1077"/>
            <w:vAlign w:val="top"/>
          </w:tcPr>
          <w:p>
            <w:pPr>
              <w:spacing w:after="20" w:line="252" w:lineRule="auto"/>
              <w:jc w:val="center"/>
            </w:pPr>
            <w:r>
              <w:rPr>
                <w:b w:val="0"/>
                <w:i w:val="0"/>
                <w:sz w:val="16"/>
              </w:rPr>
              <w:t>I</w:t>
            </w:r>
          </w:p>
        </w:tc>
      </w:tr>
      <w:tr>
        <w:trPr>
          <w:cantSplit/>
        </w:trPr>
        <w:tc>
          <w:tcPr>
            <w:tcW w:type="dxa" w:w="3175"/>
            <w:vAlign w:val="top"/>
            <w:shd w:val="clear" w:color="auto" w:fill="FDF0F7"/>
          </w:tcPr>
          <w:p>
            <w:pPr>
              <w:spacing w:after="20" w:line="252" w:lineRule="auto"/>
            </w:pPr>
            <w:r>
              <w:rPr>
                <w:b w:val="0"/>
                <w:i w:val="0"/>
                <w:sz w:val="16"/>
              </w:rPr>
              <w:t>Hypercare &amp; support</w:t>
            </w:r>
          </w:p>
        </w:tc>
        <w:tc>
          <w:tcPr>
            <w:tcW w:type="dxa" w:w="1077"/>
            <w:vAlign w:val="top"/>
            <w:shd w:val="clear" w:color="auto" w:fill="FDF0F7"/>
          </w:tcPr>
          <w:p>
            <w:pPr>
              <w:spacing w:after="20" w:line="252" w:lineRule="auto"/>
              <w:jc w:val="center"/>
            </w:pPr>
            <w:r>
              <w:rPr>
                <w:b w:val="0"/>
                <w:i w:val="0"/>
                <w:sz w:val="16"/>
              </w:rPr>
              <w:t>I</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C</w:t>
            </w:r>
          </w:p>
        </w:tc>
        <w:tc>
          <w:tcPr>
            <w:tcW w:type="dxa" w:w="1077"/>
            <w:vAlign w:val="top"/>
            <w:shd w:val="clear" w:color="auto" w:fill="FDF0F7"/>
          </w:tcPr>
          <w:p>
            <w:pPr>
              <w:spacing w:after="20" w:line="252" w:lineRule="auto"/>
              <w:jc w:val="center"/>
            </w:pPr>
            <w:r>
              <w:rPr>
                <w:b w:val="0"/>
                <w:i w:val="0"/>
                <w:sz w:val="16"/>
              </w:rPr>
              <w:t>A</w:t>
            </w:r>
          </w:p>
        </w:tc>
        <w:tc>
          <w:tcPr>
            <w:tcW w:type="dxa" w:w="1077"/>
            <w:vAlign w:val="top"/>
            <w:shd w:val="clear" w:color="auto" w:fill="FDF0F7"/>
          </w:tcPr>
          <w:p>
            <w:pPr>
              <w:spacing w:after="20" w:line="252" w:lineRule="auto"/>
              <w:jc w:val="center"/>
            </w:pPr>
            <w:r>
              <w:rPr>
                <w:b w:val="0"/>
                <w:i w:val="0"/>
                <w:sz w:val="16"/>
              </w:rPr>
              <w:t>R</w:t>
            </w:r>
          </w:p>
        </w:tc>
      </w:tr>
    </w:tbl>
    <w:p>
      <w:pPr>
        <w:spacing w:after="0" w:before="0"/>
      </w:pPr>
      <w:r>
        <w:rPr>
          <w:sz w:val="8"/>
        </w:rPr>
      </w:r>
    </w:p>
    <w:p>
      <w:pPr>
        <w:pStyle w:val="Heading2"/>
      </w:pPr>
      <w:r>
        <w:t>17.4 Quality assurance</w:t>
      </w:r>
    </w:p>
    <w:p>
      <w:pPr>
        <w:keepNext w:val="0"/>
      </w:pPr>
      <w:r>
        <w:rPr>
          <w:b w:val="0"/>
          <w:i w:val="0"/>
        </w:rPr>
        <w:t>A feature is done when its code is reviewed, its automated tests and security scans pass, its documentation is updated and the product owner has seen it working. The traceability matrix (DEL-05) links every RFP requirement ID to design, build, test case and acceptance evidence. Each major document is reviewed internally by someone outside the delivery team before it reaches IIFT.</w:t>
      </w:r>
    </w:p>
    <w:p>
      <w:pPr>
        <w:pStyle w:val="Heading2"/>
      </w:pPr>
      <w:r>
        <w:t>17.5 Testing strategy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247"/>
        <w:gridCol w:w="2438"/>
        <w:gridCol w:w="1871"/>
        <w:gridCol w:w="1360"/>
        <w:gridCol w:w="2721"/>
      </w:tblGrid>
      <w:tr>
        <w:trPr>
          <w:cantSplit/>
          <w:tblHeader/>
        </w:trPr>
        <w:tc>
          <w:tcPr>
            <w:tcW w:type="dxa" w:w="1247"/>
            <w:shd w:val="clear" w:color="auto" w:fill="E1058C"/>
            <w:vAlign w:val="center"/>
          </w:tcPr>
          <w:p>
            <w:pPr>
              <w:spacing w:after="0"/>
            </w:pPr>
            <w:r>
              <w:rPr>
                <w:b/>
                <w:i w:val="0"/>
                <w:color w:val="FFFFFF"/>
                <w:sz w:val="16"/>
              </w:rPr>
              <w:t>Level</w:t>
            </w:r>
          </w:p>
        </w:tc>
        <w:tc>
          <w:tcPr>
            <w:tcW w:type="dxa" w:w="2438"/>
            <w:shd w:val="clear" w:color="auto" w:fill="E1058C"/>
            <w:vAlign w:val="center"/>
          </w:tcPr>
          <w:p>
            <w:pPr>
              <w:spacing w:after="0"/>
            </w:pPr>
            <w:r>
              <w:rPr>
                <w:b/>
                <w:i w:val="0"/>
                <w:color w:val="FFFFFF"/>
                <w:sz w:val="16"/>
              </w:rPr>
              <w:t>Scope</w:t>
            </w:r>
          </w:p>
        </w:tc>
        <w:tc>
          <w:tcPr>
            <w:tcW w:type="dxa" w:w="1871"/>
            <w:shd w:val="clear" w:color="auto" w:fill="E1058C"/>
            <w:vAlign w:val="center"/>
          </w:tcPr>
          <w:p>
            <w:pPr>
              <w:spacing w:after="0"/>
            </w:pPr>
            <w:r>
              <w:rPr>
                <w:b/>
                <w:i w:val="0"/>
                <w:color w:val="FFFFFF"/>
                <w:sz w:val="16"/>
              </w:rPr>
              <w:t>Responsibility</w:t>
            </w:r>
          </w:p>
        </w:tc>
        <w:tc>
          <w:tcPr>
            <w:tcW w:type="dxa" w:w="1361"/>
            <w:shd w:val="clear" w:color="auto" w:fill="E1058C"/>
            <w:vAlign w:val="center"/>
          </w:tcPr>
          <w:p>
            <w:pPr>
              <w:spacing w:after="0"/>
            </w:pPr>
            <w:r>
              <w:rPr>
                <w:b/>
                <w:i w:val="0"/>
                <w:color w:val="FFFFFF"/>
                <w:sz w:val="16"/>
              </w:rPr>
              <w:t>Environment</w:t>
            </w:r>
          </w:p>
        </w:tc>
        <w:tc>
          <w:tcPr>
            <w:tcW w:type="dxa" w:w="2721"/>
            <w:shd w:val="clear" w:color="auto" w:fill="E1058C"/>
            <w:vAlign w:val="center"/>
          </w:tcPr>
          <w:p>
            <w:pPr>
              <w:spacing w:after="0"/>
            </w:pPr>
            <w:r>
              <w:rPr>
                <w:b/>
                <w:i w:val="0"/>
                <w:color w:val="FFFFFF"/>
                <w:sz w:val="16"/>
              </w:rPr>
              <w:t>Tools / exit criteria</w:t>
            </w:r>
          </w:p>
        </w:tc>
      </w:tr>
      <w:tr>
        <w:trPr>
          <w:cantSplit/>
        </w:trPr>
        <w:tc>
          <w:tcPr>
            <w:tcW w:type="dxa" w:w="1247"/>
            <w:vAlign w:val="top"/>
          </w:tcPr>
          <w:p>
            <w:pPr>
              <w:spacing w:after="20" w:line="252" w:lineRule="auto"/>
            </w:pPr>
            <w:r>
              <w:rPr>
                <w:b/>
                <w:i w:val="0"/>
                <w:sz w:val="16"/>
              </w:rPr>
              <w:t>Unit</w:t>
            </w:r>
          </w:p>
        </w:tc>
        <w:tc>
          <w:tcPr>
            <w:tcW w:type="dxa" w:w="2438"/>
            <w:vAlign w:val="top"/>
          </w:tcPr>
          <w:p>
            <w:pPr>
              <w:spacing w:after="20" w:line="252" w:lineRule="auto"/>
            </w:pPr>
            <w:r>
              <w:rPr>
                <w:b w:val="0"/>
                <w:i w:val="0"/>
                <w:sz w:val="16"/>
              </w:rPr>
              <w:t>Business rules, rating engines, validators, web components</w:t>
            </w:r>
          </w:p>
        </w:tc>
        <w:tc>
          <w:tcPr>
            <w:tcW w:type="dxa" w:w="1871"/>
            <w:vAlign w:val="top"/>
          </w:tcPr>
          <w:p>
            <w:pPr>
              <w:spacing w:after="20" w:line="252" w:lineRule="auto"/>
            </w:pPr>
            <w:r>
              <w:rPr>
                <w:b w:val="0"/>
                <w:i w:val="0"/>
                <w:sz w:val="16"/>
              </w:rPr>
              <w:t>iorta developers</w:t>
            </w:r>
          </w:p>
        </w:tc>
        <w:tc>
          <w:tcPr>
            <w:tcW w:type="dxa" w:w="1361"/>
            <w:vAlign w:val="top"/>
          </w:tcPr>
          <w:p>
            <w:pPr>
              <w:spacing w:after="20" w:line="252" w:lineRule="auto"/>
            </w:pPr>
            <w:r>
              <w:rPr>
                <w:b w:val="0"/>
                <w:i w:val="0"/>
                <w:sz w:val="16"/>
              </w:rPr>
              <w:t>DEV / CI</w:t>
            </w:r>
          </w:p>
        </w:tc>
        <w:tc>
          <w:tcPr>
            <w:tcW w:type="dxa" w:w="2721"/>
            <w:vAlign w:val="top"/>
          </w:tcPr>
          <w:p>
            <w:pPr>
              <w:spacing w:after="20" w:line="252" w:lineRule="auto"/>
            </w:pPr>
            <w:r>
              <w:rPr>
                <w:b w:val="0"/>
                <w:i w:val="0"/>
                <w:sz w:val="16"/>
              </w:rPr>
              <w:t>Vitest and Testing Library; coverage ≥ 70% on core modules</w:t>
            </w:r>
          </w:p>
        </w:tc>
      </w:tr>
      <w:tr>
        <w:trPr>
          <w:cantSplit/>
        </w:trPr>
        <w:tc>
          <w:tcPr>
            <w:tcW w:type="dxa" w:w="1247"/>
            <w:vAlign w:val="top"/>
            <w:shd w:val="clear" w:color="auto" w:fill="FDF0F7"/>
          </w:tcPr>
          <w:p>
            <w:pPr>
              <w:spacing w:after="20" w:line="252" w:lineRule="auto"/>
            </w:pPr>
            <w:r>
              <w:rPr>
                <w:b/>
                <w:i w:val="0"/>
                <w:sz w:val="16"/>
              </w:rPr>
              <w:t>API / integration</w:t>
            </w:r>
          </w:p>
        </w:tc>
        <w:tc>
          <w:tcPr>
            <w:tcW w:type="dxa" w:w="2438"/>
            <w:vAlign w:val="top"/>
            <w:shd w:val="clear" w:color="auto" w:fill="FDF0F7"/>
          </w:tcPr>
          <w:p>
            <w:pPr>
              <w:spacing w:after="20" w:line="252" w:lineRule="auto"/>
            </w:pPr>
            <w:r>
              <w:rPr>
                <w:b w:val="0"/>
                <w:i w:val="0"/>
                <w:sz w:val="16"/>
              </w:rPr>
              <w:t>Endpoints, permissions per role, database constraints</w:t>
            </w:r>
          </w:p>
        </w:tc>
        <w:tc>
          <w:tcPr>
            <w:tcW w:type="dxa" w:w="1871"/>
            <w:vAlign w:val="top"/>
            <w:shd w:val="clear" w:color="auto" w:fill="FDF0F7"/>
          </w:tcPr>
          <w:p>
            <w:pPr>
              <w:spacing w:after="20" w:line="252" w:lineRule="auto"/>
            </w:pPr>
            <w:r>
              <w:rPr>
                <w:b w:val="0"/>
                <w:i w:val="0"/>
                <w:sz w:val="16"/>
              </w:rPr>
              <w:t>iorta</w:t>
            </w:r>
          </w:p>
        </w:tc>
        <w:tc>
          <w:tcPr>
            <w:tcW w:type="dxa" w:w="1361"/>
            <w:vAlign w:val="top"/>
            <w:shd w:val="clear" w:color="auto" w:fill="FDF0F7"/>
          </w:tcPr>
          <w:p>
            <w:pPr>
              <w:spacing w:after="20" w:line="252" w:lineRule="auto"/>
            </w:pPr>
            <w:r>
              <w:rPr>
                <w:b w:val="0"/>
                <w:i w:val="0"/>
                <w:sz w:val="16"/>
              </w:rPr>
              <w:t>CI with PostgreSQL</w:t>
            </w:r>
          </w:p>
        </w:tc>
        <w:tc>
          <w:tcPr>
            <w:tcW w:type="dxa" w:w="2721"/>
            <w:vAlign w:val="top"/>
            <w:shd w:val="clear" w:color="auto" w:fill="FDF0F7"/>
          </w:tcPr>
          <w:p>
            <w:pPr>
              <w:spacing w:after="20" w:line="252" w:lineRule="auto"/>
            </w:pPr>
            <w:r>
              <w:rPr>
                <w:b w:val="0"/>
                <w:i w:val="0"/>
                <w:sz w:val="16"/>
              </w:rPr>
              <w:t>Vitest e2e; every endpoint has positive and negative tests</w:t>
            </w:r>
          </w:p>
        </w:tc>
      </w:tr>
      <w:tr>
        <w:trPr>
          <w:cantSplit/>
        </w:trPr>
        <w:tc>
          <w:tcPr>
            <w:tcW w:type="dxa" w:w="1247"/>
            <w:vAlign w:val="top"/>
          </w:tcPr>
          <w:p>
            <w:pPr>
              <w:spacing w:after="20" w:line="252" w:lineRule="auto"/>
            </w:pPr>
            <w:r>
              <w:rPr>
                <w:b/>
                <w:i w:val="0"/>
                <w:sz w:val="16"/>
              </w:rPr>
              <w:t>SIT</w:t>
            </w:r>
          </w:p>
        </w:tc>
        <w:tc>
          <w:tcPr>
            <w:tcW w:type="dxa" w:w="2438"/>
            <w:vAlign w:val="top"/>
          </w:tcPr>
          <w:p>
            <w:pPr>
              <w:spacing w:after="20" w:line="252" w:lineRule="auto"/>
            </w:pPr>
            <w:r>
              <w:rPr>
                <w:b w:val="0"/>
                <w:i w:val="0"/>
                <w:sz w:val="16"/>
              </w:rPr>
              <w:t>End-to-end flows across portal, back-office and interfaces</w:t>
            </w:r>
          </w:p>
        </w:tc>
        <w:tc>
          <w:tcPr>
            <w:tcW w:type="dxa" w:w="1871"/>
            <w:vAlign w:val="top"/>
          </w:tcPr>
          <w:p>
            <w:pPr>
              <w:spacing w:after="20" w:line="252" w:lineRule="auto"/>
            </w:pPr>
            <w:r>
              <w:rPr>
                <w:b w:val="0"/>
                <w:i w:val="0"/>
                <w:sz w:val="16"/>
              </w:rPr>
              <w:t>iorta QA, IITH system owners</w:t>
            </w:r>
          </w:p>
        </w:tc>
        <w:tc>
          <w:tcPr>
            <w:tcW w:type="dxa" w:w="1361"/>
            <w:vAlign w:val="top"/>
          </w:tcPr>
          <w:p>
            <w:pPr>
              <w:spacing w:after="20" w:line="252" w:lineRule="auto"/>
            </w:pPr>
            <w:r>
              <w:rPr>
                <w:b w:val="0"/>
                <w:i w:val="0"/>
                <w:sz w:val="16"/>
              </w:rPr>
              <w:t>SIT</w:t>
            </w:r>
          </w:p>
        </w:tc>
        <w:tc>
          <w:tcPr>
            <w:tcW w:type="dxa" w:w="2721"/>
            <w:vAlign w:val="top"/>
          </w:tcPr>
          <w:p>
            <w:pPr>
              <w:spacing w:after="20" w:line="252" w:lineRule="auto"/>
            </w:pPr>
            <w:r>
              <w:rPr>
                <w:b w:val="0"/>
                <w:i w:val="0"/>
                <w:sz w:val="16"/>
              </w:rPr>
              <w:t>No open Critical/High defects; ≥ 95% pass</w:t>
            </w:r>
          </w:p>
        </w:tc>
      </w:tr>
      <w:tr>
        <w:trPr>
          <w:cantSplit/>
        </w:trPr>
        <w:tc>
          <w:tcPr>
            <w:tcW w:type="dxa" w:w="1247"/>
            <w:vAlign w:val="top"/>
            <w:shd w:val="clear" w:color="auto" w:fill="FDF0F7"/>
          </w:tcPr>
          <w:p>
            <w:pPr>
              <w:spacing w:after="20" w:line="252" w:lineRule="auto"/>
            </w:pPr>
            <w:r>
              <w:rPr>
                <w:b/>
                <w:i w:val="0"/>
                <w:sz w:val="16"/>
              </w:rPr>
              <w:t>Regression</w:t>
            </w:r>
          </w:p>
        </w:tc>
        <w:tc>
          <w:tcPr>
            <w:tcW w:type="dxa" w:w="2438"/>
            <w:vAlign w:val="top"/>
            <w:shd w:val="clear" w:color="auto" w:fill="FDF0F7"/>
          </w:tcPr>
          <w:p>
            <w:pPr>
              <w:spacing w:after="20" w:line="252" w:lineRule="auto"/>
            </w:pPr>
            <w:r>
              <w:rPr>
                <w:b w:val="0"/>
                <w:i w:val="0"/>
                <w:sz w:val="16"/>
              </w:rPr>
              <w:t>Automated suite re-run every sprint and release</w:t>
            </w:r>
          </w:p>
        </w:tc>
        <w:tc>
          <w:tcPr>
            <w:tcW w:type="dxa" w:w="1871"/>
            <w:vAlign w:val="top"/>
            <w:shd w:val="clear" w:color="auto" w:fill="FDF0F7"/>
          </w:tcPr>
          <w:p>
            <w:pPr>
              <w:spacing w:after="20" w:line="252" w:lineRule="auto"/>
            </w:pPr>
            <w:r>
              <w:rPr>
                <w:b w:val="0"/>
                <w:i w:val="0"/>
                <w:sz w:val="16"/>
              </w:rPr>
              <w:t>iorta QA</w:t>
            </w:r>
          </w:p>
        </w:tc>
        <w:tc>
          <w:tcPr>
            <w:tcW w:type="dxa" w:w="1361"/>
            <w:vAlign w:val="top"/>
            <w:shd w:val="clear" w:color="auto" w:fill="FDF0F7"/>
          </w:tcPr>
          <w:p>
            <w:pPr>
              <w:spacing w:after="20" w:line="252" w:lineRule="auto"/>
            </w:pPr>
            <w:r>
              <w:rPr>
                <w:b w:val="0"/>
                <w:i w:val="0"/>
                <w:sz w:val="16"/>
              </w:rPr>
              <w:t>SIT</w:t>
            </w:r>
          </w:p>
        </w:tc>
        <w:tc>
          <w:tcPr>
            <w:tcW w:type="dxa" w:w="2721"/>
            <w:vAlign w:val="top"/>
            <w:shd w:val="clear" w:color="auto" w:fill="FDF0F7"/>
          </w:tcPr>
          <w:p>
            <w:pPr>
              <w:spacing w:after="20" w:line="252" w:lineRule="auto"/>
            </w:pPr>
            <w:r>
              <w:rPr>
                <w:b w:val="0"/>
                <w:i w:val="0"/>
                <w:sz w:val="16"/>
              </w:rPr>
              <w:t>Playwright; 100% of critical paths automated</w:t>
            </w:r>
          </w:p>
        </w:tc>
      </w:tr>
      <w:tr>
        <w:trPr>
          <w:cantSplit/>
        </w:trPr>
        <w:tc>
          <w:tcPr>
            <w:tcW w:type="dxa" w:w="1247"/>
            <w:vAlign w:val="top"/>
          </w:tcPr>
          <w:p>
            <w:pPr>
              <w:spacing w:after="20" w:line="252" w:lineRule="auto"/>
            </w:pPr>
            <w:r>
              <w:rPr>
                <w:b/>
                <w:i w:val="0"/>
                <w:sz w:val="16"/>
              </w:rPr>
              <w:t>Performance</w:t>
            </w:r>
          </w:p>
        </w:tc>
        <w:tc>
          <w:tcPr>
            <w:tcW w:type="dxa" w:w="2438"/>
            <w:vAlign w:val="top"/>
          </w:tcPr>
          <w:p>
            <w:pPr>
              <w:spacing w:after="20" w:line="252" w:lineRule="auto"/>
            </w:pPr>
            <w:r>
              <w:rPr>
                <w:b w:val="0"/>
                <w:i w:val="0"/>
                <w:sz w:val="16"/>
              </w:rPr>
              <w:t>Load (100 concurrent), stress and soak</w:t>
            </w:r>
          </w:p>
        </w:tc>
        <w:tc>
          <w:tcPr>
            <w:tcW w:type="dxa" w:w="1871"/>
            <w:vAlign w:val="top"/>
          </w:tcPr>
          <w:p>
            <w:pPr>
              <w:spacing w:after="20" w:line="252" w:lineRule="auto"/>
            </w:pPr>
            <w:r>
              <w:rPr>
                <w:b w:val="0"/>
                <w:i w:val="0"/>
                <w:sz w:val="16"/>
              </w:rPr>
              <w:t>iorta</w:t>
            </w:r>
          </w:p>
        </w:tc>
        <w:tc>
          <w:tcPr>
            <w:tcW w:type="dxa" w:w="1361"/>
            <w:vAlign w:val="top"/>
          </w:tcPr>
          <w:p>
            <w:pPr>
              <w:spacing w:after="20" w:line="252" w:lineRule="auto"/>
            </w:pPr>
            <w:r>
              <w:rPr>
                <w:b w:val="0"/>
                <w:i w:val="0"/>
                <w:sz w:val="16"/>
              </w:rPr>
              <w:t>SIT (production-like)</w:t>
            </w:r>
          </w:p>
        </w:tc>
        <w:tc>
          <w:tcPr>
            <w:tcW w:type="dxa" w:w="2721"/>
            <w:vAlign w:val="top"/>
          </w:tcPr>
          <w:p>
            <w:pPr>
              <w:spacing w:after="20" w:line="252" w:lineRule="auto"/>
            </w:pPr>
            <w:r>
              <w:rPr>
                <w:b w:val="0"/>
                <w:i w:val="0"/>
                <w:sz w:val="16"/>
              </w:rPr>
              <w:t>k6; non-functional targets met</w:t>
            </w:r>
          </w:p>
        </w:tc>
      </w:tr>
      <w:tr>
        <w:trPr>
          <w:cantSplit/>
        </w:trPr>
        <w:tc>
          <w:tcPr>
            <w:tcW w:type="dxa" w:w="1247"/>
            <w:vAlign w:val="top"/>
            <w:shd w:val="clear" w:color="auto" w:fill="FDF0F7"/>
          </w:tcPr>
          <w:p>
            <w:pPr>
              <w:spacing w:after="20" w:line="252" w:lineRule="auto"/>
            </w:pPr>
            <w:r>
              <w:rPr>
                <w:b/>
                <w:i w:val="0"/>
                <w:sz w:val="16"/>
              </w:rPr>
              <w:t>Security</w:t>
            </w:r>
          </w:p>
        </w:tc>
        <w:tc>
          <w:tcPr>
            <w:tcW w:type="dxa" w:w="2438"/>
            <w:vAlign w:val="top"/>
            <w:shd w:val="clear" w:color="auto" w:fill="FDF0F7"/>
          </w:tcPr>
          <w:p>
            <w:pPr>
              <w:spacing w:after="20" w:line="252" w:lineRule="auto"/>
            </w:pPr>
            <w:r>
              <w:rPr>
                <w:b w:val="0"/>
                <w:i w:val="0"/>
                <w:sz w:val="16"/>
              </w:rPr>
              <w:t>SAST/SCA/DAST in pipeline; independent VAPT and re-test</w:t>
            </w:r>
          </w:p>
        </w:tc>
        <w:tc>
          <w:tcPr>
            <w:tcW w:type="dxa" w:w="1871"/>
            <w:vAlign w:val="top"/>
            <w:shd w:val="clear" w:color="auto" w:fill="FDF0F7"/>
          </w:tcPr>
          <w:p>
            <w:pPr>
              <w:spacing w:after="20" w:line="252" w:lineRule="auto"/>
            </w:pPr>
            <w:r>
              <w:rPr>
                <w:b w:val="0"/>
                <w:i w:val="0"/>
                <w:sz w:val="16"/>
              </w:rPr>
              <w:t>iorta, independent tester</w:t>
            </w:r>
          </w:p>
        </w:tc>
        <w:tc>
          <w:tcPr>
            <w:tcW w:type="dxa" w:w="1361"/>
            <w:vAlign w:val="top"/>
            <w:shd w:val="clear" w:color="auto" w:fill="FDF0F7"/>
          </w:tcPr>
          <w:p>
            <w:pPr>
              <w:spacing w:after="20" w:line="252" w:lineRule="auto"/>
            </w:pPr>
            <w:r>
              <w:rPr>
                <w:b w:val="0"/>
                <w:i w:val="0"/>
                <w:sz w:val="16"/>
              </w:rPr>
              <w:t>SIT / pre-prod</w:t>
            </w:r>
          </w:p>
        </w:tc>
        <w:tc>
          <w:tcPr>
            <w:tcW w:type="dxa" w:w="2721"/>
            <w:vAlign w:val="top"/>
            <w:shd w:val="clear" w:color="auto" w:fill="FDF0F7"/>
          </w:tcPr>
          <w:p>
            <w:pPr>
              <w:spacing w:after="20" w:line="252" w:lineRule="auto"/>
            </w:pPr>
            <w:r>
              <w:rPr>
                <w:b w:val="0"/>
                <w:i w:val="0"/>
                <w:sz w:val="16"/>
              </w:rPr>
              <w:t>No open Critical/High findings</w:t>
            </w:r>
          </w:p>
        </w:tc>
      </w:tr>
      <w:tr>
        <w:trPr>
          <w:cantSplit/>
        </w:trPr>
        <w:tc>
          <w:tcPr>
            <w:tcW w:type="dxa" w:w="1247"/>
            <w:vAlign w:val="top"/>
          </w:tcPr>
          <w:p>
            <w:pPr>
              <w:spacing w:after="20" w:line="252" w:lineRule="auto"/>
            </w:pPr>
            <w:r>
              <w:rPr>
                <w:b/>
                <w:i w:val="0"/>
                <w:sz w:val="16"/>
              </w:rPr>
              <w:t>UAT</w:t>
            </w:r>
          </w:p>
        </w:tc>
        <w:tc>
          <w:tcPr>
            <w:tcW w:type="dxa" w:w="2438"/>
            <w:vAlign w:val="top"/>
          </w:tcPr>
          <w:p>
            <w:pPr>
              <w:spacing w:after="20" w:line="252" w:lineRule="auto"/>
            </w:pPr>
            <w:r>
              <w:rPr>
                <w:b w:val="0"/>
                <w:i w:val="0"/>
                <w:sz w:val="16"/>
              </w:rPr>
              <w:t>Business scenarios per product and role</w:t>
            </w:r>
          </w:p>
        </w:tc>
        <w:tc>
          <w:tcPr>
            <w:tcW w:type="dxa" w:w="1871"/>
            <w:vAlign w:val="top"/>
          </w:tcPr>
          <w:p>
            <w:pPr>
              <w:spacing w:after="20" w:line="252" w:lineRule="auto"/>
            </w:pPr>
            <w:r>
              <w:rPr>
                <w:b w:val="0"/>
                <w:i w:val="0"/>
                <w:sz w:val="16"/>
              </w:rPr>
              <w:t>IIFT users with iorta support</w:t>
            </w:r>
          </w:p>
        </w:tc>
        <w:tc>
          <w:tcPr>
            <w:tcW w:type="dxa" w:w="1361"/>
            <w:vAlign w:val="top"/>
          </w:tcPr>
          <w:p>
            <w:pPr>
              <w:spacing w:after="20" w:line="252" w:lineRule="auto"/>
            </w:pPr>
            <w:r>
              <w:rPr>
                <w:b w:val="0"/>
                <w:i w:val="0"/>
                <w:sz w:val="16"/>
              </w:rPr>
              <w:t>UAT</w:t>
            </w:r>
          </w:p>
        </w:tc>
        <w:tc>
          <w:tcPr>
            <w:tcW w:type="dxa" w:w="2721"/>
            <w:vAlign w:val="top"/>
          </w:tcPr>
          <w:p>
            <w:pPr>
              <w:spacing w:after="20" w:line="252" w:lineRule="auto"/>
            </w:pPr>
            <w:r>
              <w:rPr>
                <w:b w:val="0"/>
                <w:i w:val="0"/>
                <w:sz w:val="16"/>
              </w:rPr>
              <w:t>Signed UAT certificate; no open Critical/High defects</w:t>
            </w:r>
          </w:p>
        </w:tc>
      </w:tr>
      <w:tr>
        <w:trPr>
          <w:cantSplit/>
        </w:trPr>
        <w:tc>
          <w:tcPr>
            <w:tcW w:type="dxa" w:w="1247"/>
            <w:vAlign w:val="top"/>
            <w:shd w:val="clear" w:color="auto" w:fill="FDF0F7"/>
          </w:tcPr>
          <w:p>
            <w:pPr>
              <w:spacing w:after="20" w:line="252" w:lineRule="auto"/>
            </w:pPr>
            <w:r>
              <w:rPr>
                <w:b/>
                <w:i w:val="0"/>
                <w:sz w:val="16"/>
              </w:rPr>
              <w:t>Migration</w:t>
            </w:r>
          </w:p>
        </w:tc>
        <w:tc>
          <w:tcPr>
            <w:tcW w:type="dxa" w:w="2438"/>
            <w:vAlign w:val="top"/>
            <w:shd w:val="clear" w:color="auto" w:fill="FDF0F7"/>
          </w:tcPr>
          <w:p>
            <w:pPr>
              <w:spacing w:after="20" w:line="252" w:lineRule="auto"/>
            </w:pPr>
            <w:r>
              <w:rPr>
                <w:b w:val="0"/>
                <w:i w:val="0"/>
                <w:sz w:val="16"/>
              </w:rPr>
              <w:t>Dry-runs, reconciliation, sample verification</w:t>
            </w:r>
          </w:p>
        </w:tc>
        <w:tc>
          <w:tcPr>
            <w:tcW w:type="dxa" w:w="1871"/>
            <w:vAlign w:val="top"/>
            <w:shd w:val="clear" w:color="auto" w:fill="FDF0F7"/>
          </w:tcPr>
          <w:p>
            <w:pPr>
              <w:spacing w:after="20" w:line="252" w:lineRule="auto"/>
            </w:pPr>
            <w:r>
              <w:rPr>
                <w:b w:val="0"/>
                <w:i w:val="0"/>
                <w:sz w:val="16"/>
              </w:rPr>
              <w:t>iorta, IIFT data owners</w:t>
            </w:r>
          </w:p>
        </w:tc>
        <w:tc>
          <w:tcPr>
            <w:tcW w:type="dxa" w:w="1361"/>
            <w:vAlign w:val="top"/>
            <w:shd w:val="clear" w:color="auto" w:fill="FDF0F7"/>
          </w:tcPr>
          <w:p>
            <w:pPr>
              <w:spacing w:after="20" w:line="252" w:lineRule="auto"/>
            </w:pPr>
            <w:r>
              <w:rPr>
                <w:b w:val="0"/>
                <w:i w:val="0"/>
                <w:sz w:val="16"/>
              </w:rPr>
              <w:t>UAT</w:t>
            </w:r>
          </w:p>
        </w:tc>
        <w:tc>
          <w:tcPr>
            <w:tcW w:type="dxa" w:w="2721"/>
            <w:vAlign w:val="top"/>
            <w:shd w:val="clear" w:color="auto" w:fill="FDF0F7"/>
          </w:tcPr>
          <w:p>
            <w:pPr>
              <w:spacing w:after="20" w:line="252" w:lineRule="auto"/>
            </w:pPr>
            <w:r>
              <w:rPr>
                <w:b w:val="0"/>
                <w:i w:val="0"/>
                <w:sz w:val="16"/>
              </w:rPr>
              <w:t>100% record count and control-total match</w:t>
            </w:r>
          </w:p>
        </w:tc>
      </w:tr>
    </w:tbl>
    <w:p>
      <w:pPr>
        <w:pStyle w:val="Caption"/>
        <w:jc w:val="center"/>
      </w:pPr>
      <w:r>
        <w:rPr>
          <w:b w:val="0"/>
          <w:i w:val="0"/>
        </w:rPr>
        <w:t>Table 30: Test levels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4252"/>
        <w:gridCol w:w="3685"/>
      </w:tblGrid>
      <w:tr>
        <w:trPr>
          <w:cantSplit/>
          <w:tblHeader/>
        </w:trPr>
        <w:tc>
          <w:tcPr>
            <w:tcW w:type="dxa" w:w="1701"/>
            <w:shd w:val="clear" w:color="auto" w:fill="E1058C"/>
            <w:vAlign w:val="center"/>
          </w:tcPr>
          <w:p>
            <w:pPr>
              <w:spacing w:after="0"/>
            </w:pPr>
            <w:r>
              <w:rPr>
                <w:b/>
                <w:i w:val="0"/>
                <w:color w:val="FFFFFF"/>
                <w:sz w:val="17"/>
              </w:rPr>
              <w:t>Defect severity</w:t>
            </w:r>
          </w:p>
        </w:tc>
        <w:tc>
          <w:tcPr>
            <w:tcW w:type="dxa" w:w="4252"/>
            <w:shd w:val="clear" w:color="auto" w:fill="E1058C"/>
            <w:vAlign w:val="center"/>
          </w:tcPr>
          <w:p>
            <w:pPr>
              <w:spacing w:after="0"/>
            </w:pPr>
            <w:r>
              <w:rPr>
                <w:b/>
                <w:i w:val="0"/>
                <w:color w:val="FFFFFF"/>
                <w:sz w:val="17"/>
              </w:rPr>
              <w:t>Definition</w:t>
            </w:r>
          </w:p>
        </w:tc>
        <w:tc>
          <w:tcPr>
            <w:tcW w:type="dxa" w:w="3685"/>
            <w:shd w:val="clear" w:color="auto" w:fill="E1058C"/>
            <w:vAlign w:val="center"/>
          </w:tcPr>
          <w:p>
            <w:pPr>
              <w:spacing w:after="0"/>
            </w:pPr>
            <w:r>
              <w:rPr>
                <w:b/>
                <w:i w:val="0"/>
                <w:color w:val="FFFFFF"/>
                <w:sz w:val="17"/>
              </w:rPr>
              <w:t>Resolution in test phases</w:t>
            </w:r>
          </w:p>
        </w:tc>
      </w:tr>
      <w:tr>
        <w:trPr>
          <w:cantSplit/>
        </w:trPr>
        <w:tc>
          <w:tcPr>
            <w:tcW w:type="dxa" w:w="1701"/>
            <w:vAlign w:val="top"/>
          </w:tcPr>
          <w:p>
            <w:pPr>
              <w:spacing w:after="20" w:line="252" w:lineRule="auto"/>
            </w:pPr>
            <w:r>
              <w:rPr>
                <w:b/>
                <w:i w:val="0"/>
                <w:sz w:val="17"/>
              </w:rPr>
              <w:t>Critical</w:t>
            </w:r>
          </w:p>
        </w:tc>
        <w:tc>
          <w:tcPr>
            <w:tcW w:type="dxa" w:w="4252"/>
            <w:vAlign w:val="top"/>
          </w:tcPr>
          <w:p>
            <w:pPr>
              <w:spacing w:after="20" w:line="252" w:lineRule="auto"/>
            </w:pPr>
            <w:r>
              <w:rPr>
                <w:b w:val="0"/>
                <w:i w:val="0"/>
                <w:sz w:val="17"/>
              </w:rPr>
              <w:t>System unusable or data integrity at risk; no workaround</w:t>
            </w:r>
          </w:p>
        </w:tc>
        <w:tc>
          <w:tcPr>
            <w:tcW w:type="dxa" w:w="3685"/>
            <w:vAlign w:val="top"/>
          </w:tcPr>
          <w:p>
            <w:pPr>
              <w:spacing w:after="20" w:line="252" w:lineRule="auto"/>
            </w:pPr>
            <w:r>
              <w:rPr>
                <w:b w:val="0"/>
                <w:i w:val="0"/>
                <w:sz w:val="17"/>
              </w:rPr>
              <w:t>Fix before exit of current test phase</w:t>
            </w:r>
          </w:p>
        </w:tc>
      </w:tr>
      <w:tr>
        <w:trPr>
          <w:cantSplit/>
        </w:trPr>
        <w:tc>
          <w:tcPr>
            <w:tcW w:type="dxa" w:w="1701"/>
            <w:vAlign w:val="top"/>
            <w:shd w:val="clear" w:color="auto" w:fill="FDF0F7"/>
          </w:tcPr>
          <w:p>
            <w:pPr>
              <w:spacing w:after="20" w:line="252" w:lineRule="auto"/>
            </w:pPr>
            <w:r>
              <w:rPr>
                <w:b/>
                <w:i w:val="0"/>
                <w:sz w:val="17"/>
              </w:rPr>
              <w:t>High</w:t>
            </w:r>
          </w:p>
        </w:tc>
        <w:tc>
          <w:tcPr>
            <w:tcW w:type="dxa" w:w="4252"/>
            <w:vAlign w:val="top"/>
            <w:shd w:val="clear" w:color="auto" w:fill="FDF0F7"/>
          </w:tcPr>
          <w:p>
            <w:pPr>
              <w:spacing w:after="20" w:line="252" w:lineRule="auto"/>
            </w:pPr>
            <w:r>
              <w:rPr>
                <w:b w:val="0"/>
                <w:i w:val="0"/>
                <w:sz w:val="17"/>
              </w:rPr>
              <w:t>Key function fails; workaround difficult</w:t>
            </w:r>
          </w:p>
        </w:tc>
        <w:tc>
          <w:tcPr>
            <w:tcW w:type="dxa" w:w="3685"/>
            <w:vAlign w:val="top"/>
            <w:shd w:val="clear" w:color="auto" w:fill="FDF0F7"/>
          </w:tcPr>
          <w:p>
            <w:pPr>
              <w:spacing w:after="20" w:line="252" w:lineRule="auto"/>
            </w:pPr>
            <w:r>
              <w:rPr>
                <w:b w:val="0"/>
                <w:i w:val="0"/>
                <w:sz w:val="17"/>
              </w:rPr>
              <w:t>Fix before exit of current test phase</w:t>
            </w:r>
          </w:p>
        </w:tc>
      </w:tr>
      <w:tr>
        <w:trPr>
          <w:cantSplit/>
        </w:trPr>
        <w:tc>
          <w:tcPr>
            <w:tcW w:type="dxa" w:w="1701"/>
            <w:vAlign w:val="top"/>
          </w:tcPr>
          <w:p>
            <w:pPr>
              <w:spacing w:after="20" w:line="252" w:lineRule="auto"/>
            </w:pPr>
            <w:r>
              <w:rPr>
                <w:b/>
                <w:i w:val="0"/>
                <w:sz w:val="17"/>
              </w:rPr>
              <w:t>Medium</w:t>
            </w:r>
          </w:p>
        </w:tc>
        <w:tc>
          <w:tcPr>
            <w:tcW w:type="dxa" w:w="4252"/>
            <w:vAlign w:val="top"/>
          </w:tcPr>
          <w:p>
            <w:pPr>
              <w:spacing w:after="20" w:line="252" w:lineRule="auto"/>
            </w:pPr>
            <w:r>
              <w:rPr>
                <w:b w:val="0"/>
                <w:i w:val="0"/>
                <w:sz w:val="17"/>
              </w:rPr>
              <w:t>Function impaired; workaround exists</w:t>
            </w:r>
          </w:p>
        </w:tc>
        <w:tc>
          <w:tcPr>
            <w:tcW w:type="dxa" w:w="3685"/>
            <w:vAlign w:val="top"/>
          </w:tcPr>
          <w:p>
            <w:pPr>
              <w:spacing w:after="20" w:line="252" w:lineRule="auto"/>
            </w:pPr>
            <w:r>
              <w:rPr>
                <w:b w:val="0"/>
                <w:i w:val="0"/>
                <w:sz w:val="17"/>
              </w:rPr>
              <w:t>Fix before go-live or agreed deferral</w:t>
            </w:r>
          </w:p>
        </w:tc>
      </w:tr>
      <w:tr>
        <w:trPr>
          <w:cantSplit/>
        </w:trPr>
        <w:tc>
          <w:tcPr>
            <w:tcW w:type="dxa" w:w="1701"/>
            <w:vAlign w:val="top"/>
            <w:shd w:val="clear" w:color="auto" w:fill="FDF0F7"/>
          </w:tcPr>
          <w:p>
            <w:pPr>
              <w:spacing w:after="20" w:line="252" w:lineRule="auto"/>
            </w:pPr>
            <w:r>
              <w:rPr>
                <w:b/>
                <w:i w:val="0"/>
                <w:sz w:val="17"/>
              </w:rPr>
              <w:t>Low</w:t>
            </w:r>
          </w:p>
        </w:tc>
        <w:tc>
          <w:tcPr>
            <w:tcW w:type="dxa" w:w="4252"/>
            <w:vAlign w:val="top"/>
            <w:shd w:val="clear" w:color="auto" w:fill="FDF0F7"/>
          </w:tcPr>
          <w:p>
            <w:pPr>
              <w:spacing w:after="20" w:line="252" w:lineRule="auto"/>
            </w:pPr>
            <w:r>
              <w:rPr>
                <w:b w:val="0"/>
                <w:i w:val="0"/>
                <w:sz w:val="17"/>
              </w:rPr>
              <w:t>Cosmetic or minor</w:t>
            </w:r>
          </w:p>
        </w:tc>
        <w:tc>
          <w:tcPr>
            <w:tcW w:type="dxa" w:w="3685"/>
            <w:vAlign w:val="top"/>
            <w:shd w:val="clear" w:color="auto" w:fill="FDF0F7"/>
          </w:tcPr>
          <w:p>
            <w:pPr>
              <w:spacing w:after="20" w:line="252" w:lineRule="auto"/>
            </w:pPr>
            <w:r>
              <w:rPr>
                <w:b w:val="0"/>
                <w:i w:val="0"/>
                <w:sz w:val="17"/>
              </w:rPr>
              <w:t>Planned release</w:t>
            </w:r>
          </w:p>
        </w:tc>
      </w:tr>
    </w:tbl>
    <w:p>
      <w:pPr>
        <w:spacing w:after="0" w:before="0"/>
      </w:pPr>
      <w:r>
        <w:rPr>
          <w:sz w:val="8"/>
        </w:rPr>
      </w:r>
    </w:p>
    <w:p>
      <w:pPr>
        <w:pStyle w:val="Heading2"/>
      </w:pPr>
      <w:r>
        <w:t>17.6 Data migration approach</w:t>
      </w:r>
    </w:p>
    <w:p>
      <w:pPr>
        <w:keepNext w:val="0"/>
      </w:pPr>
      <w:r>
        <w:rPr>
          <w:b w:val="0"/>
          <w:i w:val="0"/>
        </w:rPr>
        <w:t>Migration covers existing agent, agency, bank and branch records, participant records needed for servicing, and reference data. Sources and volumes are confirmed in the Data Migration Plan (DEL-19).</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7484"/>
      </w:tblGrid>
      <w:tr>
        <w:trPr>
          <w:cantSplit/>
          <w:tblHeader/>
        </w:trPr>
        <w:tc>
          <w:tcPr>
            <w:tcW w:type="dxa" w:w="2154"/>
            <w:shd w:val="clear" w:color="auto" w:fill="E1058C"/>
            <w:vAlign w:val="center"/>
          </w:tcPr>
          <w:p>
            <w:pPr>
              <w:spacing w:after="0"/>
            </w:pPr>
            <w:r>
              <w:rPr>
                <w:b/>
                <w:i w:val="0"/>
                <w:color w:val="FFFFFF"/>
                <w:sz w:val="17"/>
              </w:rPr>
              <w:t>Step</w:t>
            </w:r>
          </w:p>
        </w:tc>
        <w:tc>
          <w:tcPr>
            <w:tcW w:type="dxa" w:w="7483"/>
            <w:shd w:val="clear" w:color="auto" w:fill="E1058C"/>
            <w:vAlign w:val="center"/>
          </w:tcPr>
          <w:p>
            <w:pPr>
              <w:spacing w:after="0"/>
            </w:pPr>
            <w:r>
              <w:rPr>
                <w:b/>
                <w:i w:val="0"/>
                <w:color w:val="FFFFFF"/>
                <w:sz w:val="17"/>
              </w:rPr>
              <w:t>Description</w:t>
            </w:r>
          </w:p>
        </w:tc>
      </w:tr>
      <w:tr>
        <w:trPr>
          <w:cantSplit/>
        </w:trPr>
        <w:tc>
          <w:tcPr>
            <w:tcW w:type="dxa" w:w="2154"/>
            <w:vAlign w:val="top"/>
          </w:tcPr>
          <w:p>
            <w:pPr>
              <w:spacing w:after="20" w:line="252" w:lineRule="auto"/>
            </w:pPr>
            <w:r>
              <w:rPr>
                <w:b/>
                <w:i w:val="0"/>
                <w:sz w:val="17"/>
              </w:rPr>
              <w:t>Discovery &amp; profiling</w:t>
            </w:r>
          </w:p>
        </w:tc>
        <w:tc>
          <w:tcPr>
            <w:tcW w:type="dxa" w:w="7483"/>
            <w:vAlign w:val="top"/>
          </w:tcPr>
          <w:p>
            <w:pPr>
              <w:spacing w:after="20" w:line="252" w:lineRule="auto"/>
            </w:pPr>
            <w:r>
              <w:rPr>
                <w:b w:val="0"/>
                <w:i w:val="0"/>
                <w:sz w:val="17"/>
              </w:rPr>
              <w:t>Identify sources (spreadsheets, existing agent records, IIGT/core extracts), profile quality, agree scope</w:t>
            </w:r>
          </w:p>
        </w:tc>
      </w:tr>
      <w:tr>
        <w:trPr>
          <w:cantSplit/>
        </w:trPr>
        <w:tc>
          <w:tcPr>
            <w:tcW w:type="dxa" w:w="2154"/>
            <w:vAlign w:val="top"/>
            <w:shd w:val="clear" w:color="auto" w:fill="FDF0F7"/>
          </w:tcPr>
          <w:p>
            <w:pPr>
              <w:spacing w:after="20" w:line="252" w:lineRule="auto"/>
            </w:pPr>
            <w:r>
              <w:rPr>
                <w:b/>
                <w:i w:val="0"/>
                <w:sz w:val="17"/>
              </w:rPr>
              <w:t>Mapping &amp; rules</w:t>
            </w:r>
          </w:p>
        </w:tc>
        <w:tc>
          <w:tcPr>
            <w:tcW w:type="dxa" w:w="7483"/>
            <w:vAlign w:val="top"/>
            <w:shd w:val="clear" w:color="auto" w:fill="FDF0F7"/>
          </w:tcPr>
          <w:p>
            <w:pPr>
              <w:spacing w:after="20" w:line="252" w:lineRule="auto"/>
            </w:pPr>
            <w:r>
              <w:rPr>
                <w:b w:val="0"/>
                <w:i w:val="0"/>
                <w:sz w:val="17"/>
              </w:rPr>
              <w:t>Field mapping to target model, transformation and cleansing rules, ownership of corrections</w:t>
            </w:r>
          </w:p>
        </w:tc>
      </w:tr>
      <w:tr>
        <w:trPr>
          <w:cantSplit/>
        </w:trPr>
        <w:tc>
          <w:tcPr>
            <w:tcW w:type="dxa" w:w="2154"/>
            <w:vAlign w:val="top"/>
          </w:tcPr>
          <w:p>
            <w:pPr>
              <w:spacing w:after="20" w:line="252" w:lineRule="auto"/>
            </w:pPr>
            <w:r>
              <w:rPr>
                <w:b/>
                <w:i w:val="0"/>
                <w:sz w:val="17"/>
              </w:rPr>
              <w:t>Tooling</w:t>
            </w:r>
          </w:p>
        </w:tc>
        <w:tc>
          <w:tcPr>
            <w:tcW w:type="dxa" w:w="7483"/>
            <w:vAlign w:val="top"/>
          </w:tcPr>
          <w:p>
            <w:pPr>
              <w:spacing w:after="20" w:line="252" w:lineRule="auto"/>
            </w:pPr>
            <w:r>
              <w:rPr>
                <w:b w:val="0"/>
                <w:i w:val="0"/>
                <w:sz w:val="17"/>
              </w:rPr>
              <w:t>Repeatable scripts (TypeScript/SQL) with validation reports; no manual re-keying</w:t>
            </w:r>
          </w:p>
        </w:tc>
      </w:tr>
      <w:tr>
        <w:trPr>
          <w:cantSplit/>
        </w:trPr>
        <w:tc>
          <w:tcPr>
            <w:tcW w:type="dxa" w:w="2154"/>
            <w:vAlign w:val="top"/>
            <w:shd w:val="clear" w:color="auto" w:fill="FDF0F7"/>
          </w:tcPr>
          <w:p>
            <w:pPr>
              <w:spacing w:after="20" w:line="252" w:lineRule="auto"/>
            </w:pPr>
            <w:r>
              <w:rPr>
                <w:b/>
                <w:i w:val="0"/>
                <w:sz w:val="17"/>
              </w:rPr>
              <w:t>Dry-run 1 &amp; 2</w:t>
            </w:r>
          </w:p>
        </w:tc>
        <w:tc>
          <w:tcPr>
            <w:tcW w:type="dxa" w:w="7483"/>
            <w:vAlign w:val="top"/>
            <w:shd w:val="clear" w:color="auto" w:fill="FDF0F7"/>
          </w:tcPr>
          <w:p>
            <w:pPr>
              <w:spacing w:after="20" w:line="252" w:lineRule="auto"/>
            </w:pPr>
            <w:r>
              <w:rPr>
                <w:b w:val="0"/>
                <w:i w:val="0"/>
                <w:sz w:val="17"/>
              </w:rPr>
              <w:t>Full loads in UAT; exceptions corrected at source; reconciliation reports</w:t>
            </w:r>
          </w:p>
        </w:tc>
      </w:tr>
      <w:tr>
        <w:trPr>
          <w:cantSplit/>
        </w:trPr>
        <w:tc>
          <w:tcPr>
            <w:tcW w:type="dxa" w:w="2154"/>
            <w:vAlign w:val="top"/>
          </w:tcPr>
          <w:p>
            <w:pPr>
              <w:spacing w:after="20" w:line="252" w:lineRule="auto"/>
            </w:pPr>
            <w:r>
              <w:rPr>
                <w:b/>
                <w:i w:val="0"/>
                <w:sz w:val="17"/>
              </w:rPr>
              <w:t>Reconciliation</w:t>
            </w:r>
          </w:p>
        </w:tc>
        <w:tc>
          <w:tcPr>
            <w:tcW w:type="dxa" w:w="7483"/>
            <w:vAlign w:val="top"/>
          </w:tcPr>
          <w:p>
            <w:pPr>
              <w:spacing w:after="20" w:line="252" w:lineRule="auto"/>
            </w:pPr>
            <w:r>
              <w:rPr>
                <w:b w:val="0"/>
                <w:i w:val="0"/>
                <w:sz w:val="17"/>
              </w:rPr>
              <w:t>Record counts, control totals, mandatory-field completeness, sample verification by business owners</w:t>
            </w:r>
          </w:p>
        </w:tc>
      </w:tr>
      <w:tr>
        <w:trPr>
          <w:cantSplit/>
        </w:trPr>
        <w:tc>
          <w:tcPr>
            <w:tcW w:type="dxa" w:w="2154"/>
            <w:vAlign w:val="top"/>
            <w:shd w:val="clear" w:color="auto" w:fill="FDF0F7"/>
          </w:tcPr>
          <w:p>
            <w:pPr>
              <w:spacing w:after="20" w:line="252" w:lineRule="auto"/>
            </w:pPr>
            <w:r>
              <w:rPr>
                <w:b/>
                <w:i w:val="0"/>
                <w:sz w:val="17"/>
              </w:rPr>
              <w:t>Production load</w:t>
            </w:r>
          </w:p>
        </w:tc>
        <w:tc>
          <w:tcPr>
            <w:tcW w:type="dxa" w:w="7483"/>
            <w:vAlign w:val="top"/>
            <w:shd w:val="clear" w:color="auto" w:fill="FDF0F7"/>
          </w:tcPr>
          <w:p>
            <w:pPr>
              <w:spacing w:after="20" w:line="252" w:lineRule="auto"/>
            </w:pPr>
            <w:r>
              <w:rPr>
                <w:b w:val="0"/>
                <w:i w:val="0"/>
                <w:sz w:val="17"/>
              </w:rPr>
              <w:t>Executed during cut-over; signed reconciliation before users are enabled</w:t>
            </w:r>
          </w:p>
        </w:tc>
      </w:tr>
    </w:tbl>
    <w:p>
      <w:pPr>
        <w:spacing w:after="0" w:before="0"/>
      </w:pPr>
      <w:r>
        <w:rPr>
          <w:sz w:val="8"/>
        </w:rPr>
      </w:r>
    </w:p>
    <w:p>
      <w:pPr>
        <w:pStyle w:val="Heading2"/>
      </w:pPr>
      <w:r>
        <w:t>17.7 Training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1927"/>
        <w:gridCol w:w="1247"/>
        <w:gridCol w:w="2268"/>
        <w:gridCol w:w="2268"/>
      </w:tblGrid>
      <w:tr>
        <w:trPr>
          <w:cantSplit/>
          <w:tblHeader/>
        </w:trPr>
        <w:tc>
          <w:tcPr>
            <w:tcW w:type="dxa" w:w="1928"/>
            <w:shd w:val="clear" w:color="auto" w:fill="E1058C"/>
            <w:vAlign w:val="center"/>
          </w:tcPr>
          <w:p>
            <w:pPr>
              <w:spacing w:after="0"/>
            </w:pPr>
            <w:r>
              <w:rPr>
                <w:b/>
                <w:i w:val="0"/>
                <w:color w:val="FFFFFF"/>
                <w:sz w:val="16"/>
              </w:rPr>
              <w:t>Audience</w:t>
            </w:r>
          </w:p>
        </w:tc>
        <w:tc>
          <w:tcPr>
            <w:tcW w:type="dxa" w:w="1928"/>
            <w:shd w:val="clear" w:color="auto" w:fill="E1058C"/>
            <w:vAlign w:val="center"/>
          </w:tcPr>
          <w:p>
            <w:pPr>
              <w:spacing w:after="0"/>
            </w:pPr>
            <w:r>
              <w:rPr>
                <w:b/>
                <w:i w:val="0"/>
                <w:color w:val="FFFFFF"/>
                <w:sz w:val="16"/>
              </w:rPr>
              <w:t>Format</w:t>
            </w:r>
          </w:p>
        </w:tc>
        <w:tc>
          <w:tcPr>
            <w:tcW w:type="dxa" w:w="1247"/>
            <w:shd w:val="clear" w:color="auto" w:fill="E1058C"/>
            <w:vAlign w:val="center"/>
          </w:tcPr>
          <w:p>
            <w:pPr>
              <w:spacing w:after="0"/>
            </w:pPr>
            <w:r>
              <w:rPr>
                <w:b/>
                <w:i w:val="0"/>
                <w:color w:val="FFFFFF"/>
                <w:sz w:val="16"/>
              </w:rPr>
              <w:t>Duration</w:t>
            </w:r>
          </w:p>
        </w:tc>
        <w:tc>
          <w:tcPr>
            <w:tcW w:type="dxa" w:w="2268"/>
            <w:shd w:val="clear" w:color="auto" w:fill="E1058C"/>
            <w:vAlign w:val="center"/>
          </w:tcPr>
          <w:p>
            <w:pPr>
              <w:spacing w:after="0"/>
            </w:pPr>
            <w:r>
              <w:rPr>
                <w:b/>
                <w:i w:val="0"/>
                <w:color w:val="FFFFFF"/>
                <w:sz w:val="16"/>
              </w:rPr>
              <w:t>Participants</w:t>
            </w:r>
          </w:p>
        </w:tc>
        <w:tc>
          <w:tcPr>
            <w:tcW w:type="dxa" w:w="2268"/>
            <w:shd w:val="clear" w:color="auto" w:fill="E1058C"/>
            <w:vAlign w:val="center"/>
          </w:tcPr>
          <w:p>
            <w:pPr>
              <w:spacing w:after="0"/>
            </w:pPr>
            <w:r>
              <w:rPr>
                <w:b/>
                <w:i w:val="0"/>
                <w:color w:val="FFFFFF"/>
                <w:sz w:val="16"/>
              </w:rPr>
              <w:t>Materials</w:t>
            </w:r>
          </w:p>
        </w:tc>
      </w:tr>
      <w:tr>
        <w:trPr>
          <w:cantSplit/>
        </w:trPr>
        <w:tc>
          <w:tcPr>
            <w:tcW w:type="dxa" w:w="1928"/>
            <w:vAlign w:val="top"/>
          </w:tcPr>
          <w:p>
            <w:pPr>
              <w:spacing w:after="20" w:line="252" w:lineRule="auto"/>
            </w:pPr>
            <w:r>
              <w:rPr>
                <w:b/>
                <w:i w:val="0"/>
                <w:sz w:val="16"/>
              </w:rPr>
              <w:t>Agents &amp; bank officers (Portal)</w:t>
            </w:r>
          </w:p>
        </w:tc>
        <w:tc>
          <w:tcPr>
            <w:tcW w:type="dxa" w:w="1928"/>
            <w:vAlign w:val="top"/>
          </w:tcPr>
          <w:p>
            <w:pPr>
              <w:spacing w:after="20" w:line="252" w:lineRule="auto"/>
            </w:pPr>
            <w:r>
              <w:rPr>
                <w:b w:val="0"/>
                <w:i w:val="0"/>
                <w:sz w:val="16"/>
              </w:rPr>
              <w:t>Train-the-trainer plus two hands-on sessions</w:t>
            </w:r>
          </w:p>
        </w:tc>
        <w:tc>
          <w:tcPr>
            <w:tcW w:type="dxa" w:w="1247"/>
            <w:vAlign w:val="top"/>
          </w:tcPr>
          <w:p>
            <w:pPr>
              <w:spacing w:after="20" w:line="252" w:lineRule="auto"/>
            </w:pPr>
            <w:r>
              <w:rPr>
                <w:b w:val="0"/>
                <w:i w:val="0"/>
                <w:sz w:val="16"/>
              </w:rPr>
              <w:t>Half day per session</w:t>
            </w:r>
          </w:p>
        </w:tc>
        <w:tc>
          <w:tcPr>
            <w:tcW w:type="dxa" w:w="2268"/>
            <w:vAlign w:val="top"/>
          </w:tcPr>
          <w:p>
            <w:pPr>
              <w:spacing w:after="20" w:line="252" w:lineRule="auto"/>
            </w:pPr>
            <w:r>
              <w:rPr>
                <w:b w:val="0"/>
                <w:i w:val="0"/>
                <w:sz w:val="16"/>
              </w:rPr>
              <w:t>Up to 21 users (12 bank, 4 agent, 5 IIFT portal)</w:t>
            </w:r>
          </w:p>
        </w:tc>
        <w:tc>
          <w:tcPr>
            <w:tcW w:type="dxa" w:w="2268"/>
            <w:vAlign w:val="top"/>
          </w:tcPr>
          <w:p>
            <w:pPr>
              <w:spacing w:after="20" w:line="252" w:lineRule="auto"/>
            </w:pPr>
            <w:r>
              <w:rPr>
                <w:b w:val="0"/>
                <w:i w:val="0"/>
                <w:sz w:val="16"/>
              </w:rPr>
              <w:t>Quick reference guide, video walkthroughs, user manual</w:t>
            </w:r>
          </w:p>
        </w:tc>
      </w:tr>
      <w:tr>
        <w:trPr>
          <w:cantSplit/>
        </w:trPr>
        <w:tc>
          <w:tcPr>
            <w:tcW w:type="dxa" w:w="1928"/>
            <w:vAlign w:val="top"/>
            <w:shd w:val="clear" w:color="auto" w:fill="FDF0F7"/>
          </w:tcPr>
          <w:p>
            <w:pPr>
              <w:spacing w:after="20" w:line="252" w:lineRule="auto"/>
            </w:pPr>
            <w:r>
              <w:rPr>
                <w:b/>
                <w:i w:val="0"/>
                <w:sz w:val="16"/>
              </w:rPr>
              <w:t>Back-office users</w:t>
            </w:r>
          </w:p>
        </w:tc>
        <w:tc>
          <w:tcPr>
            <w:tcW w:type="dxa" w:w="1928"/>
            <w:vAlign w:val="top"/>
            <w:shd w:val="clear" w:color="auto" w:fill="FDF0F7"/>
          </w:tcPr>
          <w:p>
            <w:pPr>
              <w:spacing w:after="20" w:line="252" w:lineRule="auto"/>
            </w:pPr>
            <w:r>
              <w:rPr>
                <w:b w:val="0"/>
                <w:i w:val="0"/>
                <w:sz w:val="16"/>
              </w:rPr>
              <w:t>Hands-on workshop per role</w:t>
            </w:r>
          </w:p>
        </w:tc>
        <w:tc>
          <w:tcPr>
            <w:tcW w:type="dxa" w:w="1247"/>
            <w:vAlign w:val="top"/>
            <w:shd w:val="clear" w:color="auto" w:fill="FDF0F7"/>
          </w:tcPr>
          <w:p>
            <w:pPr>
              <w:spacing w:after="20" w:line="252" w:lineRule="auto"/>
            </w:pPr>
            <w:r>
              <w:rPr>
                <w:b w:val="0"/>
                <w:i w:val="0"/>
                <w:sz w:val="16"/>
              </w:rPr>
              <w:t>1 day</w:t>
            </w:r>
          </w:p>
        </w:tc>
        <w:tc>
          <w:tcPr>
            <w:tcW w:type="dxa" w:w="2268"/>
            <w:vAlign w:val="top"/>
            <w:shd w:val="clear" w:color="auto" w:fill="FDF0F7"/>
          </w:tcPr>
          <w:p>
            <w:pPr>
              <w:spacing w:after="20" w:line="252" w:lineRule="auto"/>
            </w:pPr>
            <w:r>
              <w:rPr>
                <w:b w:val="0"/>
                <w:i w:val="0"/>
                <w:sz w:val="16"/>
              </w:rPr>
              <w:t>IIFT admin, Finance, Compliance, Underwriting users</w:t>
            </w:r>
          </w:p>
        </w:tc>
        <w:tc>
          <w:tcPr>
            <w:tcW w:type="dxa" w:w="2268"/>
            <w:vAlign w:val="top"/>
            <w:shd w:val="clear" w:color="auto" w:fill="FDF0F7"/>
          </w:tcPr>
          <w:p>
            <w:pPr>
              <w:spacing w:after="20" w:line="252" w:lineRule="auto"/>
            </w:pPr>
            <w:r>
              <w:rPr>
                <w:b w:val="0"/>
                <w:i w:val="0"/>
                <w:sz w:val="16"/>
              </w:rPr>
              <w:t>Role-based user manual, exercises</w:t>
            </w:r>
          </w:p>
        </w:tc>
      </w:tr>
      <w:tr>
        <w:trPr>
          <w:cantSplit/>
        </w:trPr>
        <w:tc>
          <w:tcPr>
            <w:tcW w:type="dxa" w:w="1928"/>
            <w:vAlign w:val="top"/>
          </w:tcPr>
          <w:p>
            <w:pPr>
              <w:spacing w:after="20" w:line="252" w:lineRule="auto"/>
            </w:pPr>
            <w:r>
              <w:rPr>
                <w:b/>
                <w:i w:val="0"/>
                <w:sz w:val="16"/>
              </w:rPr>
              <w:t>System administrators</w:t>
            </w:r>
          </w:p>
        </w:tc>
        <w:tc>
          <w:tcPr>
            <w:tcW w:type="dxa" w:w="1928"/>
            <w:vAlign w:val="top"/>
          </w:tcPr>
          <w:p>
            <w:pPr>
              <w:spacing w:after="20" w:line="252" w:lineRule="auto"/>
            </w:pPr>
            <w:r>
              <w:rPr>
                <w:b w:val="0"/>
                <w:i w:val="0"/>
                <w:sz w:val="16"/>
              </w:rPr>
              <w:t>Workshop</w:t>
            </w:r>
          </w:p>
        </w:tc>
        <w:tc>
          <w:tcPr>
            <w:tcW w:type="dxa" w:w="1247"/>
            <w:vAlign w:val="top"/>
          </w:tcPr>
          <w:p>
            <w:pPr>
              <w:spacing w:after="20" w:line="252" w:lineRule="auto"/>
            </w:pPr>
            <w:r>
              <w:rPr>
                <w:b w:val="0"/>
                <w:i w:val="0"/>
                <w:sz w:val="16"/>
              </w:rPr>
              <w:t>1 day</w:t>
            </w:r>
          </w:p>
        </w:tc>
        <w:tc>
          <w:tcPr>
            <w:tcW w:type="dxa" w:w="2268"/>
            <w:vAlign w:val="top"/>
          </w:tcPr>
          <w:p>
            <w:pPr>
              <w:spacing w:after="20" w:line="252" w:lineRule="auto"/>
            </w:pPr>
            <w:r>
              <w:rPr>
                <w:b w:val="0"/>
                <w:i w:val="0"/>
                <w:sz w:val="16"/>
              </w:rPr>
              <w:t>IITH/IIFT administrators</w:t>
            </w:r>
          </w:p>
        </w:tc>
        <w:tc>
          <w:tcPr>
            <w:tcW w:type="dxa" w:w="2268"/>
            <w:vAlign w:val="top"/>
          </w:tcPr>
          <w:p>
            <w:pPr>
              <w:spacing w:after="20" w:line="252" w:lineRule="auto"/>
            </w:pPr>
            <w:r>
              <w:rPr>
                <w:b w:val="0"/>
                <w:i w:val="0"/>
                <w:sz w:val="16"/>
              </w:rPr>
              <w:t>Administrator manual, configuration guide</w:t>
            </w:r>
          </w:p>
        </w:tc>
      </w:tr>
      <w:tr>
        <w:trPr>
          <w:cantSplit/>
        </w:trPr>
        <w:tc>
          <w:tcPr>
            <w:tcW w:type="dxa" w:w="1928"/>
            <w:vAlign w:val="top"/>
            <w:shd w:val="clear" w:color="auto" w:fill="FDF0F7"/>
          </w:tcPr>
          <w:p>
            <w:pPr>
              <w:spacing w:after="20" w:line="252" w:lineRule="auto"/>
            </w:pPr>
            <w:r>
              <w:rPr>
                <w:b/>
                <w:i w:val="0"/>
                <w:sz w:val="16"/>
              </w:rPr>
              <w:t>Technical team</w:t>
            </w:r>
          </w:p>
        </w:tc>
        <w:tc>
          <w:tcPr>
            <w:tcW w:type="dxa" w:w="1928"/>
            <w:vAlign w:val="top"/>
            <w:shd w:val="clear" w:color="auto" w:fill="FDF0F7"/>
          </w:tcPr>
          <w:p>
            <w:pPr>
              <w:spacing w:after="20" w:line="252" w:lineRule="auto"/>
            </w:pPr>
            <w:r>
              <w:rPr>
                <w:b w:val="0"/>
                <w:i w:val="0"/>
                <w:sz w:val="16"/>
              </w:rPr>
              <w:t>Technical handover sessions</w:t>
            </w:r>
          </w:p>
        </w:tc>
        <w:tc>
          <w:tcPr>
            <w:tcW w:type="dxa" w:w="1247"/>
            <w:vAlign w:val="top"/>
            <w:shd w:val="clear" w:color="auto" w:fill="FDF0F7"/>
          </w:tcPr>
          <w:p>
            <w:pPr>
              <w:spacing w:after="20" w:line="252" w:lineRule="auto"/>
            </w:pPr>
            <w:r>
              <w:rPr>
                <w:b w:val="0"/>
                <w:i w:val="0"/>
                <w:sz w:val="16"/>
              </w:rPr>
              <w:t>2 days</w:t>
            </w:r>
          </w:p>
        </w:tc>
        <w:tc>
          <w:tcPr>
            <w:tcW w:type="dxa" w:w="2268"/>
            <w:vAlign w:val="top"/>
            <w:shd w:val="clear" w:color="auto" w:fill="FDF0F7"/>
          </w:tcPr>
          <w:p>
            <w:pPr>
              <w:spacing w:after="20" w:line="252" w:lineRule="auto"/>
            </w:pPr>
            <w:r>
              <w:rPr>
                <w:b w:val="0"/>
                <w:i w:val="0"/>
                <w:sz w:val="16"/>
              </w:rPr>
              <w:t>IITH IT support, infrastructure, security</w:t>
            </w:r>
          </w:p>
        </w:tc>
        <w:tc>
          <w:tcPr>
            <w:tcW w:type="dxa" w:w="2268"/>
            <w:vAlign w:val="top"/>
            <w:shd w:val="clear" w:color="auto" w:fill="FDF0F7"/>
          </w:tcPr>
          <w:p>
            <w:pPr>
              <w:spacing w:after="20" w:line="252" w:lineRule="auto"/>
            </w:pPr>
            <w:r>
              <w:rPr>
                <w:b w:val="0"/>
                <w:i w:val="0"/>
                <w:sz w:val="16"/>
              </w:rPr>
              <w:t>Technical and operations manuals, runbooks</w:t>
            </w:r>
          </w:p>
        </w:tc>
      </w:tr>
      <w:tr>
        <w:trPr>
          <w:cantSplit/>
        </w:trPr>
        <w:tc>
          <w:tcPr>
            <w:tcW w:type="dxa" w:w="1928"/>
            <w:vAlign w:val="top"/>
          </w:tcPr>
          <w:p>
            <w:pPr>
              <w:spacing w:after="20" w:line="252" w:lineRule="auto"/>
            </w:pPr>
            <w:r>
              <w:rPr>
                <w:b/>
                <w:i w:val="0"/>
                <w:sz w:val="16"/>
              </w:rPr>
              <w:t>Management</w:t>
            </w:r>
          </w:p>
        </w:tc>
        <w:tc>
          <w:tcPr>
            <w:tcW w:type="dxa" w:w="1928"/>
            <w:vAlign w:val="top"/>
          </w:tcPr>
          <w:p>
            <w:pPr>
              <w:spacing w:after="20" w:line="252" w:lineRule="auto"/>
            </w:pPr>
            <w:r>
              <w:rPr>
                <w:b w:val="0"/>
                <w:i w:val="0"/>
                <w:sz w:val="16"/>
              </w:rPr>
              <w:t>Briefing and dashboard demo</w:t>
            </w:r>
          </w:p>
        </w:tc>
        <w:tc>
          <w:tcPr>
            <w:tcW w:type="dxa" w:w="1247"/>
            <w:vAlign w:val="top"/>
          </w:tcPr>
          <w:p>
            <w:pPr>
              <w:spacing w:after="20" w:line="252" w:lineRule="auto"/>
            </w:pPr>
            <w:r>
              <w:rPr>
                <w:b w:val="0"/>
                <w:i w:val="0"/>
                <w:sz w:val="16"/>
              </w:rPr>
              <w:t>1 hour</w:t>
            </w:r>
          </w:p>
        </w:tc>
        <w:tc>
          <w:tcPr>
            <w:tcW w:type="dxa" w:w="2268"/>
            <w:vAlign w:val="top"/>
          </w:tcPr>
          <w:p>
            <w:pPr>
              <w:spacing w:after="20" w:line="252" w:lineRule="auto"/>
            </w:pPr>
            <w:r>
              <w:rPr>
                <w:b w:val="0"/>
                <w:i w:val="0"/>
                <w:sz w:val="16"/>
              </w:rPr>
              <w:t>IIFT management</w:t>
            </w:r>
          </w:p>
        </w:tc>
        <w:tc>
          <w:tcPr>
            <w:tcW w:type="dxa" w:w="2268"/>
            <w:vAlign w:val="top"/>
          </w:tcPr>
          <w:p>
            <w:pPr>
              <w:spacing w:after="20" w:line="252" w:lineRule="auto"/>
            </w:pPr>
            <w:r>
              <w:rPr>
                <w:b w:val="0"/>
                <w:i w:val="0"/>
                <w:sz w:val="16"/>
              </w:rPr>
              <w:t>Dashboard guide</w:t>
            </w:r>
          </w:p>
        </w:tc>
      </w:tr>
    </w:tbl>
    <w:p>
      <w:pPr>
        <w:pStyle w:val="Caption"/>
        <w:jc w:val="center"/>
      </w:pPr>
      <w:r>
        <w:rPr>
          <w:b w:val="0"/>
          <w:i w:val="0"/>
        </w:rPr>
        <w:t>Table 31: Training plan</w:t>
      </w:r>
    </w:p>
    <w:p>
      <w:pPr>
        <w:pStyle w:val="Heading2"/>
      </w:pPr>
      <w:r>
        <w:t>17.8 Change management</w:t>
      </w:r>
    </w:p>
    <w:p>
      <w:pPr>
        <w:pStyle w:val="ListBullet"/>
      </w:pPr>
      <w:r>
        <w:rPr>
          <w:b w:val="0"/>
          <w:i w:val="0"/>
        </w:rPr>
        <w:t>Stakeholder map and communication plan covering IIFT teams, bank partners and agencies.</w:t>
      </w:r>
    </w:p>
    <w:p>
      <w:pPr>
        <w:pStyle w:val="ListBullet"/>
      </w:pPr>
      <w:r>
        <w:rPr>
          <w:b w:val="0"/>
          <w:i w:val="0"/>
        </w:rPr>
        <w:t>Early involvement of key users in design workshops and sprint demos to build ownership.</w:t>
      </w:r>
    </w:p>
    <w:p>
      <w:pPr>
        <w:pStyle w:val="ListBullet"/>
      </w:pPr>
      <w:r>
        <w:rPr>
          <w:b w:val="0"/>
          <w:i w:val="0"/>
        </w:rPr>
        <w:t>Bank and agent onboarding pack: invitation e-mail, account activation guide, FAQ and support contacts.</w:t>
      </w:r>
    </w:p>
    <w:p>
      <w:pPr>
        <w:pStyle w:val="ListBullet"/>
      </w:pPr>
      <w:r>
        <w:rPr>
          <w:b w:val="0"/>
          <w:i w:val="0"/>
        </w:rPr>
        <w:t>Super-user network within IIFT to provide first-line help after go-live.</w:t>
      </w:r>
    </w:p>
    <w:p>
      <w:pPr>
        <w:pStyle w:val="ListBullet"/>
      </w:pPr>
      <w:r>
        <w:rPr>
          <w:b w:val="0"/>
          <w:i w:val="0"/>
        </w:rPr>
        <w:t>Adoption metrics on the management dashboard (active users, digital submissions, turnaround times).</w:t>
      </w:r>
    </w:p>
    <w:p>
      <w:pPr>
        <w:pStyle w:val="Heading2"/>
      </w:pPr>
      <w:r>
        <w:t>17.9 Hypercare</w:t>
      </w:r>
    </w:p>
    <w:p>
      <w:pPr>
        <w:pStyle w:val="ListBullet"/>
      </w:pPr>
      <w:r>
        <w:rPr>
          <w:b w:val="0"/>
          <w:i w:val="0"/>
        </w:rPr>
        <w:t>Four weeks immediately after go-live (weeks 25–28) with the core delivery team on standby.</w:t>
      </w:r>
    </w:p>
    <w:p>
      <w:pPr>
        <w:pStyle w:val="ListBullet"/>
      </w:pPr>
      <w:r>
        <w:rPr>
          <w:b w:val="0"/>
          <w:i w:val="0"/>
        </w:rPr>
        <w:t>Daily health checks of application, jobs, EOD and integrations; daily stand-up with IIFT during the first two weeks.</w:t>
      </w:r>
    </w:p>
    <w:p>
      <w:pPr>
        <w:pStyle w:val="ListBullet"/>
      </w:pPr>
      <w:r>
        <w:rPr>
          <w:b w:val="0"/>
          <w:i w:val="0"/>
        </w:rPr>
        <w:t>Priority fixing of go-live defects; daily defect and usage report.</w:t>
      </w:r>
    </w:p>
    <w:p>
      <w:pPr>
        <w:pStyle w:val="ListBullet"/>
      </w:pPr>
      <w:r>
        <w:rPr>
          <w:b w:val="0"/>
          <w:i w:val="0"/>
        </w:rPr>
        <w:t>Onsite presence for go-live and the first month of support: a Senior Developer for the month and the Project Manager in go-live week; the rest of the team supports remotely.</w:t>
      </w:r>
    </w:p>
    <w:p>
      <w:pPr>
        <w:pStyle w:val="ListBullet"/>
      </w:pPr>
      <w:r>
        <w:rPr>
          <w:b w:val="0"/>
          <w:i w:val="0"/>
        </w:rPr>
        <w:t>Formal handover to the maintenance team and hypercare exit criteria: no open P1/P2 issues, EOD stable for ten consecutive business days, all interfaces reconciled.</w:t>
      </w:r>
    </w:p>
    <w:p>
      <w:pPr>
        <w:pStyle w:val="Heading1"/>
        <w:pageBreakBefore/>
        <w:pBdr>
          <w:bottom w:val="single" w:sz="12" w:space="4" w:color="F58220"/>
        </w:pBdr>
      </w:pPr>
      <w:r>
        <w:t>18. Delivery &amp; Implementation Timeline</w:t>
      </w:r>
    </w:p>
    <w:p>
      <w:pPr>
        <w:keepNext w:val="0"/>
      </w:pPr>
      <w:r>
        <w:rPr>
          <w:b w:val="0"/>
          <w:i w:val="0"/>
        </w:rPr>
        <w:t>Production go-live is in week 24 counted from kick-off, followed by four weeks of hypercare. The six-month warranty and Year 1 of maintenance (the AMC under Option A, the subscription under Option B) both start at go-live; defects found under warranty are fixed free of charge.</w:t>
      </w:r>
    </w:p>
    <w:p>
      <w:pPr>
        <w:keepNext/>
        <w:spacing w:after="0"/>
        <w:jc w:val="center"/>
      </w:pPr>
      <w:r>
        <w:drawing>
          <wp:inline xmlns:a="http://schemas.openxmlformats.org/drawingml/2006/main" xmlns:pic="http://schemas.openxmlformats.org/drawingml/2006/picture">
            <wp:extent cx="6120000" cy="2848259"/>
            <wp:docPr id="43" name="Picture 43"/>
            <wp:cNvGraphicFramePr>
              <a:graphicFrameLocks noChangeAspect="1"/>
            </wp:cNvGraphicFramePr>
            <a:graphic>
              <a:graphicData uri="http://schemas.openxmlformats.org/drawingml/2006/picture">
                <pic:pic>
                  <pic:nvPicPr>
                    <pic:cNvPr id="0" name="fig-gantt.png"/>
                    <pic:cNvPicPr/>
                  </pic:nvPicPr>
                  <pic:blipFill>
                    <a:blip r:embed="rId53"/>
                    <a:stretch>
                      <a:fillRect/>
                    </a:stretch>
                  </pic:blipFill>
                  <pic:spPr>
                    <a:xfrm>
                      <a:off x="0" y="0"/>
                      <a:ext cx="6120000" cy="2848259"/>
                    </a:xfrm>
                    <a:prstGeom prst="rect"/>
                  </pic:spPr>
                </pic:pic>
              </a:graphicData>
            </a:graphic>
          </wp:inline>
        </w:drawing>
      </w:r>
    </w:p>
    <w:p>
      <w:pPr>
        <w:pStyle w:val="Caption"/>
        <w:jc w:val="center"/>
      </w:pPr>
      <w:r>
        <w:rPr>
          <w:b w:val="0"/>
          <w:i w:val="0"/>
        </w:rPr>
        <w:t>Figure 40: Delivery plan (weeks from kick-off)</w:t>
      </w:r>
    </w:p>
    <w:p>
      <w:pPr>
        <w:pStyle w:val="Heading2"/>
      </w:pPr>
      <w:r>
        <w:t>18.1 Key milestones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5103"/>
        <w:gridCol w:w="1587"/>
        <w:gridCol w:w="1587"/>
      </w:tblGrid>
      <w:tr>
        <w:trPr>
          <w:cantSplit/>
          <w:tblHeader/>
        </w:trPr>
        <w:tc>
          <w:tcPr>
            <w:tcW w:type="dxa" w:w="1361"/>
            <w:shd w:val="clear" w:color="auto" w:fill="E1058C"/>
            <w:vAlign w:val="center"/>
          </w:tcPr>
          <w:p>
            <w:pPr>
              <w:spacing w:after="0"/>
            </w:pPr>
            <w:r>
              <w:rPr>
                <w:b/>
                <w:i w:val="0"/>
                <w:color w:val="FFFFFF"/>
                <w:sz w:val="17"/>
              </w:rPr>
              <w:t>Milestone</w:t>
            </w:r>
          </w:p>
        </w:tc>
        <w:tc>
          <w:tcPr>
            <w:tcW w:type="dxa" w:w="5102"/>
            <w:shd w:val="clear" w:color="auto" w:fill="E1058C"/>
            <w:vAlign w:val="center"/>
          </w:tcPr>
          <w:p>
            <w:pPr>
              <w:spacing w:after="0"/>
            </w:pPr>
            <w:r>
              <w:rPr>
                <w:b/>
                <w:i w:val="0"/>
                <w:color w:val="FFFFFF"/>
                <w:sz w:val="17"/>
              </w:rPr>
              <w:t>Description</w:t>
            </w:r>
          </w:p>
        </w:tc>
        <w:tc>
          <w:tcPr>
            <w:tcW w:type="dxa" w:w="1587"/>
            <w:shd w:val="clear" w:color="auto" w:fill="E1058C"/>
            <w:vAlign w:val="center"/>
          </w:tcPr>
          <w:p>
            <w:pPr>
              <w:spacing w:after="0"/>
            </w:pPr>
            <w:r>
              <w:rPr>
                <w:b/>
                <w:i w:val="0"/>
                <w:color w:val="FFFFFF"/>
                <w:sz w:val="17"/>
              </w:rPr>
              <w:t>Target</w:t>
            </w:r>
          </w:p>
        </w:tc>
        <w:tc>
          <w:tcPr>
            <w:tcW w:type="dxa" w:w="1587"/>
            <w:shd w:val="clear" w:color="auto" w:fill="E1058C"/>
            <w:vAlign w:val="center"/>
          </w:tcPr>
          <w:p>
            <w:pPr>
              <w:spacing w:after="0"/>
            </w:pPr>
            <w:r>
              <w:rPr>
                <w:b/>
                <w:i w:val="0"/>
                <w:color w:val="FFFFFF"/>
                <w:sz w:val="17"/>
              </w:rPr>
              <w:t>Services fee</w:t>
            </w:r>
          </w:p>
        </w:tc>
      </w:tr>
      <w:tr>
        <w:trPr>
          <w:cantSplit/>
        </w:trPr>
        <w:tc>
          <w:tcPr>
            <w:tcW w:type="dxa" w:w="1361"/>
            <w:vAlign w:val="top"/>
          </w:tcPr>
          <w:p>
            <w:pPr>
              <w:spacing w:after="20" w:line="252" w:lineRule="auto"/>
              <w:jc w:val="center"/>
            </w:pPr>
            <w:r>
              <w:rPr>
                <w:b w:val="0"/>
                <w:i w:val="0"/>
                <w:sz w:val="17"/>
              </w:rPr>
              <w:t>M1</w:t>
            </w:r>
          </w:p>
        </w:tc>
        <w:tc>
          <w:tcPr>
            <w:tcW w:type="dxa" w:w="5102"/>
            <w:vAlign w:val="top"/>
          </w:tcPr>
          <w:p>
            <w:pPr>
              <w:spacing w:after="20" w:line="252" w:lineRule="auto"/>
            </w:pPr>
            <w:r>
              <w:rPr>
                <w:b w:val="0"/>
                <w:i w:val="0"/>
                <w:sz w:val="17"/>
              </w:rPr>
              <w:t>Project charter &amp; plan approved</w:t>
            </w:r>
          </w:p>
        </w:tc>
        <w:tc>
          <w:tcPr>
            <w:tcW w:type="dxa" w:w="1587"/>
            <w:vAlign w:val="top"/>
          </w:tcPr>
          <w:p>
            <w:pPr>
              <w:spacing w:after="20" w:line="252" w:lineRule="auto"/>
              <w:jc w:val="center"/>
            </w:pPr>
            <w:r>
              <w:rPr>
                <w:b w:val="0"/>
                <w:i w:val="0"/>
                <w:sz w:val="17"/>
              </w:rPr>
              <w:t>Week 2</w:t>
            </w:r>
          </w:p>
        </w:tc>
        <w:tc>
          <w:tcPr>
            <w:tcW w:type="dxa" w:w="1587"/>
            <w:vAlign w:val="top"/>
          </w:tcPr>
          <w:p>
            <w:pPr>
              <w:spacing w:after="20" w:line="252" w:lineRule="auto"/>
              <w:jc w:val="center"/>
            </w:pPr>
            <w:r>
              <w:rPr>
                <w:b w:val="0"/>
                <w:i w:val="0"/>
                <w:sz w:val="17"/>
              </w:rPr>
              <w:t>15%</w:t>
            </w:r>
          </w:p>
        </w:tc>
      </w:tr>
      <w:tr>
        <w:trPr>
          <w:cantSplit/>
        </w:trPr>
        <w:tc>
          <w:tcPr>
            <w:tcW w:type="dxa" w:w="1361"/>
            <w:vAlign w:val="top"/>
            <w:shd w:val="clear" w:color="auto" w:fill="FDF0F7"/>
          </w:tcPr>
          <w:p>
            <w:pPr>
              <w:spacing w:after="20" w:line="252" w:lineRule="auto"/>
              <w:jc w:val="center"/>
            </w:pPr>
            <w:r>
              <w:rPr>
                <w:b w:val="0"/>
                <w:i w:val="0"/>
                <w:sz w:val="17"/>
              </w:rPr>
              <w:t>M2</w:t>
            </w:r>
          </w:p>
        </w:tc>
        <w:tc>
          <w:tcPr>
            <w:tcW w:type="dxa" w:w="5102"/>
            <w:vAlign w:val="top"/>
            <w:shd w:val="clear" w:color="auto" w:fill="FDF0F7"/>
          </w:tcPr>
          <w:p>
            <w:pPr>
              <w:spacing w:after="20" w:line="252" w:lineRule="auto"/>
            </w:pPr>
            <w:r>
              <w:rPr>
                <w:b w:val="0"/>
                <w:i w:val="0"/>
                <w:sz w:val="17"/>
              </w:rPr>
              <w:t>Design sign-off</w:t>
            </w:r>
          </w:p>
        </w:tc>
        <w:tc>
          <w:tcPr>
            <w:tcW w:type="dxa" w:w="1587"/>
            <w:vAlign w:val="top"/>
            <w:shd w:val="clear" w:color="auto" w:fill="FDF0F7"/>
          </w:tcPr>
          <w:p>
            <w:pPr>
              <w:spacing w:after="20" w:line="252" w:lineRule="auto"/>
              <w:jc w:val="center"/>
            </w:pPr>
            <w:r>
              <w:rPr>
                <w:b w:val="0"/>
                <w:i w:val="0"/>
                <w:sz w:val="17"/>
              </w:rPr>
              <w:t>Week 6</w:t>
            </w:r>
          </w:p>
        </w:tc>
        <w:tc>
          <w:tcPr>
            <w:tcW w:type="dxa" w:w="1587"/>
            <w:vAlign w:val="top"/>
            <w:shd w:val="clear" w:color="auto" w:fill="FDF0F7"/>
          </w:tcPr>
          <w:p>
            <w:pPr>
              <w:spacing w:after="20" w:line="252" w:lineRule="auto"/>
              <w:jc w:val="center"/>
            </w:pPr>
            <w:r>
              <w:rPr>
                <w:b w:val="0"/>
                <w:i w:val="0"/>
                <w:sz w:val="17"/>
              </w:rPr>
              <w:t>15%</w:t>
            </w:r>
          </w:p>
        </w:tc>
      </w:tr>
      <w:tr>
        <w:trPr>
          <w:cantSplit/>
        </w:trPr>
        <w:tc>
          <w:tcPr>
            <w:tcW w:type="dxa" w:w="1361"/>
            <w:vAlign w:val="top"/>
          </w:tcPr>
          <w:p>
            <w:pPr>
              <w:spacing w:after="20" w:line="252" w:lineRule="auto"/>
              <w:jc w:val="center"/>
            </w:pPr>
            <w:r>
              <w:rPr>
                <w:b w:val="0"/>
                <w:i w:val="0"/>
                <w:sz w:val="17"/>
              </w:rPr>
              <w:t>M3</w:t>
            </w:r>
          </w:p>
        </w:tc>
        <w:tc>
          <w:tcPr>
            <w:tcW w:type="dxa" w:w="5102"/>
            <w:vAlign w:val="top"/>
          </w:tcPr>
          <w:p>
            <w:pPr>
              <w:spacing w:after="20" w:line="252" w:lineRule="auto"/>
            </w:pPr>
            <w:r>
              <w:rPr>
                <w:b w:val="0"/>
                <w:i w:val="0"/>
                <w:sz w:val="17"/>
              </w:rPr>
              <w:t>Configuration complete</w:t>
            </w:r>
          </w:p>
        </w:tc>
        <w:tc>
          <w:tcPr>
            <w:tcW w:type="dxa" w:w="1587"/>
            <w:vAlign w:val="top"/>
          </w:tcPr>
          <w:p>
            <w:pPr>
              <w:spacing w:after="20" w:line="252" w:lineRule="auto"/>
              <w:jc w:val="center"/>
            </w:pPr>
            <w:r>
              <w:rPr>
                <w:b w:val="0"/>
                <w:i w:val="0"/>
                <w:sz w:val="17"/>
              </w:rPr>
              <w:t>Week 16</w:t>
            </w:r>
          </w:p>
        </w:tc>
        <w:tc>
          <w:tcPr>
            <w:tcW w:type="dxa" w:w="1587"/>
            <w:vAlign w:val="top"/>
          </w:tcPr>
          <w:p>
            <w:pPr>
              <w:spacing w:after="20" w:line="252" w:lineRule="auto"/>
              <w:jc w:val="center"/>
            </w:pPr>
            <w:r>
              <w:rPr>
                <w:b w:val="0"/>
                <w:i w:val="0"/>
                <w:sz w:val="17"/>
              </w:rPr>
              <w:t>–</w:t>
            </w:r>
          </w:p>
        </w:tc>
      </w:tr>
      <w:tr>
        <w:trPr>
          <w:cantSplit/>
        </w:trPr>
        <w:tc>
          <w:tcPr>
            <w:tcW w:type="dxa" w:w="1361"/>
            <w:vAlign w:val="top"/>
            <w:shd w:val="clear" w:color="auto" w:fill="FDF0F7"/>
          </w:tcPr>
          <w:p>
            <w:pPr>
              <w:spacing w:after="20" w:line="252" w:lineRule="auto"/>
              <w:jc w:val="center"/>
            </w:pPr>
            <w:r>
              <w:rPr>
                <w:b w:val="0"/>
                <w:i w:val="0"/>
                <w:sz w:val="17"/>
              </w:rPr>
              <w:t>M4</w:t>
            </w:r>
          </w:p>
        </w:tc>
        <w:tc>
          <w:tcPr>
            <w:tcW w:type="dxa" w:w="5102"/>
            <w:vAlign w:val="top"/>
            <w:shd w:val="clear" w:color="auto" w:fill="FDF0F7"/>
          </w:tcPr>
          <w:p>
            <w:pPr>
              <w:spacing w:after="20" w:line="252" w:lineRule="auto"/>
            </w:pPr>
            <w:r>
              <w:rPr>
                <w:b w:val="0"/>
                <w:i w:val="0"/>
                <w:sz w:val="17"/>
              </w:rPr>
              <w:t>SIT exit &amp; security clearance</w:t>
            </w:r>
          </w:p>
        </w:tc>
        <w:tc>
          <w:tcPr>
            <w:tcW w:type="dxa" w:w="1587"/>
            <w:vAlign w:val="top"/>
            <w:shd w:val="clear" w:color="auto" w:fill="FDF0F7"/>
          </w:tcPr>
          <w:p>
            <w:pPr>
              <w:spacing w:after="20" w:line="252" w:lineRule="auto"/>
              <w:jc w:val="center"/>
            </w:pPr>
            <w:r>
              <w:rPr>
                <w:b w:val="0"/>
                <w:i w:val="0"/>
                <w:sz w:val="17"/>
              </w:rPr>
              <w:t>Week 19</w:t>
            </w:r>
          </w:p>
        </w:tc>
        <w:tc>
          <w:tcPr>
            <w:tcW w:type="dxa" w:w="1587"/>
            <w:vAlign w:val="top"/>
            <w:shd w:val="clear" w:color="auto" w:fill="FDF0F7"/>
          </w:tcPr>
          <w:p>
            <w:pPr>
              <w:spacing w:after="20" w:line="252" w:lineRule="auto"/>
              <w:jc w:val="center"/>
            </w:pPr>
            <w:r>
              <w:rPr>
                <w:b w:val="0"/>
                <w:i w:val="0"/>
                <w:sz w:val="17"/>
              </w:rPr>
              <w:t>25%</w:t>
            </w:r>
          </w:p>
        </w:tc>
      </w:tr>
      <w:tr>
        <w:trPr>
          <w:cantSplit/>
        </w:trPr>
        <w:tc>
          <w:tcPr>
            <w:tcW w:type="dxa" w:w="1361"/>
            <w:vAlign w:val="top"/>
          </w:tcPr>
          <w:p>
            <w:pPr>
              <w:spacing w:after="20" w:line="252" w:lineRule="auto"/>
              <w:jc w:val="center"/>
            </w:pPr>
            <w:r>
              <w:rPr>
                <w:b w:val="0"/>
                <w:i w:val="0"/>
                <w:sz w:val="17"/>
              </w:rPr>
              <w:t>M5</w:t>
            </w:r>
          </w:p>
        </w:tc>
        <w:tc>
          <w:tcPr>
            <w:tcW w:type="dxa" w:w="5102"/>
            <w:vAlign w:val="top"/>
          </w:tcPr>
          <w:p>
            <w:pPr>
              <w:spacing w:after="20" w:line="252" w:lineRule="auto"/>
            </w:pPr>
            <w:r>
              <w:rPr>
                <w:b w:val="0"/>
                <w:i w:val="0"/>
                <w:sz w:val="17"/>
              </w:rPr>
              <w:t>UAT sign-off</w:t>
            </w:r>
          </w:p>
        </w:tc>
        <w:tc>
          <w:tcPr>
            <w:tcW w:type="dxa" w:w="1587"/>
            <w:vAlign w:val="top"/>
          </w:tcPr>
          <w:p>
            <w:pPr>
              <w:spacing w:after="20" w:line="252" w:lineRule="auto"/>
              <w:jc w:val="center"/>
            </w:pPr>
            <w:r>
              <w:rPr>
                <w:b w:val="0"/>
                <w:i w:val="0"/>
                <w:sz w:val="17"/>
              </w:rPr>
              <w:t>Week 22</w:t>
            </w:r>
          </w:p>
        </w:tc>
        <w:tc>
          <w:tcPr>
            <w:tcW w:type="dxa" w:w="1587"/>
            <w:vAlign w:val="top"/>
          </w:tcPr>
          <w:p>
            <w:pPr>
              <w:spacing w:after="20" w:line="252" w:lineRule="auto"/>
              <w:jc w:val="center"/>
            </w:pPr>
            <w:r>
              <w:rPr>
                <w:b w:val="0"/>
                <w:i w:val="0"/>
                <w:sz w:val="17"/>
              </w:rPr>
              <w:t>25%</w:t>
            </w:r>
          </w:p>
        </w:tc>
      </w:tr>
      <w:tr>
        <w:trPr>
          <w:cantSplit/>
        </w:trPr>
        <w:tc>
          <w:tcPr>
            <w:tcW w:type="dxa" w:w="1361"/>
            <w:vAlign w:val="top"/>
            <w:shd w:val="clear" w:color="auto" w:fill="FDF0F7"/>
          </w:tcPr>
          <w:p>
            <w:pPr>
              <w:spacing w:after="20" w:line="252" w:lineRule="auto"/>
              <w:jc w:val="center"/>
            </w:pPr>
            <w:r>
              <w:rPr>
                <w:b w:val="0"/>
                <w:i w:val="0"/>
                <w:sz w:val="17"/>
              </w:rPr>
              <w:t>M6</w:t>
            </w:r>
          </w:p>
        </w:tc>
        <w:tc>
          <w:tcPr>
            <w:tcW w:type="dxa" w:w="5102"/>
            <w:vAlign w:val="top"/>
            <w:shd w:val="clear" w:color="auto" w:fill="FDF0F7"/>
          </w:tcPr>
          <w:p>
            <w:pPr>
              <w:spacing w:after="20" w:line="252" w:lineRule="auto"/>
            </w:pPr>
            <w:r>
              <w:rPr>
                <w:b w:val="0"/>
                <w:i w:val="0"/>
                <w:sz w:val="17"/>
              </w:rPr>
              <w:t>Production go-live</w:t>
            </w:r>
          </w:p>
        </w:tc>
        <w:tc>
          <w:tcPr>
            <w:tcW w:type="dxa" w:w="1587"/>
            <w:vAlign w:val="top"/>
            <w:shd w:val="clear" w:color="auto" w:fill="FDF0F7"/>
          </w:tcPr>
          <w:p>
            <w:pPr>
              <w:spacing w:after="20" w:line="252" w:lineRule="auto"/>
              <w:jc w:val="center"/>
            </w:pPr>
            <w:r>
              <w:rPr>
                <w:b w:val="0"/>
                <w:i w:val="0"/>
                <w:sz w:val="17"/>
              </w:rPr>
              <w:t>Week 24</w:t>
            </w:r>
          </w:p>
        </w:tc>
        <w:tc>
          <w:tcPr>
            <w:tcW w:type="dxa" w:w="1587"/>
            <w:vAlign w:val="top"/>
            <w:shd w:val="clear" w:color="auto" w:fill="FDF0F7"/>
          </w:tcPr>
          <w:p>
            <w:pPr>
              <w:spacing w:after="20" w:line="252" w:lineRule="auto"/>
              <w:jc w:val="center"/>
            </w:pPr>
            <w:r>
              <w:rPr>
                <w:b w:val="0"/>
                <w:i w:val="0"/>
                <w:sz w:val="17"/>
              </w:rPr>
              <w:t>15%</w:t>
            </w:r>
          </w:p>
        </w:tc>
      </w:tr>
      <w:tr>
        <w:trPr>
          <w:cantSplit/>
        </w:trPr>
        <w:tc>
          <w:tcPr>
            <w:tcW w:type="dxa" w:w="1361"/>
            <w:vAlign w:val="top"/>
          </w:tcPr>
          <w:p>
            <w:pPr>
              <w:spacing w:after="20" w:line="252" w:lineRule="auto"/>
              <w:jc w:val="center"/>
            </w:pPr>
            <w:r>
              <w:rPr>
                <w:b w:val="0"/>
                <w:i w:val="0"/>
                <w:sz w:val="17"/>
              </w:rPr>
              <w:t>M7</w:t>
            </w:r>
          </w:p>
        </w:tc>
        <w:tc>
          <w:tcPr>
            <w:tcW w:type="dxa" w:w="5102"/>
            <w:vAlign w:val="top"/>
          </w:tcPr>
          <w:p>
            <w:pPr>
              <w:spacing w:after="20" w:line="252" w:lineRule="auto"/>
            </w:pPr>
            <w:r>
              <w:rPr>
                <w:b w:val="0"/>
                <w:i w:val="0"/>
                <w:sz w:val="17"/>
              </w:rPr>
              <w:t>Hypercare exit &amp; closure</w:t>
            </w:r>
          </w:p>
        </w:tc>
        <w:tc>
          <w:tcPr>
            <w:tcW w:type="dxa" w:w="1587"/>
            <w:vAlign w:val="top"/>
          </w:tcPr>
          <w:p>
            <w:pPr>
              <w:spacing w:after="20" w:line="252" w:lineRule="auto"/>
              <w:jc w:val="center"/>
            </w:pPr>
            <w:r>
              <w:rPr>
                <w:b w:val="0"/>
                <w:i w:val="0"/>
                <w:sz w:val="17"/>
              </w:rPr>
              <w:t>Week 28</w:t>
            </w:r>
          </w:p>
        </w:tc>
        <w:tc>
          <w:tcPr>
            <w:tcW w:type="dxa" w:w="1587"/>
            <w:vAlign w:val="top"/>
          </w:tcPr>
          <w:p>
            <w:pPr>
              <w:spacing w:after="20" w:line="252" w:lineRule="auto"/>
              <w:jc w:val="center"/>
            </w:pPr>
            <w:r>
              <w:rPr>
                <w:b w:val="0"/>
                <w:i w:val="0"/>
                <w:sz w:val="17"/>
              </w:rPr>
              <w:t>5%</w:t>
            </w:r>
          </w:p>
        </w:tc>
      </w:tr>
    </w:tbl>
    <w:p>
      <w:pPr>
        <w:pStyle w:val="Caption"/>
        <w:jc w:val="center"/>
      </w:pPr>
      <w:r>
        <w:rPr>
          <w:b w:val="0"/>
          <w:i w:val="0"/>
        </w:rPr>
        <w:t>Table 32: Milestones and linked payments</w:t>
      </w:r>
    </w:p>
    <w:p>
      <w:pPr>
        <w:keepNext w:val="0"/>
      </w:pPr>
      <w:r>
        <w:rPr>
          <w:b w:val="0"/>
          <w:i w:val="0"/>
        </w:rPr>
        <w:t>Under Option A the licence fee is paid separately: 50% at contract signing, 30% on installation in SIT and 20% at go-live. Amounts are in Section 19.</w:t>
      </w:r>
    </w:p>
    <w:p>
      <w:pPr>
        <w:pStyle w:val="Heading2"/>
      </w:pPr>
      <w:r>
        <w:t>18.2 Dependencies on the critical path</w:t>
      </w:r>
    </w:p>
    <w:p>
      <w:pPr>
        <w:pStyle w:val="ListBullet"/>
      </w:pPr>
      <w:r>
        <w:rPr>
          <w:b w:val="0"/>
          <w:i w:val="0"/>
        </w:rPr>
        <w:t>Contract signature and kick-off date (week 1 starts at kick-off).</w:t>
      </w:r>
    </w:p>
    <w:p>
      <w:pPr>
        <w:pStyle w:val="ListBullet"/>
      </w:pPr>
      <w:r>
        <w:rPr>
          <w:b w:val="0"/>
          <w:i w:val="0"/>
        </w:rPr>
        <w:t>Availability of IIFT business owners for workshops in weeks 2–5 and sign-off of design by week 6.</w:t>
      </w:r>
    </w:p>
    <w:p>
      <w:pPr>
        <w:pStyle w:val="ListBullet"/>
      </w:pPr>
      <w:r>
        <w:rPr>
          <w:b w:val="0"/>
          <w:i w:val="0"/>
        </w:rPr>
        <w:t>SIT and UAT environments (VMs, network, database access) available by week 8 and week 16 respectively.</w:t>
      </w:r>
    </w:p>
    <w:p>
      <w:pPr>
        <w:pStyle w:val="ListBullet"/>
      </w:pPr>
      <w:r>
        <w:rPr>
          <w:b w:val="0"/>
          <w:i w:val="0"/>
        </w:rPr>
        <w:t>Interface specifications, test endpoints and credentials for Core, FIN, AML and AD available by week 8.</w:t>
      </w:r>
    </w:p>
    <w:p>
      <w:pPr>
        <w:pStyle w:val="ListBullet"/>
      </w:pPr>
      <w:r>
        <w:rPr>
          <w:b w:val="0"/>
          <w:i w:val="0"/>
        </w:rPr>
        <w:t>IIFT actuarial rate tables and product documents (proposal forms, PDS, questionnaires) by week 6.</w:t>
      </w:r>
    </w:p>
    <w:p>
      <w:pPr>
        <w:pStyle w:val="ListBullet"/>
      </w:pPr>
      <w:r>
        <w:rPr>
          <w:b w:val="0"/>
          <w:i w:val="0"/>
        </w:rPr>
        <w:t>UAT participants available in weeks 19–22; legacy data extracts available by week 12.</w:t>
      </w:r>
    </w:p>
    <w:p>
      <w:pPr>
        <w:pStyle w:val="Heading1"/>
        <w:pageBreakBefore/>
        <w:pBdr>
          <w:bottom w:val="single" w:sz="12" w:space="4" w:color="F58220"/>
        </w:pBdr>
      </w:pPr>
      <w:r>
        <w:t>19. Commercial Proposal</w:t>
      </w:r>
    </w:p>
    <w:p>
      <w:pPr>
        <w:keepNext w:val="0"/>
      </w:pPr>
      <w:r>
        <w:rPr>
          <w:b w:val="0"/>
          <w:i w:val="0"/>
        </w:rPr>
        <w:t>This chapter sets out the commercial offer: the options, the fees in IIFT's format and in the RFP section 10 breakdown, the terms of each option, out-of-pocket expenses, third-party charges, the rate card and the payment schedules. The pricing workbook (IIFT-Commercial-Pricing-iorta-TechNXT.xlsx) holds the same figures with live formulas, and the Bill of Materials (IIFT-Bill-of-Materials-iorta-TechNXT.xlsx) lists every infrastructure and third-party item.</w:t>
      </w:r>
    </w:p>
    <w:p>
      <w:pPr>
        <w:pStyle w:val="Heading2"/>
      </w:pPr>
      <w:r>
        <w:t>19.1 Commercial summary</w:t>
      </w:r>
    </w:p>
    <w:p>
      <w:pPr>
        <w:keepNext w:val="0"/>
      </w:pPr>
      <w:r>
        <w:rPr>
          <w:b w:val="0"/>
          <w:i w:val="0"/>
        </w:rPr>
        <w:t>iorta TechNXT offers SalesVerse 2.0 under two commercial models and one add-on. All three are priced on the same scope, team and 24-week plan; they differ in who holds the licence, who runs the infrastructure and whether IIFT takes the platform source code.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701"/>
        <w:gridCol w:w="2664"/>
        <w:gridCol w:w="2664"/>
        <w:gridCol w:w="2608"/>
      </w:tblGrid>
      <w:tr>
        <w:trPr>
          <w:cantSplit/>
          <w:tblHeader/>
        </w:trPr>
        <w:tc>
          <w:tcPr>
            <w:tcW w:type="dxa" w:w="1701"/>
            <w:shd w:val="clear" w:color="auto" w:fill="E1058C"/>
            <w:vAlign w:val="center"/>
          </w:tcPr>
          <w:p>
            <w:pPr>
              <w:spacing w:after="0"/>
            </w:pPr>
          </w:p>
        </w:tc>
        <w:tc>
          <w:tcPr>
            <w:tcW w:type="dxa" w:w="2665"/>
            <w:shd w:val="clear" w:color="auto" w:fill="E1058C"/>
            <w:vAlign w:val="center"/>
          </w:tcPr>
          <w:p>
            <w:pPr>
              <w:spacing w:after="0"/>
            </w:pPr>
            <w:r>
              <w:rPr>
                <w:b/>
                <w:i w:val="0"/>
                <w:color w:val="FFFFFF"/>
                <w:sz w:val="16"/>
              </w:rPr>
              <w:t>Option A</w:t>
              <w:br/>
              <w:t>On-premise perpetual licence</w:t>
            </w:r>
          </w:p>
        </w:tc>
        <w:tc>
          <w:tcPr>
            <w:tcW w:type="dxa" w:w="2665"/>
            <w:shd w:val="clear" w:color="auto" w:fill="E1058C"/>
            <w:vAlign w:val="center"/>
          </w:tcPr>
          <w:p>
            <w:pPr>
              <w:spacing w:after="0"/>
            </w:pPr>
            <w:r>
              <w:rPr>
                <w:b/>
                <w:i w:val="0"/>
                <w:color w:val="FFFFFF"/>
                <w:sz w:val="16"/>
              </w:rPr>
              <w:t>Option B</w:t>
              <w:br/>
              <w:t>Subscription, iorta-hosted cloud</w:t>
            </w:r>
          </w:p>
        </w:tc>
        <w:tc>
          <w:tcPr>
            <w:tcW w:type="dxa" w:w="2608"/>
            <w:shd w:val="clear" w:color="auto" w:fill="E1058C"/>
            <w:vAlign w:val="center"/>
          </w:tcPr>
          <w:p>
            <w:pPr>
              <w:spacing w:after="0"/>
            </w:pPr>
            <w:r>
              <w:rPr>
                <w:b/>
                <w:i w:val="0"/>
                <w:color w:val="FFFFFF"/>
                <w:sz w:val="16"/>
              </w:rPr>
              <w:t>Option C</w:t>
              <w:br/>
              <w:t>Source code handover (add-on)</w:t>
            </w:r>
          </w:p>
        </w:tc>
      </w:tr>
      <w:tr>
        <w:trPr>
          <w:cantSplit/>
        </w:trPr>
        <w:tc>
          <w:tcPr>
            <w:tcW w:type="dxa" w:w="1701"/>
            <w:vAlign w:val="top"/>
          </w:tcPr>
          <w:p>
            <w:pPr>
              <w:spacing w:after="20" w:line="252" w:lineRule="auto"/>
            </w:pPr>
            <w:r>
              <w:rPr>
                <w:b/>
                <w:i w:val="0"/>
                <w:sz w:val="16"/>
              </w:rPr>
              <w:t>What IIFT gets</w:t>
            </w:r>
          </w:p>
        </w:tc>
        <w:tc>
          <w:tcPr>
            <w:tcW w:type="dxa" w:w="2665"/>
            <w:vAlign w:val="top"/>
          </w:tcPr>
          <w:p>
            <w:pPr>
              <w:spacing w:after="20" w:line="252" w:lineRule="auto"/>
            </w:pPr>
            <w:r>
              <w:rPr>
                <w:b w:val="0"/>
                <w:i w:val="0"/>
                <w:sz w:val="16"/>
              </w:rPr>
              <w:t>Perpetual enterprise licence, implementation and annual maintenance (AMC). Runs in the IIFT/IITH data centre.</w:t>
            </w:r>
          </w:p>
        </w:tc>
        <w:tc>
          <w:tcPr>
            <w:tcW w:type="dxa" w:w="2665"/>
            <w:vAlign w:val="top"/>
          </w:tcPr>
          <w:p>
            <w:pPr>
              <w:spacing w:after="20" w:line="252" w:lineRule="auto"/>
            </w:pPr>
            <w:r>
              <w:rPr>
                <w:b w:val="0"/>
                <w:i w:val="0"/>
                <w:sz w:val="16"/>
              </w:rPr>
              <w:t>Right to use for the term, implementation, maintenance and application management. iorta hosts and operates the solution on cloud.</w:t>
            </w:r>
          </w:p>
        </w:tc>
        <w:tc>
          <w:tcPr>
            <w:tcW w:type="dxa" w:w="2608"/>
            <w:vAlign w:val="top"/>
          </w:tcPr>
          <w:p>
            <w:pPr>
              <w:spacing w:after="20" w:line="252" w:lineRule="auto"/>
            </w:pPr>
            <w:r>
              <w:rPr>
                <w:b w:val="0"/>
                <w:i w:val="0"/>
                <w:sz w:val="16"/>
              </w:rPr>
              <w:t>Core platform source code with an 8-week knowledge transfer and transition, after go-live and hypercare.</w:t>
            </w:r>
          </w:p>
        </w:tc>
      </w:tr>
      <w:tr>
        <w:trPr>
          <w:cantSplit/>
        </w:trPr>
        <w:tc>
          <w:tcPr>
            <w:tcW w:type="dxa" w:w="1701"/>
            <w:vAlign w:val="top"/>
            <w:shd w:val="clear" w:color="auto" w:fill="FDF0F7"/>
          </w:tcPr>
          <w:p>
            <w:pPr>
              <w:spacing w:after="20" w:line="252" w:lineRule="auto"/>
            </w:pPr>
            <w:r>
              <w:rPr>
                <w:b/>
                <w:i w:val="0"/>
                <w:sz w:val="16"/>
              </w:rPr>
              <w:t>Infrastructure</w:t>
            </w:r>
          </w:p>
        </w:tc>
        <w:tc>
          <w:tcPr>
            <w:tcW w:type="dxa" w:w="2665"/>
            <w:vAlign w:val="top"/>
            <w:shd w:val="clear" w:color="auto" w:fill="FDF0F7"/>
          </w:tcPr>
          <w:p>
            <w:pPr>
              <w:spacing w:after="20" w:line="252" w:lineRule="auto"/>
            </w:pPr>
            <w:r>
              <w:rPr>
                <w:b w:val="0"/>
                <w:i w:val="0"/>
                <w:sz w:val="16"/>
              </w:rPr>
              <w:t>IIFT procures to iorta's sizing (Bill of Materials).</w:t>
            </w:r>
          </w:p>
        </w:tc>
        <w:tc>
          <w:tcPr>
            <w:tcW w:type="dxa" w:w="2665"/>
            <w:vAlign w:val="top"/>
            <w:shd w:val="clear" w:color="auto" w:fill="FDF0F7"/>
          </w:tcPr>
          <w:p>
            <w:pPr>
              <w:spacing w:after="20" w:line="252" w:lineRule="auto"/>
            </w:pPr>
            <w:r>
              <w:rPr>
                <w:b w:val="0"/>
                <w:i w:val="0"/>
                <w:sz w:val="16"/>
              </w:rPr>
              <w:t>Cloud at cost (disbursement, no mark-up) or paid by IIFT directly; set-up and managed services by iorta.</w:t>
            </w:r>
          </w:p>
        </w:tc>
        <w:tc>
          <w:tcPr>
            <w:tcW w:type="dxa" w:w="2608"/>
            <w:vAlign w:val="top"/>
            <w:shd w:val="clear" w:color="auto" w:fill="FDF0F7"/>
          </w:tcPr>
          <w:p>
            <w:pPr>
              <w:spacing w:after="20" w:line="252" w:lineRule="auto"/>
            </w:pPr>
            <w:r>
              <w:rPr>
                <w:b w:val="0"/>
                <w:i w:val="0"/>
                <w:sz w:val="16"/>
              </w:rPr>
              <w:t>Unchanged.</w:t>
            </w:r>
          </w:p>
        </w:tc>
      </w:tr>
      <w:tr>
        <w:trPr>
          <w:cantSplit/>
        </w:trPr>
        <w:tc>
          <w:tcPr>
            <w:tcW w:type="dxa" w:w="1701"/>
            <w:vAlign w:val="top"/>
          </w:tcPr>
          <w:p>
            <w:pPr>
              <w:spacing w:after="20" w:line="252" w:lineRule="auto"/>
            </w:pPr>
            <w:r>
              <w:rPr>
                <w:b/>
                <w:i w:val="0"/>
                <w:sz w:val="16"/>
              </w:rPr>
              <w:t>One-time fees</w:t>
            </w:r>
          </w:p>
        </w:tc>
        <w:tc>
          <w:tcPr>
            <w:tcW w:type="dxa" w:w="2665"/>
            <w:vAlign w:val="top"/>
          </w:tcPr>
          <w:p>
            <w:pPr>
              <w:spacing w:after="20" w:line="252" w:lineRule="auto"/>
            </w:pPr>
            <w:r>
              <w:rPr>
                <w:b/>
                <w:i w:val="0"/>
                <w:sz w:val="16"/>
              </w:rPr>
              <w:t>B$ 178,000</w:t>
            </w:r>
          </w:p>
          <w:p>
            <w:pPr>
              <w:spacing w:after="20" w:line="252" w:lineRule="auto"/>
            </w:pPr>
            <w:r>
              <w:rPr>
                <w:b w:val="0"/>
                <w:i w:val="0"/>
                <w:sz w:val="16"/>
              </w:rPr>
              <w:t>Licence 48,000; services 130,000</w:t>
            </w:r>
          </w:p>
        </w:tc>
        <w:tc>
          <w:tcPr>
            <w:tcW w:type="dxa" w:w="2665"/>
            <w:vAlign w:val="top"/>
          </w:tcPr>
          <w:p>
            <w:pPr>
              <w:spacing w:after="20" w:line="252" w:lineRule="auto"/>
            </w:pPr>
            <w:r>
              <w:rPr>
                <w:b/>
                <w:i w:val="0"/>
                <w:sz w:val="16"/>
              </w:rPr>
              <w:t>B$ 145,000</w:t>
            </w:r>
          </w:p>
          <w:p>
            <w:pPr>
              <w:spacing w:after="20" w:line="252" w:lineRule="auto"/>
            </w:pPr>
            <w:r>
              <w:rPr>
                <w:b w:val="0"/>
                <w:i w:val="0"/>
                <w:sz w:val="16"/>
              </w:rPr>
              <w:t>Services 130,000; cloud set-up 15,000</w:t>
            </w:r>
          </w:p>
        </w:tc>
        <w:tc>
          <w:tcPr>
            <w:tcW w:type="dxa" w:w="2608"/>
            <w:vAlign w:val="top"/>
          </w:tcPr>
          <w:p>
            <w:pPr>
              <w:spacing w:after="20" w:line="252" w:lineRule="auto"/>
            </w:pPr>
            <w:r>
              <w:rPr>
                <w:b/>
                <w:i w:val="0"/>
                <w:sz w:val="16"/>
              </w:rPr>
              <w:t>B$ 88,000</w:t>
            </w:r>
          </w:p>
          <w:p>
            <w:pPr>
              <w:spacing w:after="20" w:line="252" w:lineRule="auto"/>
            </w:pPr>
            <w:r>
              <w:rPr>
                <w:b w:val="0"/>
                <w:i w:val="0"/>
                <w:sz w:val="16"/>
              </w:rPr>
              <w:t>Source code licence 60,000; knowledge transfer 28,000</w:t>
            </w:r>
          </w:p>
        </w:tc>
      </w:tr>
      <w:tr>
        <w:trPr>
          <w:cantSplit/>
        </w:trPr>
        <w:tc>
          <w:tcPr>
            <w:tcW w:type="dxa" w:w="1701"/>
            <w:vAlign w:val="top"/>
            <w:shd w:val="clear" w:color="auto" w:fill="FDF0F7"/>
          </w:tcPr>
          <w:p>
            <w:pPr>
              <w:spacing w:after="20" w:line="252" w:lineRule="auto"/>
            </w:pPr>
            <w:r>
              <w:rPr>
                <w:b/>
                <w:i w:val="0"/>
                <w:sz w:val="16"/>
              </w:rPr>
              <w:t>Recurring, Year 1</w:t>
            </w:r>
          </w:p>
        </w:tc>
        <w:tc>
          <w:tcPr>
            <w:tcW w:type="dxa" w:w="2665"/>
            <w:vAlign w:val="top"/>
            <w:shd w:val="clear" w:color="auto" w:fill="FDF0F7"/>
          </w:tcPr>
          <w:p>
            <w:pPr>
              <w:spacing w:after="20" w:line="252" w:lineRule="auto"/>
            </w:pPr>
            <w:r>
              <w:rPr>
                <w:b w:val="0"/>
                <w:i w:val="0"/>
                <w:sz w:val="16"/>
              </w:rPr>
              <w:t>AMC B$ 31,350</w:t>
            </w:r>
          </w:p>
          <w:p>
            <w:pPr>
              <w:spacing w:after="20" w:line="252" w:lineRule="auto"/>
            </w:pPr>
            <w:r>
              <w:rPr>
                <w:b w:val="0"/>
                <w:i w:val="0"/>
                <w:sz w:val="16"/>
              </w:rPr>
              <w:t>(22% of B$ 142,500)</w:t>
            </w:r>
          </w:p>
        </w:tc>
        <w:tc>
          <w:tcPr>
            <w:tcW w:type="dxa" w:w="2665"/>
            <w:vAlign w:val="top"/>
            <w:shd w:val="clear" w:color="auto" w:fill="FDF0F7"/>
          </w:tcPr>
          <w:p>
            <w:pPr>
              <w:spacing w:after="20" w:line="252" w:lineRule="auto"/>
            </w:pPr>
            <w:r>
              <w:rPr>
                <w:b w:val="0"/>
                <w:i w:val="0"/>
                <w:sz w:val="16"/>
              </w:rPr>
              <w:t>Subscription B$ 40,800 (B$ 3,400 a month)</w:t>
            </w:r>
          </w:p>
          <w:p>
            <w:pPr>
              <w:spacing w:after="20" w:line="252" w:lineRule="auto"/>
            </w:pPr>
            <w:r>
              <w:rPr>
                <w:b w:val="0"/>
                <w:i w:val="0"/>
                <w:sz w:val="16"/>
              </w:rPr>
              <w:t>Managed services B$ 13,200</w:t>
            </w:r>
          </w:p>
          <w:p>
            <w:pPr>
              <w:spacing w:after="20" w:line="252" w:lineRule="auto"/>
            </w:pPr>
            <w:r>
              <w:rPr>
                <w:b w:val="0"/>
                <w:i w:val="0"/>
                <w:sz w:val="16"/>
              </w:rPr>
              <w:t>Cloud at actuals ≈ B$ 15,960</w:t>
            </w:r>
          </w:p>
        </w:tc>
        <w:tc>
          <w:tcPr>
            <w:tcW w:type="dxa" w:w="2608"/>
            <w:vAlign w:val="top"/>
            <w:shd w:val="clear" w:color="auto" w:fill="FDF0F7"/>
          </w:tcPr>
          <w:p>
            <w:pPr>
              <w:spacing w:after="20" w:line="252" w:lineRule="auto"/>
            </w:pPr>
            <w:r>
              <w:rPr>
                <w:b w:val="0"/>
                <w:i w:val="0"/>
                <w:sz w:val="16"/>
              </w:rPr>
              <w:t>Optional L3 support B$ 14,250 (10% of the AMC base) in place of the AMC</w:t>
            </w:r>
          </w:p>
        </w:tc>
      </w:tr>
      <w:tr>
        <w:trPr>
          <w:cantSplit/>
        </w:trPr>
        <w:tc>
          <w:tcPr>
            <w:tcW w:type="dxa" w:w="1701"/>
            <w:vAlign w:val="top"/>
          </w:tcPr>
          <w:p>
            <w:pPr>
              <w:spacing w:after="20" w:line="252" w:lineRule="auto"/>
            </w:pPr>
            <w:r>
              <w:rPr>
                <w:b/>
                <w:i w:val="0"/>
                <w:sz w:val="16"/>
              </w:rPr>
              <w:t>Yearly increase</w:t>
            </w:r>
          </w:p>
        </w:tc>
        <w:tc>
          <w:tcPr>
            <w:tcW w:type="dxa" w:w="2665"/>
            <w:vAlign w:val="top"/>
          </w:tcPr>
          <w:p>
            <w:pPr>
              <w:spacing w:after="20" w:line="252" w:lineRule="auto"/>
            </w:pPr>
            <w:r>
              <w:rPr>
                <w:b w:val="0"/>
                <w:i w:val="0"/>
                <w:sz w:val="16"/>
              </w:rPr>
              <w:t>5% on the AMC</w:t>
            </w:r>
          </w:p>
        </w:tc>
        <w:tc>
          <w:tcPr>
            <w:tcW w:type="dxa" w:w="2665"/>
            <w:vAlign w:val="top"/>
          </w:tcPr>
          <w:p>
            <w:pPr>
              <w:spacing w:after="20" w:line="252" w:lineRule="auto"/>
            </w:pPr>
            <w:r>
              <w:rPr>
                <w:b w:val="0"/>
                <w:i w:val="0"/>
                <w:sz w:val="16"/>
              </w:rPr>
              <w:t>5% on subscription and managed services; cloud at actuals</w:t>
            </w:r>
          </w:p>
        </w:tc>
        <w:tc>
          <w:tcPr>
            <w:tcW w:type="dxa" w:w="2608"/>
            <w:vAlign w:val="top"/>
          </w:tcPr>
          <w:p>
            <w:pPr>
              <w:spacing w:after="20" w:line="252" w:lineRule="auto"/>
            </w:pPr>
            <w:r>
              <w:rPr>
                <w:b w:val="0"/>
                <w:i w:val="0"/>
                <w:sz w:val="16"/>
              </w:rPr>
              <w:t>5% on post-handover support</w:t>
            </w:r>
          </w:p>
        </w:tc>
      </w:tr>
      <w:tr>
        <w:trPr>
          <w:cantSplit/>
        </w:trPr>
        <w:tc>
          <w:tcPr>
            <w:tcW w:type="dxa" w:w="1701"/>
            <w:vAlign w:val="top"/>
            <w:shd w:val="clear" w:color="auto" w:fill="FDF0F7"/>
          </w:tcPr>
          <w:p>
            <w:pPr>
              <w:spacing w:after="20" w:line="252" w:lineRule="auto"/>
            </w:pPr>
            <w:r>
              <w:rPr>
                <w:b/>
                <w:i w:val="0"/>
                <w:sz w:val="16"/>
              </w:rPr>
              <w:t>Term</w:t>
            </w:r>
          </w:p>
        </w:tc>
        <w:tc>
          <w:tcPr>
            <w:tcW w:type="dxa" w:w="2665"/>
            <w:vAlign w:val="top"/>
            <w:shd w:val="clear" w:color="auto" w:fill="FDF0F7"/>
          </w:tcPr>
          <w:p>
            <w:pPr>
              <w:spacing w:after="20" w:line="252" w:lineRule="auto"/>
            </w:pPr>
            <w:r>
              <w:rPr>
                <w:b w:val="0"/>
                <w:i w:val="0"/>
                <w:sz w:val="16"/>
              </w:rPr>
              <w:t>Licence perpetual; AMC for five years, renewable yearly</w:t>
            </w:r>
          </w:p>
        </w:tc>
        <w:tc>
          <w:tcPr>
            <w:tcW w:type="dxa" w:w="2665"/>
            <w:vAlign w:val="top"/>
            <w:shd w:val="clear" w:color="auto" w:fill="FDF0F7"/>
          </w:tcPr>
          <w:p>
            <w:pPr>
              <w:spacing w:after="20" w:line="252" w:lineRule="auto"/>
            </w:pPr>
            <w:r>
              <w:rPr>
                <w:b w:val="0"/>
                <w:i w:val="0"/>
                <w:sz w:val="16"/>
              </w:rPr>
              <w:t>Minimum term 60 months from go-live</w:t>
            </w:r>
          </w:p>
        </w:tc>
        <w:tc>
          <w:tcPr>
            <w:tcW w:type="dxa" w:w="2608"/>
            <w:vAlign w:val="top"/>
            <w:shd w:val="clear" w:color="auto" w:fill="FDF0F7"/>
          </w:tcPr>
          <w:p>
            <w:pPr>
              <w:spacing w:after="20" w:line="252" w:lineRule="auto"/>
            </w:pPr>
            <w:r>
              <w:rPr>
                <w:b w:val="0"/>
                <w:i w:val="0"/>
                <w:sz w:val="16"/>
              </w:rPr>
              <w:t>Exercisable after hypercare</w:t>
            </w:r>
          </w:p>
        </w:tc>
      </w:tr>
      <w:tr>
        <w:trPr>
          <w:cantSplit/>
        </w:trPr>
        <w:tc>
          <w:tcPr>
            <w:tcW w:type="dxa" w:w="1701"/>
            <w:vAlign w:val="top"/>
          </w:tcPr>
          <w:p>
            <w:pPr>
              <w:spacing w:after="20" w:line="252" w:lineRule="auto"/>
            </w:pPr>
            <w:r>
              <w:rPr>
                <w:b/>
                <w:i w:val="0"/>
                <w:sz w:val="16"/>
              </w:rPr>
              <w:t>iorta fees, five years</w:t>
            </w:r>
          </w:p>
        </w:tc>
        <w:tc>
          <w:tcPr>
            <w:tcW w:type="dxa" w:w="2665"/>
            <w:vAlign w:val="top"/>
          </w:tcPr>
          <w:p>
            <w:pPr>
              <w:spacing w:after="20" w:line="252" w:lineRule="auto"/>
            </w:pPr>
            <w:r>
              <w:rPr>
                <w:b/>
                <w:i w:val="0"/>
                <w:sz w:val="16"/>
              </w:rPr>
              <w:t>B$ 351,230</w:t>
            </w:r>
          </w:p>
        </w:tc>
        <w:tc>
          <w:tcPr>
            <w:tcW w:type="dxa" w:w="2665"/>
            <w:vAlign w:val="top"/>
          </w:tcPr>
          <w:p>
            <w:pPr>
              <w:spacing w:after="20" w:line="252" w:lineRule="auto"/>
            </w:pPr>
            <w:r>
              <w:rPr>
                <w:b/>
                <w:i w:val="0"/>
                <w:sz w:val="16"/>
              </w:rPr>
              <w:t>B$ 443,404</w:t>
            </w:r>
          </w:p>
        </w:tc>
        <w:tc>
          <w:tcPr>
            <w:tcW w:type="dxa" w:w="2608"/>
            <w:vAlign w:val="top"/>
          </w:tcPr>
          <w:p>
            <w:pPr>
              <w:spacing w:after="20" w:line="252" w:lineRule="auto"/>
            </w:pPr>
            <w:r>
              <w:rPr>
                <w:b w:val="0"/>
                <w:i w:val="0"/>
                <w:sz w:val="16"/>
              </w:rPr>
              <w:t>Add-on to A, or to B on conversion</w:t>
            </w:r>
          </w:p>
        </w:tc>
      </w:tr>
      <w:tr>
        <w:trPr>
          <w:cantSplit/>
        </w:trPr>
        <w:tc>
          <w:tcPr>
            <w:tcW w:type="dxa" w:w="1701"/>
            <w:vAlign w:val="top"/>
            <w:shd w:val="clear" w:color="auto" w:fill="FDF0F7"/>
          </w:tcPr>
          <w:p>
            <w:pPr>
              <w:spacing w:after="20" w:line="252" w:lineRule="auto"/>
            </w:pPr>
            <w:r>
              <w:rPr>
                <w:b/>
                <w:i w:val="0"/>
                <w:sz w:val="16"/>
              </w:rPr>
              <w:t>Five-year total with OPE and cloud estimates</w:t>
            </w:r>
          </w:p>
        </w:tc>
        <w:tc>
          <w:tcPr>
            <w:tcW w:type="dxa" w:w="2665"/>
            <w:vAlign w:val="top"/>
            <w:shd w:val="clear" w:color="auto" w:fill="FDF0F7"/>
          </w:tcPr>
          <w:p>
            <w:pPr>
              <w:spacing w:after="20" w:line="252" w:lineRule="auto"/>
            </w:pPr>
            <w:r>
              <w:rPr>
                <w:b/>
                <w:i w:val="0"/>
                <w:sz w:val="16"/>
              </w:rPr>
              <w:t>B$ 382,670</w:t>
            </w:r>
          </w:p>
          <w:p>
            <w:pPr>
              <w:spacing w:after="20" w:line="252" w:lineRule="auto"/>
            </w:pPr>
            <w:r>
              <w:rPr>
                <w:b w:val="0"/>
                <w:i w:val="0"/>
                <w:sz w:val="16"/>
              </w:rPr>
              <w:t>USD 294,362</w:t>
            </w:r>
          </w:p>
        </w:tc>
        <w:tc>
          <w:tcPr>
            <w:tcW w:type="dxa" w:w="2665"/>
            <w:vAlign w:val="top"/>
            <w:shd w:val="clear" w:color="auto" w:fill="FDF0F7"/>
          </w:tcPr>
          <w:p>
            <w:pPr>
              <w:spacing w:after="20" w:line="252" w:lineRule="auto"/>
            </w:pPr>
            <w:r>
              <w:rPr>
                <w:b/>
                <w:i w:val="0"/>
                <w:sz w:val="16"/>
              </w:rPr>
              <w:t>B$ 556,144</w:t>
            </w:r>
          </w:p>
          <w:p>
            <w:pPr>
              <w:spacing w:after="20" w:line="252" w:lineRule="auto"/>
            </w:pPr>
            <w:r>
              <w:rPr>
                <w:b w:val="0"/>
                <w:i w:val="0"/>
                <w:sz w:val="16"/>
              </w:rPr>
              <w:t>USD 427,803</w:t>
            </w:r>
          </w:p>
        </w:tc>
        <w:tc>
          <w:tcPr>
            <w:tcW w:type="dxa" w:w="2608"/>
            <w:vAlign w:val="top"/>
            <w:shd w:val="clear" w:color="auto" w:fill="FDF0F7"/>
          </w:tcPr>
          <w:p>
            <w:pPr>
              <w:spacing w:after="20" w:line="252" w:lineRule="auto"/>
            </w:pPr>
            <w:r>
              <w:rPr>
                <w:b w:val="0"/>
                <w:i w:val="0"/>
                <w:sz w:val="16"/>
              </w:rPr>
              <w:t>+ B$ 88,000 and OPE B$ 8,070</w:t>
            </w:r>
          </w:p>
        </w:tc>
      </w:tr>
    </w:tbl>
    <w:p>
      <w:pPr>
        <w:pStyle w:val="Caption"/>
        <w:jc w:val="center"/>
      </w:pPr>
      <w:r>
        <w:rPr>
          <w:b w:val="0"/>
          <w:i w:val="0"/>
        </w:rPr>
        <w:t>Table 33: Commercial options at a glance (B$)</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Recommendation: Option A, with the Option C decision taken after go-live</w:t>
            </w:r>
          </w:p>
          <w:p>
            <w:pPr>
              <w:spacing w:after="40"/>
            </w:pPr>
            <w:r>
              <w:rPr>
                <w:b/>
                <w:i w:val="0"/>
                <w:sz w:val="19"/>
              </w:rPr>
              <w:t>Data stays in Brunei.</w:t>
            </w:r>
            <w:r>
              <w:rPr>
                <w:b w:val="0"/>
                <w:i w:val="0"/>
                <w:sz w:val="19"/>
              </w:rPr>
              <w:t xml:space="preserve"> The solution runs in the IITH data centre next to IIFT's core and finance systems, under IITH's existing security and DR arrangements; no cloud outsourcing notification to AMBD is needed.</w:t>
            </w:r>
          </w:p>
          <w:p>
            <w:pPr>
              <w:spacing w:after="40"/>
            </w:pPr>
            <w:r>
              <w:rPr>
                <w:b/>
                <w:i w:val="0"/>
                <w:sz w:val="19"/>
              </w:rPr>
              <w:t>Lowest five-year cost.</w:t>
            </w:r>
            <w:r>
              <w:rPr>
                <w:b w:val="0"/>
                <w:i w:val="0"/>
                <w:sz w:val="19"/>
              </w:rPr>
              <w:t xml:space="preserve"> B$ 382,670 against B$ 556,144 for Option B, a difference of B$ 173,474 (31%). Even with IIFT's own infrastructure added (indicative B$ 20,500–42,000), Option A is the cheaper option from Year 2.</w:t>
            </w:r>
          </w:p>
          <w:p>
            <w:pPr>
              <w:spacing w:after="40"/>
            </w:pPr>
            <w:r>
              <w:rPr>
                <w:b/>
                <w:i w:val="0"/>
                <w:sz w:val="19"/>
              </w:rPr>
              <w:t>IIFT owns a perpetual licence.</w:t>
            </w:r>
            <w:r>
              <w:rPr>
                <w:b w:val="0"/>
                <w:i w:val="0"/>
                <w:sz w:val="19"/>
              </w:rPr>
              <w:t xml:space="preserve"> After go-live IIFT can take the platform source code (Option C) and replace the AMC with the 10% L3 support, or keep the full AMC.</w:t>
            </w:r>
          </w:p>
          <w:p>
            <w:pPr>
              <w:spacing w:after="40"/>
            </w:pPr>
            <w:r>
              <w:rPr>
                <w:b/>
                <w:i w:val="0"/>
                <w:sz w:val="19"/>
              </w:rPr>
              <w:t>Option B</w:t>
            </w:r>
            <w:r>
              <w:rPr>
                <w:b w:val="0"/>
                <w:i w:val="0"/>
                <w:sz w:val="19"/>
              </w:rPr>
              <w:t xml:space="preserve"> suits IIFT if it prefers a lower upfront payment (B$ 145,000 instead of B$ 178,000) and an operating-expense model with iorta running the infrastructure. It can be converted to Option A during the term.</w:t>
            </w:r>
          </w:p>
        </w:tc>
      </w:tr>
    </w:tbl>
    <w:p>
      <w:pPr>
        <w:spacing w:after="0" w:before="0"/>
      </w:pPr>
      <w:r>
        <w:rPr>
          <w:sz w:val="12"/>
        </w:rPr>
      </w:r>
    </w:p>
    <w:p>
      <w:pPr>
        <w:pStyle w:val="Heading3"/>
      </w:pPr>
      <w:r>
        <w:t>Fee basis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7257"/>
      </w:tblGrid>
      <w:tr>
        <w:trPr>
          <w:cantSplit/>
        </w:trPr>
        <w:tc>
          <w:tcPr>
            <w:tcW w:type="dxa" w:w="2381"/>
            <w:shd w:val="clear" w:color="auto" w:fill="FDF0F7"/>
          </w:tcPr>
          <w:p>
            <w:pPr>
              <w:spacing w:after="20"/>
            </w:pPr>
            <w:r>
              <w:rPr>
                <w:b/>
                <w:i w:val="0"/>
                <w:sz w:val="18"/>
              </w:rPr>
              <w:t>Currency</w:t>
            </w:r>
          </w:p>
        </w:tc>
        <w:tc>
          <w:tcPr>
            <w:tcW w:type="dxa" w:w="7257"/>
          </w:tcPr>
          <w:p>
            <w:pPr>
              <w:spacing w:after="20"/>
            </w:pPr>
            <w:r>
              <w:rPr>
                <w:b w:val="0"/>
                <w:i w:val="0"/>
                <w:sz w:val="18"/>
              </w:rPr>
              <w:t>Brunei Dollars (B$). USD amounts are indicative at USD 1 = B$ 1.30, rounded to the nearest dollar; the B$ amounts are binding.</w:t>
            </w:r>
          </w:p>
        </w:tc>
      </w:tr>
      <w:tr>
        <w:trPr>
          <w:cantSplit/>
        </w:trPr>
        <w:tc>
          <w:tcPr>
            <w:tcW w:type="dxa" w:w="2381"/>
            <w:shd w:val="clear" w:color="auto" w:fill="FDF0F7"/>
          </w:tcPr>
          <w:p>
            <w:pPr>
              <w:spacing w:after="20"/>
            </w:pPr>
            <w:r>
              <w:rPr>
                <w:b/>
                <w:i w:val="0"/>
                <w:sz w:val="18"/>
              </w:rPr>
              <w:t>Withholding tax (WHT)</w:t>
            </w:r>
          </w:p>
        </w:tc>
        <w:tc>
          <w:tcPr>
            <w:tcW w:type="dxa" w:w="7257"/>
          </w:tcPr>
          <w:p>
            <w:pPr>
              <w:spacing w:after="20"/>
            </w:pPr>
            <w:r>
              <w:rPr>
                <w:b/>
                <w:i w:val="0"/>
                <w:sz w:val="18"/>
              </w:rPr>
              <w:t>Inclusive.</w:t>
            </w:r>
            <w:r>
              <w:rPr>
                <w:b w:val="0"/>
                <w:i w:val="0"/>
                <w:sz w:val="18"/>
              </w:rPr>
              <w:t xml:space="preserve"> Where Brunei law requires IIFT to withhold tax from iorta's fees, IIFT deducts and remits it and pays the balance. iorta bears the tax; invoices are not grossed up. Cloud infrastructure and OPE are not fees: they are recharged at cost as disbursements with the provider and travel invoices attached.</w:t>
            </w:r>
          </w:p>
        </w:tc>
      </w:tr>
      <w:tr>
        <w:trPr>
          <w:cantSplit/>
        </w:trPr>
        <w:tc>
          <w:tcPr>
            <w:tcW w:type="dxa" w:w="2381"/>
            <w:shd w:val="clear" w:color="auto" w:fill="FDF0F7"/>
          </w:tcPr>
          <w:p>
            <w:pPr>
              <w:spacing w:after="20"/>
            </w:pPr>
            <w:r>
              <w:rPr>
                <w:b/>
                <w:i w:val="0"/>
                <w:sz w:val="18"/>
              </w:rPr>
              <w:t>Out-of-pocket expenses (OPE)</w:t>
            </w:r>
          </w:p>
        </w:tc>
        <w:tc>
          <w:tcPr>
            <w:tcW w:type="dxa" w:w="7257"/>
          </w:tcPr>
          <w:p>
            <w:pPr>
              <w:spacing w:after="20"/>
            </w:pPr>
            <w:r>
              <w:rPr>
                <w:b/>
                <w:i w:val="0"/>
                <w:sz w:val="18"/>
              </w:rPr>
              <w:t>Exclusive.</w:t>
            </w:r>
            <w:r>
              <w:rPr>
                <w:b w:val="0"/>
                <w:i w:val="0"/>
                <w:sz w:val="18"/>
              </w:rPr>
              <w:t xml:space="preserve"> Recharged at cost as disbursements for the onsite phases in Section 19.8, with the per diem fixed at USD 50 (B$ 65) a day. Estimate B$ 31,440, plus B$ 8,070 if Option C is taken.</w:t>
            </w:r>
          </w:p>
        </w:tc>
      </w:tr>
      <w:tr>
        <w:trPr>
          <w:cantSplit/>
        </w:trPr>
        <w:tc>
          <w:tcPr>
            <w:tcW w:type="dxa" w:w="2381"/>
            <w:shd w:val="clear" w:color="auto" w:fill="FDF0F7"/>
          </w:tcPr>
          <w:p>
            <w:pPr>
              <w:spacing w:after="20"/>
            </w:pPr>
            <w:r>
              <w:rPr>
                <w:b/>
                <w:i w:val="0"/>
                <w:sz w:val="18"/>
              </w:rPr>
              <w:t>Third-party charges</w:t>
            </w:r>
          </w:p>
        </w:tc>
        <w:tc>
          <w:tcPr>
            <w:tcW w:type="dxa" w:w="7257"/>
          </w:tcPr>
          <w:p>
            <w:pPr>
              <w:spacing w:after="20"/>
            </w:pPr>
            <w:r>
              <w:rPr>
                <w:b/>
                <w:i w:val="0"/>
                <w:sz w:val="18"/>
              </w:rPr>
              <w:t>Exclusive.</w:t>
            </w:r>
            <w:r>
              <w:rPr>
                <w:b w:val="0"/>
                <w:i w:val="0"/>
                <w:sz w:val="18"/>
              </w:rPr>
              <w:t xml:space="preserve"> SMS, AML data service, certificates, e-mail relay and optional items are listed in the Bill of Materials (Section 19.9) and are paid by IIFT or passed through at cost without mark-up.</w:t>
            </w:r>
          </w:p>
        </w:tc>
      </w:tr>
      <w:tr>
        <w:trPr>
          <w:cantSplit/>
        </w:trPr>
        <w:tc>
          <w:tcPr>
            <w:tcW w:type="dxa" w:w="2381"/>
            <w:shd w:val="clear" w:color="auto" w:fill="FDF0F7"/>
          </w:tcPr>
          <w:p>
            <w:pPr>
              <w:spacing w:after="20"/>
            </w:pPr>
            <w:r>
              <w:rPr>
                <w:b/>
                <w:i w:val="0"/>
                <w:sz w:val="18"/>
              </w:rPr>
              <w:t>Infrastructure</w:t>
            </w:r>
          </w:p>
        </w:tc>
        <w:tc>
          <w:tcPr>
            <w:tcW w:type="dxa" w:w="7257"/>
          </w:tcPr>
          <w:p>
            <w:pPr>
              <w:spacing w:after="20"/>
            </w:pPr>
            <w:r>
              <w:rPr>
                <w:b/>
                <w:i w:val="0"/>
                <w:sz w:val="18"/>
              </w:rPr>
              <w:t>Exclusive.</w:t>
            </w:r>
            <w:r>
              <w:rPr>
                <w:b w:val="0"/>
                <w:i w:val="0"/>
                <w:sz w:val="18"/>
              </w:rPr>
              <w:t xml:space="preserve"> Option A: IIFT procures servers, storage, OS and network to iorta's sizing. Option B: cloud infrastructure is recharged at the provider's cost as a disbursement with no mark-up, or IIFT holds the cloud account in its own name and pays the provider directly. The one-off cloud set-up and iorta's managed services are fixed fees.</w:t>
            </w:r>
          </w:p>
        </w:tc>
      </w:tr>
      <w:tr>
        <w:trPr>
          <w:cantSplit/>
        </w:trPr>
        <w:tc>
          <w:tcPr>
            <w:tcW w:type="dxa" w:w="2381"/>
            <w:shd w:val="clear" w:color="auto" w:fill="FDF0F7"/>
          </w:tcPr>
          <w:p>
            <w:pPr>
              <w:spacing w:after="20"/>
            </w:pPr>
            <w:r>
              <w:rPr>
                <w:b/>
                <w:i w:val="0"/>
                <w:sz w:val="18"/>
              </w:rPr>
              <w:t>Indirect taxes</w:t>
            </w:r>
          </w:p>
        </w:tc>
        <w:tc>
          <w:tcPr>
            <w:tcW w:type="dxa" w:w="7257"/>
          </w:tcPr>
          <w:p>
            <w:pPr>
              <w:spacing w:after="20"/>
            </w:pPr>
            <w:r>
              <w:rPr>
                <w:b w:val="0"/>
                <w:i w:val="0"/>
                <w:sz w:val="18"/>
              </w:rPr>
              <w:t>Brunei Darussalam has no GST or VAT at present. If an indirect tax is introduced, it is added to invoices at the statutory rate.</w:t>
            </w:r>
          </w:p>
        </w:tc>
      </w:tr>
      <w:tr>
        <w:trPr>
          <w:cantSplit/>
        </w:trPr>
        <w:tc>
          <w:tcPr>
            <w:tcW w:type="dxa" w:w="2381"/>
            <w:shd w:val="clear" w:color="auto" w:fill="FDF0F7"/>
          </w:tcPr>
          <w:p>
            <w:pPr>
              <w:spacing w:after="20"/>
            </w:pPr>
            <w:r>
              <w:rPr>
                <w:b/>
                <w:i w:val="0"/>
                <w:sz w:val="18"/>
              </w:rPr>
              <w:t>Price basis</w:t>
            </w:r>
          </w:p>
        </w:tc>
        <w:tc>
          <w:tcPr>
            <w:tcW w:type="dxa" w:w="7257"/>
          </w:tcPr>
          <w:p>
            <w:pPr>
              <w:spacing w:after="20"/>
            </w:pPr>
            <w:r>
              <w:rPr>
                <w:b w:val="0"/>
                <w:i w:val="0"/>
                <w:sz w:val="18"/>
              </w:rPr>
              <w:t>One-time fees are fixed prices for the scope of this proposal. Recurring fees rise by 5% a year, which is also the cap (COM-18).</w:t>
            </w:r>
          </w:p>
        </w:tc>
      </w:tr>
    </w:tbl>
    <w:p>
      <w:pPr>
        <w:pStyle w:val="Caption"/>
        <w:jc w:val="center"/>
      </w:pPr>
      <w:r>
        <w:rPr>
          <w:b w:val="0"/>
          <w:i w:val="0"/>
        </w:rPr>
        <w:t>Table 34: What the fees include and exclude</w:t>
      </w:r>
    </w:p>
    <w:p>
      <w:pPr>
        <w:pStyle w:val="Heading2"/>
      </w:pPr>
      <w:r>
        <w:t>19.2 Fees in IIFT's requested format</w:t>
      </w:r>
    </w:p>
    <w:p>
      <w:pPr>
        <w:keepNext w:val="0"/>
      </w:pPr>
      <w:r>
        <w:rPr>
          <w:b w:val="0"/>
          <w:i w:val="0"/>
        </w:rPr>
        <w:t>The tables follow the format in the RFP (Description, Fee, WHT, OPE, Total). Agent/Banca Portal and Back-office solution are the two modules of SalesVerse 2.0, and every fee is split between them. Amounts in B$ with indicative USD.</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Fee statement</w:t>
            </w:r>
          </w:p>
          <w:p>
            <w:pPr>
              <w:spacing w:after="40"/>
            </w:pPr>
            <w:r>
              <w:rPr>
                <w:b w:val="0"/>
                <w:i w:val="0"/>
                <w:sz w:val="19"/>
              </w:rPr>
              <w:t xml:space="preserve">All fees are </w:t>
            </w:r>
            <w:r>
              <w:rPr>
                <w:b/>
                <w:i w:val="0"/>
                <w:sz w:val="19"/>
              </w:rPr>
              <w:t>inclusive of WHT</w:t>
            </w:r>
            <w:r>
              <w:rPr>
                <w:b w:val="0"/>
                <w:i w:val="0"/>
                <w:sz w:val="19"/>
              </w:rPr>
              <w:t xml:space="preserve">, </w:t>
            </w:r>
            <w:r>
              <w:rPr>
                <w:b/>
                <w:i w:val="0"/>
                <w:sz w:val="19"/>
              </w:rPr>
              <w:t>exclusive of OPE</w:t>
            </w:r>
            <w:r>
              <w:rPr>
                <w:b w:val="0"/>
                <w:i w:val="0"/>
                <w:sz w:val="19"/>
              </w:rPr>
              <w:t xml:space="preserve"> (recharged at cost as disbursements; estimates shown) and </w:t>
            </w:r>
            <w:r>
              <w:rPr>
                <w:b/>
                <w:i w:val="0"/>
                <w:sz w:val="19"/>
              </w:rPr>
              <w:t>exclusive of third-party charges and infrastructure</w:t>
            </w:r>
            <w:r>
              <w:rPr>
                <w:b w:val="0"/>
                <w:i w:val="0"/>
                <w:sz w:val="19"/>
              </w:rPr>
              <w:t xml:space="preserve"> (listed in the Bill of Materials).</w:t>
            </w:r>
          </w:p>
        </w:tc>
      </w:tr>
    </w:tbl>
    <w:p>
      <w:pPr>
        <w:spacing w:after="0" w:before="0"/>
      </w:pPr>
      <w:r>
        <w:rPr>
          <w:sz w:val="12"/>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1077"/>
        <w:gridCol w:w="1020"/>
        <w:gridCol w:w="963"/>
        <w:gridCol w:w="907"/>
        <w:gridCol w:w="1247"/>
        <w:gridCol w:w="1247"/>
      </w:tblGrid>
      <w:tr>
        <w:trPr>
          <w:cantSplit/>
          <w:tblHeader/>
        </w:trPr>
        <w:tc>
          <w:tcPr>
            <w:tcW w:type="dxa" w:w="3175"/>
            <w:shd w:val="clear" w:color="auto" w:fill="E1058C"/>
            <w:vAlign w:val="center"/>
          </w:tcPr>
          <w:p>
            <w:pPr>
              <w:spacing w:after="0"/>
            </w:pPr>
            <w:r>
              <w:rPr>
                <w:b/>
                <w:i w:val="0"/>
                <w:color w:val="FFFFFF"/>
                <w:sz w:val="16"/>
              </w:rPr>
              <w:t>Description</w:t>
            </w:r>
          </w:p>
        </w:tc>
        <w:tc>
          <w:tcPr>
            <w:tcW w:type="dxa" w:w="1077"/>
            <w:shd w:val="clear" w:color="auto" w:fill="E1058C"/>
            <w:vAlign w:val="center"/>
          </w:tcPr>
          <w:p>
            <w:pPr>
              <w:spacing w:after="0"/>
            </w:pPr>
            <w:r>
              <w:rPr>
                <w:b/>
                <w:i w:val="0"/>
                <w:color w:val="FFFFFF"/>
                <w:sz w:val="16"/>
              </w:rPr>
              <w:t>Fee (B$)</w:t>
            </w:r>
          </w:p>
        </w:tc>
        <w:tc>
          <w:tcPr>
            <w:tcW w:type="dxa" w:w="1020"/>
            <w:shd w:val="clear" w:color="auto" w:fill="E1058C"/>
            <w:vAlign w:val="center"/>
          </w:tcPr>
          <w:p>
            <w:pPr>
              <w:spacing w:after="0"/>
            </w:pPr>
            <w:r>
              <w:rPr>
                <w:b/>
                <w:i w:val="0"/>
                <w:color w:val="FFFFFF"/>
                <w:sz w:val="16"/>
              </w:rPr>
              <w:t>Fee (USD)</w:t>
            </w:r>
          </w:p>
        </w:tc>
        <w:tc>
          <w:tcPr>
            <w:tcW w:type="dxa" w:w="964"/>
            <w:shd w:val="clear" w:color="auto" w:fill="E1058C"/>
            <w:vAlign w:val="center"/>
          </w:tcPr>
          <w:p>
            <w:pPr>
              <w:spacing w:after="0"/>
            </w:pPr>
            <w:r>
              <w:rPr>
                <w:b/>
                <w:i w:val="0"/>
                <w:color w:val="FFFFFF"/>
                <w:sz w:val="16"/>
              </w:rPr>
              <w:t>WHT</w:t>
            </w:r>
          </w:p>
        </w:tc>
        <w:tc>
          <w:tcPr>
            <w:tcW w:type="dxa" w:w="907"/>
            <w:shd w:val="clear" w:color="auto" w:fill="E1058C"/>
            <w:vAlign w:val="center"/>
          </w:tcPr>
          <w:p>
            <w:pPr>
              <w:spacing w:after="0"/>
            </w:pPr>
            <w:r>
              <w:rPr>
                <w:b/>
                <w:i w:val="0"/>
                <w:color w:val="FFFFFF"/>
                <w:sz w:val="16"/>
              </w:rPr>
              <w:t>OPE</w:t>
            </w:r>
          </w:p>
        </w:tc>
        <w:tc>
          <w:tcPr>
            <w:tcW w:type="dxa" w:w="1247"/>
            <w:shd w:val="clear" w:color="auto" w:fill="E1058C"/>
            <w:vAlign w:val="center"/>
          </w:tcPr>
          <w:p>
            <w:pPr>
              <w:spacing w:after="0"/>
            </w:pPr>
            <w:r>
              <w:rPr>
                <w:b/>
                <w:i w:val="0"/>
                <w:color w:val="FFFFFF"/>
                <w:sz w:val="16"/>
              </w:rPr>
              <w:t>Total (B$)</w:t>
            </w:r>
          </w:p>
        </w:tc>
        <w:tc>
          <w:tcPr>
            <w:tcW w:type="dxa" w:w="1247"/>
            <w:shd w:val="clear" w:color="auto" w:fill="E1058C"/>
            <w:vAlign w:val="center"/>
          </w:tcPr>
          <w:p>
            <w:pPr>
              <w:spacing w:after="0"/>
            </w:pPr>
            <w:r>
              <w:rPr>
                <w:b/>
                <w:i w:val="0"/>
                <w:color w:val="FFFFFF"/>
                <w:sz w:val="16"/>
              </w:rPr>
              <w:t>Total (USD)</w:t>
            </w:r>
          </w:p>
        </w:tc>
      </w:tr>
      <w:tr>
        <w:trPr>
          <w:cantSplit/>
        </w:trPr>
        <w:tc>
          <w:tcPr>
            <w:tcW w:type="dxa" w:w="1247"/>
            <w:gridSpan w:val="7"/>
            <w:shd w:val="clear" w:color="auto" w:fill="FEEBDD"/>
          </w:tcPr>
          <w:p>
            <w:pPr>
              <w:spacing w:after="0"/>
            </w:pPr>
            <w:r>
              <w:rPr>
                <w:b/>
                <w:i w:val="0"/>
                <w:color w:val="333333"/>
                <w:sz w:val="16"/>
              </w:rPr>
              <w:t>One-time fees (licence and services)</w:t>
            </w:r>
          </w:p>
        </w:tc>
      </w:tr>
      <w:tr>
        <w:trPr>
          <w:cantSplit/>
        </w:trPr>
        <w:tc>
          <w:tcPr>
            <w:tcW w:type="dxa" w:w="3175"/>
            <w:vAlign w:val="top"/>
          </w:tcPr>
          <w:p>
            <w:pPr>
              <w:spacing w:after="20" w:line="252" w:lineRule="auto"/>
            </w:pPr>
            <w:r>
              <w:rPr>
                <w:b w:val="0"/>
                <w:i w:val="0"/>
                <w:sz w:val="16"/>
              </w:rPr>
              <w:t>Agent/Banca Portal</w:t>
            </w:r>
          </w:p>
        </w:tc>
        <w:tc>
          <w:tcPr>
            <w:tcW w:type="dxa" w:w="1077"/>
            <w:vAlign w:val="top"/>
          </w:tcPr>
          <w:p>
            <w:pPr>
              <w:spacing w:after="20" w:line="252" w:lineRule="auto"/>
              <w:jc w:val="right"/>
            </w:pPr>
            <w:r>
              <w:rPr>
                <w:b w:val="0"/>
                <w:i w:val="0"/>
                <w:sz w:val="16"/>
              </w:rPr>
              <w:t>97,500</w:t>
            </w:r>
          </w:p>
        </w:tc>
        <w:tc>
          <w:tcPr>
            <w:tcW w:type="dxa" w:w="1020"/>
            <w:vAlign w:val="top"/>
          </w:tcPr>
          <w:p>
            <w:pPr>
              <w:spacing w:after="20" w:line="252" w:lineRule="auto"/>
              <w:jc w:val="right"/>
            </w:pPr>
            <w:r>
              <w:rPr>
                <w:b w:val="0"/>
                <w:i w:val="0"/>
                <w:sz w:val="16"/>
              </w:rPr>
              <w:t>75,000</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97,500</w:t>
            </w:r>
          </w:p>
        </w:tc>
        <w:tc>
          <w:tcPr>
            <w:tcW w:type="dxa" w:w="1247"/>
            <w:vAlign w:val="top"/>
          </w:tcPr>
          <w:p>
            <w:pPr>
              <w:spacing w:after="20" w:line="252" w:lineRule="auto"/>
              <w:jc w:val="right"/>
            </w:pPr>
            <w:r>
              <w:rPr>
                <w:b w:val="0"/>
                <w:i w:val="0"/>
                <w:sz w:val="16"/>
              </w:rPr>
              <w:t>75,000</w:t>
            </w:r>
          </w:p>
        </w:tc>
      </w:tr>
      <w:tr>
        <w:trPr>
          <w:cantSplit/>
        </w:trPr>
        <w:tc>
          <w:tcPr>
            <w:tcW w:type="dxa" w:w="3175"/>
            <w:vAlign w:val="top"/>
            <w:shd w:val="clear" w:color="auto" w:fill="FDF0F7"/>
          </w:tcPr>
          <w:p>
            <w:pPr>
              <w:spacing w:after="20" w:line="252" w:lineRule="auto"/>
            </w:pPr>
            <w:r>
              <w:rPr>
                <w:b w:val="0"/>
                <w:i w:val="0"/>
                <w:sz w:val="16"/>
              </w:rPr>
              <w:t>Back-office solution</w:t>
            </w:r>
          </w:p>
        </w:tc>
        <w:tc>
          <w:tcPr>
            <w:tcW w:type="dxa" w:w="1077"/>
            <w:vAlign w:val="top"/>
            <w:shd w:val="clear" w:color="auto" w:fill="FDF0F7"/>
          </w:tcPr>
          <w:p>
            <w:pPr>
              <w:spacing w:after="20" w:line="252" w:lineRule="auto"/>
              <w:jc w:val="right"/>
            </w:pPr>
            <w:r>
              <w:rPr>
                <w:b w:val="0"/>
                <w:i w:val="0"/>
                <w:sz w:val="16"/>
              </w:rPr>
              <w:t>80,500</w:t>
            </w:r>
          </w:p>
        </w:tc>
        <w:tc>
          <w:tcPr>
            <w:tcW w:type="dxa" w:w="1020"/>
            <w:vAlign w:val="top"/>
            <w:shd w:val="clear" w:color="auto" w:fill="FDF0F7"/>
          </w:tcPr>
          <w:p>
            <w:pPr>
              <w:spacing w:after="20" w:line="252" w:lineRule="auto"/>
              <w:jc w:val="right"/>
            </w:pPr>
            <w:r>
              <w:rPr>
                <w:b w:val="0"/>
                <w:i w:val="0"/>
                <w:sz w:val="16"/>
              </w:rPr>
              <w:t>61,923</w:t>
            </w:r>
          </w:p>
        </w:tc>
        <w:tc>
          <w:tcPr>
            <w:tcW w:type="dxa" w:w="964"/>
            <w:vAlign w:val="top"/>
            <w:shd w:val="clear" w:color="auto" w:fill="FDF0F7"/>
          </w:tcPr>
          <w:p>
            <w:pPr>
              <w:spacing w:after="20" w:line="252" w:lineRule="auto"/>
              <w:jc w:val="center"/>
            </w:pPr>
            <w:r>
              <w:rPr>
                <w:b w:val="0"/>
                <w:i w:val="0"/>
                <w:sz w:val="16"/>
              </w:rPr>
              <w:t>Inclusive</w:t>
            </w:r>
          </w:p>
        </w:tc>
        <w:tc>
          <w:tcPr>
            <w:tcW w:type="dxa" w:w="907"/>
            <w:vAlign w:val="top"/>
            <w:shd w:val="clear" w:color="auto" w:fill="FDF0F7"/>
          </w:tcPr>
          <w:p>
            <w:pPr>
              <w:spacing w:after="20" w:line="252" w:lineRule="auto"/>
              <w:jc w:val="right"/>
            </w:pPr>
            <w:r>
              <w:rPr>
                <w:b w:val="0"/>
                <w:i w:val="0"/>
                <w:sz w:val="16"/>
              </w:rPr>
              <w:t>Excluded</w:t>
            </w:r>
          </w:p>
        </w:tc>
        <w:tc>
          <w:tcPr>
            <w:tcW w:type="dxa" w:w="1247"/>
            <w:vAlign w:val="top"/>
            <w:shd w:val="clear" w:color="auto" w:fill="FDF0F7"/>
          </w:tcPr>
          <w:p>
            <w:pPr>
              <w:spacing w:after="20" w:line="252" w:lineRule="auto"/>
              <w:jc w:val="right"/>
            </w:pPr>
            <w:r>
              <w:rPr>
                <w:b w:val="0"/>
                <w:i w:val="0"/>
                <w:sz w:val="16"/>
              </w:rPr>
              <w:t>80,500</w:t>
            </w:r>
          </w:p>
        </w:tc>
        <w:tc>
          <w:tcPr>
            <w:tcW w:type="dxa" w:w="1247"/>
            <w:vAlign w:val="top"/>
            <w:shd w:val="clear" w:color="auto" w:fill="FDF0F7"/>
          </w:tcPr>
          <w:p>
            <w:pPr>
              <w:spacing w:after="20" w:line="252" w:lineRule="auto"/>
              <w:jc w:val="right"/>
            </w:pPr>
            <w:r>
              <w:rPr>
                <w:b w:val="0"/>
                <w:i w:val="0"/>
                <w:sz w:val="16"/>
              </w:rPr>
              <w:t>61,923</w:t>
            </w:r>
          </w:p>
        </w:tc>
      </w:tr>
      <w:tr>
        <w:trPr>
          <w:cantSplit/>
        </w:trPr>
        <w:tc>
          <w:tcPr>
            <w:tcW w:type="dxa" w:w="3175"/>
            <w:vAlign w:val="top"/>
            <w:shd w:val="clear" w:color="auto" w:fill="FEEBDD"/>
          </w:tcPr>
          <w:p>
            <w:pPr>
              <w:spacing w:after="20" w:line="252" w:lineRule="auto"/>
            </w:pPr>
            <w:r>
              <w:rPr>
                <w:b/>
                <w:i w:val="0"/>
                <w:sz w:val="16"/>
              </w:rPr>
              <w:t>Total one-time fees</w:t>
            </w:r>
          </w:p>
        </w:tc>
        <w:tc>
          <w:tcPr>
            <w:tcW w:type="dxa" w:w="1077"/>
            <w:vAlign w:val="top"/>
            <w:shd w:val="clear" w:color="auto" w:fill="FEEBDD"/>
          </w:tcPr>
          <w:p>
            <w:pPr>
              <w:spacing w:after="20" w:line="252" w:lineRule="auto"/>
              <w:jc w:val="right"/>
            </w:pPr>
            <w:r>
              <w:rPr>
                <w:b/>
                <w:i w:val="0"/>
                <w:sz w:val="16"/>
              </w:rPr>
              <w:t>178,000</w:t>
            </w:r>
          </w:p>
        </w:tc>
        <w:tc>
          <w:tcPr>
            <w:tcW w:type="dxa" w:w="1020"/>
            <w:vAlign w:val="top"/>
            <w:shd w:val="clear" w:color="auto" w:fill="FEEBDD"/>
          </w:tcPr>
          <w:p>
            <w:pPr>
              <w:spacing w:after="20" w:line="252" w:lineRule="auto"/>
              <w:jc w:val="right"/>
            </w:pPr>
            <w:r>
              <w:rPr>
                <w:b/>
                <w:i w:val="0"/>
                <w:sz w:val="16"/>
              </w:rPr>
              <w:t>136,923</w:t>
            </w:r>
          </w:p>
        </w:tc>
        <w:tc>
          <w:tcPr>
            <w:tcW w:type="dxa" w:w="964"/>
            <w:vAlign w:val="top"/>
            <w:shd w:val="clear" w:color="auto" w:fill="FEEBDD"/>
          </w:tcPr>
          <w:p>
            <w:pPr>
              <w:spacing w:after="20" w:line="252" w:lineRule="auto"/>
              <w:jc w:val="center"/>
            </w:pPr>
            <w:r>
              <w:rPr>
                <w:b/>
                <w:i w:val="0"/>
                <w:sz w:val="16"/>
              </w:rPr>
              <w:t>Inclusive</w:t>
            </w:r>
          </w:p>
        </w:tc>
        <w:tc>
          <w:tcPr>
            <w:tcW w:type="dxa" w:w="907"/>
            <w:vAlign w:val="top"/>
            <w:shd w:val="clear" w:color="auto" w:fill="FEEBDD"/>
          </w:tcPr>
          <w:p>
            <w:pPr>
              <w:spacing w:after="20" w:line="252" w:lineRule="auto"/>
              <w:jc w:val="right"/>
            </w:pPr>
            <w:r>
              <w:rPr>
                <w:b/>
                <w:i w:val="0"/>
                <w:sz w:val="16"/>
              </w:rPr>
              <w:t>Excluded</w:t>
            </w:r>
          </w:p>
        </w:tc>
        <w:tc>
          <w:tcPr>
            <w:tcW w:type="dxa" w:w="1247"/>
            <w:vAlign w:val="top"/>
            <w:shd w:val="clear" w:color="auto" w:fill="FEEBDD"/>
          </w:tcPr>
          <w:p>
            <w:pPr>
              <w:spacing w:after="20" w:line="252" w:lineRule="auto"/>
              <w:jc w:val="right"/>
            </w:pPr>
            <w:r>
              <w:rPr>
                <w:b/>
                <w:i w:val="0"/>
                <w:sz w:val="16"/>
              </w:rPr>
              <w:t>178,000</w:t>
            </w:r>
          </w:p>
        </w:tc>
        <w:tc>
          <w:tcPr>
            <w:tcW w:type="dxa" w:w="1247"/>
            <w:vAlign w:val="top"/>
            <w:shd w:val="clear" w:color="auto" w:fill="FEEBDD"/>
          </w:tcPr>
          <w:p>
            <w:pPr>
              <w:spacing w:after="20" w:line="252" w:lineRule="auto"/>
              <w:jc w:val="right"/>
            </w:pPr>
            <w:r>
              <w:rPr>
                <w:b/>
                <w:i w:val="0"/>
                <w:sz w:val="16"/>
              </w:rPr>
              <w:t>136,923</w:t>
            </w:r>
          </w:p>
        </w:tc>
      </w:tr>
      <w:tr>
        <w:trPr>
          <w:cantSplit/>
        </w:trPr>
        <w:tc>
          <w:tcPr>
            <w:tcW w:type="dxa" w:w="1247"/>
            <w:gridSpan w:val="7"/>
            <w:shd w:val="clear" w:color="auto" w:fill="FEEBDD"/>
          </w:tcPr>
          <w:p>
            <w:pPr>
              <w:spacing w:after="0"/>
            </w:pPr>
            <w:r>
              <w:rPr>
                <w:b/>
                <w:i w:val="0"/>
                <w:color w:val="333333"/>
                <w:sz w:val="16"/>
              </w:rPr>
              <w:t>Annual maintenance (AMC), Year 1 – 22% of licence and customisation, +5% a year</w:t>
            </w:r>
          </w:p>
        </w:tc>
      </w:tr>
      <w:tr>
        <w:trPr>
          <w:cantSplit/>
        </w:trPr>
        <w:tc>
          <w:tcPr>
            <w:tcW w:type="dxa" w:w="3175"/>
            <w:vAlign w:val="top"/>
          </w:tcPr>
          <w:p>
            <w:pPr>
              <w:spacing w:after="20" w:line="252" w:lineRule="auto"/>
            </w:pPr>
            <w:r>
              <w:rPr>
                <w:b w:val="0"/>
                <w:i w:val="0"/>
                <w:sz w:val="16"/>
              </w:rPr>
              <w:t>Agent/Banca Portal</w:t>
            </w:r>
          </w:p>
        </w:tc>
        <w:tc>
          <w:tcPr>
            <w:tcW w:type="dxa" w:w="1077"/>
            <w:vAlign w:val="top"/>
          </w:tcPr>
          <w:p>
            <w:pPr>
              <w:spacing w:after="20" w:line="252" w:lineRule="auto"/>
              <w:jc w:val="right"/>
            </w:pPr>
            <w:r>
              <w:rPr>
                <w:b w:val="0"/>
                <w:i w:val="0"/>
                <w:sz w:val="16"/>
              </w:rPr>
              <w:t>17,490</w:t>
            </w:r>
          </w:p>
        </w:tc>
        <w:tc>
          <w:tcPr>
            <w:tcW w:type="dxa" w:w="1020"/>
            <w:vAlign w:val="top"/>
          </w:tcPr>
          <w:p>
            <w:pPr>
              <w:spacing w:after="20" w:line="252" w:lineRule="auto"/>
              <w:jc w:val="right"/>
            </w:pPr>
            <w:r>
              <w:rPr>
                <w:b w:val="0"/>
                <w:i w:val="0"/>
                <w:sz w:val="16"/>
              </w:rPr>
              <w:t>13,454</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17,490</w:t>
            </w:r>
          </w:p>
        </w:tc>
        <w:tc>
          <w:tcPr>
            <w:tcW w:type="dxa" w:w="1247"/>
            <w:vAlign w:val="top"/>
          </w:tcPr>
          <w:p>
            <w:pPr>
              <w:spacing w:after="20" w:line="252" w:lineRule="auto"/>
              <w:jc w:val="right"/>
            </w:pPr>
            <w:r>
              <w:rPr>
                <w:b w:val="0"/>
                <w:i w:val="0"/>
                <w:sz w:val="16"/>
              </w:rPr>
              <w:t>13,454</w:t>
            </w:r>
          </w:p>
        </w:tc>
      </w:tr>
      <w:tr>
        <w:trPr>
          <w:cantSplit/>
        </w:trPr>
        <w:tc>
          <w:tcPr>
            <w:tcW w:type="dxa" w:w="3175"/>
            <w:vAlign w:val="top"/>
            <w:shd w:val="clear" w:color="auto" w:fill="FDF0F7"/>
          </w:tcPr>
          <w:p>
            <w:pPr>
              <w:spacing w:after="20" w:line="252" w:lineRule="auto"/>
            </w:pPr>
            <w:r>
              <w:rPr>
                <w:b w:val="0"/>
                <w:i w:val="0"/>
                <w:sz w:val="16"/>
              </w:rPr>
              <w:t>Back-office solution</w:t>
            </w:r>
          </w:p>
        </w:tc>
        <w:tc>
          <w:tcPr>
            <w:tcW w:type="dxa" w:w="1077"/>
            <w:vAlign w:val="top"/>
            <w:shd w:val="clear" w:color="auto" w:fill="FDF0F7"/>
          </w:tcPr>
          <w:p>
            <w:pPr>
              <w:spacing w:after="20" w:line="252" w:lineRule="auto"/>
              <w:jc w:val="right"/>
            </w:pPr>
            <w:r>
              <w:rPr>
                <w:b w:val="0"/>
                <w:i w:val="0"/>
                <w:sz w:val="16"/>
              </w:rPr>
              <w:t>13,860</w:t>
            </w:r>
          </w:p>
        </w:tc>
        <w:tc>
          <w:tcPr>
            <w:tcW w:type="dxa" w:w="1020"/>
            <w:vAlign w:val="top"/>
            <w:shd w:val="clear" w:color="auto" w:fill="FDF0F7"/>
          </w:tcPr>
          <w:p>
            <w:pPr>
              <w:spacing w:after="20" w:line="252" w:lineRule="auto"/>
              <w:jc w:val="right"/>
            </w:pPr>
            <w:r>
              <w:rPr>
                <w:b w:val="0"/>
                <w:i w:val="0"/>
                <w:sz w:val="16"/>
              </w:rPr>
              <w:t>10,662</w:t>
            </w:r>
          </w:p>
        </w:tc>
        <w:tc>
          <w:tcPr>
            <w:tcW w:type="dxa" w:w="964"/>
            <w:vAlign w:val="top"/>
            <w:shd w:val="clear" w:color="auto" w:fill="FDF0F7"/>
          </w:tcPr>
          <w:p>
            <w:pPr>
              <w:spacing w:after="20" w:line="252" w:lineRule="auto"/>
              <w:jc w:val="center"/>
            </w:pPr>
            <w:r>
              <w:rPr>
                <w:b w:val="0"/>
                <w:i w:val="0"/>
                <w:sz w:val="16"/>
              </w:rPr>
              <w:t>Inclusive</w:t>
            </w:r>
          </w:p>
        </w:tc>
        <w:tc>
          <w:tcPr>
            <w:tcW w:type="dxa" w:w="907"/>
            <w:vAlign w:val="top"/>
            <w:shd w:val="clear" w:color="auto" w:fill="FDF0F7"/>
          </w:tcPr>
          <w:p>
            <w:pPr>
              <w:spacing w:after="20" w:line="252" w:lineRule="auto"/>
              <w:jc w:val="right"/>
            </w:pPr>
            <w:r>
              <w:rPr>
                <w:b w:val="0"/>
                <w:i w:val="0"/>
                <w:sz w:val="16"/>
              </w:rPr>
              <w:t>Excluded</w:t>
            </w:r>
          </w:p>
        </w:tc>
        <w:tc>
          <w:tcPr>
            <w:tcW w:type="dxa" w:w="1247"/>
            <w:vAlign w:val="top"/>
            <w:shd w:val="clear" w:color="auto" w:fill="FDF0F7"/>
          </w:tcPr>
          <w:p>
            <w:pPr>
              <w:spacing w:after="20" w:line="252" w:lineRule="auto"/>
              <w:jc w:val="right"/>
            </w:pPr>
            <w:r>
              <w:rPr>
                <w:b w:val="0"/>
                <w:i w:val="0"/>
                <w:sz w:val="16"/>
              </w:rPr>
              <w:t>13,860</w:t>
            </w:r>
          </w:p>
        </w:tc>
        <w:tc>
          <w:tcPr>
            <w:tcW w:type="dxa" w:w="1247"/>
            <w:vAlign w:val="top"/>
            <w:shd w:val="clear" w:color="auto" w:fill="FDF0F7"/>
          </w:tcPr>
          <w:p>
            <w:pPr>
              <w:spacing w:after="20" w:line="252" w:lineRule="auto"/>
              <w:jc w:val="right"/>
            </w:pPr>
            <w:r>
              <w:rPr>
                <w:b w:val="0"/>
                <w:i w:val="0"/>
                <w:sz w:val="16"/>
              </w:rPr>
              <w:t>10,662</w:t>
            </w:r>
          </w:p>
        </w:tc>
      </w:tr>
      <w:tr>
        <w:trPr>
          <w:cantSplit/>
        </w:trPr>
        <w:tc>
          <w:tcPr>
            <w:tcW w:type="dxa" w:w="3175"/>
            <w:vAlign w:val="top"/>
            <w:shd w:val="clear" w:color="auto" w:fill="FEEBDD"/>
          </w:tcPr>
          <w:p>
            <w:pPr>
              <w:spacing w:after="20" w:line="252" w:lineRule="auto"/>
            </w:pPr>
            <w:r>
              <w:rPr>
                <w:b/>
                <w:i w:val="0"/>
                <w:sz w:val="16"/>
              </w:rPr>
              <w:t>Total AMC, Year 1</w:t>
            </w:r>
          </w:p>
        </w:tc>
        <w:tc>
          <w:tcPr>
            <w:tcW w:type="dxa" w:w="1077"/>
            <w:vAlign w:val="top"/>
            <w:shd w:val="clear" w:color="auto" w:fill="FEEBDD"/>
          </w:tcPr>
          <w:p>
            <w:pPr>
              <w:spacing w:after="20" w:line="252" w:lineRule="auto"/>
              <w:jc w:val="right"/>
            </w:pPr>
            <w:r>
              <w:rPr>
                <w:b/>
                <w:i w:val="0"/>
                <w:sz w:val="16"/>
              </w:rPr>
              <w:t>31,350</w:t>
            </w:r>
          </w:p>
        </w:tc>
        <w:tc>
          <w:tcPr>
            <w:tcW w:type="dxa" w:w="1020"/>
            <w:vAlign w:val="top"/>
            <w:shd w:val="clear" w:color="auto" w:fill="FEEBDD"/>
          </w:tcPr>
          <w:p>
            <w:pPr>
              <w:spacing w:after="20" w:line="252" w:lineRule="auto"/>
              <w:jc w:val="right"/>
            </w:pPr>
            <w:r>
              <w:rPr>
                <w:b/>
                <w:i w:val="0"/>
                <w:sz w:val="16"/>
              </w:rPr>
              <w:t>24,115</w:t>
            </w:r>
          </w:p>
        </w:tc>
        <w:tc>
          <w:tcPr>
            <w:tcW w:type="dxa" w:w="964"/>
            <w:vAlign w:val="top"/>
            <w:shd w:val="clear" w:color="auto" w:fill="FEEBDD"/>
          </w:tcPr>
          <w:p>
            <w:pPr>
              <w:spacing w:after="20" w:line="252" w:lineRule="auto"/>
              <w:jc w:val="center"/>
            </w:pPr>
            <w:r>
              <w:rPr>
                <w:b/>
                <w:i w:val="0"/>
                <w:sz w:val="16"/>
              </w:rPr>
              <w:t>Inclusive</w:t>
            </w:r>
          </w:p>
        </w:tc>
        <w:tc>
          <w:tcPr>
            <w:tcW w:type="dxa" w:w="907"/>
            <w:vAlign w:val="top"/>
            <w:shd w:val="clear" w:color="auto" w:fill="FEEBDD"/>
          </w:tcPr>
          <w:p>
            <w:pPr>
              <w:spacing w:after="20" w:line="252" w:lineRule="auto"/>
              <w:jc w:val="right"/>
            </w:pPr>
            <w:r>
              <w:rPr>
                <w:b/>
                <w:i w:val="0"/>
                <w:sz w:val="16"/>
              </w:rPr>
              <w:t>Excluded</w:t>
            </w:r>
          </w:p>
        </w:tc>
        <w:tc>
          <w:tcPr>
            <w:tcW w:type="dxa" w:w="1247"/>
            <w:vAlign w:val="top"/>
            <w:shd w:val="clear" w:color="auto" w:fill="FEEBDD"/>
          </w:tcPr>
          <w:p>
            <w:pPr>
              <w:spacing w:after="20" w:line="252" w:lineRule="auto"/>
              <w:jc w:val="right"/>
            </w:pPr>
            <w:r>
              <w:rPr>
                <w:b/>
                <w:i w:val="0"/>
                <w:sz w:val="16"/>
              </w:rPr>
              <w:t>31,350</w:t>
            </w:r>
          </w:p>
        </w:tc>
        <w:tc>
          <w:tcPr>
            <w:tcW w:type="dxa" w:w="1247"/>
            <w:vAlign w:val="top"/>
            <w:shd w:val="clear" w:color="auto" w:fill="FEEBDD"/>
          </w:tcPr>
          <w:p>
            <w:pPr>
              <w:spacing w:after="20" w:line="252" w:lineRule="auto"/>
              <w:jc w:val="right"/>
            </w:pPr>
            <w:r>
              <w:rPr>
                <w:b/>
                <w:i w:val="0"/>
                <w:sz w:val="16"/>
              </w:rPr>
              <w:t>24,115</w:t>
            </w:r>
          </w:p>
        </w:tc>
      </w:tr>
      <w:tr>
        <w:trPr>
          <w:cantSplit/>
        </w:trPr>
        <w:tc>
          <w:tcPr>
            <w:tcW w:type="dxa" w:w="1247"/>
            <w:gridSpan w:val="7"/>
            <w:shd w:val="clear" w:color="auto" w:fill="FEEBDD"/>
          </w:tcPr>
          <w:p>
            <w:pPr>
              <w:spacing w:after="0"/>
            </w:pPr>
            <w:r>
              <w:rPr>
                <w:b/>
                <w:i w:val="0"/>
                <w:color w:val="333333"/>
                <w:sz w:val="16"/>
              </w:rPr>
              <w:t>Out-of-pocket expenses – disbursements at cost, estimate for the onsite phases</w:t>
            </w:r>
          </w:p>
        </w:tc>
      </w:tr>
      <w:tr>
        <w:trPr>
          <w:cantSplit/>
        </w:trPr>
        <w:tc>
          <w:tcPr>
            <w:tcW w:type="dxa" w:w="3175"/>
            <w:vAlign w:val="top"/>
          </w:tcPr>
          <w:p>
            <w:pPr>
              <w:spacing w:after="20" w:line="252" w:lineRule="auto"/>
            </w:pPr>
            <w:r>
              <w:rPr>
                <w:b w:val="0"/>
                <w:i w:val="0"/>
                <w:sz w:val="16"/>
              </w:rPr>
              <w:t>OPE (travel, accommodation, per diem, insurance, transfers, visas)</w:t>
            </w:r>
          </w:p>
        </w:tc>
        <w:tc>
          <w:tcPr>
            <w:tcW w:type="dxa" w:w="1077"/>
            <w:vAlign w:val="top"/>
          </w:tcPr>
          <w:p>
            <w:pPr>
              <w:spacing w:after="20" w:line="252" w:lineRule="auto"/>
              <w:jc w:val="right"/>
            </w:pPr>
            <w:r>
              <w:rPr>
                <w:b w:val="0"/>
                <w:i w:val="0"/>
                <w:sz w:val="16"/>
              </w:rPr>
              <w:t>–</w:t>
            </w:r>
          </w:p>
        </w:tc>
        <w:tc>
          <w:tcPr>
            <w:tcW w:type="dxa" w:w="1020"/>
            <w:vAlign w:val="top"/>
          </w:tcPr>
          <w:p>
            <w:pPr>
              <w:spacing w:after="20" w:line="252" w:lineRule="auto"/>
              <w:jc w:val="right"/>
            </w:pPr>
            <w:r>
              <w:rPr>
                <w:b w:val="0"/>
                <w:i w:val="0"/>
                <w:sz w:val="16"/>
              </w:rPr>
              <w:t>–</w:t>
            </w:r>
          </w:p>
        </w:tc>
        <w:tc>
          <w:tcPr>
            <w:tcW w:type="dxa" w:w="964"/>
            <w:vAlign w:val="top"/>
          </w:tcPr>
          <w:p>
            <w:pPr>
              <w:spacing w:after="20" w:line="252" w:lineRule="auto"/>
              <w:jc w:val="center"/>
            </w:pPr>
            <w:r>
              <w:rPr>
                <w:b w:val="0"/>
                <w:i w:val="0"/>
                <w:sz w:val="16"/>
              </w:rPr>
              <w:t>–</w:t>
            </w:r>
          </w:p>
        </w:tc>
        <w:tc>
          <w:tcPr>
            <w:tcW w:type="dxa" w:w="907"/>
            <w:vAlign w:val="top"/>
          </w:tcPr>
          <w:p>
            <w:pPr>
              <w:spacing w:after="20" w:line="252" w:lineRule="auto"/>
              <w:jc w:val="right"/>
            </w:pPr>
            <w:r>
              <w:rPr>
                <w:b w:val="0"/>
                <w:i w:val="0"/>
                <w:sz w:val="16"/>
              </w:rPr>
              <w:t>31,440</w:t>
            </w:r>
          </w:p>
        </w:tc>
        <w:tc>
          <w:tcPr>
            <w:tcW w:type="dxa" w:w="1247"/>
            <w:vAlign w:val="top"/>
          </w:tcPr>
          <w:p>
            <w:pPr>
              <w:spacing w:after="20" w:line="252" w:lineRule="auto"/>
              <w:jc w:val="right"/>
            </w:pPr>
            <w:r>
              <w:rPr>
                <w:b w:val="0"/>
                <w:i w:val="0"/>
                <w:sz w:val="16"/>
              </w:rPr>
              <w:t>31,440</w:t>
            </w:r>
          </w:p>
        </w:tc>
        <w:tc>
          <w:tcPr>
            <w:tcW w:type="dxa" w:w="1247"/>
            <w:vAlign w:val="top"/>
          </w:tcPr>
          <w:p>
            <w:pPr>
              <w:spacing w:after="20" w:line="252" w:lineRule="auto"/>
              <w:jc w:val="right"/>
            </w:pPr>
            <w:r>
              <w:rPr>
                <w:b w:val="0"/>
                <w:i w:val="0"/>
                <w:sz w:val="16"/>
              </w:rPr>
              <w:t>24,185</w:t>
            </w:r>
          </w:p>
        </w:tc>
      </w:tr>
    </w:tbl>
    <w:p>
      <w:pPr>
        <w:pStyle w:val="Caption"/>
        <w:jc w:val="center"/>
      </w:pPr>
      <w:r>
        <w:rPr>
          <w:b w:val="0"/>
          <w:i w:val="0"/>
        </w:rPr>
        <w:t>Table 35: Option A – on-premise perpetual licence, in IIFT's format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1077"/>
        <w:gridCol w:w="1020"/>
        <w:gridCol w:w="963"/>
        <w:gridCol w:w="907"/>
        <w:gridCol w:w="1247"/>
        <w:gridCol w:w="1247"/>
      </w:tblGrid>
      <w:tr>
        <w:trPr>
          <w:cantSplit/>
          <w:tblHeader/>
        </w:trPr>
        <w:tc>
          <w:tcPr>
            <w:tcW w:type="dxa" w:w="3175"/>
            <w:shd w:val="clear" w:color="auto" w:fill="E1058C"/>
            <w:vAlign w:val="center"/>
          </w:tcPr>
          <w:p>
            <w:pPr>
              <w:spacing w:after="0"/>
            </w:pPr>
            <w:r>
              <w:rPr>
                <w:b/>
                <w:i w:val="0"/>
                <w:color w:val="FFFFFF"/>
                <w:sz w:val="16"/>
              </w:rPr>
              <w:t>Description</w:t>
            </w:r>
          </w:p>
        </w:tc>
        <w:tc>
          <w:tcPr>
            <w:tcW w:type="dxa" w:w="1077"/>
            <w:shd w:val="clear" w:color="auto" w:fill="E1058C"/>
            <w:vAlign w:val="center"/>
          </w:tcPr>
          <w:p>
            <w:pPr>
              <w:spacing w:after="0"/>
            </w:pPr>
            <w:r>
              <w:rPr>
                <w:b/>
                <w:i w:val="0"/>
                <w:color w:val="FFFFFF"/>
                <w:sz w:val="16"/>
              </w:rPr>
              <w:t>Fee (B$)</w:t>
            </w:r>
          </w:p>
        </w:tc>
        <w:tc>
          <w:tcPr>
            <w:tcW w:type="dxa" w:w="1020"/>
            <w:shd w:val="clear" w:color="auto" w:fill="E1058C"/>
            <w:vAlign w:val="center"/>
          </w:tcPr>
          <w:p>
            <w:pPr>
              <w:spacing w:after="0"/>
            </w:pPr>
            <w:r>
              <w:rPr>
                <w:b/>
                <w:i w:val="0"/>
                <w:color w:val="FFFFFF"/>
                <w:sz w:val="16"/>
              </w:rPr>
              <w:t>Fee (USD)</w:t>
            </w:r>
          </w:p>
        </w:tc>
        <w:tc>
          <w:tcPr>
            <w:tcW w:type="dxa" w:w="964"/>
            <w:shd w:val="clear" w:color="auto" w:fill="E1058C"/>
            <w:vAlign w:val="center"/>
          </w:tcPr>
          <w:p>
            <w:pPr>
              <w:spacing w:after="0"/>
            </w:pPr>
            <w:r>
              <w:rPr>
                <w:b/>
                <w:i w:val="0"/>
                <w:color w:val="FFFFFF"/>
                <w:sz w:val="16"/>
              </w:rPr>
              <w:t>WHT</w:t>
            </w:r>
          </w:p>
        </w:tc>
        <w:tc>
          <w:tcPr>
            <w:tcW w:type="dxa" w:w="907"/>
            <w:shd w:val="clear" w:color="auto" w:fill="E1058C"/>
            <w:vAlign w:val="center"/>
          </w:tcPr>
          <w:p>
            <w:pPr>
              <w:spacing w:after="0"/>
            </w:pPr>
            <w:r>
              <w:rPr>
                <w:b/>
                <w:i w:val="0"/>
                <w:color w:val="FFFFFF"/>
                <w:sz w:val="16"/>
              </w:rPr>
              <w:t>OPE</w:t>
            </w:r>
          </w:p>
        </w:tc>
        <w:tc>
          <w:tcPr>
            <w:tcW w:type="dxa" w:w="1247"/>
            <w:shd w:val="clear" w:color="auto" w:fill="E1058C"/>
            <w:vAlign w:val="center"/>
          </w:tcPr>
          <w:p>
            <w:pPr>
              <w:spacing w:after="0"/>
            </w:pPr>
            <w:r>
              <w:rPr>
                <w:b/>
                <w:i w:val="0"/>
                <w:color w:val="FFFFFF"/>
                <w:sz w:val="16"/>
              </w:rPr>
              <w:t>Total (B$)</w:t>
            </w:r>
          </w:p>
        </w:tc>
        <w:tc>
          <w:tcPr>
            <w:tcW w:type="dxa" w:w="1247"/>
            <w:shd w:val="clear" w:color="auto" w:fill="E1058C"/>
            <w:vAlign w:val="center"/>
          </w:tcPr>
          <w:p>
            <w:pPr>
              <w:spacing w:after="0"/>
            </w:pPr>
            <w:r>
              <w:rPr>
                <w:b/>
                <w:i w:val="0"/>
                <w:color w:val="FFFFFF"/>
                <w:sz w:val="16"/>
              </w:rPr>
              <w:t>Total (USD)</w:t>
            </w:r>
          </w:p>
        </w:tc>
      </w:tr>
      <w:tr>
        <w:trPr>
          <w:cantSplit/>
        </w:trPr>
        <w:tc>
          <w:tcPr>
            <w:tcW w:type="dxa" w:w="1247"/>
            <w:gridSpan w:val="7"/>
            <w:shd w:val="clear" w:color="auto" w:fill="FEEBDD"/>
          </w:tcPr>
          <w:p>
            <w:pPr>
              <w:spacing w:after="0"/>
            </w:pPr>
            <w:r>
              <w:rPr>
                <w:b/>
                <w:i w:val="0"/>
                <w:color w:val="333333"/>
                <w:sz w:val="16"/>
              </w:rPr>
              <w:t>One-time fees (services)</w:t>
            </w:r>
          </w:p>
        </w:tc>
      </w:tr>
      <w:tr>
        <w:trPr>
          <w:cantSplit/>
        </w:trPr>
        <w:tc>
          <w:tcPr>
            <w:tcW w:type="dxa" w:w="3175"/>
            <w:vAlign w:val="top"/>
          </w:tcPr>
          <w:p>
            <w:pPr>
              <w:spacing w:after="20" w:line="252" w:lineRule="auto"/>
            </w:pPr>
            <w:r>
              <w:rPr>
                <w:b w:val="0"/>
                <w:i w:val="0"/>
                <w:sz w:val="16"/>
              </w:rPr>
              <w:t>Agent/Banca Portal</w:t>
            </w:r>
          </w:p>
        </w:tc>
        <w:tc>
          <w:tcPr>
            <w:tcW w:type="dxa" w:w="1077"/>
            <w:vAlign w:val="top"/>
          </w:tcPr>
          <w:p>
            <w:pPr>
              <w:spacing w:after="20" w:line="252" w:lineRule="auto"/>
              <w:jc w:val="right"/>
            </w:pPr>
            <w:r>
              <w:rPr>
                <w:b w:val="0"/>
                <w:i w:val="0"/>
                <w:sz w:val="16"/>
              </w:rPr>
              <w:t>71,500</w:t>
            </w:r>
          </w:p>
        </w:tc>
        <w:tc>
          <w:tcPr>
            <w:tcW w:type="dxa" w:w="1020"/>
            <w:vAlign w:val="top"/>
          </w:tcPr>
          <w:p>
            <w:pPr>
              <w:spacing w:after="20" w:line="252" w:lineRule="auto"/>
              <w:jc w:val="right"/>
            </w:pPr>
            <w:r>
              <w:rPr>
                <w:b w:val="0"/>
                <w:i w:val="0"/>
                <w:sz w:val="16"/>
              </w:rPr>
              <w:t>55,000</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71,500</w:t>
            </w:r>
          </w:p>
        </w:tc>
        <w:tc>
          <w:tcPr>
            <w:tcW w:type="dxa" w:w="1247"/>
            <w:vAlign w:val="top"/>
          </w:tcPr>
          <w:p>
            <w:pPr>
              <w:spacing w:after="20" w:line="252" w:lineRule="auto"/>
              <w:jc w:val="right"/>
            </w:pPr>
            <w:r>
              <w:rPr>
                <w:b w:val="0"/>
                <w:i w:val="0"/>
                <w:sz w:val="16"/>
              </w:rPr>
              <w:t>55,000</w:t>
            </w:r>
          </w:p>
        </w:tc>
      </w:tr>
      <w:tr>
        <w:trPr>
          <w:cantSplit/>
        </w:trPr>
        <w:tc>
          <w:tcPr>
            <w:tcW w:type="dxa" w:w="3175"/>
            <w:vAlign w:val="top"/>
            <w:shd w:val="clear" w:color="auto" w:fill="FDF0F7"/>
          </w:tcPr>
          <w:p>
            <w:pPr>
              <w:spacing w:after="20" w:line="252" w:lineRule="auto"/>
            </w:pPr>
            <w:r>
              <w:rPr>
                <w:b w:val="0"/>
                <w:i w:val="0"/>
                <w:sz w:val="16"/>
              </w:rPr>
              <w:t>Back-office solution</w:t>
            </w:r>
          </w:p>
        </w:tc>
        <w:tc>
          <w:tcPr>
            <w:tcW w:type="dxa" w:w="1077"/>
            <w:vAlign w:val="top"/>
            <w:shd w:val="clear" w:color="auto" w:fill="FDF0F7"/>
          </w:tcPr>
          <w:p>
            <w:pPr>
              <w:spacing w:after="20" w:line="252" w:lineRule="auto"/>
              <w:jc w:val="right"/>
            </w:pPr>
            <w:r>
              <w:rPr>
                <w:b w:val="0"/>
                <w:i w:val="0"/>
                <w:sz w:val="16"/>
              </w:rPr>
              <w:t>58,500</w:t>
            </w:r>
          </w:p>
        </w:tc>
        <w:tc>
          <w:tcPr>
            <w:tcW w:type="dxa" w:w="1020"/>
            <w:vAlign w:val="top"/>
            <w:shd w:val="clear" w:color="auto" w:fill="FDF0F7"/>
          </w:tcPr>
          <w:p>
            <w:pPr>
              <w:spacing w:after="20" w:line="252" w:lineRule="auto"/>
              <w:jc w:val="right"/>
            </w:pPr>
            <w:r>
              <w:rPr>
                <w:b w:val="0"/>
                <w:i w:val="0"/>
                <w:sz w:val="16"/>
              </w:rPr>
              <w:t>45,000</w:t>
            </w:r>
          </w:p>
        </w:tc>
        <w:tc>
          <w:tcPr>
            <w:tcW w:type="dxa" w:w="964"/>
            <w:vAlign w:val="top"/>
            <w:shd w:val="clear" w:color="auto" w:fill="FDF0F7"/>
          </w:tcPr>
          <w:p>
            <w:pPr>
              <w:spacing w:after="20" w:line="252" w:lineRule="auto"/>
              <w:jc w:val="center"/>
            </w:pPr>
            <w:r>
              <w:rPr>
                <w:b w:val="0"/>
                <w:i w:val="0"/>
                <w:sz w:val="16"/>
              </w:rPr>
              <w:t>Inclusive</w:t>
            </w:r>
          </w:p>
        </w:tc>
        <w:tc>
          <w:tcPr>
            <w:tcW w:type="dxa" w:w="907"/>
            <w:vAlign w:val="top"/>
            <w:shd w:val="clear" w:color="auto" w:fill="FDF0F7"/>
          </w:tcPr>
          <w:p>
            <w:pPr>
              <w:spacing w:after="20" w:line="252" w:lineRule="auto"/>
              <w:jc w:val="right"/>
            </w:pPr>
            <w:r>
              <w:rPr>
                <w:b w:val="0"/>
                <w:i w:val="0"/>
                <w:sz w:val="16"/>
              </w:rPr>
              <w:t>Excluded</w:t>
            </w:r>
          </w:p>
        </w:tc>
        <w:tc>
          <w:tcPr>
            <w:tcW w:type="dxa" w:w="1247"/>
            <w:vAlign w:val="top"/>
            <w:shd w:val="clear" w:color="auto" w:fill="FDF0F7"/>
          </w:tcPr>
          <w:p>
            <w:pPr>
              <w:spacing w:after="20" w:line="252" w:lineRule="auto"/>
              <w:jc w:val="right"/>
            </w:pPr>
            <w:r>
              <w:rPr>
                <w:b w:val="0"/>
                <w:i w:val="0"/>
                <w:sz w:val="16"/>
              </w:rPr>
              <w:t>58,500</w:t>
            </w:r>
          </w:p>
        </w:tc>
        <w:tc>
          <w:tcPr>
            <w:tcW w:type="dxa" w:w="1247"/>
            <w:vAlign w:val="top"/>
            <w:shd w:val="clear" w:color="auto" w:fill="FDF0F7"/>
          </w:tcPr>
          <w:p>
            <w:pPr>
              <w:spacing w:after="20" w:line="252" w:lineRule="auto"/>
              <w:jc w:val="right"/>
            </w:pPr>
            <w:r>
              <w:rPr>
                <w:b w:val="0"/>
                <w:i w:val="0"/>
                <w:sz w:val="16"/>
              </w:rPr>
              <w:t>45,000</w:t>
            </w:r>
          </w:p>
        </w:tc>
      </w:tr>
      <w:tr>
        <w:trPr>
          <w:cantSplit/>
        </w:trPr>
        <w:tc>
          <w:tcPr>
            <w:tcW w:type="dxa" w:w="3175"/>
            <w:vAlign w:val="top"/>
          </w:tcPr>
          <w:p>
            <w:pPr>
              <w:spacing w:after="20" w:line="252" w:lineRule="auto"/>
            </w:pPr>
            <w:r>
              <w:rPr>
                <w:b w:val="0"/>
                <w:i w:val="0"/>
                <w:sz w:val="16"/>
              </w:rPr>
              <w:t>Cloud set-up, platform (landing zone, environments, monitoring, backups, DR)</w:t>
            </w:r>
          </w:p>
        </w:tc>
        <w:tc>
          <w:tcPr>
            <w:tcW w:type="dxa" w:w="1077"/>
            <w:vAlign w:val="top"/>
          </w:tcPr>
          <w:p>
            <w:pPr>
              <w:spacing w:after="20" w:line="252" w:lineRule="auto"/>
              <w:jc w:val="right"/>
            </w:pPr>
            <w:r>
              <w:rPr>
                <w:b w:val="0"/>
                <w:i w:val="0"/>
                <w:sz w:val="16"/>
              </w:rPr>
              <w:t>15,000</w:t>
            </w:r>
          </w:p>
        </w:tc>
        <w:tc>
          <w:tcPr>
            <w:tcW w:type="dxa" w:w="1020"/>
            <w:vAlign w:val="top"/>
          </w:tcPr>
          <w:p>
            <w:pPr>
              <w:spacing w:after="20" w:line="252" w:lineRule="auto"/>
              <w:jc w:val="right"/>
            </w:pPr>
            <w:r>
              <w:rPr>
                <w:b w:val="0"/>
                <w:i w:val="0"/>
                <w:sz w:val="16"/>
              </w:rPr>
              <w:t>11,538</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15,000</w:t>
            </w:r>
          </w:p>
        </w:tc>
        <w:tc>
          <w:tcPr>
            <w:tcW w:type="dxa" w:w="1247"/>
            <w:vAlign w:val="top"/>
          </w:tcPr>
          <w:p>
            <w:pPr>
              <w:spacing w:after="20" w:line="252" w:lineRule="auto"/>
              <w:jc w:val="right"/>
            </w:pPr>
            <w:r>
              <w:rPr>
                <w:b w:val="0"/>
                <w:i w:val="0"/>
                <w:sz w:val="16"/>
              </w:rPr>
              <w:t>11,538</w:t>
            </w:r>
          </w:p>
        </w:tc>
      </w:tr>
      <w:tr>
        <w:trPr>
          <w:cantSplit/>
        </w:trPr>
        <w:tc>
          <w:tcPr>
            <w:tcW w:type="dxa" w:w="3175"/>
            <w:vAlign w:val="top"/>
            <w:shd w:val="clear" w:color="auto" w:fill="FEEBDD"/>
          </w:tcPr>
          <w:p>
            <w:pPr>
              <w:spacing w:after="20" w:line="252" w:lineRule="auto"/>
            </w:pPr>
            <w:r>
              <w:rPr>
                <w:b/>
                <w:i w:val="0"/>
                <w:sz w:val="16"/>
              </w:rPr>
              <w:t>Total one-time fees</w:t>
            </w:r>
          </w:p>
        </w:tc>
        <w:tc>
          <w:tcPr>
            <w:tcW w:type="dxa" w:w="1077"/>
            <w:vAlign w:val="top"/>
            <w:shd w:val="clear" w:color="auto" w:fill="FEEBDD"/>
          </w:tcPr>
          <w:p>
            <w:pPr>
              <w:spacing w:after="20" w:line="252" w:lineRule="auto"/>
              <w:jc w:val="right"/>
            </w:pPr>
            <w:r>
              <w:rPr>
                <w:b/>
                <w:i w:val="0"/>
                <w:sz w:val="16"/>
              </w:rPr>
              <w:t>145,000</w:t>
            </w:r>
          </w:p>
        </w:tc>
        <w:tc>
          <w:tcPr>
            <w:tcW w:type="dxa" w:w="1020"/>
            <w:vAlign w:val="top"/>
            <w:shd w:val="clear" w:color="auto" w:fill="FEEBDD"/>
          </w:tcPr>
          <w:p>
            <w:pPr>
              <w:spacing w:after="20" w:line="252" w:lineRule="auto"/>
              <w:jc w:val="right"/>
            </w:pPr>
            <w:r>
              <w:rPr>
                <w:b/>
                <w:i w:val="0"/>
                <w:sz w:val="16"/>
              </w:rPr>
              <w:t>111,538</w:t>
            </w:r>
          </w:p>
        </w:tc>
        <w:tc>
          <w:tcPr>
            <w:tcW w:type="dxa" w:w="964"/>
            <w:vAlign w:val="top"/>
            <w:shd w:val="clear" w:color="auto" w:fill="FEEBDD"/>
          </w:tcPr>
          <w:p>
            <w:pPr>
              <w:spacing w:after="20" w:line="252" w:lineRule="auto"/>
              <w:jc w:val="center"/>
            </w:pPr>
            <w:r>
              <w:rPr>
                <w:b/>
                <w:i w:val="0"/>
                <w:sz w:val="16"/>
              </w:rPr>
              <w:t>Inclusive</w:t>
            </w:r>
          </w:p>
        </w:tc>
        <w:tc>
          <w:tcPr>
            <w:tcW w:type="dxa" w:w="907"/>
            <w:vAlign w:val="top"/>
            <w:shd w:val="clear" w:color="auto" w:fill="FEEBDD"/>
          </w:tcPr>
          <w:p>
            <w:pPr>
              <w:spacing w:after="20" w:line="252" w:lineRule="auto"/>
              <w:jc w:val="right"/>
            </w:pPr>
            <w:r>
              <w:rPr>
                <w:b/>
                <w:i w:val="0"/>
                <w:sz w:val="16"/>
              </w:rPr>
              <w:t>Excluded</w:t>
            </w:r>
          </w:p>
        </w:tc>
        <w:tc>
          <w:tcPr>
            <w:tcW w:type="dxa" w:w="1247"/>
            <w:vAlign w:val="top"/>
            <w:shd w:val="clear" w:color="auto" w:fill="FEEBDD"/>
          </w:tcPr>
          <w:p>
            <w:pPr>
              <w:spacing w:after="20" w:line="252" w:lineRule="auto"/>
              <w:jc w:val="right"/>
            </w:pPr>
            <w:r>
              <w:rPr>
                <w:b/>
                <w:i w:val="0"/>
                <w:sz w:val="16"/>
              </w:rPr>
              <w:t>145,000</w:t>
            </w:r>
          </w:p>
        </w:tc>
        <w:tc>
          <w:tcPr>
            <w:tcW w:type="dxa" w:w="1247"/>
            <w:vAlign w:val="top"/>
            <w:shd w:val="clear" w:color="auto" w:fill="FEEBDD"/>
          </w:tcPr>
          <w:p>
            <w:pPr>
              <w:spacing w:after="20" w:line="252" w:lineRule="auto"/>
              <w:jc w:val="right"/>
            </w:pPr>
            <w:r>
              <w:rPr>
                <w:b/>
                <w:i w:val="0"/>
                <w:sz w:val="16"/>
              </w:rPr>
              <w:t>111,538</w:t>
            </w:r>
          </w:p>
        </w:tc>
      </w:tr>
      <w:tr>
        <w:trPr>
          <w:cantSplit/>
        </w:trPr>
        <w:tc>
          <w:tcPr>
            <w:tcW w:type="dxa" w:w="1247"/>
            <w:gridSpan w:val="7"/>
            <w:shd w:val="clear" w:color="auto" w:fill="FEEBDD"/>
          </w:tcPr>
          <w:p>
            <w:pPr>
              <w:spacing w:after="0"/>
            </w:pPr>
            <w:r>
              <w:rPr>
                <w:b/>
                <w:i w:val="0"/>
                <w:color w:val="333333"/>
                <w:sz w:val="16"/>
              </w:rPr>
              <w:t>Recurring fees, Year 1 – +5% a year</w:t>
            </w:r>
          </w:p>
        </w:tc>
      </w:tr>
      <w:tr>
        <w:trPr>
          <w:cantSplit/>
        </w:trPr>
        <w:tc>
          <w:tcPr>
            <w:tcW w:type="dxa" w:w="3175"/>
            <w:vAlign w:val="top"/>
          </w:tcPr>
          <w:p>
            <w:pPr>
              <w:spacing w:after="20" w:line="252" w:lineRule="auto"/>
            </w:pPr>
            <w:r>
              <w:rPr>
                <w:b w:val="0"/>
                <w:i w:val="0"/>
                <w:sz w:val="16"/>
              </w:rPr>
              <w:t>Agent/Banca Portal subscription (B$ 1,850 a month)</w:t>
            </w:r>
          </w:p>
        </w:tc>
        <w:tc>
          <w:tcPr>
            <w:tcW w:type="dxa" w:w="1077"/>
            <w:vAlign w:val="top"/>
          </w:tcPr>
          <w:p>
            <w:pPr>
              <w:spacing w:after="20" w:line="252" w:lineRule="auto"/>
              <w:jc w:val="right"/>
            </w:pPr>
            <w:r>
              <w:rPr>
                <w:b w:val="0"/>
                <w:i w:val="0"/>
                <w:sz w:val="16"/>
              </w:rPr>
              <w:t>22,200</w:t>
            </w:r>
          </w:p>
        </w:tc>
        <w:tc>
          <w:tcPr>
            <w:tcW w:type="dxa" w:w="1020"/>
            <w:vAlign w:val="top"/>
          </w:tcPr>
          <w:p>
            <w:pPr>
              <w:spacing w:after="20" w:line="252" w:lineRule="auto"/>
              <w:jc w:val="right"/>
            </w:pPr>
            <w:r>
              <w:rPr>
                <w:b w:val="0"/>
                <w:i w:val="0"/>
                <w:sz w:val="16"/>
              </w:rPr>
              <w:t>17,077</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22,200</w:t>
            </w:r>
          </w:p>
        </w:tc>
        <w:tc>
          <w:tcPr>
            <w:tcW w:type="dxa" w:w="1247"/>
            <w:vAlign w:val="top"/>
          </w:tcPr>
          <w:p>
            <w:pPr>
              <w:spacing w:after="20" w:line="252" w:lineRule="auto"/>
              <w:jc w:val="right"/>
            </w:pPr>
            <w:r>
              <w:rPr>
                <w:b w:val="0"/>
                <w:i w:val="0"/>
                <w:sz w:val="16"/>
              </w:rPr>
              <w:t>17,077</w:t>
            </w:r>
          </w:p>
        </w:tc>
      </w:tr>
      <w:tr>
        <w:trPr>
          <w:cantSplit/>
        </w:trPr>
        <w:tc>
          <w:tcPr>
            <w:tcW w:type="dxa" w:w="3175"/>
            <w:vAlign w:val="top"/>
            <w:shd w:val="clear" w:color="auto" w:fill="FDF0F7"/>
          </w:tcPr>
          <w:p>
            <w:pPr>
              <w:spacing w:after="20" w:line="252" w:lineRule="auto"/>
            </w:pPr>
            <w:r>
              <w:rPr>
                <w:b w:val="0"/>
                <w:i w:val="0"/>
                <w:sz w:val="16"/>
              </w:rPr>
              <w:t>Back-office solution subscription (B$ 1,550 a month)</w:t>
            </w:r>
          </w:p>
        </w:tc>
        <w:tc>
          <w:tcPr>
            <w:tcW w:type="dxa" w:w="1077"/>
            <w:vAlign w:val="top"/>
            <w:shd w:val="clear" w:color="auto" w:fill="FDF0F7"/>
          </w:tcPr>
          <w:p>
            <w:pPr>
              <w:spacing w:after="20" w:line="252" w:lineRule="auto"/>
              <w:jc w:val="right"/>
            </w:pPr>
            <w:r>
              <w:rPr>
                <w:b w:val="0"/>
                <w:i w:val="0"/>
                <w:sz w:val="16"/>
              </w:rPr>
              <w:t>18,600</w:t>
            </w:r>
          </w:p>
        </w:tc>
        <w:tc>
          <w:tcPr>
            <w:tcW w:type="dxa" w:w="1020"/>
            <w:vAlign w:val="top"/>
            <w:shd w:val="clear" w:color="auto" w:fill="FDF0F7"/>
          </w:tcPr>
          <w:p>
            <w:pPr>
              <w:spacing w:after="20" w:line="252" w:lineRule="auto"/>
              <w:jc w:val="right"/>
            </w:pPr>
            <w:r>
              <w:rPr>
                <w:b w:val="0"/>
                <w:i w:val="0"/>
                <w:sz w:val="16"/>
              </w:rPr>
              <w:t>14,308</w:t>
            </w:r>
          </w:p>
        </w:tc>
        <w:tc>
          <w:tcPr>
            <w:tcW w:type="dxa" w:w="964"/>
            <w:vAlign w:val="top"/>
            <w:shd w:val="clear" w:color="auto" w:fill="FDF0F7"/>
          </w:tcPr>
          <w:p>
            <w:pPr>
              <w:spacing w:after="20" w:line="252" w:lineRule="auto"/>
              <w:jc w:val="center"/>
            </w:pPr>
            <w:r>
              <w:rPr>
                <w:b w:val="0"/>
                <w:i w:val="0"/>
                <w:sz w:val="16"/>
              </w:rPr>
              <w:t>Inclusive</w:t>
            </w:r>
          </w:p>
        </w:tc>
        <w:tc>
          <w:tcPr>
            <w:tcW w:type="dxa" w:w="907"/>
            <w:vAlign w:val="top"/>
            <w:shd w:val="clear" w:color="auto" w:fill="FDF0F7"/>
          </w:tcPr>
          <w:p>
            <w:pPr>
              <w:spacing w:after="20" w:line="252" w:lineRule="auto"/>
              <w:jc w:val="right"/>
            </w:pPr>
            <w:r>
              <w:rPr>
                <w:b w:val="0"/>
                <w:i w:val="0"/>
                <w:sz w:val="16"/>
              </w:rPr>
              <w:t>Excluded</w:t>
            </w:r>
          </w:p>
        </w:tc>
        <w:tc>
          <w:tcPr>
            <w:tcW w:type="dxa" w:w="1247"/>
            <w:vAlign w:val="top"/>
            <w:shd w:val="clear" w:color="auto" w:fill="FDF0F7"/>
          </w:tcPr>
          <w:p>
            <w:pPr>
              <w:spacing w:after="20" w:line="252" w:lineRule="auto"/>
              <w:jc w:val="right"/>
            </w:pPr>
            <w:r>
              <w:rPr>
                <w:b w:val="0"/>
                <w:i w:val="0"/>
                <w:sz w:val="16"/>
              </w:rPr>
              <w:t>18,600</w:t>
            </w:r>
          </w:p>
        </w:tc>
        <w:tc>
          <w:tcPr>
            <w:tcW w:type="dxa" w:w="1247"/>
            <w:vAlign w:val="top"/>
            <w:shd w:val="clear" w:color="auto" w:fill="FDF0F7"/>
          </w:tcPr>
          <w:p>
            <w:pPr>
              <w:spacing w:after="20" w:line="252" w:lineRule="auto"/>
              <w:jc w:val="right"/>
            </w:pPr>
            <w:r>
              <w:rPr>
                <w:b w:val="0"/>
                <w:i w:val="0"/>
                <w:sz w:val="16"/>
              </w:rPr>
              <w:t>14,308</w:t>
            </w:r>
          </w:p>
        </w:tc>
      </w:tr>
      <w:tr>
        <w:trPr>
          <w:cantSplit/>
        </w:trPr>
        <w:tc>
          <w:tcPr>
            <w:tcW w:type="dxa" w:w="3175"/>
            <w:vAlign w:val="top"/>
          </w:tcPr>
          <w:p>
            <w:pPr>
              <w:spacing w:after="20" w:line="252" w:lineRule="auto"/>
            </w:pPr>
            <w:r>
              <w:rPr>
                <w:b w:val="0"/>
                <w:i w:val="0"/>
                <w:sz w:val="16"/>
              </w:rPr>
              <w:t>Managed services, platform (B$ 1,100 a month)</w:t>
            </w:r>
          </w:p>
        </w:tc>
        <w:tc>
          <w:tcPr>
            <w:tcW w:type="dxa" w:w="1077"/>
            <w:vAlign w:val="top"/>
          </w:tcPr>
          <w:p>
            <w:pPr>
              <w:spacing w:after="20" w:line="252" w:lineRule="auto"/>
              <w:jc w:val="right"/>
            </w:pPr>
            <w:r>
              <w:rPr>
                <w:b w:val="0"/>
                <w:i w:val="0"/>
                <w:sz w:val="16"/>
              </w:rPr>
              <w:t>13,200</w:t>
            </w:r>
          </w:p>
        </w:tc>
        <w:tc>
          <w:tcPr>
            <w:tcW w:type="dxa" w:w="1020"/>
            <w:vAlign w:val="top"/>
          </w:tcPr>
          <w:p>
            <w:pPr>
              <w:spacing w:after="20" w:line="252" w:lineRule="auto"/>
              <w:jc w:val="right"/>
            </w:pPr>
            <w:r>
              <w:rPr>
                <w:b w:val="0"/>
                <w:i w:val="0"/>
                <w:sz w:val="16"/>
              </w:rPr>
              <w:t>10,154</w:t>
            </w:r>
          </w:p>
        </w:tc>
        <w:tc>
          <w:tcPr>
            <w:tcW w:type="dxa" w:w="964"/>
            <w:vAlign w:val="top"/>
          </w:tcPr>
          <w:p>
            <w:pPr>
              <w:spacing w:after="20" w:line="252" w:lineRule="auto"/>
              <w:jc w:val="center"/>
            </w:pPr>
            <w:r>
              <w:rPr>
                <w:b w:val="0"/>
                <w:i w:val="0"/>
                <w:sz w:val="16"/>
              </w:rPr>
              <w:t>Inclusive</w:t>
            </w:r>
          </w:p>
        </w:tc>
        <w:tc>
          <w:tcPr>
            <w:tcW w:type="dxa" w:w="907"/>
            <w:vAlign w:val="top"/>
          </w:tcPr>
          <w:p>
            <w:pPr>
              <w:spacing w:after="20" w:line="252" w:lineRule="auto"/>
              <w:jc w:val="right"/>
            </w:pPr>
            <w:r>
              <w:rPr>
                <w:b w:val="0"/>
                <w:i w:val="0"/>
                <w:sz w:val="16"/>
              </w:rPr>
              <w:t>Excluded</w:t>
            </w:r>
          </w:p>
        </w:tc>
        <w:tc>
          <w:tcPr>
            <w:tcW w:type="dxa" w:w="1247"/>
            <w:vAlign w:val="top"/>
          </w:tcPr>
          <w:p>
            <w:pPr>
              <w:spacing w:after="20" w:line="252" w:lineRule="auto"/>
              <w:jc w:val="right"/>
            </w:pPr>
            <w:r>
              <w:rPr>
                <w:b w:val="0"/>
                <w:i w:val="0"/>
                <w:sz w:val="16"/>
              </w:rPr>
              <w:t>13,200</w:t>
            </w:r>
          </w:p>
        </w:tc>
        <w:tc>
          <w:tcPr>
            <w:tcW w:type="dxa" w:w="1247"/>
            <w:vAlign w:val="top"/>
          </w:tcPr>
          <w:p>
            <w:pPr>
              <w:spacing w:after="20" w:line="252" w:lineRule="auto"/>
              <w:jc w:val="right"/>
            </w:pPr>
            <w:r>
              <w:rPr>
                <w:b w:val="0"/>
                <w:i w:val="0"/>
                <w:sz w:val="16"/>
              </w:rPr>
              <w:t>10,154</w:t>
            </w:r>
          </w:p>
        </w:tc>
      </w:tr>
      <w:tr>
        <w:trPr>
          <w:cantSplit/>
        </w:trPr>
        <w:tc>
          <w:tcPr>
            <w:tcW w:type="dxa" w:w="3175"/>
            <w:vAlign w:val="top"/>
            <w:shd w:val="clear" w:color="auto" w:fill="FEEBDD"/>
          </w:tcPr>
          <w:p>
            <w:pPr>
              <w:spacing w:after="20" w:line="252" w:lineRule="auto"/>
            </w:pPr>
            <w:r>
              <w:rPr>
                <w:b/>
                <w:i w:val="0"/>
                <w:sz w:val="16"/>
              </w:rPr>
              <w:t>Total recurring fees, Year 1</w:t>
            </w:r>
          </w:p>
        </w:tc>
        <w:tc>
          <w:tcPr>
            <w:tcW w:type="dxa" w:w="1077"/>
            <w:vAlign w:val="top"/>
            <w:shd w:val="clear" w:color="auto" w:fill="FEEBDD"/>
          </w:tcPr>
          <w:p>
            <w:pPr>
              <w:spacing w:after="20" w:line="252" w:lineRule="auto"/>
              <w:jc w:val="right"/>
            </w:pPr>
            <w:r>
              <w:rPr>
                <w:b/>
                <w:i w:val="0"/>
                <w:sz w:val="16"/>
              </w:rPr>
              <w:t>54,000</w:t>
            </w:r>
          </w:p>
        </w:tc>
        <w:tc>
          <w:tcPr>
            <w:tcW w:type="dxa" w:w="1020"/>
            <w:vAlign w:val="top"/>
            <w:shd w:val="clear" w:color="auto" w:fill="FEEBDD"/>
          </w:tcPr>
          <w:p>
            <w:pPr>
              <w:spacing w:after="20" w:line="252" w:lineRule="auto"/>
              <w:jc w:val="right"/>
            </w:pPr>
            <w:r>
              <w:rPr>
                <w:b/>
                <w:i w:val="0"/>
                <w:sz w:val="16"/>
              </w:rPr>
              <w:t>41,538</w:t>
            </w:r>
          </w:p>
        </w:tc>
        <w:tc>
          <w:tcPr>
            <w:tcW w:type="dxa" w:w="964"/>
            <w:vAlign w:val="top"/>
            <w:shd w:val="clear" w:color="auto" w:fill="FEEBDD"/>
          </w:tcPr>
          <w:p>
            <w:pPr>
              <w:spacing w:after="20" w:line="252" w:lineRule="auto"/>
              <w:jc w:val="center"/>
            </w:pPr>
            <w:r>
              <w:rPr>
                <w:b/>
                <w:i w:val="0"/>
                <w:sz w:val="16"/>
              </w:rPr>
              <w:t>Inclusive</w:t>
            </w:r>
          </w:p>
        </w:tc>
        <w:tc>
          <w:tcPr>
            <w:tcW w:type="dxa" w:w="907"/>
            <w:vAlign w:val="top"/>
            <w:shd w:val="clear" w:color="auto" w:fill="FEEBDD"/>
          </w:tcPr>
          <w:p>
            <w:pPr>
              <w:spacing w:after="20" w:line="252" w:lineRule="auto"/>
              <w:jc w:val="right"/>
            </w:pPr>
            <w:r>
              <w:rPr>
                <w:b/>
                <w:i w:val="0"/>
                <w:sz w:val="16"/>
              </w:rPr>
              <w:t>Excluded</w:t>
            </w:r>
          </w:p>
        </w:tc>
        <w:tc>
          <w:tcPr>
            <w:tcW w:type="dxa" w:w="1247"/>
            <w:vAlign w:val="top"/>
            <w:shd w:val="clear" w:color="auto" w:fill="FEEBDD"/>
          </w:tcPr>
          <w:p>
            <w:pPr>
              <w:spacing w:after="20" w:line="252" w:lineRule="auto"/>
              <w:jc w:val="right"/>
            </w:pPr>
            <w:r>
              <w:rPr>
                <w:b/>
                <w:i w:val="0"/>
                <w:sz w:val="16"/>
              </w:rPr>
              <w:t>54,000</w:t>
            </w:r>
          </w:p>
        </w:tc>
        <w:tc>
          <w:tcPr>
            <w:tcW w:type="dxa" w:w="1247"/>
            <w:vAlign w:val="top"/>
            <w:shd w:val="clear" w:color="auto" w:fill="FEEBDD"/>
          </w:tcPr>
          <w:p>
            <w:pPr>
              <w:spacing w:after="20" w:line="252" w:lineRule="auto"/>
              <w:jc w:val="right"/>
            </w:pPr>
            <w:r>
              <w:rPr>
                <w:b/>
                <w:i w:val="0"/>
                <w:sz w:val="16"/>
              </w:rPr>
              <w:t>41,538</w:t>
            </w:r>
          </w:p>
        </w:tc>
      </w:tr>
      <w:tr>
        <w:trPr>
          <w:cantSplit/>
        </w:trPr>
        <w:tc>
          <w:tcPr>
            <w:tcW w:type="dxa" w:w="1247"/>
            <w:gridSpan w:val="7"/>
            <w:shd w:val="clear" w:color="auto" w:fill="FEEBDD"/>
          </w:tcPr>
          <w:p>
            <w:pPr>
              <w:spacing w:after="0"/>
            </w:pPr>
            <w:r>
              <w:rPr>
                <w:b/>
                <w:i w:val="0"/>
                <w:color w:val="333333"/>
                <w:sz w:val="16"/>
              </w:rPr>
              <w:t>Out-of-pocket expenses – disbursements at cost, estimate for the onsite phases</w:t>
            </w:r>
          </w:p>
        </w:tc>
      </w:tr>
      <w:tr>
        <w:trPr>
          <w:cantSplit/>
        </w:trPr>
        <w:tc>
          <w:tcPr>
            <w:tcW w:type="dxa" w:w="3175"/>
            <w:vAlign w:val="top"/>
          </w:tcPr>
          <w:p>
            <w:pPr>
              <w:spacing w:after="20" w:line="252" w:lineRule="auto"/>
            </w:pPr>
            <w:r>
              <w:rPr>
                <w:b w:val="0"/>
                <w:i w:val="0"/>
                <w:sz w:val="16"/>
              </w:rPr>
              <w:t>OPE (travel, accommodation, per diem, insurance, transfers, visas)</w:t>
            </w:r>
          </w:p>
        </w:tc>
        <w:tc>
          <w:tcPr>
            <w:tcW w:type="dxa" w:w="1077"/>
            <w:vAlign w:val="top"/>
          </w:tcPr>
          <w:p>
            <w:pPr>
              <w:spacing w:after="20" w:line="252" w:lineRule="auto"/>
              <w:jc w:val="right"/>
            </w:pPr>
            <w:r>
              <w:rPr>
                <w:b w:val="0"/>
                <w:i w:val="0"/>
                <w:sz w:val="16"/>
              </w:rPr>
              <w:t>–</w:t>
            </w:r>
          </w:p>
        </w:tc>
        <w:tc>
          <w:tcPr>
            <w:tcW w:type="dxa" w:w="1020"/>
            <w:vAlign w:val="top"/>
          </w:tcPr>
          <w:p>
            <w:pPr>
              <w:spacing w:after="20" w:line="252" w:lineRule="auto"/>
              <w:jc w:val="right"/>
            </w:pPr>
            <w:r>
              <w:rPr>
                <w:b w:val="0"/>
                <w:i w:val="0"/>
                <w:sz w:val="16"/>
              </w:rPr>
              <w:t>–</w:t>
            </w:r>
          </w:p>
        </w:tc>
        <w:tc>
          <w:tcPr>
            <w:tcW w:type="dxa" w:w="964"/>
            <w:vAlign w:val="top"/>
          </w:tcPr>
          <w:p>
            <w:pPr>
              <w:spacing w:after="20" w:line="252" w:lineRule="auto"/>
              <w:jc w:val="center"/>
            </w:pPr>
            <w:r>
              <w:rPr>
                <w:b w:val="0"/>
                <w:i w:val="0"/>
                <w:sz w:val="16"/>
              </w:rPr>
              <w:t>–</w:t>
            </w:r>
          </w:p>
        </w:tc>
        <w:tc>
          <w:tcPr>
            <w:tcW w:type="dxa" w:w="907"/>
            <w:vAlign w:val="top"/>
          </w:tcPr>
          <w:p>
            <w:pPr>
              <w:spacing w:after="20" w:line="252" w:lineRule="auto"/>
              <w:jc w:val="right"/>
            </w:pPr>
            <w:r>
              <w:rPr>
                <w:b w:val="0"/>
                <w:i w:val="0"/>
                <w:sz w:val="16"/>
              </w:rPr>
              <w:t>31,440</w:t>
            </w:r>
          </w:p>
        </w:tc>
        <w:tc>
          <w:tcPr>
            <w:tcW w:type="dxa" w:w="1247"/>
            <w:vAlign w:val="top"/>
          </w:tcPr>
          <w:p>
            <w:pPr>
              <w:spacing w:after="20" w:line="252" w:lineRule="auto"/>
              <w:jc w:val="right"/>
            </w:pPr>
            <w:r>
              <w:rPr>
                <w:b w:val="0"/>
                <w:i w:val="0"/>
                <w:sz w:val="16"/>
              </w:rPr>
              <w:t>31,440</w:t>
            </w:r>
          </w:p>
        </w:tc>
        <w:tc>
          <w:tcPr>
            <w:tcW w:type="dxa" w:w="1247"/>
            <w:vAlign w:val="top"/>
          </w:tcPr>
          <w:p>
            <w:pPr>
              <w:spacing w:after="20" w:line="252" w:lineRule="auto"/>
              <w:jc w:val="right"/>
            </w:pPr>
            <w:r>
              <w:rPr>
                <w:b w:val="0"/>
                <w:i w:val="0"/>
                <w:sz w:val="16"/>
              </w:rPr>
              <w:t>24,185</w:t>
            </w:r>
          </w:p>
        </w:tc>
      </w:tr>
    </w:tbl>
    <w:p>
      <w:pPr>
        <w:pStyle w:val="Caption"/>
        <w:jc w:val="center"/>
      </w:pPr>
      <w:r>
        <w:rPr>
          <w:b w:val="0"/>
          <w:i w:val="0"/>
        </w:rPr>
        <w:t>Table 36: Option B – subscription, in IIFT's format</w:t>
      </w:r>
    </w:p>
    <w:p>
      <w:pPr>
        <w:pStyle w:val="ListBullet"/>
      </w:pPr>
      <w:r>
        <w:rPr>
          <w:b/>
          <w:i w:val="0"/>
        </w:rPr>
        <w:t>WHT – inclusive.</w:t>
      </w:r>
      <w:r>
        <w:rPr>
          <w:b w:val="0"/>
          <w:i w:val="0"/>
        </w:rPr>
        <w:t xml:space="preserve"> The fee is the full amount payable; any withholding tax is deducted from it and borne by iorta.</w:t>
      </w:r>
    </w:p>
    <w:p>
      <w:pPr>
        <w:pStyle w:val="ListBullet"/>
      </w:pPr>
      <w:r>
        <w:rPr>
          <w:b/>
          <w:i w:val="0"/>
        </w:rPr>
        <w:t>OPE – exclusive.</w:t>
      </w:r>
      <w:r>
        <w:rPr>
          <w:b w:val="0"/>
          <w:i w:val="0"/>
        </w:rPr>
        <w:t xml:space="preserve"> The OPE line is an estimate for the onsite phases in Section 19.8; actual costs are recharged as disbursements with the travel invoices attached, and the per diem is fixed.</w:t>
      </w:r>
    </w:p>
    <w:p>
      <w:pPr>
        <w:pStyle w:val="ListBullet"/>
      </w:pPr>
      <w:r>
        <w:rPr>
          <w:b/>
          <w:i w:val="0"/>
        </w:rPr>
        <w:t>Third-party charges and infrastructure – exclusive.</w:t>
      </w:r>
      <w:r>
        <w:rPr>
          <w:b w:val="0"/>
          <w:i w:val="0"/>
        </w:rPr>
        <w:t xml:space="preserve"> Under Option B, cloud infrastructure is recharged at cost as a disbursement (or paid by IIFT directly), estimated at B$ 1,330 a month (B$ 15,960 a year) plus B$ 1,500 for the project environments.</w:t>
      </w:r>
    </w:p>
    <w:p>
      <w:pPr>
        <w:pStyle w:val="Heading2"/>
      </w:pPr>
      <w:r>
        <w:t>19.3 Commercial pricing breakdown (RFP section 10)</w:t>
      </w:r>
    </w:p>
    <w:p>
      <w:pPr>
        <w:keepNext w:val="0"/>
      </w:pPr>
      <w:r>
        <w:rPr>
          <w:b w:val="0"/>
          <w:i w:val="0"/>
        </w:rPr>
        <w:t>All 21 items of RFP section 10, for both options. Amounts in B$; the portal and back-office split of every amount is in the pricing workbook (IIFT-Commercial-Pricing-iorta-TechNXT.xlsx).</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453"/>
        <w:gridCol w:w="2268"/>
        <w:gridCol w:w="1134"/>
        <w:gridCol w:w="1360"/>
        <w:gridCol w:w="1587"/>
        <w:gridCol w:w="2835"/>
      </w:tblGrid>
      <w:tr>
        <w:trPr>
          <w:cantSplit/>
          <w:tblHeader/>
        </w:trPr>
        <w:tc>
          <w:tcPr>
            <w:tcW w:type="dxa" w:w="454"/>
            <w:shd w:val="clear" w:color="auto" w:fill="E1058C"/>
            <w:vAlign w:val="center"/>
          </w:tcPr>
          <w:p>
            <w:pPr>
              <w:spacing w:after="0"/>
            </w:pPr>
            <w:r>
              <w:rPr>
                <w:b/>
                <w:i w:val="0"/>
                <w:color w:val="FFFFFF"/>
                <w:sz w:val="15"/>
              </w:rPr>
              <w:t>No</w:t>
            </w:r>
          </w:p>
        </w:tc>
        <w:tc>
          <w:tcPr>
            <w:tcW w:type="dxa" w:w="2268"/>
            <w:shd w:val="clear" w:color="auto" w:fill="E1058C"/>
            <w:vAlign w:val="center"/>
          </w:tcPr>
          <w:p>
            <w:pPr>
              <w:spacing w:after="0"/>
            </w:pPr>
            <w:r>
              <w:rPr>
                <w:b/>
                <w:i w:val="0"/>
                <w:color w:val="FFFFFF"/>
                <w:sz w:val="15"/>
              </w:rPr>
              <w:t>Commercial component</w:t>
            </w:r>
          </w:p>
        </w:tc>
        <w:tc>
          <w:tcPr>
            <w:tcW w:type="dxa" w:w="1134"/>
            <w:shd w:val="clear" w:color="auto" w:fill="E1058C"/>
            <w:vAlign w:val="center"/>
          </w:tcPr>
          <w:p>
            <w:pPr>
              <w:spacing w:after="0"/>
            </w:pPr>
            <w:r>
              <w:rPr>
                <w:b/>
                <w:i w:val="0"/>
                <w:color w:val="FFFFFF"/>
                <w:sz w:val="15"/>
              </w:rPr>
              <w:t>Basis</w:t>
            </w:r>
          </w:p>
        </w:tc>
        <w:tc>
          <w:tcPr>
            <w:tcW w:type="dxa" w:w="1361"/>
            <w:shd w:val="clear" w:color="auto" w:fill="E1058C"/>
            <w:vAlign w:val="center"/>
          </w:tcPr>
          <w:p>
            <w:pPr>
              <w:spacing w:after="0"/>
            </w:pPr>
            <w:r>
              <w:rPr>
                <w:b/>
                <w:i w:val="0"/>
                <w:color w:val="FFFFFF"/>
                <w:sz w:val="15"/>
              </w:rPr>
              <w:t>Option A (B$)</w:t>
            </w:r>
          </w:p>
        </w:tc>
        <w:tc>
          <w:tcPr>
            <w:tcW w:type="dxa" w:w="1587"/>
            <w:shd w:val="clear" w:color="auto" w:fill="E1058C"/>
            <w:vAlign w:val="center"/>
          </w:tcPr>
          <w:p>
            <w:pPr>
              <w:spacing w:after="0"/>
            </w:pPr>
            <w:r>
              <w:rPr>
                <w:b/>
                <w:i w:val="0"/>
                <w:color w:val="FFFFFF"/>
                <w:sz w:val="15"/>
              </w:rPr>
              <w:t>Option B (B$)</w:t>
            </w:r>
          </w:p>
        </w:tc>
        <w:tc>
          <w:tcPr>
            <w:tcW w:type="dxa" w:w="2835"/>
            <w:shd w:val="clear" w:color="auto" w:fill="E1058C"/>
            <w:vAlign w:val="center"/>
          </w:tcPr>
          <w:p>
            <w:pPr>
              <w:spacing w:after="0"/>
            </w:pPr>
            <w:r>
              <w:rPr>
                <w:b/>
                <w:i w:val="0"/>
                <w:color w:val="FFFFFF"/>
                <w:sz w:val="15"/>
              </w:rPr>
              <w:t>Remarks</w:t>
            </w:r>
          </w:p>
        </w:tc>
      </w:tr>
      <w:tr>
        <w:trPr>
          <w:cantSplit/>
        </w:trPr>
        <w:tc>
          <w:tcPr>
            <w:tcW w:type="dxa" w:w="454"/>
            <w:vAlign w:val="top"/>
          </w:tcPr>
          <w:p>
            <w:pPr>
              <w:spacing w:after="20" w:line="252" w:lineRule="auto"/>
              <w:jc w:val="center"/>
            </w:pPr>
            <w:r>
              <w:rPr>
                <w:b w:val="0"/>
                <w:i w:val="0"/>
                <w:sz w:val="15"/>
              </w:rPr>
              <w:t>1</w:t>
            </w:r>
          </w:p>
        </w:tc>
        <w:tc>
          <w:tcPr>
            <w:tcW w:type="dxa" w:w="2268"/>
            <w:vAlign w:val="top"/>
          </w:tcPr>
          <w:p>
            <w:pPr>
              <w:spacing w:after="20" w:line="252" w:lineRule="auto"/>
            </w:pPr>
            <w:r>
              <w:rPr>
                <w:b w:val="0"/>
                <w:i w:val="0"/>
                <w:sz w:val="15"/>
              </w:rPr>
              <w:t>Software / application licence</w:t>
            </w:r>
          </w:p>
        </w:tc>
        <w:tc>
          <w:tcPr>
            <w:tcW w:type="dxa" w:w="1134"/>
            <w:vAlign w:val="top"/>
          </w:tcPr>
          <w:p>
            <w:pPr>
              <w:spacing w:after="20" w:line="252" w:lineRule="auto"/>
            </w:pPr>
            <w:r>
              <w:rPr>
                <w:b w:val="0"/>
                <w:i w:val="0"/>
                <w:sz w:val="15"/>
              </w:rPr>
              <w:t>One-off / licence</w:t>
            </w:r>
          </w:p>
        </w:tc>
        <w:tc>
          <w:tcPr>
            <w:tcW w:type="dxa" w:w="1361"/>
            <w:vAlign w:val="top"/>
          </w:tcPr>
          <w:p>
            <w:pPr>
              <w:spacing w:after="20" w:line="252" w:lineRule="auto"/>
              <w:jc w:val="right"/>
            </w:pPr>
            <w:r>
              <w:rPr>
                <w:b w:val="0"/>
                <w:i w:val="0"/>
                <w:sz w:val="15"/>
              </w:rPr>
              <w:t>48,000</w:t>
            </w:r>
          </w:p>
        </w:tc>
        <w:tc>
          <w:tcPr>
            <w:tcW w:type="dxa" w:w="1587"/>
            <w:vAlign w:val="top"/>
          </w:tcPr>
          <w:p>
            <w:pPr>
              <w:spacing w:after="20" w:line="252" w:lineRule="auto"/>
              <w:jc w:val="right"/>
            </w:pPr>
            <w:r>
              <w:rPr>
                <w:b w:val="0"/>
                <w:i w:val="0"/>
                <w:sz w:val="15"/>
              </w:rPr>
              <w:t>Included in subscription</w:t>
            </w:r>
          </w:p>
        </w:tc>
        <w:tc>
          <w:tcPr>
            <w:tcW w:type="dxa" w:w="2835"/>
            <w:vAlign w:val="top"/>
          </w:tcPr>
          <w:p>
            <w:pPr>
              <w:spacing w:after="20" w:line="252" w:lineRule="auto"/>
            </w:pPr>
            <w:r>
              <w:rPr>
                <w:b w:val="0"/>
                <w:i w:val="0"/>
                <w:sz w:val="15"/>
              </w:rPr>
              <w:t>A: perpetual, unlimited IIFT named users, all environments. B: right to use during the term.</w:t>
            </w:r>
          </w:p>
        </w:tc>
      </w:tr>
      <w:tr>
        <w:trPr>
          <w:cantSplit/>
        </w:trPr>
        <w:tc>
          <w:tcPr>
            <w:tcW w:type="dxa" w:w="454"/>
            <w:vAlign w:val="top"/>
            <w:shd w:val="clear" w:color="auto" w:fill="FDF0F7"/>
          </w:tcPr>
          <w:p>
            <w:pPr>
              <w:spacing w:after="20" w:line="252" w:lineRule="auto"/>
              <w:jc w:val="center"/>
            </w:pPr>
            <w:r>
              <w:rPr>
                <w:b w:val="0"/>
                <w:i w:val="0"/>
                <w:sz w:val="15"/>
              </w:rPr>
              <w:t>2</w:t>
            </w:r>
          </w:p>
        </w:tc>
        <w:tc>
          <w:tcPr>
            <w:tcW w:type="dxa" w:w="2268"/>
            <w:vAlign w:val="top"/>
            <w:shd w:val="clear" w:color="auto" w:fill="FDF0F7"/>
          </w:tcPr>
          <w:p>
            <w:pPr>
              <w:spacing w:after="20" w:line="252" w:lineRule="auto"/>
            </w:pPr>
            <w:r>
              <w:rPr>
                <w:b w:val="0"/>
                <w:i w:val="0"/>
                <w:sz w:val="15"/>
              </w:rPr>
              <w:t>Implementation</w:t>
            </w:r>
          </w:p>
        </w:tc>
        <w:tc>
          <w:tcPr>
            <w:tcW w:type="dxa" w:w="1134"/>
            <w:vAlign w:val="top"/>
            <w:shd w:val="clear" w:color="auto" w:fill="FDF0F7"/>
          </w:tcPr>
          <w:p>
            <w:pPr>
              <w:spacing w:after="20" w:line="252" w:lineRule="auto"/>
            </w:pPr>
            <w:r>
              <w:rPr>
                <w:b w:val="0"/>
                <w:i w:val="0"/>
                <w:sz w:val="15"/>
              </w:rPr>
              <w:t>One-off</w:t>
            </w:r>
          </w:p>
        </w:tc>
        <w:tc>
          <w:tcPr>
            <w:tcW w:type="dxa" w:w="1361"/>
            <w:vAlign w:val="top"/>
            <w:shd w:val="clear" w:color="auto" w:fill="FDF0F7"/>
          </w:tcPr>
          <w:p>
            <w:pPr>
              <w:spacing w:after="20" w:line="252" w:lineRule="auto"/>
              <w:jc w:val="right"/>
            </w:pPr>
            <w:r>
              <w:rPr>
                <w:b w:val="0"/>
                <w:i w:val="0"/>
                <w:sz w:val="15"/>
              </w:rPr>
              <w:t>64,000</w:t>
            </w:r>
          </w:p>
        </w:tc>
        <w:tc>
          <w:tcPr>
            <w:tcW w:type="dxa" w:w="1587"/>
            <w:vAlign w:val="top"/>
            <w:shd w:val="clear" w:color="auto" w:fill="FDF0F7"/>
          </w:tcPr>
          <w:p>
            <w:pPr>
              <w:spacing w:after="20" w:line="252" w:lineRule="auto"/>
              <w:jc w:val="right"/>
            </w:pPr>
            <w:r>
              <w:rPr>
                <w:b w:val="0"/>
                <w:i w:val="0"/>
                <w:sz w:val="15"/>
              </w:rPr>
              <w:t>64,000</w:t>
            </w:r>
          </w:p>
        </w:tc>
        <w:tc>
          <w:tcPr>
            <w:tcW w:type="dxa" w:w="2835"/>
            <w:vAlign w:val="top"/>
            <w:shd w:val="clear" w:color="auto" w:fill="FDF0F7"/>
          </w:tcPr>
          <w:p>
            <w:pPr>
              <w:spacing w:after="20" w:line="252" w:lineRule="auto"/>
            </w:pPr>
            <w:r>
              <w:rPr>
                <w:b w:val="0"/>
                <w:i w:val="0"/>
                <w:sz w:val="15"/>
              </w:rPr>
              <w:t>PM, BA, design, configuration, customisation, deployment (COM-06)</w:t>
            </w:r>
          </w:p>
        </w:tc>
      </w:tr>
      <w:tr>
        <w:trPr>
          <w:cantSplit/>
        </w:trPr>
        <w:tc>
          <w:tcPr>
            <w:tcW w:type="dxa" w:w="454"/>
            <w:vAlign w:val="top"/>
          </w:tcPr>
          <w:p>
            <w:pPr>
              <w:spacing w:after="20" w:line="252" w:lineRule="auto"/>
              <w:jc w:val="center"/>
            </w:pPr>
            <w:r>
              <w:rPr>
                <w:b w:val="0"/>
                <w:i w:val="0"/>
                <w:sz w:val="15"/>
              </w:rPr>
              <w:t>3</w:t>
            </w:r>
          </w:p>
        </w:tc>
        <w:tc>
          <w:tcPr>
            <w:tcW w:type="dxa" w:w="2268"/>
            <w:vAlign w:val="top"/>
          </w:tcPr>
          <w:p>
            <w:pPr>
              <w:spacing w:after="20" w:line="252" w:lineRule="auto"/>
            </w:pPr>
            <w:r>
              <w:rPr>
                <w:b w:val="0"/>
                <w:i w:val="0"/>
                <w:sz w:val="15"/>
              </w:rPr>
              <w:t>Integration</w:t>
            </w:r>
          </w:p>
        </w:tc>
        <w:tc>
          <w:tcPr>
            <w:tcW w:type="dxa" w:w="1134"/>
            <w:vAlign w:val="top"/>
          </w:tcPr>
          <w:p>
            <w:pPr>
              <w:spacing w:after="20" w:line="252" w:lineRule="auto"/>
            </w:pPr>
            <w:r>
              <w:rPr>
                <w:b w:val="0"/>
                <w:i w:val="0"/>
                <w:sz w:val="15"/>
              </w:rPr>
              <w:t>Per interface</w:t>
            </w:r>
          </w:p>
        </w:tc>
        <w:tc>
          <w:tcPr>
            <w:tcW w:type="dxa" w:w="1361"/>
            <w:vAlign w:val="top"/>
          </w:tcPr>
          <w:p>
            <w:pPr>
              <w:spacing w:after="20" w:line="252" w:lineRule="auto"/>
              <w:jc w:val="right"/>
            </w:pPr>
            <w:r>
              <w:rPr>
                <w:b w:val="0"/>
                <w:i w:val="0"/>
                <w:sz w:val="15"/>
              </w:rPr>
              <w:t>30,500</w:t>
            </w:r>
          </w:p>
        </w:tc>
        <w:tc>
          <w:tcPr>
            <w:tcW w:type="dxa" w:w="1587"/>
            <w:vAlign w:val="top"/>
          </w:tcPr>
          <w:p>
            <w:pPr>
              <w:spacing w:after="20" w:line="252" w:lineRule="auto"/>
              <w:jc w:val="right"/>
            </w:pPr>
            <w:r>
              <w:rPr>
                <w:b w:val="0"/>
                <w:i w:val="0"/>
                <w:sz w:val="15"/>
              </w:rPr>
              <w:t>30,500</w:t>
            </w:r>
          </w:p>
        </w:tc>
        <w:tc>
          <w:tcPr>
            <w:tcW w:type="dxa" w:w="2835"/>
            <w:vAlign w:val="top"/>
          </w:tcPr>
          <w:p>
            <w:pPr>
              <w:spacing w:after="20" w:line="252" w:lineRule="auto"/>
            </w:pPr>
            <w:r>
              <w:rPr>
                <w:b w:val="0"/>
                <w:i w:val="0"/>
                <w:sz w:val="15"/>
              </w:rPr>
              <w:t>Six interfaces, priced per interface (COM-05)</w:t>
            </w:r>
          </w:p>
        </w:tc>
      </w:tr>
      <w:tr>
        <w:trPr>
          <w:cantSplit/>
        </w:trPr>
        <w:tc>
          <w:tcPr>
            <w:tcW w:type="dxa" w:w="454"/>
            <w:vAlign w:val="top"/>
            <w:shd w:val="clear" w:color="auto" w:fill="FDF0F7"/>
          </w:tcPr>
          <w:p>
            <w:pPr>
              <w:spacing w:after="20" w:line="252" w:lineRule="auto"/>
              <w:jc w:val="center"/>
            </w:pPr>
            <w:r>
              <w:rPr>
                <w:b w:val="0"/>
                <w:i w:val="0"/>
                <w:sz w:val="15"/>
              </w:rPr>
              <w:t>4</w:t>
            </w:r>
          </w:p>
        </w:tc>
        <w:tc>
          <w:tcPr>
            <w:tcW w:type="dxa" w:w="2268"/>
            <w:vAlign w:val="top"/>
            <w:shd w:val="clear" w:color="auto" w:fill="FDF0F7"/>
          </w:tcPr>
          <w:p>
            <w:pPr>
              <w:spacing w:after="20" w:line="252" w:lineRule="auto"/>
            </w:pPr>
            <w:r>
              <w:rPr>
                <w:b w:val="0"/>
                <w:i w:val="0"/>
                <w:sz w:val="15"/>
              </w:rPr>
              <w:t>Data migration</w:t>
            </w:r>
          </w:p>
        </w:tc>
        <w:tc>
          <w:tcPr>
            <w:tcW w:type="dxa" w:w="1134"/>
            <w:vAlign w:val="top"/>
            <w:shd w:val="clear" w:color="auto" w:fill="FDF0F7"/>
          </w:tcPr>
          <w:p>
            <w:pPr>
              <w:spacing w:after="20" w:line="252" w:lineRule="auto"/>
            </w:pPr>
            <w:r>
              <w:rPr>
                <w:b w:val="0"/>
                <w:i w:val="0"/>
                <w:sz w:val="15"/>
              </w:rPr>
              <w:t>One-off</w:t>
            </w:r>
          </w:p>
        </w:tc>
        <w:tc>
          <w:tcPr>
            <w:tcW w:type="dxa" w:w="1361"/>
            <w:vAlign w:val="top"/>
            <w:shd w:val="clear" w:color="auto" w:fill="FDF0F7"/>
          </w:tcPr>
          <w:p>
            <w:pPr>
              <w:spacing w:after="20" w:line="252" w:lineRule="auto"/>
              <w:jc w:val="right"/>
            </w:pPr>
            <w:r>
              <w:rPr>
                <w:b w:val="0"/>
                <w:i w:val="0"/>
                <w:sz w:val="15"/>
              </w:rPr>
              <w:t>7,500</w:t>
            </w:r>
          </w:p>
        </w:tc>
        <w:tc>
          <w:tcPr>
            <w:tcW w:type="dxa" w:w="1587"/>
            <w:vAlign w:val="top"/>
            <w:shd w:val="clear" w:color="auto" w:fill="FDF0F7"/>
          </w:tcPr>
          <w:p>
            <w:pPr>
              <w:spacing w:after="20" w:line="252" w:lineRule="auto"/>
              <w:jc w:val="right"/>
            </w:pPr>
            <w:r>
              <w:rPr>
                <w:b w:val="0"/>
                <w:i w:val="0"/>
                <w:sz w:val="15"/>
              </w:rPr>
              <w:t>7,500</w:t>
            </w:r>
          </w:p>
        </w:tc>
        <w:tc>
          <w:tcPr>
            <w:tcW w:type="dxa" w:w="2835"/>
            <w:vAlign w:val="top"/>
            <w:shd w:val="clear" w:color="auto" w:fill="FDF0F7"/>
          </w:tcPr>
          <w:p>
            <w:pPr>
              <w:spacing w:after="20" w:line="252" w:lineRule="auto"/>
            </w:pPr>
            <w:r>
              <w:rPr>
                <w:b w:val="0"/>
                <w:i w:val="0"/>
                <w:sz w:val="15"/>
              </w:rPr>
              <w:t>Two dry runs, load and reconciliation (COM-07)</w:t>
            </w:r>
          </w:p>
        </w:tc>
      </w:tr>
      <w:tr>
        <w:trPr>
          <w:cantSplit/>
        </w:trPr>
        <w:tc>
          <w:tcPr>
            <w:tcW w:type="dxa" w:w="454"/>
            <w:vAlign w:val="top"/>
          </w:tcPr>
          <w:p>
            <w:pPr>
              <w:spacing w:after="20" w:line="252" w:lineRule="auto"/>
              <w:jc w:val="center"/>
            </w:pPr>
            <w:r>
              <w:rPr>
                <w:b w:val="0"/>
                <w:i w:val="0"/>
                <w:sz w:val="15"/>
              </w:rPr>
              <w:t>5</w:t>
            </w:r>
          </w:p>
        </w:tc>
        <w:tc>
          <w:tcPr>
            <w:tcW w:type="dxa" w:w="2268"/>
            <w:vAlign w:val="top"/>
          </w:tcPr>
          <w:p>
            <w:pPr>
              <w:spacing w:after="20" w:line="252" w:lineRule="auto"/>
            </w:pPr>
            <w:r>
              <w:rPr>
                <w:b w:val="0"/>
                <w:i w:val="0"/>
                <w:sz w:val="15"/>
              </w:rPr>
              <w:t>Infrastructure / cloud</w:t>
            </w:r>
          </w:p>
        </w:tc>
        <w:tc>
          <w:tcPr>
            <w:tcW w:type="dxa" w:w="1134"/>
            <w:vAlign w:val="top"/>
          </w:tcPr>
          <w:p>
            <w:pPr>
              <w:spacing w:after="20" w:line="252" w:lineRule="auto"/>
            </w:pPr>
            <w:r>
              <w:rPr>
                <w:b w:val="0"/>
                <w:i w:val="0"/>
                <w:sz w:val="15"/>
              </w:rPr>
              <w:t>Annual</w:t>
            </w:r>
          </w:p>
        </w:tc>
        <w:tc>
          <w:tcPr>
            <w:tcW w:type="dxa" w:w="1361"/>
            <w:vAlign w:val="top"/>
          </w:tcPr>
          <w:p>
            <w:pPr>
              <w:spacing w:after="20" w:line="252" w:lineRule="auto"/>
              <w:jc w:val="right"/>
            </w:pPr>
            <w:r>
              <w:rPr>
                <w:b w:val="0"/>
                <w:i w:val="0"/>
                <w:sz w:val="15"/>
              </w:rPr>
              <w:t>IIFT procures (BOM)</w:t>
            </w:r>
          </w:p>
        </w:tc>
        <w:tc>
          <w:tcPr>
            <w:tcW w:type="dxa" w:w="1587"/>
            <w:vAlign w:val="top"/>
          </w:tcPr>
          <w:p>
            <w:pPr>
              <w:spacing w:after="20" w:line="252" w:lineRule="auto"/>
              <w:jc w:val="right"/>
            </w:pPr>
            <w:r>
              <w:rPr>
                <w:b w:val="0"/>
                <w:i w:val="0"/>
                <w:sz w:val="15"/>
              </w:rPr>
              <w:t>15,000 set-up (one-off)</w:t>
            </w:r>
          </w:p>
          <w:p>
            <w:pPr>
              <w:spacing w:after="20" w:line="252" w:lineRule="auto"/>
              <w:jc w:val="right"/>
            </w:pPr>
            <w:r>
              <w:rPr>
                <w:b w:val="0"/>
                <w:i w:val="0"/>
                <w:sz w:val="15"/>
              </w:rPr>
              <w:t>+ managed services 13,200 (Year 1)</w:t>
            </w:r>
          </w:p>
          <w:p>
            <w:pPr>
              <w:spacing w:after="20" w:line="252" w:lineRule="auto"/>
              <w:jc w:val="right"/>
            </w:pPr>
            <w:r>
              <w:rPr>
                <w:b w:val="0"/>
                <w:i w:val="0"/>
                <w:sz w:val="15"/>
              </w:rPr>
              <w:t>+ cloud at cost</w:t>
            </w:r>
          </w:p>
        </w:tc>
        <w:tc>
          <w:tcPr>
            <w:tcW w:type="dxa" w:w="2835"/>
            <w:vAlign w:val="top"/>
          </w:tcPr>
          <w:p>
            <w:pPr>
              <w:spacing w:after="20" w:line="252" w:lineRule="auto"/>
            </w:pPr>
            <w:r>
              <w:rPr>
                <w:b w:val="0"/>
                <w:i w:val="0"/>
                <w:sz w:val="15"/>
              </w:rPr>
              <w:t>A: IIFT's own procurement to iorta's sizing. B: set-up at signing; cloud recharged at cost as a disbursement; managed services +5% a year</w:t>
            </w:r>
          </w:p>
        </w:tc>
      </w:tr>
      <w:tr>
        <w:trPr>
          <w:cantSplit/>
        </w:trPr>
        <w:tc>
          <w:tcPr>
            <w:tcW w:type="dxa" w:w="454"/>
            <w:vAlign w:val="top"/>
            <w:shd w:val="clear" w:color="auto" w:fill="FDF0F7"/>
          </w:tcPr>
          <w:p>
            <w:pPr>
              <w:spacing w:after="20" w:line="252" w:lineRule="auto"/>
              <w:jc w:val="center"/>
            </w:pPr>
            <w:r>
              <w:rPr>
                <w:b w:val="0"/>
                <w:i w:val="0"/>
                <w:sz w:val="15"/>
              </w:rPr>
              <w:t>6</w:t>
            </w:r>
          </w:p>
        </w:tc>
        <w:tc>
          <w:tcPr>
            <w:tcW w:type="dxa" w:w="2268"/>
            <w:vAlign w:val="top"/>
            <w:shd w:val="clear" w:color="auto" w:fill="FDF0F7"/>
          </w:tcPr>
          <w:p>
            <w:pPr>
              <w:spacing w:after="20" w:line="252" w:lineRule="auto"/>
            </w:pPr>
            <w:r>
              <w:rPr>
                <w:b w:val="0"/>
                <w:i w:val="0"/>
                <w:sz w:val="15"/>
              </w:rPr>
              <w:t>Database</w:t>
            </w:r>
          </w:p>
        </w:tc>
        <w:tc>
          <w:tcPr>
            <w:tcW w:type="dxa" w:w="1134"/>
            <w:vAlign w:val="top"/>
            <w:shd w:val="clear" w:color="auto" w:fill="FDF0F7"/>
          </w:tcPr>
          <w:p>
            <w:pPr>
              <w:spacing w:after="20" w:line="252" w:lineRule="auto"/>
            </w:pPr>
            <w:r>
              <w:rPr>
                <w:b w:val="0"/>
                <w:i w:val="0"/>
                <w:sz w:val="15"/>
              </w:rPr>
              <w:t>Annual</w:t>
            </w:r>
          </w:p>
        </w:tc>
        <w:tc>
          <w:tcPr>
            <w:tcW w:type="dxa" w:w="1361"/>
            <w:vAlign w:val="top"/>
            <w:shd w:val="clear" w:color="auto" w:fill="FDF0F7"/>
          </w:tcPr>
          <w:p>
            <w:pPr>
              <w:spacing w:after="20" w:line="252" w:lineRule="auto"/>
              <w:jc w:val="right"/>
            </w:pPr>
            <w:r>
              <w:rPr>
                <w:b w:val="0"/>
                <w:i w:val="0"/>
                <w:sz w:val="15"/>
              </w:rPr>
              <w:t>0 (PostgreSQL)</w:t>
            </w:r>
          </w:p>
        </w:tc>
        <w:tc>
          <w:tcPr>
            <w:tcW w:type="dxa" w:w="1587"/>
            <w:vAlign w:val="top"/>
            <w:shd w:val="clear" w:color="auto" w:fill="FDF0F7"/>
          </w:tcPr>
          <w:p>
            <w:pPr>
              <w:spacing w:after="20" w:line="252" w:lineRule="auto"/>
              <w:jc w:val="right"/>
            </w:pPr>
            <w:r>
              <w:rPr>
                <w:b w:val="0"/>
                <w:i w:val="0"/>
                <w:sz w:val="15"/>
              </w:rPr>
              <w:t>In cloud actuals</w:t>
            </w:r>
          </w:p>
        </w:tc>
        <w:tc>
          <w:tcPr>
            <w:tcW w:type="dxa" w:w="2835"/>
            <w:vAlign w:val="top"/>
            <w:shd w:val="clear" w:color="auto" w:fill="FDF0F7"/>
          </w:tcPr>
          <w:p>
            <w:pPr>
              <w:spacing w:after="20" w:line="252" w:lineRule="auto"/>
            </w:pPr>
            <w:r>
              <w:rPr>
                <w:b w:val="0"/>
                <w:i w:val="0"/>
                <w:sz w:val="15"/>
              </w:rPr>
              <w:t>No database licence fee; support in AMC or managed services</w:t>
            </w:r>
          </w:p>
        </w:tc>
      </w:tr>
      <w:tr>
        <w:trPr>
          <w:cantSplit/>
        </w:trPr>
        <w:tc>
          <w:tcPr>
            <w:tcW w:type="dxa" w:w="454"/>
            <w:vAlign w:val="top"/>
          </w:tcPr>
          <w:p>
            <w:pPr>
              <w:spacing w:after="20" w:line="252" w:lineRule="auto"/>
              <w:jc w:val="center"/>
            </w:pPr>
            <w:r>
              <w:rPr>
                <w:b w:val="0"/>
                <w:i w:val="0"/>
                <w:sz w:val="15"/>
              </w:rPr>
              <w:t>7</w:t>
            </w:r>
          </w:p>
        </w:tc>
        <w:tc>
          <w:tcPr>
            <w:tcW w:type="dxa" w:w="2268"/>
            <w:vAlign w:val="top"/>
          </w:tcPr>
          <w:p>
            <w:pPr>
              <w:spacing w:after="20" w:line="252" w:lineRule="auto"/>
            </w:pPr>
            <w:r>
              <w:rPr>
                <w:b w:val="0"/>
                <w:i w:val="0"/>
                <w:sz w:val="15"/>
              </w:rPr>
              <w:t>Security</w:t>
            </w:r>
          </w:p>
        </w:tc>
        <w:tc>
          <w:tcPr>
            <w:tcW w:type="dxa" w:w="1134"/>
            <w:vAlign w:val="top"/>
          </w:tcPr>
          <w:p>
            <w:pPr>
              <w:spacing w:after="20" w:line="252" w:lineRule="auto"/>
            </w:pPr>
            <w:r>
              <w:rPr>
                <w:b w:val="0"/>
                <w:i w:val="0"/>
                <w:sz w:val="15"/>
              </w:rPr>
              <w:t>One-off / annual</w:t>
            </w:r>
          </w:p>
        </w:tc>
        <w:tc>
          <w:tcPr>
            <w:tcW w:type="dxa" w:w="1361"/>
            <w:vAlign w:val="top"/>
          </w:tcPr>
          <w:p>
            <w:pPr>
              <w:spacing w:after="20" w:line="252" w:lineRule="auto"/>
              <w:jc w:val="right"/>
            </w:pPr>
            <w:r>
              <w:rPr>
                <w:b w:val="0"/>
                <w:i w:val="0"/>
                <w:sz w:val="15"/>
              </w:rPr>
              <w:t>8,500</w:t>
            </w:r>
          </w:p>
        </w:tc>
        <w:tc>
          <w:tcPr>
            <w:tcW w:type="dxa" w:w="1587"/>
            <w:vAlign w:val="top"/>
          </w:tcPr>
          <w:p>
            <w:pPr>
              <w:spacing w:after="20" w:line="252" w:lineRule="auto"/>
              <w:jc w:val="right"/>
            </w:pPr>
            <w:r>
              <w:rPr>
                <w:b w:val="0"/>
                <w:i w:val="0"/>
                <w:sz w:val="15"/>
              </w:rPr>
              <w:t>8,500</w:t>
            </w:r>
          </w:p>
        </w:tc>
        <w:tc>
          <w:tcPr>
            <w:tcW w:type="dxa" w:w="2835"/>
            <w:vAlign w:val="top"/>
          </w:tcPr>
          <w:p>
            <w:pPr>
              <w:spacing w:after="20" w:line="252" w:lineRule="auto"/>
            </w:pPr>
            <w:r>
              <w:rPr>
                <w:b w:val="0"/>
                <w:i w:val="0"/>
                <w:sz w:val="15"/>
              </w:rPr>
              <w:t>Independent VAPT and re-test; certificates in the BOM</w:t>
            </w:r>
          </w:p>
        </w:tc>
      </w:tr>
      <w:tr>
        <w:trPr>
          <w:cantSplit/>
        </w:trPr>
        <w:tc>
          <w:tcPr>
            <w:tcW w:type="dxa" w:w="454"/>
            <w:vAlign w:val="top"/>
            <w:shd w:val="clear" w:color="auto" w:fill="FDF0F7"/>
          </w:tcPr>
          <w:p>
            <w:pPr>
              <w:spacing w:after="20" w:line="252" w:lineRule="auto"/>
              <w:jc w:val="center"/>
            </w:pPr>
            <w:r>
              <w:rPr>
                <w:b w:val="0"/>
                <w:i w:val="0"/>
                <w:sz w:val="15"/>
              </w:rPr>
              <w:t>8</w:t>
            </w:r>
          </w:p>
        </w:tc>
        <w:tc>
          <w:tcPr>
            <w:tcW w:type="dxa" w:w="2268"/>
            <w:vAlign w:val="top"/>
            <w:shd w:val="clear" w:color="auto" w:fill="FDF0F7"/>
          </w:tcPr>
          <w:p>
            <w:pPr>
              <w:spacing w:after="20" w:line="252" w:lineRule="auto"/>
            </w:pPr>
            <w:r>
              <w:rPr>
                <w:b w:val="0"/>
                <w:i w:val="0"/>
                <w:sz w:val="15"/>
              </w:rPr>
              <w:t>Testing</w:t>
            </w:r>
          </w:p>
        </w:tc>
        <w:tc>
          <w:tcPr>
            <w:tcW w:type="dxa" w:w="1134"/>
            <w:vAlign w:val="top"/>
            <w:shd w:val="clear" w:color="auto" w:fill="FDF0F7"/>
          </w:tcPr>
          <w:p>
            <w:pPr>
              <w:spacing w:after="20" w:line="252" w:lineRule="auto"/>
            </w:pPr>
            <w:r>
              <w:rPr>
                <w:b w:val="0"/>
                <w:i w:val="0"/>
                <w:sz w:val="15"/>
              </w:rPr>
              <w:t>One-off</w:t>
            </w:r>
          </w:p>
        </w:tc>
        <w:tc>
          <w:tcPr>
            <w:tcW w:type="dxa" w:w="1361"/>
            <w:vAlign w:val="top"/>
            <w:shd w:val="clear" w:color="auto" w:fill="FDF0F7"/>
          </w:tcPr>
          <w:p>
            <w:pPr>
              <w:spacing w:after="20" w:line="252" w:lineRule="auto"/>
              <w:jc w:val="right"/>
            </w:pPr>
            <w:r>
              <w:rPr>
                <w:b w:val="0"/>
                <w:i w:val="0"/>
                <w:sz w:val="15"/>
              </w:rPr>
              <w:t>10,000</w:t>
            </w:r>
          </w:p>
        </w:tc>
        <w:tc>
          <w:tcPr>
            <w:tcW w:type="dxa" w:w="1587"/>
            <w:vAlign w:val="top"/>
            <w:shd w:val="clear" w:color="auto" w:fill="FDF0F7"/>
          </w:tcPr>
          <w:p>
            <w:pPr>
              <w:spacing w:after="20" w:line="252" w:lineRule="auto"/>
              <w:jc w:val="right"/>
            </w:pPr>
            <w:r>
              <w:rPr>
                <w:b w:val="0"/>
                <w:i w:val="0"/>
                <w:sz w:val="15"/>
              </w:rPr>
              <w:t>10,000</w:t>
            </w:r>
          </w:p>
        </w:tc>
        <w:tc>
          <w:tcPr>
            <w:tcW w:type="dxa" w:w="2835"/>
            <w:vAlign w:val="top"/>
            <w:shd w:val="clear" w:color="auto" w:fill="FDF0F7"/>
          </w:tcPr>
          <w:p>
            <w:pPr>
              <w:spacing w:after="20" w:line="252" w:lineRule="auto"/>
            </w:pPr>
            <w:r>
              <w:rPr>
                <w:b w:val="0"/>
                <w:i w:val="0"/>
                <w:sz w:val="15"/>
              </w:rPr>
              <w:t>SIT, performance, regression and UAT support (COM-08)</w:t>
            </w:r>
          </w:p>
        </w:tc>
      </w:tr>
      <w:tr>
        <w:trPr>
          <w:cantSplit/>
        </w:trPr>
        <w:tc>
          <w:tcPr>
            <w:tcW w:type="dxa" w:w="454"/>
            <w:vAlign w:val="top"/>
          </w:tcPr>
          <w:p>
            <w:pPr>
              <w:spacing w:after="20" w:line="252" w:lineRule="auto"/>
              <w:jc w:val="center"/>
            </w:pPr>
            <w:r>
              <w:rPr>
                <w:b w:val="0"/>
                <w:i w:val="0"/>
                <w:sz w:val="15"/>
              </w:rPr>
              <w:t>9</w:t>
            </w:r>
          </w:p>
        </w:tc>
        <w:tc>
          <w:tcPr>
            <w:tcW w:type="dxa" w:w="2268"/>
            <w:vAlign w:val="top"/>
          </w:tcPr>
          <w:p>
            <w:pPr>
              <w:spacing w:after="20" w:line="252" w:lineRule="auto"/>
            </w:pPr>
            <w:r>
              <w:rPr>
                <w:b w:val="0"/>
                <w:i w:val="0"/>
                <w:sz w:val="15"/>
              </w:rPr>
              <w:t>Training</w:t>
            </w:r>
          </w:p>
        </w:tc>
        <w:tc>
          <w:tcPr>
            <w:tcW w:type="dxa" w:w="1134"/>
            <w:vAlign w:val="top"/>
          </w:tcPr>
          <w:p>
            <w:pPr>
              <w:spacing w:after="20" w:line="252" w:lineRule="auto"/>
            </w:pPr>
            <w:r>
              <w:rPr>
                <w:b w:val="0"/>
                <w:i w:val="0"/>
                <w:sz w:val="15"/>
              </w:rPr>
              <w:t>One-off</w:t>
            </w:r>
          </w:p>
        </w:tc>
        <w:tc>
          <w:tcPr>
            <w:tcW w:type="dxa" w:w="1361"/>
            <w:vAlign w:val="top"/>
          </w:tcPr>
          <w:p>
            <w:pPr>
              <w:spacing w:after="20" w:line="252" w:lineRule="auto"/>
              <w:jc w:val="right"/>
            </w:pPr>
            <w:r>
              <w:rPr>
                <w:b w:val="0"/>
                <w:i w:val="0"/>
                <w:sz w:val="15"/>
              </w:rPr>
              <w:t>4,500</w:t>
            </w:r>
          </w:p>
        </w:tc>
        <w:tc>
          <w:tcPr>
            <w:tcW w:type="dxa" w:w="1587"/>
            <w:vAlign w:val="top"/>
          </w:tcPr>
          <w:p>
            <w:pPr>
              <w:spacing w:after="20" w:line="252" w:lineRule="auto"/>
              <w:jc w:val="right"/>
            </w:pPr>
            <w:r>
              <w:rPr>
                <w:b w:val="0"/>
                <w:i w:val="0"/>
                <w:sz w:val="15"/>
              </w:rPr>
              <w:t>4,500</w:t>
            </w:r>
          </w:p>
        </w:tc>
        <w:tc>
          <w:tcPr>
            <w:tcW w:type="dxa" w:w="2835"/>
            <w:vAlign w:val="top"/>
          </w:tcPr>
          <w:p>
            <w:pPr>
              <w:spacing w:after="20" w:line="252" w:lineRule="auto"/>
            </w:pPr>
            <w:r>
              <w:rPr>
                <w:b w:val="0"/>
                <w:i w:val="0"/>
                <w:sz w:val="15"/>
              </w:rPr>
              <w:t>End-user, administrator and technical training</w:t>
            </w:r>
          </w:p>
        </w:tc>
      </w:tr>
      <w:tr>
        <w:trPr>
          <w:cantSplit/>
        </w:trPr>
        <w:tc>
          <w:tcPr>
            <w:tcW w:type="dxa" w:w="454"/>
            <w:vAlign w:val="top"/>
            <w:shd w:val="clear" w:color="auto" w:fill="FDF0F7"/>
          </w:tcPr>
          <w:p>
            <w:pPr>
              <w:spacing w:after="20" w:line="252" w:lineRule="auto"/>
              <w:jc w:val="center"/>
            </w:pPr>
            <w:r>
              <w:rPr>
                <w:b w:val="0"/>
                <w:i w:val="0"/>
                <w:sz w:val="15"/>
              </w:rPr>
              <w:t>10</w:t>
            </w:r>
          </w:p>
        </w:tc>
        <w:tc>
          <w:tcPr>
            <w:tcW w:type="dxa" w:w="2268"/>
            <w:vAlign w:val="top"/>
            <w:shd w:val="clear" w:color="auto" w:fill="FDF0F7"/>
          </w:tcPr>
          <w:p>
            <w:pPr>
              <w:spacing w:after="20" w:line="252" w:lineRule="auto"/>
            </w:pPr>
            <w:r>
              <w:rPr>
                <w:b w:val="0"/>
                <w:i w:val="0"/>
                <w:sz w:val="15"/>
              </w:rPr>
              <w:t>Documentation</w:t>
            </w:r>
          </w:p>
        </w:tc>
        <w:tc>
          <w:tcPr>
            <w:tcW w:type="dxa" w:w="1134"/>
            <w:vAlign w:val="top"/>
            <w:shd w:val="clear" w:color="auto" w:fill="FDF0F7"/>
          </w:tcPr>
          <w:p>
            <w:pPr>
              <w:spacing w:after="20" w:line="252" w:lineRule="auto"/>
            </w:pPr>
            <w:r>
              <w:rPr>
                <w:b w:val="0"/>
                <w:i w:val="0"/>
                <w:sz w:val="15"/>
              </w:rPr>
              <w:t>One-off</w:t>
            </w:r>
          </w:p>
        </w:tc>
        <w:tc>
          <w:tcPr>
            <w:tcW w:type="dxa" w:w="1361"/>
            <w:vAlign w:val="top"/>
            <w:shd w:val="clear" w:color="auto" w:fill="FDF0F7"/>
          </w:tcPr>
          <w:p>
            <w:pPr>
              <w:spacing w:after="20" w:line="252" w:lineRule="auto"/>
              <w:jc w:val="right"/>
            </w:pPr>
            <w:r>
              <w:rPr>
                <w:b w:val="0"/>
                <w:i w:val="0"/>
                <w:sz w:val="15"/>
              </w:rPr>
              <w:t>5,000</w:t>
            </w:r>
          </w:p>
        </w:tc>
        <w:tc>
          <w:tcPr>
            <w:tcW w:type="dxa" w:w="1587"/>
            <w:vAlign w:val="top"/>
            <w:shd w:val="clear" w:color="auto" w:fill="FDF0F7"/>
          </w:tcPr>
          <w:p>
            <w:pPr>
              <w:spacing w:after="20" w:line="252" w:lineRule="auto"/>
              <w:jc w:val="right"/>
            </w:pPr>
            <w:r>
              <w:rPr>
                <w:b w:val="0"/>
                <w:i w:val="0"/>
                <w:sz w:val="15"/>
              </w:rPr>
              <w:t>5,000</w:t>
            </w:r>
          </w:p>
        </w:tc>
        <w:tc>
          <w:tcPr>
            <w:tcW w:type="dxa" w:w="2835"/>
            <w:vAlign w:val="top"/>
            <w:shd w:val="clear" w:color="auto" w:fill="FDF0F7"/>
          </w:tcPr>
          <w:p>
            <w:pPr>
              <w:spacing w:after="20" w:line="252" w:lineRule="auto"/>
            </w:pPr>
            <w:r>
              <w:rPr>
                <w:b w:val="0"/>
                <w:i w:val="0"/>
                <w:sz w:val="15"/>
              </w:rPr>
              <w:t>User, administrator, technical and operations manuals</w:t>
            </w:r>
          </w:p>
        </w:tc>
      </w:tr>
      <w:tr>
        <w:trPr>
          <w:cantSplit/>
        </w:trPr>
        <w:tc>
          <w:tcPr>
            <w:tcW w:type="dxa" w:w="454"/>
            <w:vAlign w:val="top"/>
          </w:tcPr>
          <w:p>
            <w:pPr>
              <w:spacing w:after="20" w:line="252" w:lineRule="auto"/>
              <w:jc w:val="center"/>
            </w:pPr>
            <w:r>
              <w:rPr>
                <w:b w:val="0"/>
                <w:i w:val="0"/>
                <w:sz w:val="15"/>
              </w:rPr>
              <w:t>11</w:t>
            </w:r>
          </w:p>
        </w:tc>
        <w:tc>
          <w:tcPr>
            <w:tcW w:type="dxa" w:w="2268"/>
            <w:vAlign w:val="top"/>
          </w:tcPr>
          <w:p>
            <w:pPr>
              <w:spacing w:after="20" w:line="252" w:lineRule="auto"/>
            </w:pPr>
            <w:r>
              <w:rPr>
                <w:b w:val="0"/>
                <w:i w:val="0"/>
                <w:sz w:val="15"/>
              </w:rPr>
              <w:t>Warranty</w:t>
            </w:r>
          </w:p>
        </w:tc>
        <w:tc>
          <w:tcPr>
            <w:tcW w:type="dxa" w:w="1134"/>
            <w:vAlign w:val="top"/>
          </w:tcPr>
          <w:p>
            <w:pPr>
              <w:spacing w:after="20" w:line="252" w:lineRule="auto"/>
            </w:pPr>
            <w:r>
              <w:rPr>
                <w:b w:val="0"/>
                <w:i w:val="0"/>
                <w:sz w:val="15"/>
              </w:rPr>
              <w:t>Included</w:t>
            </w:r>
          </w:p>
        </w:tc>
        <w:tc>
          <w:tcPr>
            <w:tcW w:type="dxa" w:w="1361"/>
            <w:vAlign w:val="top"/>
          </w:tcPr>
          <w:p>
            <w:pPr>
              <w:spacing w:after="20" w:line="252" w:lineRule="auto"/>
              <w:jc w:val="right"/>
            </w:pPr>
            <w:r>
              <w:rPr>
                <w:b w:val="0"/>
                <w:i w:val="0"/>
                <w:sz w:val="15"/>
              </w:rPr>
              <w:t>Included (6 months)</w:t>
            </w:r>
          </w:p>
        </w:tc>
        <w:tc>
          <w:tcPr>
            <w:tcW w:type="dxa" w:w="1587"/>
            <w:vAlign w:val="top"/>
          </w:tcPr>
          <w:p>
            <w:pPr>
              <w:spacing w:after="20" w:line="252" w:lineRule="auto"/>
              <w:jc w:val="right"/>
            </w:pPr>
            <w:r>
              <w:rPr>
                <w:b w:val="0"/>
                <w:i w:val="0"/>
                <w:sz w:val="15"/>
              </w:rPr>
              <w:t>Included (6 months)</w:t>
            </w:r>
          </w:p>
        </w:tc>
        <w:tc>
          <w:tcPr>
            <w:tcW w:type="dxa" w:w="2835"/>
            <w:vAlign w:val="top"/>
          </w:tcPr>
          <w:p>
            <w:pPr>
              <w:spacing w:after="20" w:line="252" w:lineRule="auto"/>
            </w:pPr>
            <w:r>
              <w:rPr>
                <w:b w:val="0"/>
                <w:i w:val="0"/>
                <w:sz w:val="15"/>
              </w:rPr>
              <w:t>Defect correction from production go-live</w:t>
            </w:r>
          </w:p>
        </w:tc>
      </w:tr>
      <w:tr>
        <w:trPr>
          <w:cantSplit/>
        </w:trPr>
        <w:tc>
          <w:tcPr>
            <w:tcW w:type="dxa" w:w="454"/>
            <w:vAlign w:val="top"/>
            <w:shd w:val="clear" w:color="auto" w:fill="FEEBDD"/>
          </w:tcPr>
          <w:p>
            <w:pPr>
              <w:spacing w:after="20" w:line="252" w:lineRule="auto"/>
              <w:jc w:val="center"/>
            </w:pPr>
          </w:p>
        </w:tc>
        <w:tc>
          <w:tcPr>
            <w:tcW w:type="dxa" w:w="2268"/>
            <w:vAlign w:val="top"/>
            <w:shd w:val="clear" w:color="auto" w:fill="FEEBDD"/>
          </w:tcPr>
          <w:p>
            <w:pPr>
              <w:spacing w:after="20" w:line="252" w:lineRule="auto"/>
            </w:pPr>
            <w:r>
              <w:rPr>
                <w:b/>
                <w:i w:val="0"/>
                <w:sz w:val="15"/>
              </w:rPr>
              <w:t>Subtotal one-time (items 1–11)</w:t>
            </w:r>
          </w:p>
        </w:tc>
        <w:tc>
          <w:tcPr>
            <w:tcW w:type="dxa" w:w="1134"/>
            <w:vAlign w:val="top"/>
            <w:shd w:val="clear" w:color="auto" w:fill="FEEBDD"/>
          </w:tcPr>
          <w:p>
            <w:pPr>
              <w:spacing w:after="20" w:line="252" w:lineRule="auto"/>
            </w:pPr>
          </w:p>
        </w:tc>
        <w:tc>
          <w:tcPr>
            <w:tcW w:type="dxa" w:w="1361"/>
            <w:vAlign w:val="top"/>
            <w:shd w:val="clear" w:color="auto" w:fill="FEEBDD"/>
          </w:tcPr>
          <w:p>
            <w:pPr>
              <w:spacing w:after="20" w:line="252" w:lineRule="auto"/>
              <w:jc w:val="right"/>
            </w:pPr>
            <w:r>
              <w:rPr>
                <w:b/>
                <w:i w:val="0"/>
                <w:sz w:val="15"/>
              </w:rPr>
              <w:t>178,000</w:t>
            </w:r>
          </w:p>
        </w:tc>
        <w:tc>
          <w:tcPr>
            <w:tcW w:type="dxa" w:w="1587"/>
            <w:vAlign w:val="top"/>
            <w:shd w:val="clear" w:color="auto" w:fill="FEEBDD"/>
          </w:tcPr>
          <w:p>
            <w:pPr>
              <w:spacing w:after="20" w:line="252" w:lineRule="auto"/>
              <w:jc w:val="right"/>
            </w:pPr>
            <w:r>
              <w:rPr>
                <w:b/>
                <w:i w:val="0"/>
                <w:sz w:val="15"/>
              </w:rPr>
              <w:t>145,000</w:t>
            </w:r>
          </w:p>
        </w:tc>
        <w:tc>
          <w:tcPr>
            <w:tcW w:type="dxa" w:w="2835"/>
            <w:vAlign w:val="top"/>
            <w:shd w:val="clear" w:color="auto" w:fill="FEEBDD"/>
          </w:tcPr>
          <w:p>
            <w:pPr>
              <w:spacing w:after="20" w:line="252" w:lineRule="auto"/>
            </w:pPr>
            <w:r>
              <w:rPr>
                <w:b/>
                <w:i w:val="0"/>
                <w:sz w:val="15"/>
              </w:rPr>
              <w:t>Fixed price; B includes the cloud set-up</w:t>
            </w:r>
          </w:p>
        </w:tc>
      </w:tr>
      <w:tr>
        <w:trPr>
          <w:cantSplit/>
        </w:trPr>
        <w:tc>
          <w:tcPr>
            <w:tcW w:type="dxa" w:w="454"/>
            <w:vAlign w:val="top"/>
          </w:tcPr>
          <w:p>
            <w:pPr>
              <w:spacing w:after="20" w:line="252" w:lineRule="auto"/>
              <w:jc w:val="center"/>
            </w:pPr>
            <w:r>
              <w:rPr>
                <w:b w:val="0"/>
                <w:i w:val="0"/>
                <w:sz w:val="15"/>
              </w:rPr>
              <w:t>12</w:t>
            </w:r>
          </w:p>
        </w:tc>
        <w:tc>
          <w:tcPr>
            <w:tcW w:type="dxa" w:w="2268"/>
            <w:vAlign w:val="top"/>
          </w:tcPr>
          <w:p>
            <w:pPr>
              <w:spacing w:after="20" w:line="252" w:lineRule="auto"/>
            </w:pPr>
            <w:r>
              <w:rPr>
                <w:b w:val="0"/>
                <w:i w:val="0"/>
                <w:sz w:val="15"/>
              </w:rPr>
              <w:t>Year 1 maintenance</w:t>
            </w:r>
          </w:p>
        </w:tc>
        <w:tc>
          <w:tcPr>
            <w:tcW w:type="dxa" w:w="1134"/>
            <w:vAlign w:val="top"/>
          </w:tcPr>
          <w:p>
            <w:pPr>
              <w:spacing w:after="20" w:line="252" w:lineRule="auto"/>
            </w:pPr>
            <w:r>
              <w:rPr>
                <w:b w:val="0"/>
                <w:i w:val="0"/>
                <w:sz w:val="15"/>
              </w:rPr>
              <w:t>Annual</w:t>
            </w:r>
          </w:p>
        </w:tc>
        <w:tc>
          <w:tcPr>
            <w:tcW w:type="dxa" w:w="1361"/>
            <w:vAlign w:val="top"/>
          </w:tcPr>
          <w:p>
            <w:pPr>
              <w:spacing w:after="20" w:line="252" w:lineRule="auto"/>
              <w:jc w:val="right"/>
            </w:pPr>
            <w:r>
              <w:rPr>
                <w:b w:val="0"/>
                <w:i w:val="0"/>
                <w:sz w:val="15"/>
              </w:rPr>
              <w:t>31,350</w:t>
            </w:r>
          </w:p>
        </w:tc>
        <w:tc>
          <w:tcPr>
            <w:tcW w:type="dxa" w:w="1587"/>
            <w:vAlign w:val="top"/>
          </w:tcPr>
          <w:p>
            <w:pPr>
              <w:spacing w:after="20" w:line="252" w:lineRule="auto"/>
              <w:jc w:val="right"/>
            </w:pPr>
            <w:r>
              <w:rPr>
                <w:b w:val="0"/>
                <w:i w:val="0"/>
                <w:sz w:val="15"/>
              </w:rPr>
              <w:t>40,800</w:t>
            </w:r>
          </w:p>
        </w:tc>
        <w:tc>
          <w:tcPr>
            <w:tcW w:type="dxa" w:w="2835"/>
            <w:vAlign w:val="top"/>
          </w:tcPr>
          <w:p>
            <w:pPr>
              <w:spacing w:after="20" w:line="252" w:lineRule="auto"/>
            </w:pPr>
            <w:r>
              <w:rPr>
                <w:b w:val="0"/>
                <w:i w:val="0"/>
                <w:sz w:val="15"/>
              </w:rPr>
              <w:t>A: 22% of B$ 142,500, +5% a year. B: subscription, +5% a year</w:t>
            </w:r>
          </w:p>
        </w:tc>
      </w:tr>
      <w:tr>
        <w:trPr>
          <w:cantSplit/>
        </w:trPr>
        <w:tc>
          <w:tcPr>
            <w:tcW w:type="dxa" w:w="454"/>
            <w:vAlign w:val="top"/>
            <w:shd w:val="clear" w:color="auto" w:fill="FDF0F7"/>
          </w:tcPr>
          <w:p>
            <w:pPr>
              <w:spacing w:after="20" w:line="252" w:lineRule="auto"/>
              <w:jc w:val="center"/>
            </w:pPr>
            <w:r>
              <w:rPr>
                <w:b w:val="0"/>
                <w:i w:val="0"/>
                <w:sz w:val="15"/>
              </w:rPr>
              <w:t>13</w:t>
            </w:r>
          </w:p>
        </w:tc>
        <w:tc>
          <w:tcPr>
            <w:tcW w:type="dxa" w:w="2268"/>
            <w:vAlign w:val="top"/>
            <w:shd w:val="clear" w:color="auto" w:fill="FDF0F7"/>
          </w:tcPr>
          <w:p>
            <w:pPr>
              <w:spacing w:after="20" w:line="252" w:lineRule="auto"/>
            </w:pPr>
            <w:r>
              <w:rPr>
                <w:b w:val="0"/>
                <w:i w:val="0"/>
                <w:sz w:val="15"/>
              </w:rPr>
              <w:t>Year 2 maintenance</w:t>
            </w:r>
          </w:p>
        </w:tc>
        <w:tc>
          <w:tcPr>
            <w:tcW w:type="dxa" w:w="1134"/>
            <w:vAlign w:val="top"/>
            <w:shd w:val="clear" w:color="auto" w:fill="FDF0F7"/>
          </w:tcPr>
          <w:p>
            <w:pPr>
              <w:spacing w:after="20" w:line="252" w:lineRule="auto"/>
            </w:pPr>
            <w:r>
              <w:rPr>
                <w:b w:val="0"/>
                <w:i w:val="0"/>
                <w:sz w:val="15"/>
              </w:rPr>
              <w:t>Annual</w:t>
            </w:r>
          </w:p>
        </w:tc>
        <w:tc>
          <w:tcPr>
            <w:tcW w:type="dxa" w:w="1361"/>
            <w:vAlign w:val="top"/>
            <w:shd w:val="clear" w:color="auto" w:fill="FDF0F7"/>
          </w:tcPr>
          <w:p>
            <w:pPr>
              <w:spacing w:after="20" w:line="252" w:lineRule="auto"/>
              <w:jc w:val="right"/>
            </w:pPr>
            <w:r>
              <w:rPr>
                <w:b w:val="0"/>
                <w:i w:val="0"/>
                <w:sz w:val="15"/>
              </w:rPr>
              <w:t>32,918</w:t>
            </w:r>
          </w:p>
        </w:tc>
        <w:tc>
          <w:tcPr>
            <w:tcW w:type="dxa" w:w="1587"/>
            <w:vAlign w:val="top"/>
            <w:shd w:val="clear" w:color="auto" w:fill="FDF0F7"/>
          </w:tcPr>
          <w:p>
            <w:pPr>
              <w:spacing w:after="20" w:line="252" w:lineRule="auto"/>
              <w:jc w:val="right"/>
            </w:pPr>
            <w:r>
              <w:rPr>
                <w:b w:val="0"/>
                <w:i w:val="0"/>
                <w:sz w:val="15"/>
              </w:rPr>
              <w:t>42,852</w:t>
            </w:r>
          </w:p>
        </w:tc>
        <w:tc>
          <w:tcPr>
            <w:tcW w:type="dxa" w:w="2835"/>
            <w:vAlign w:val="top"/>
            <w:shd w:val="clear" w:color="auto" w:fill="FDF0F7"/>
          </w:tcPr>
          <w:p>
            <w:pPr>
              <w:spacing w:after="20" w:line="252" w:lineRule="auto"/>
            </w:pPr>
            <w:r>
              <w:rPr>
                <w:b w:val="0"/>
                <w:i w:val="0"/>
                <w:sz w:val="15"/>
              </w:rPr>
              <w:t>Operational Support</w:t>
            </w:r>
          </w:p>
        </w:tc>
      </w:tr>
      <w:tr>
        <w:trPr>
          <w:cantSplit/>
        </w:trPr>
        <w:tc>
          <w:tcPr>
            <w:tcW w:type="dxa" w:w="454"/>
            <w:vAlign w:val="top"/>
          </w:tcPr>
          <w:p>
            <w:pPr>
              <w:spacing w:after="20" w:line="252" w:lineRule="auto"/>
              <w:jc w:val="center"/>
            </w:pPr>
            <w:r>
              <w:rPr>
                <w:b w:val="0"/>
                <w:i w:val="0"/>
                <w:sz w:val="15"/>
              </w:rPr>
              <w:t>14</w:t>
            </w:r>
          </w:p>
        </w:tc>
        <w:tc>
          <w:tcPr>
            <w:tcW w:type="dxa" w:w="2268"/>
            <w:vAlign w:val="top"/>
          </w:tcPr>
          <w:p>
            <w:pPr>
              <w:spacing w:after="20" w:line="252" w:lineRule="auto"/>
            </w:pPr>
            <w:r>
              <w:rPr>
                <w:b w:val="0"/>
                <w:i w:val="0"/>
                <w:sz w:val="15"/>
              </w:rPr>
              <w:t>Year 3 maintenance</w:t>
            </w:r>
          </w:p>
        </w:tc>
        <w:tc>
          <w:tcPr>
            <w:tcW w:type="dxa" w:w="1134"/>
            <w:vAlign w:val="top"/>
          </w:tcPr>
          <w:p>
            <w:pPr>
              <w:spacing w:after="20" w:line="252" w:lineRule="auto"/>
            </w:pPr>
            <w:r>
              <w:rPr>
                <w:b w:val="0"/>
                <w:i w:val="0"/>
                <w:sz w:val="15"/>
              </w:rPr>
              <w:t>Annual</w:t>
            </w:r>
          </w:p>
        </w:tc>
        <w:tc>
          <w:tcPr>
            <w:tcW w:type="dxa" w:w="1361"/>
            <w:vAlign w:val="top"/>
          </w:tcPr>
          <w:p>
            <w:pPr>
              <w:spacing w:after="20" w:line="252" w:lineRule="auto"/>
              <w:jc w:val="right"/>
            </w:pPr>
            <w:r>
              <w:rPr>
                <w:b w:val="0"/>
                <w:i w:val="0"/>
                <w:sz w:val="15"/>
              </w:rPr>
              <w:t>34,564</w:t>
            </w:r>
          </w:p>
        </w:tc>
        <w:tc>
          <w:tcPr>
            <w:tcW w:type="dxa" w:w="1587"/>
            <w:vAlign w:val="top"/>
          </w:tcPr>
          <w:p>
            <w:pPr>
              <w:spacing w:after="20" w:line="252" w:lineRule="auto"/>
              <w:jc w:val="right"/>
            </w:pPr>
            <w:r>
              <w:rPr>
                <w:b w:val="0"/>
                <w:i w:val="0"/>
                <w:sz w:val="15"/>
              </w:rPr>
              <w:t>44,988</w:t>
            </w:r>
          </w:p>
        </w:tc>
        <w:tc>
          <w:tcPr>
            <w:tcW w:type="dxa" w:w="2835"/>
            <w:vAlign w:val="top"/>
          </w:tcPr>
          <w:p>
            <w:pPr>
              <w:spacing w:after="20" w:line="252" w:lineRule="auto"/>
            </w:pPr>
            <w:r>
              <w:rPr>
                <w:b w:val="0"/>
                <w:i w:val="0"/>
                <w:sz w:val="15"/>
              </w:rPr>
              <w:t>Optimisation</w:t>
            </w:r>
          </w:p>
        </w:tc>
      </w:tr>
      <w:tr>
        <w:trPr>
          <w:cantSplit/>
        </w:trPr>
        <w:tc>
          <w:tcPr>
            <w:tcW w:type="dxa" w:w="454"/>
            <w:vAlign w:val="top"/>
            <w:shd w:val="clear" w:color="auto" w:fill="FDF0F7"/>
          </w:tcPr>
          <w:p>
            <w:pPr>
              <w:spacing w:after="20" w:line="252" w:lineRule="auto"/>
              <w:jc w:val="center"/>
            </w:pPr>
            <w:r>
              <w:rPr>
                <w:b w:val="0"/>
                <w:i w:val="0"/>
                <w:sz w:val="15"/>
              </w:rPr>
              <w:t>15</w:t>
            </w:r>
          </w:p>
        </w:tc>
        <w:tc>
          <w:tcPr>
            <w:tcW w:type="dxa" w:w="2268"/>
            <w:vAlign w:val="top"/>
            <w:shd w:val="clear" w:color="auto" w:fill="FDF0F7"/>
          </w:tcPr>
          <w:p>
            <w:pPr>
              <w:spacing w:after="20" w:line="252" w:lineRule="auto"/>
            </w:pPr>
            <w:r>
              <w:rPr>
                <w:b w:val="0"/>
                <w:i w:val="0"/>
                <w:sz w:val="15"/>
              </w:rPr>
              <w:t>Year 4 maintenance</w:t>
            </w:r>
          </w:p>
        </w:tc>
        <w:tc>
          <w:tcPr>
            <w:tcW w:type="dxa" w:w="1134"/>
            <w:vAlign w:val="top"/>
            <w:shd w:val="clear" w:color="auto" w:fill="FDF0F7"/>
          </w:tcPr>
          <w:p>
            <w:pPr>
              <w:spacing w:after="20" w:line="252" w:lineRule="auto"/>
            </w:pPr>
            <w:r>
              <w:rPr>
                <w:b w:val="0"/>
                <w:i w:val="0"/>
                <w:sz w:val="15"/>
              </w:rPr>
              <w:t>Annual</w:t>
            </w:r>
          </w:p>
        </w:tc>
        <w:tc>
          <w:tcPr>
            <w:tcW w:type="dxa" w:w="1361"/>
            <w:vAlign w:val="top"/>
            <w:shd w:val="clear" w:color="auto" w:fill="FDF0F7"/>
          </w:tcPr>
          <w:p>
            <w:pPr>
              <w:spacing w:after="20" w:line="252" w:lineRule="auto"/>
              <w:jc w:val="right"/>
            </w:pPr>
            <w:r>
              <w:rPr>
                <w:b w:val="0"/>
                <w:i w:val="0"/>
                <w:sz w:val="15"/>
              </w:rPr>
              <w:t>36,292</w:t>
            </w:r>
          </w:p>
        </w:tc>
        <w:tc>
          <w:tcPr>
            <w:tcW w:type="dxa" w:w="1587"/>
            <w:vAlign w:val="top"/>
            <w:shd w:val="clear" w:color="auto" w:fill="FDF0F7"/>
          </w:tcPr>
          <w:p>
            <w:pPr>
              <w:spacing w:after="20" w:line="252" w:lineRule="auto"/>
              <w:jc w:val="right"/>
            </w:pPr>
            <w:r>
              <w:rPr>
                <w:b w:val="0"/>
                <w:i w:val="0"/>
                <w:sz w:val="15"/>
              </w:rPr>
              <w:t>47,232</w:t>
            </w:r>
          </w:p>
        </w:tc>
        <w:tc>
          <w:tcPr>
            <w:tcW w:type="dxa" w:w="2835"/>
            <w:vAlign w:val="top"/>
            <w:shd w:val="clear" w:color="auto" w:fill="FDF0F7"/>
          </w:tcPr>
          <w:p>
            <w:pPr>
              <w:spacing w:after="20" w:line="252" w:lineRule="auto"/>
            </w:pPr>
            <w:r>
              <w:rPr>
                <w:b w:val="0"/>
                <w:i w:val="0"/>
                <w:sz w:val="15"/>
              </w:rPr>
              <w:t>Technology Refresh</w:t>
            </w:r>
          </w:p>
        </w:tc>
      </w:tr>
      <w:tr>
        <w:trPr>
          <w:cantSplit/>
        </w:trPr>
        <w:tc>
          <w:tcPr>
            <w:tcW w:type="dxa" w:w="454"/>
            <w:vAlign w:val="top"/>
          </w:tcPr>
          <w:p>
            <w:pPr>
              <w:spacing w:after="20" w:line="252" w:lineRule="auto"/>
              <w:jc w:val="center"/>
            </w:pPr>
            <w:r>
              <w:rPr>
                <w:b w:val="0"/>
                <w:i w:val="0"/>
                <w:sz w:val="15"/>
              </w:rPr>
              <w:t>16</w:t>
            </w:r>
          </w:p>
        </w:tc>
        <w:tc>
          <w:tcPr>
            <w:tcW w:type="dxa" w:w="2268"/>
            <w:vAlign w:val="top"/>
          </w:tcPr>
          <w:p>
            <w:pPr>
              <w:spacing w:after="20" w:line="252" w:lineRule="auto"/>
            </w:pPr>
            <w:r>
              <w:rPr>
                <w:b w:val="0"/>
                <w:i w:val="0"/>
                <w:sz w:val="15"/>
              </w:rPr>
              <w:t>Year 5 maintenance</w:t>
            </w:r>
          </w:p>
        </w:tc>
        <w:tc>
          <w:tcPr>
            <w:tcW w:type="dxa" w:w="1134"/>
            <w:vAlign w:val="top"/>
          </w:tcPr>
          <w:p>
            <w:pPr>
              <w:spacing w:after="20" w:line="252" w:lineRule="auto"/>
            </w:pPr>
            <w:r>
              <w:rPr>
                <w:b w:val="0"/>
                <w:i w:val="0"/>
                <w:sz w:val="15"/>
              </w:rPr>
              <w:t>Annual</w:t>
            </w:r>
          </w:p>
        </w:tc>
        <w:tc>
          <w:tcPr>
            <w:tcW w:type="dxa" w:w="1361"/>
            <w:vAlign w:val="top"/>
          </w:tcPr>
          <w:p>
            <w:pPr>
              <w:spacing w:after="20" w:line="252" w:lineRule="auto"/>
              <w:jc w:val="right"/>
            </w:pPr>
            <w:r>
              <w:rPr>
                <w:b w:val="0"/>
                <w:i w:val="0"/>
                <w:sz w:val="15"/>
              </w:rPr>
              <w:t>38,106</w:t>
            </w:r>
          </w:p>
        </w:tc>
        <w:tc>
          <w:tcPr>
            <w:tcW w:type="dxa" w:w="1587"/>
            <w:vAlign w:val="top"/>
          </w:tcPr>
          <w:p>
            <w:pPr>
              <w:spacing w:after="20" w:line="252" w:lineRule="auto"/>
              <w:jc w:val="right"/>
            </w:pPr>
            <w:r>
              <w:rPr>
                <w:b w:val="0"/>
                <w:i w:val="0"/>
                <w:sz w:val="15"/>
              </w:rPr>
              <w:t>49,596</w:t>
            </w:r>
          </w:p>
        </w:tc>
        <w:tc>
          <w:tcPr>
            <w:tcW w:type="dxa" w:w="2835"/>
            <w:vAlign w:val="top"/>
          </w:tcPr>
          <w:p>
            <w:pPr>
              <w:spacing w:after="20" w:line="252" w:lineRule="auto"/>
            </w:pPr>
            <w:r>
              <w:rPr>
                <w:b w:val="0"/>
                <w:i w:val="0"/>
                <w:sz w:val="15"/>
              </w:rPr>
              <w:t>Sustainability &amp; Transition</w:t>
            </w:r>
          </w:p>
        </w:tc>
      </w:tr>
      <w:tr>
        <w:trPr>
          <w:cantSplit/>
        </w:trPr>
        <w:tc>
          <w:tcPr>
            <w:tcW w:type="dxa" w:w="454"/>
            <w:vAlign w:val="top"/>
            <w:shd w:val="clear" w:color="auto" w:fill="FEEBDD"/>
          </w:tcPr>
          <w:p>
            <w:pPr>
              <w:spacing w:after="20" w:line="252" w:lineRule="auto"/>
              <w:jc w:val="center"/>
            </w:pPr>
          </w:p>
        </w:tc>
        <w:tc>
          <w:tcPr>
            <w:tcW w:type="dxa" w:w="2268"/>
            <w:vAlign w:val="top"/>
            <w:shd w:val="clear" w:color="auto" w:fill="FEEBDD"/>
          </w:tcPr>
          <w:p>
            <w:pPr>
              <w:spacing w:after="20" w:line="252" w:lineRule="auto"/>
            </w:pPr>
            <w:r>
              <w:rPr>
                <w:b/>
                <w:i w:val="0"/>
                <w:sz w:val="15"/>
              </w:rPr>
              <w:t>Subtotal Years 1–5 (items 12–16)</w:t>
            </w:r>
          </w:p>
        </w:tc>
        <w:tc>
          <w:tcPr>
            <w:tcW w:type="dxa" w:w="1134"/>
            <w:vAlign w:val="top"/>
            <w:shd w:val="clear" w:color="auto" w:fill="FEEBDD"/>
          </w:tcPr>
          <w:p>
            <w:pPr>
              <w:spacing w:after="20" w:line="252" w:lineRule="auto"/>
            </w:pPr>
          </w:p>
        </w:tc>
        <w:tc>
          <w:tcPr>
            <w:tcW w:type="dxa" w:w="1361"/>
            <w:vAlign w:val="top"/>
            <w:shd w:val="clear" w:color="auto" w:fill="FEEBDD"/>
          </w:tcPr>
          <w:p>
            <w:pPr>
              <w:spacing w:after="20" w:line="252" w:lineRule="auto"/>
              <w:jc w:val="right"/>
            </w:pPr>
            <w:r>
              <w:rPr>
                <w:b/>
                <w:i w:val="0"/>
                <w:sz w:val="15"/>
              </w:rPr>
              <w:t>173,230</w:t>
            </w:r>
          </w:p>
        </w:tc>
        <w:tc>
          <w:tcPr>
            <w:tcW w:type="dxa" w:w="1587"/>
            <w:vAlign w:val="top"/>
            <w:shd w:val="clear" w:color="auto" w:fill="FEEBDD"/>
          </w:tcPr>
          <w:p>
            <w:pPr>
              <w:spacing w:after="20" w:line="252" w:lineRule="auto"/>
              <w:jc w:val="right"/>
            </w:pPr>
            <w:r>
              <w:rPr>
                <w:b/>
                <w:i w:val="0"/>
                <w:sz w:val="15"/>
              </w:rPr>
              <w:t>225,468</w:t>
            </w:r>
          </w:p>
        </w:tc>
        <w:tc>
          <w:tcPr>
            <w:tcW w:type="dxa" w:w="2835"/>
            <w:vAlign w:val="top"/>
            <w:shd w:val="clear" w:color="auto" w:fill="FEEBDD"/>
          </w:tcPr>
          <w:p>
            <w:pPr>
              <w:spacing w:after="20" w:line="252" w:lineRule="auto"/>
            </w:pPr>
            <w:r>
              <w:rPr>
                <w:b/>
                <w:i w:val="0"/>
                <w:sz w:val="15"/>
              </w:rPr>
              <w:t>AMC (A) / subscription (B)</w:t>
            </w:r>
          </w:p>
        </w:tc>
      </w:tr>
      <w:tr>
        <w:trPr>
          <w:cantSplit/>
        </w:trPr>
        <w:tc>
          <w:tcPr>
            <w:tcW w:type="dxa" w:w="454"/>
            <w:vAlign w:val="top"/>
          </w:tcPr>
          <w:p>
            <w:pPr>
              <w:spacing w:after="20" w:line="252" w:lineRule="auto"/>
              <w:jc w:val="center"/>
            </w:pPr>
          </w:p>
        </w:tc>
        <w:tc>
          <w:tcPr>
            <w:tcW w:type="dxa" w:w="2268"/>
            <w:vAlign w:val="top"/>
          </w:tcPr>
          <w:p>
            <w:pPr>
              <w:spacing w:after="20" w:line="252" w:lineRule="auto"/>
            </w:pPr>
            <w:r>
              <w:rPr>
                <w:b w:val="0"/>
                <w:i w:val="0"/>
                <w:sz w:val="15"/>
              </w:rPr>
              <w:t>Managed services Years 1–5 (item 5)</w:t>
            </w:r>
          </w:p>
        </w:tc>
        <w:tc>
          <w:tcPr>
            <w:tcW w:type="dxa" w:w="1134"/>
            <w:vAlign w:val="top"/>
          </w:tcPr>
          <w:p>
            <w:pPr>
              <w:spacing w:after="20" w:line="252" w:lineRule="auto"/>
            </w:pPr>
          </w:p>
        </w:tc>
        <w:tc>
          <w:tcPr>
            <w:tcW w:type="dxa" w:w="1361"/>
            <w:vAlign w:val="top"/>
          </w:tcPr>
          <w:p>
            <w:pPr>
              <w:spacing w:after="20" w:line="252" w:lineRule="auto"/>
              <w:jc w:val="right"/>
            </w:pPr>
            <w:r>
              <w:rPr>
                <w:b w:val="0"/>
                <w:i w:val="0"/>
                <w:sz w:val="15"/>
              </w:rPr>
              <w:t>–</w:t>
            </w:r>
          </w:p>
        </w:tc>
        <w:tc>
          <w:tcPr>
            <w:tcW w:type="dxa" w:w="1587"/>
            <w:vAlign w:val="top"/>
          </w:tcPr>
          <w:p>
            <w:pPr>
              <w:spacing w:after="20" w:line="252" w:lineRule="auto"/>
              <w:jc w:val="right"/>
            </w:pPr>
            <w:r>
              <w:rPr>
                <w:b w:val="0"/>
                <w:i w:val="0"/>
                <w:sz w:val="15"/>
              </w:rPr>
              <w:t>72,936</w:t>
            </w:r>
          </w:p>
        </w:tc>
        <w:tc>
          <w:tcPr>
            <w:tcW w:type="dxa" w:w="2835"/>
            <w:vAlign w:val="top"/>
          </w:tcPr>
          <w:p>
            <w:pPr>
              <w:spacing w:after="20" w:line="252" w:lineRule="auto"/>
            </w:pPr>
            <w:r>
              <w:rPr>
                <w:b w:val="0"/>
                <w:i w:val="0"/>
                <w:sz w:val="15"/>
              </w:rPr>
              <w:t>Option B only</w:t>
            </w:r>
          </w:p>
        </w:tc>
      </w:tr>
      <w:tr>
        <w:trPr>
          <w:cantSplit/>
        </w:trPr>
        <w:tc>
          <w:tcPr>
            <w:tcW w:type="dxa" w:w="454"/>
            <w:vAlign w:val="top"/>
            <w:shd w:val="clear" w:color="auto" w:fill="FEEBDD"/>
          </w:tcPr>
          <w:p>
            <w:pPr>
              <w:spacing w:after="20" w:line="252" w:lineRule="auto"/>
              <w:jc w:val="center"/>
            </w:pPr>
          </w:p>
        </w:tc>
        <w:tc>
          <w:tcPr>
            <w:tcW w:type="dxa" w:w="2268"/>
            <w:vAlign w:val="top"/>
            <w:shd w:val="clear" w:color="auto" w:fill="FEEBDD"/>
          </w:tcPr>
          <w:p>
            <w:pPr>
              <w:spacing w:after="20" w:line="252" w:lineRule="auto"/>
            </w:pPr>
            <w:r>
              <w:rPr>
                <w:b/>
                <w:i w:val="0"/>
                <w:sz w:val="15"/>
              </w:rPr>
              <w:t>iorta fees, five years</w:t>
            </w:r>
          </w:p>
        </w:tc>
        <w:tc>
          <w:tcPr>
            <w:tcW w:type="dxa" w:w="1134"/>
            <w:vAlign w:val="top"/>
            <w:shd w:val="clear" w:color="auto" w:fill="FEEBDD"/>
          </w:tcPr>
          <w:p>
            <w:pPr>
              <w:spacing w:after="20" w:line="252" w:lineRule="auto"/>
            </w:pPr>
          </w:p>
        </w:tc>
        <w:tc>
          <w:tcPr>
            <w:tcW w:type="dxa" w:w="1361"/>
            <w:vAlign w:val="top"/>
            <w:shd w:val="clear" w:color="auto" w:fill="FEEBDD"/>
          </w:tcPr>
          <w:p>
            <w:pPr>
              <w:spacing w:after="20" w:line="252" w:lineRule="auto"/>
              <w:jc w:val="right"/>
            </w:pPr>
            <w:r>
              <w:rPr>
                <w:b/>
                <w:i w:val="0"/>
                <w:sz w:val="15"/>
              </w:rPr>
              <w:t>351,230</w:t>
            </w:r>
          </w:p>
        </w:tc>
        <w:tc>
          <w:tcPr>
            <w:tcW w:type="dxa" w:w="1587"/>
            <w:vAlign w:val="top"/>
            <w:shd w:val="clear" w:color="auto" w:fill="FEEBDD"/>
          </w:tcPr>
          <w:p>
            <w:pPr>
              <w:spacing w:after="20" w:line="252" w:lineRule="auto"/>
              <w:jc w:val="right"/>
            </w:pPr>
            <w:r>
              <w:rPr>
                <w:b/>
                <w:i w:val="0"/>
                <w:sz w:val="15"/>
              </w:rPr>
              <w:t>443,404</w:t>
            </w:r>
          </w:p>
        </w:tc>
        <w:tc>
          <w:tcPr>
            <w:tcW w:type="dxa" w:w="2835"/>
            <w:vAlign w:val="top"/>
            <w:shd w:val="clear" w:color="auto" w:fill="FEEBDD"/>
          </w:tcPr>
          <w:p>
            <w:pPr>
              <w:spacing w:after="20" w:line="252" w:lineRule="auto"/>
            </w:pPr>
            <w:r>
              <w:rPr>
                <w:b/>
                <w:i w:val="0"/>
                <w:sz w:val="15"/>
              </w:rPr>
              <w:t>Excludes OPE, cloud actuals and third-party charges</w:t>
            </w:r>
          </w:p>
        </w:tc>
      </w:tr>
      <w:tr>
        <w:trPr>
          <w:cantSplit/>
        </w:trPr>
        <w:tc>
          <w:tcPr>
            <w:tcW w:type="dxa" w:w="454"/>
            <w:vAlign w:val="top"/>
          </w:tcPr>
          <w:p>
            <w:pPr>
              <w:spacing w:after="20" w:line="252" w:lineRule="auto"/>
              <w:jc w:val="center"/>
            </w:pPr>
            <w:r>
              <w:rPr>
                <w:b w:val="0"/>
                <w:i w:val="0"/>
                <w:sz w:val="15"/>
              </w:rPr>
              <w:t>17</w:t>
            </w:r>
          </w:p>
        </w:tc>
        <w:tc>
          <w:tcPr>
            <w:tcW w:type="dxa" w:w="2268"/>
            <w:vAlign w:val="top"/>
          </w:tcPr>
          <w:p>
            <w:pPr>
              <w:spacing w:after="20" w:line="252" w:lineRule="auto"/>
            </w:pPr>
            <w:r>
              <w:rPr>
                <w:b w:val="0"/>
                <w:i w:val="0"/>
                <w:sz w:val="15"/>
              </w:rPr>
              <w:t>Enhancement rate</w:t>
            </w:r>
          </w:p>
        </w:tc>
        <w:tc>
          <w:tcPr>
            <w:tcW w:type="dxa" w:w="1134"/>
            <w:vAlign w:val="top"/>
          </w:tcPr>
          <w:p>
            <w:pPr>
              <w:spacing w:after="20" w:line="252" w:lineRule="auto"/>
            </w:pPr>
            <w:r>
              <w:rPr>
                <w:b w:val="0"/>
                <w:i w:val="0"/>
                <w:sz w:val="15"/>
              </w:rPr>
              <w:t>Hour / day rate</w:t>
            </w:r>
          </w:p>
        </w:tc>
        <w:tc>
          <w:tcPr>
            <w:tcW w:type="dxa" w:w="1361"/>
            <w:vAlign w:val="top"/>
          </w:tcPr>
          <w:p>
            <w:pPr>
              <w:spacing w:after="20" w:line="252" w:lineRule="auto"/>
              <w:jc w:val="right"/>
            </w:pPr>
            <w:r>
              <w:rPr>
                <w:b w:val="0"/>
                <w:i w:val="0"/>
                <w:sz w:val="15"/>
              </w:rPr>
              <w:t>680 / man-day</w:t>
            </w:r>
          </w:p>
          <w:p>
            <w:pPr>
              <w:spacing w:after="20" w:line="252" w:lineRule="auto"/>
              <w:jc w:val="right"/>
            </w:pPr>
            <w:r>
              <w:rPr>
                <w:b w:val="0"/>
                <w:i w:val="0"/>
                <w:sz w:val="15"/>
              </w:rPr>
              <w:t>90 / hour</w:t>
            </w:r>
          </w:p>
        </w:tc>
        <w:tc>
          <w:tcPr>
            <w:tcW w:type="dxa" w:w="1587"/>
            <w:vAlign w:val="top"/>
          </w:tcPr>
          <w:p>
            <w:pPr>
              <w:spacing w:after="20" w:line="252" w:lineRule="auto"/>
              <w:jc w:val="right"/>
            </w:pPr>
            <w:r>
              <w:rPr>
                <w:b w:val="0"/>
                <w:i w:val="0"/>
                <w:sz w:val="15"/>
              </w:rPr>
              <w:t>680 / man-day</w:t>
            </w:r>
          </w:p>
          <w:p>
            <w:pPr>
              <w:spacing w:after="20" w:line="252" w:lineRule="auto"/>
              <w:jc w:val="right"/>
            </w:pPr>
            <w:r>
              <w:rPr>
                <w:b w:val="0"/>
                <w:i w:val="0"/>
                <w:sz w:val="15"/>
              </w:rPr>
              <w:t>90 / hour</w:t>
            </w:r>
          </w:p>
        </w:tc>
        <w:tc>
          <w:tcPr>
            <w:tcW w:type="dxa" w:w="2835"/>
            <w:vAlign w:val="top"/>
          </w:tcPr>
          <w:p>
            <w:pPr>
              <w:spacing w:after="20" w:line="252" w:lineRule="auto"/>
            </w:pPr>
            <w:r>
              <w:rPr>
                <w:b w:val="0"/>
                <w:i w:val="0"/>
                <w:sz w:val="15"/>
              </w:rPr>
              <w:t>Year 1 rates, +5% a year</w:t>
            </w:r>
          </w:p>
        </w:tc>
      </w:tr>
      <w:tr>
        <w:trPr>
          <w:cantSplit/>
        </w:trPr>
        <w:tc>
          <w:tcPr>
            <w:tcW w:type="dxa" w:w="454"/>
            <w:vAlign w:val="top"/>
            <w:shd w:val="clear" w:color="auto" w:fill="FDF0F7"/>
          </w:tcPr>
          <w:p>
            <w:pPr>
              <w:spacing w:after="20" w:line="252" w:lineRule="auto"/>
              <w:jc w:val="center"/>
            </w:pPr>
            <w:r>
              <w:rPr>
                <w:b w:val="0"/>
                <w:i w:val="0"/>
                <w:sz w:val="15"/>
              </w:rPr>
              <w:t>18</w:t>
            </w:r>
          </w:p>
        </w:tc>
        <w:tc>
          <w:tcPr>
            <w:tcW w:type="dxa" w:w="2268"/>
            <w:vAlign w:val="top"/>
            <w:shd w:val="clear" w:color="auto" w:fill="FDF0F7"/>
          </w:tcPr>
          <w:p>
            <w:pPr>
              <w:spacing w:after="20" w:line="252" w:lineRule="auto"/>
            </w:pPr>
            <w:r>
              <w:rPr>
                <w:b w:val="0"/>
                <w:i w:val="0"/>
                <w:sz w:val="15"/>
              </w:rPr>
              <w:t>Onsite support</w:t>
            </w:r>
          </w:p>
        </w:tc>
        <w:tc>
          <w:tcPr>
            <w:tcW w:type="dxa" w:w="1134"/>
            <w:vAlign w:val="top"/>
            <w:shd w:val="clear" w:color="auto" w:fill="FDF0F7"/>
          </w:tcPr>
          <w:p>
            <w:pPr>
              <w:spacing w:after="20" w:line="252" w:lineRule="auto"/>
            </w:pPr>
            <w:r>
              <w:rPr>
                <w:b w:val="0"/>
                <w:i w:val="0"/>
                <w:sz w:val="15"/>
              </w:rPr>
              <w:t>Per day</w:t>
            </w:r>
          </w:p>
        </w:tc>
        <w:tc>
          <w:tcPr>
            <w:tcW w:type="dxa" w:w="1361"/>
            <w:vAlign w:val="top"/>
            <w:shd w:val="clear" w:color="auto" w:fill="FDF0F7"/>
          </w:tcPr>
          <w:p>
            <w:pPr>
              <w:spacing w:after="20" w:line="252" w:lineRule="auto"/>
              <w:jc w:val="right"/>
            </w:pPr>
            <w:r>
              <w:rPr>
                <w:b w:val="0"/>
                <w:i w:val="0"/>
                <w:sz w:val="15"/>
              </w:rPr>
              <w:t>850 / day + OPE</w:t>
            </w:r>
          </w:p>
        </w:tc>
        <w:tc>
          <w:tcPr>
            <w:tcW w:type="dxa" w:w="1587"/>
            <w:vAlign w:val="top"/>
            <w:shd w:val="clear" w:color="auto" w:fill="FDF0F7"/>
          </w:tcPr>
          <w:p>
            <w:pPr>
              <w:spacing w:after="20" w:line="252" w:lineRule="auto"/>
              <w:jc w:val="right"/>
            </w:pPr>
            <w:r>
              <w:rPr>
                <w:b w:val="0"/>
                <w:i w:val="0"/>
                <w:sz w:val="15"/>
              </w:rPr>
              <w:t>850 / day + OPE</w:t>
            </w:r>
          </w:p>
        </w:tc>
        <w:tc>
          <w:tcPr>
            <w:tcW w:type="dxa" w:w="2835"/>
            <w:vAlign w:val="top"/>
            <w:shd w:val="clear" w:color="auto" w:fill="FDF0F7"/>
          </w:tcPr>
          <w:p>
            <w:pPr>
              <w:spacing w:after="20" w:line="252" w:lineRule="auto"/>
            </w:pPr>
            <w:r>
              <w:rPr>
                <w:b w:val="0"/>
                <w:i w:val="0"/>
                <w:sz w:val="15"/>
              </w:rPr>
              <w:t>Unplanned visits; planned phases per the OPE schedule</w:t>
            </w:r>
          </w:p>
        </w:tc>
      </w:tr>
      <w:tr>
        <w:trPr>
          <w:cantSplit/>
        </w:trPr>
        <w:tc>
          <w:tcPr>
            <w:tcW w:type="dxa" w:w="454"/>
            <w:vAlign w:val="top"/>
          </w:tcPr>
          <w:p>
            <w:pPr>
              <w:spacing w:after="20" w:line="252" w:lineRule="auto"/>
              <w:jc w:val="center"/>
            </w:pPr>
            <w:r>
              <w:rPr>
                <w:b w:val="0"/>
                <w:i w:val="0"/>
                <w:sz w:val="15"/>
              </w:rPr>
              <w:t>19</w:t>
            </w:r>
          </w:p>
        </w:tc>
        <w:tc>
          <w:tcPr>
            <w:tcW w:type="dxa" w:w="2268"/>
            <w:vAlign w:val="top"/>
          </w:tcPr>
          <w:p>
            <w:pPr>
              <w:spacing w:after="20" w:line="252" w:lineRule="auto"/>
            </w:pPr>
            <w:r>
              <w:rPr>
                <w:b w:val="0"/>
                <w:i w:val="0"/>
                <w:sz w:val="15"/>
              </w:rPr>
              <w:t>After-hours support</w:t>
            </w:r>
          </w:p>
        </w:tc>
        <w:tc>
          <w:tcPr>
            <w:tcW w:type="dxa" w:w="1134"/>
            <w:vAlign w:val="top"/>
          </w:tcPr>
          <w:p>
            <w:pPr>
              <w:spacing w:after="20" w:line="252" w:lineRule="auto"/>
            </w:pPr>
            <w:r>
              <w:rPr>
                <w:b w:val="0"/>
                <w:i w:val="0"/>
                <w:sz w:val="15"/>
              </w:rPr>
              <w:t>Per incident / included</w:t>
            </w:r>
          </w:p>
        </w:tc>
        <w:tc>
          <w:tcPr>
            <w:tcW w:type="dxa" w:w="1361"/>
            <w:vAlign w:val="top"/>
          </w:tcPr>
          <w:p>
            <w:pPr>
              <w:spacing w:after="20" w:line="252" w:lineRule="auto"/>
              <w:jc w:val="right"/>
            </w:pPr>
            <w:r>
              <w:rPr>
                <w:b w:val="0"/>
                <w:i w:val="0"/>
                <w:sz w:val="15"/>
              </w:rPr>
              <w:t>P1 included</w:t>
            </w:r>
          </w:p>
          <w:p>
            <w:pPr>
              <w:spacing w:after="20" w:line="252" w:lineRule="auto"/>
              <w:jc w:val="right"/>
            </w:pPr>
            <w:r>
              <w:rPr>
                <w:b w:val="0"/>
                <w:i w:val="0"/>
                <w:sz w:val="15"/>
              </w:rPr>
              <w:t>120 / hour</w:t>
            </w:r>
          </w:p>
        </w:tc>
        <w:tc>
          <w:tcPr>
            <w:tcW w:type="dxa" w:w="1587"/>
            <w:vAlign w:val="top"/>
          </w:tcPr>
          <w:p>
            <w:pPr>
              <w:spacing w:after="20" w:line="252" w:lineRule="auto"/>
              <w:jc w:val="right"/>
            </w:pPr>
            <w:r>
              <w:rPr>
                <w:b w:val="0"/>
                <w:i w:val="0"/>
                <w:sz w:val="15"/>
              </w:rPr>
              <w:t>P1 included</w:t>
            </w:r>
          </w:p>
          <w:p>
            <w:pPr>
              <w:spacing w:after="20" w:line="252" w:lineRule="auto"/>
              <w:jc w:val="right"/>
            </w:pPr>
            <w:r>
              <w:rPr>
                <w:b w:val="0"/>
                <w:i w:val="0"/>
                <w:sz w:val="15"/>
              </w:rPr>
              <w:t>120 / hour</w:t>
            </w:r>
          </w:p>
        </w:tc>
        <w:tc>
          <w:tcPr>
            <w:tcW w:type="dxa" w:w="2835"/>
            <w:vAlign w:val="top"/>
          </w:tcPr>
          <w:p>
            <w:pPr>
              <w:spacing w:after="20" w:line="252" w:lineRule="auto"/>
            </w:pPr>
            <w:r>
              <w:rPr>
                <w:b w:val="0"/>
                <w:i w:val="0"/>
                <w:sz w:val="15"/>
              </w:rPr>
              <w:t>Other after-hours work only at IIFT's request</w:t>
            </w:r>
          </w:p>
        </w:tc>
      </w:tr>
      <w:tr>
        <w:trPr>
          <w:cantSplit/>
        </w:trPr>
        <w:tc>
          <w:tcPr>
            <w:tcW w:type="dxa" w:w="454"/>
            <w:vAlign w:val="top"/>
            <w:shd w:val="clear" w:color="auto" w:fill="FDF0F7"/>
          </w:tcPr>
          <w:p>
            <w:pPr>
              <w:spacing w:after="20" w:line="252" w:lineRule="auto"/>
              <w:jc w:val="center"/>
            </w:pPr>
            <w:r>
              <w:rPr>
                <w:b w:val="0"/>
                <w:i w:val="0"/>
                <w:sz w:val="15"/>
              </w:rPr>
              <w:t>20</w:t>
            </w:r>
          </w:p>
        </w:tc>
        <w:tc>
          <w:tcPr>
            <w:tcW w:type="dxa" w:w="2268"/>
            <w:vAlign w:val="top"/>
            <w:shd w:val="clear" w:color="auto" w:fill="FDF0F7"/>
          </w:tcPr>
          <w:p>
            <w:pPr>
              <w:spacing w:after="20" w:line="252" w:lineRule="auto"/>
            </w:pPr>
            <w:r>
              <w:rPr>
                <w:b w:val="0"/>
                <w:i w:val="0"/>
                <w:sz w:val="15"/>
              </w:rPr>
              <w:t>Third-party charges</w:t>
            </w:r>
          </w:p>
        </w:tc>
        <w:tc>
          <w:tcPr>
            <w:tcW w:type="dxa" w:w="1134"/>
            <w:vAlign w:val="top"/>
            <w:shd w:val="clear" w:color="auto" w:fill="FDF0F7"/>
          </w:tcPr>
          <w:p>
            <w:pPr>
              <w:spacing w:after="20" w:line="252" w:lineRule="auto"/>
            </w:pPr>
            <w:r>
              <w:rPr>
                <w:b w:val="0"/>
                <w:i w:val="0"/>
                <w:sz w:val="15"/>
              </w:rPr>
              <w:t>Annual / usage</w:t>
            </w:r>
          </w:p>
        </w:tc>
        <w:tc>
          <w:tcPr>
            <w:tcW w:type="dxa" w:w="1361"/>
            <w:vAlign w:val="top"/>
            <w:shd w:val="clear" w:color="auto" w:fill="FDF0F7"/>
          </w:tcPr>
          <w:p>
            <w:pPr>
              <w:spacing w:after="20" w:line="252" w:lineRule="auto"/>
              <w:jc w:val="right"/>
            </w:pPr>
            <w:r>
              <w:rPr>
                <w:b w:val="0"/>
                <w:i w:val="0"/>
                <w:sz w:val="15"/>
              </w:rPr>
              <w:t>Excluded (BOM)</w:t>
            </w:r>
          </w:p>
        </w:tc>
        <w:tc>
          <w:tcPr>
            <w:tcW w:type="dxa" w:w="1587"/>
            <w:vAlign w:val="top"/>
            <w:shd w:val="clear" w:color="auto" w:fill="FDF0F7"/>
          </w:tcPr>
          <w:p>
            <w:pPr>
              <w:spacing w:after="20" w:line="252" w:lineRule="auto"/>
              <w:jc w:val="right"/>
            </w:pPr>
            <w:r>
              <w:rPr>
                <w:b w:val="0"/>
                <w:i w:val="0"/>
                <w:sz w:val="15"/>
              </w:rPr>
              <w:t>Excluded (BOM)</w:t>
            </w:r>
          </w:p>
        </w:tc>
        <w:tc>
          <w:tcPr>
            <w:tcW w:type="dxa" w:w="2835"/>
            <w:vAlign w:val="top"/>
            <w:shd w:val="clear" w:color="auto" w:fill="FDF0F7"/>
          </w:tcPr>
          <w:p>
            <w:pPr>
              <w:spacing w:after="20" w:line="252" w:lineRule="auto"/>
            </w:pPr>
            <w:r>
              <w:rPr>
                <w:b w:val="0"/>
                <w:i w:val="0"/>
                <w:sz w:val="15"/>
              </w:rPr>
              <w:t>SMS, AML data, certificates, e-mail relay: B$ 600–4,720 a year (A), B$ 300–3,720 a year (B)</w:t>
            </w:r>
          </w:p>
        </w:tc>
      </w:tr>
      <w:tr>
        <w:trPr>
          <w:cantSplit/>
        </w:trPr>
        <w:tc>
          <w:tcPr>
            <w:tcW w:type="dxa" w:w="454"/>
            <w:vAlign w:val="top"/>
          </w:tcPr>
          <w:p>
            <w:pPr>
              <w:spacing w:after="20" w:line="252" w:lineRule="auto"/>
              <w:jc w:val="center"/>
            </w:pPr>
            <w:r>
              <w:rPr>
                <w:b w:val="0"/>
                <w:i w:val="0"/>
                <w:sz w:val="15"/>
              </w:rPr>
              <w:t>21</w:t>
            </w:r>
          </w:p>
        </w:tc>
        <w:tc>
          <w:tcPr>
            <w:tcW w:type="dxa" w:w="2268"/>
            <w:vAlign w:val="top"/>
          </w:tcPr>
          <w:p>
            <w:pPr>
              <w:spacing w:after="20" w:line="252" w:lineRule="auto"/>
            </w:pPr>
            <w:r>
              <w:rPr>
                <w:b w:val="0"/>
                <w:i w:val="0"/>
                <w:sz w:val="15"/>
              </w:rPr>
              <w:t>Exit / transition</w:t>
            </w:r>
          </w:p>
        </w:tc>
        <w:tc>
          <w:tcPr>
            <w:tcW w:type="dxa" w:w="1134"/>
            <w:vAlign w:val="top"/>
          </w:tcPr>
          <w:p>
            <w:pPr>
              <w:spacing w:after="20" w:line="252" w:lineRule="auto"/>
            </w:pPr>
            <w:r>
              <w:rPr>
                <w:b w:val="0"/>
                <w:i w:val="0"/>
                <w:sz w:val="15"/>
              </w:rPr>
              <w:t>Fixed / included</w:t>
            </w:r>
          </w:p>
        </w:tc>
        <w:tc>
          <w:tcPr>
            <w:tcW w:type="dxa" w:w="1361"/>
            <w:vAlign w:val="top"/>
          </w:tcPr>
          <w:p>
            <w:pPr>
              <w:spacing w:after="20" w:line="252" w:lineRule="auto"/>
              <w:jc w:val="right"/>
            </w:pPr>
            <w:r>
              <w:rPr>
                <w:b w:val="0"/>
                <w:i w:val="0"/>
                <w:sz w:val="15"/>
              </w:rPr>
              <w:t>Included (Year 5 AMC)</w:t>
            </w:r>
          </w:p>
        </w:tc>
        <w:tc>
          <w:tcPr>
            <w:tcW w:type="dxa" w:w="1587"/>
            <w:vAlign w:val="top"/>
          </w:tcPr>
          <w:p>
            <w:pPr>
              <w:spacing w:after="20" w:line="252" w:lineRule="auto"/>
              <w:jc w:val="right"/>
            </w:pPr>
            <w:r>
              <w:rPr>
                <w:b w:val="0"/>
                <w:i w:val="0"/>
                <w:sz w:val="15"/>
              </w:rPr>
              <w:t>Included (end of term)</w:t>
            </w:r>
          </w:p>
        </w:tc>
        <w:tc>
          <w:tcPr>
            <w:tcW w:type="dxa" w:w="2835"/>
            <w:vAlign w:val="top"/>
          </w:tcPr>
          <w:p>
            <w:pPr>
              <w:spacing w:after="20" w:line="252" w:lineRule="auto"/>
            </w:pPr>
            <w:r>
              <w:rPr>
                <w:b w:val="0"/>
                <w:i w:val="0"/>
                <w:sz w:val="15"/>
              </w:rPr>
              <w:t>Transition, data extraction, knowledge transfer; core source code is Option C</w:t>
            </w:r>
          </w:p>
        </w:tc>
      </w:tr>
    </w:tbl>
    <w:p>
      <w:pPr>
        <w:pStyle w:val="Caption"/>
        <w:jc w:val="center"/>
      </w:pPr>
      <w:r>
        <w:rPr>
          <w:b w:val="0"/>
          <w:i w:val="0"/>
        </w:rPr>
        <w:t>Table 37: RFP section 10 commercial pricing breakdown</w:t>
      </w:r>
    </w:p>
    <w:p>
      <w:pPr>
        <w:pStyle w:val="Heading2"/>
      </w:pPr>
      <w:r>
        <w:t>19.4 Option A – On-premise perpetual licence</w:t>
      </w:r>
    </w:p>
    <w:p>
      <w:pPr>
        <w:keepNext w:val="0"/>
      </w:pPr>
      <w:r>
        <w:rPr>
          <w:b w:val="0"/>
          <w:i w:val="0"/>
        </w:rPr>
        <w:t>IIFT buys a perpetual licence and a fixed-price implementation, and runs the solution in the IIFT/IITH data centre on infrastructure it procures to iorta's sizing (Section 15). Maintenance and support are charged as an AMC from go-live.</w:t>
      </w:r>
    </w:p>
    <w:p>
      <w:pPr>
        <w:pStyle w:val="Heading3"/>
      </w:pPr>
      <w:r>
        <w:t>Licence terms (COM-02)</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rPr>
        <w:tc>
          <w:tcPr>
            <w:tcW w:type="dxa" w:w="2041"/>
            <w:shd w:val="clear" w:color="auto" w:fill="FDF0F7"/>
          </w:tcPr>
          <w:p>
            <w:pPr>
              <w:spacing w:after="20"/>
            </w:pPr>
            <w:r>
              <w:rPr>
                <w:b/>
                <w:i w:val="0"/>
                <w:sz w:val="18"/>
              </w:rPr>
              <w:t>Licence type</w:t>
            </w:r>
          </w:p>
        </w:tc>
        <w:tc>
          <w:tcPr>
            <w:tcW w:type="dxa" w:w="7597"/>
          </w:tcPr>
          <w:p>
            <w:pPr>
              <w:spacing w:after="20"/>
            </w:pPr>
            <w:r>
              <w:rPr>
                <w:b w:val="0"/>
                <w:i w:val="0"/>
                <w:sz w:val="18"/>
              </w:rPr>
              <w:t>Perpetual, non-exclusive, non-transferable enterprise licence to SalesVerse 2.0 (Agent/Banca Portal and Back-office modules), in object code, for IIFT's internal business.</w:t>
            </w:r>
          </w:p>
        </w:tc>
      </w:tr>
      <w:tr>
        <w:trPr>
          <w:cantSplit/>
        </w:trPr>
        <w:tc>
          <w:tcPr>
            <w:tcW w:type="dxa" w:w="2041"/>
            <w:shd w:val="clear" w:color="auto" w:fill="FDF0F7"/>
          </w:tcPr>
          <w:p>
            <w:pPr>
              <w:spacing w:after="20"/>
            </w:pPr>
            <w:r>
              <w:rPr>
                <w:b/>
                <w:i w:val="0"/>
                <w:sz w:val="18"/>
              </w:rPr>
              <w:t>Quantity</w:t>
            </w:r>
          </w:p>
        </w:tc>
        <w:tc>
          <w:tcPr>
            <w:tcW w:type="dxa" w:w="7597"/>
          </w:tcPr>
          <w:p>
            <w:pPr>
              <w:spacing w:after="20"/>
            </w:pPr>
            <w:r>
              <w:rPr>
                <w:b w:val="0"/>
                <w:i w:val="0"/>
                <w:sz w:val="18"/>
              </w:rPr>
              <w:t>Unlimited named and concurrent users for IIFT, its agents and bank partners (Appendix 1 lists 26). No per-user, per-policy or per-transaction fees.</w:t>
            </w:r>
          </w:p>
        </w:tc>
      </w:tr>
      <w:tr>
        <w:trPr>
          <w:cantSplit/>
        </w:trPr>
        <w:tc>
          <w:tcPr>
            <w:tcW w:type="dxa" w:w="2041"/>
            <w:shd w:val="clear" w:color="auto" w:fill="FDF0F7"/>
          </w:tcPr>
          <w:p>
            <w:pPr>
              <w:spacing w:after="20"/>
            </w:pPr>
            <w:r>
              <w:rPr>
                <w:b/>
                <w:i w:val="0"/>
                <w:sz w:val="18"/>
              </w:rPr>
              <w:t>Environments</w:t>
            </w:r>
          </w:p>
        </w:tc>
        <w:tc>
          <w:tcPr>
            <w:tcW w:type="dxa" w:w="7597"/>
          </w:tcPr>
          <w:p>
            <w:pPr>
              <w:spacing w:after="20"/>
            </w:pPr>
            <w:r>
              <w:rPr>
                <w:b w:val="0"/>
                <w:i w:val="0"/>
                <w:sz w:val="18"/>
              </w:rPr>
              <w:t>Production, DR and non-production (SIT, UAT, training) without further licence fees.</w:t>
            </w:r>
          </w:p>
        </w:tc>
      </w:tr>
      <w:tr>
        <w:trPr>
          <w:cantSplit/>
        </w:trPr>
        <w:tc>
          <w:tcPr>
            <w:tcW w:type="dxa" w:w="2041"/>
            <w:shd w:val="clear" w:color="auto" w:fill="FDF0F7"/>
          </w:tcPr>
          <w:p>
            <w:pPr>
              <w:spacing w:after="20"/>
            </w:pPr>
            <w:r>
              <w:rPr>
                <w:b/>
                <w:i w:val="0"/>
                <w:sz w:val="18"/>
              </w:rPr>
              <w:t>Duration and renewal</w:t>
            </w:r>
          </w:p>
        </w:tc>
        <w:tc>
          <w:tcPr>
            <w:tcW w:type="dxa" w:w="7597"/>
          </w:tcPr>
          <w:p>
            <w:pPr>
              <w:spacing w:after="20"/>
            </w:pPr>
            <w:r>
              <w:rPr>
                <w:b w:val="0"/>
                <w:i w:val="0"/>
                <w:sz w:val="18"/>
              </w:rPr>
              <w:t>Perpetual. No renewal fee. The licence continues if the AMC ends.</w:t>
            </w:r>
          </w:p>
        </w:tc>
      </w:tr>
      <w:tr>
        <w:trPr>
          <w:cantSplit/>
        </w:trPr>
        <w:tc>
          <w:tcPr>
            <w:tcW w:type="dxa" w:w="2041"/>
            <w:shd w:val="clear" w:color="auto" w:fill="FDF0F7"/>
          </w:tcPr>
          <w:p>
            <w:pPr>
              <w:spacing w:after="20"/>
            </w:pPr>
            <w:r>
              <w:rPr>
                <w:b/>
                <w:i w:val="0"/>
                <w:sz w:val="18"/>
              </w:rPr>
              <w:t>Fee</w:t>
            </w:r>
          </w:p>
        </w:tc>
        <w:tc>
          <w:tcPr>
            <w:tcW w:type="dxa" w:w="7597"/>
          </w:tcPr>
          <w:p>
            <w:pPr>
              <w:spacing w:after="20"/>
            </w:pPr>
            <w:r>
              <w:rPr>
                <w:b w:val="0"/>
                <w:i w:val="0"/>
                <w:sz w:val="18"/>
              </w:rPr>
              <w:t>B$ 48,000 one-off (Agent/Banca Portal 26,000; Back-office 22,000), paid against milestones L1–L3.</w:t>
            </w:r>
          </w:p>
        </w:tc>
      </w:tr>
      <w:tr>
        <w:trPr>
          <w:cantSplit/>
        </w:trPr>
        <w:tc>
          <w:tcPr>
            <w:tcW w:type="dxa" w:w="2041"/>
            <w:shd w:val="clear" w:color="auto" w:fill="FDF0F7"/>
          </w:tcPr>
          <w:p>
            <w:pPr>
              <w:spacing w:after="20"/>
            </w:pPr>
            <w:r>
              <w:rPr>
                <w:b/>
                <w:i w:val="0"/>
                <w:sz w:val="18"/>
              </w:rPr>
              <w:t>Transfer</w:t>
            </w:r>
          </w:p>
        </w:tc>
        <w:tc>
          <w:tcPr>
            <w:tcW w:type="dxa" w:w="7597"/>
          </w:tcPr>
          <w:p>
            <w:pPr>
              <w:spacing w:after="20"/>
            </w:pPr>
            <w:r>
              <w:rPr>
                <w:b w:val="0"/>
                <w:i w:val="0"/>
                <w:sz w:val="18"/>
              </w:rPr>
              <w:t>Not transferable, except to a successor of IIFT's business in a merger or group reorganisation, with written notice to iorta. IITH may operate and support the solution on IIFT's behalf.</w:t>
            </w:r>
          </w:p>
        </w:tc>
      </w:tr>
      <w:tr>
        <w:trPr>
          <w:cantSplit/>
        </w:trPr>
        <w:tc>
          <w:tcPr>
            <w:tcW w:type="dxa" w:w="2041"/>
            <w:shd w:val="clear" w:color="auto" w:fill="FDF0F7"/>
          </w:tcPr>
          <w:p>
            <w:pPr>
              <w:spacing w:after="20"/>
            </w:pPr>
            <w:r>
              <w:rPr>
                <w:b/>
                <w:i w:val="0"/>
                <w:sz w:val="18"/>
              </w:rPr>
              <w:t>Other IITH companies</w:t>
            </w:r>
          </w:p>
        </w:tc>
        <w:tc>
          <w:tcPr>
            <w:tcW w:type="dxa" w:w="7597"/>
          </w:tcPr>
          <w:p>
            <w:pPr>
              <w:spacing w:after="20"/>
            </w:pPr>
            <w:r>
              <w:rPr>
                <w:b w:val="0"/>
                <w:i w:val="0"/>
                <w:sz w:val="18"/>
              </w:rPr>
              <w:t>Use by another group company, such as IIGT, needs an additional entity licence, priced separately.</w:t>
            </w:r>
          </w:p>
        </w:tc>
      </w:tr>
      <w:tr>
        <w:trPr>
          <w:cantSplit/>
        </w:trPr>
        <w:tc>
          <w:tcPr>
            <w:tcW w:type="dxa" w:w="2041"/>
            <w:shd w:val="clear" w:color="auto" w:fill="FDF0F7"/>
          </w:tcPr>
          <w:p>
            <w:pPr>
              <w:spacing w:after="20"/>
            </w:pPr>
            <w:r>
              <w:rPr>
                <w:b/>
                <w:i w:val="0"/>
                <w:sz w:val="18"/>
              </w:rPr>
              <w:t>Updates</w:t>
            </w:r>
          </w:p>
        </w:tc>
        <w:tc>
          <w:tcPr>
            <w:tcW w:type="dxa" w:w="7597"/>
          </w:tcPr>
          <w:p>
            <w:pPr>
              <w:spacing w:after="20"/>
            </w:pPr>
            <w:r>
              <w:rPr>
                <w:b w:val="0"/>
                <w:i w:val="0"/>
                <w:sz w:val="18"/>
              </w:rPr>
              <w:t>New SalesVerse 2.0 releases, patches and upgrades are included while the AMC is in force.</w:t>
            </w:r>
          </w:p>
        </w:tc>
      </w:tr>
      <w:tr>
        <w:trPr>
          <w:cantSplit/>
        </w:trPr>
        <w:tc>
          <w:tcPr>
            <w:tcW w:type="dxa" w:w="2041"/>
            <w:shd w:val="clear" w:color="auto" w:fill="FDF0F7"/>
          </w:tcPr>
          <w:p>
            <w:pPr>
              <w:spacing w:after="20"/>
            </w:pPr>
            <w:r>
              <w:rPr>
                <w:b/>
                <w:i w:val="0"/>
                <w:sz w:val="18"/>
              </w:rPr>
              <w:t>Source code</w:t>
            </w:r>
          </w:p>
        </w:tc>
        <w:tc>
          <w:tcPr>
            <w:tcW w:type="dxa" w:w="7597"/>
          </w:tcPr>
          <w:p>
            <w:pPr>
              <w:spacing w:after="20"/>
            </w:pPr>
            <w:r>
              <w:rPr>
                <w:b w:val="0"/>
                <w:i w:val="0"/>
                <w:sz w:val="18"/>
              </w:rPr>
              <w:t>Source code of IIFT-specific components is delivered under every option (DEL-11). The core platform source code is Option C (Section 19.6) or escrow.</w:t>
            </w:r>
          </w:p>
        </w:tc>
      </w:tr>
    </w:tbl>
    <w:p>
      <w:pPr>
        <w:pStyle w:val="Caption"/>
        <w:jc w:val="center"/>
      </w:pPr>
      <w:r>
        <w:rPr>
          <w:b w:val="0"/>
          <w:i w:val="0"/>
        </w:rPr>
        <w:t>Table 38: Option A licence terms</w:t>
      </w:r>
    </w:p>
    <w:p>
      <w:pPr>
        <w:pStyle w:val="Heading3"/>
      </w:pPr>
      <w:r>
        <w:t>One-time fees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
        <w:gridCol w:w="4762"/>
        <w:gridCol w:w="1077"/>
        <w:gridCol w:w="1247"/>
        <w:gridCol w:w="1077"/>
        <w:gridCol w:w="1020"/>
      </w:tblGrid>
      <w:tr>
        <w:trPr>
          <w:cantSplit/>
          <w:tblHeader/>
        </w:trPr>
        <w:tc>
          <w:tcPr>
            <w:tcW w:type="dxa" w:w="454"/>
            <w:shd w:val="clear" w:color="auto" w:fill="E1058C"/>
            <w:vAlign w:val="center"/>
          </w:tcPr>
          <w:p>
            <w:pPr>
              <w:spacing w:after="0"/>
            </w:pPr>
            <w:r>
              <w:rPr>
                <w:b/>
                <w:i w:val="0"/>
                <w:color w:val="FFFFFF"/>
                <w:sz w:val="16"/>
              </w:rPr>
              <w:t>No</w:t>
            </w:r>
          </w:p>
        </w:tc>
        <w:tc>
          <w:tcPr>
            <w:tcW w:type="dxa" w:w="4762"/>
            <w:shd w:val="clear" w:color="auto" w:fill="E1058C"/>
            <w:vAlign w:val="center"/>
          </w:tcPr>
          <w:p>
            <w:pPr>
              <w:spacing w:after="0"/>
            </w:pPr>
            <w:r>
              <w:rPr>
                <w:b/>
                <w:i w:val="0"/>
                <w:color w:val="FFFFFF"/>
                <w:sz w:val="16"/>
              </w:rPr>
              <w:t>Component</w:t>
            </w:r>
          </w:p>
        </w:tc>
        <w:tc>
          <w:tcPr>
            <w:tcW w:type="dxa" w:w="1077"/>
            <w:shd w:val="clear" w:color="auto" w:fill="E1058C"/>
            <w:vAlign w:val="center"/>
          </w:tcPr>
          <w:p>
            <w:pPr>
              <w:spacing w:after="0"/>
            </w:pPr>
            <w:r>
              <w:rPr>
                <w:b/>
                <w:i w:val="0"/>
                <w:color w:val="FFFFFF"/>
                <w:sz w:val="16"/>
              </w:rPr>
              <w:t>Portal (B$)</w:t>
            </w:r>
          </w:p>
        </w:tc>
        <w:tc>
          <w:tcPr>
            <w:tcW w:type="dxa" w:w="1247"/>
            <w:shd w:val="clear" w:color="auto" w:fill="E1058C"/>
            <w:vAlign w:val="center"/>
          </w:tcPr>
          <w:p>
            <w:pPr>
              <w:spacing w:after="0"/>
            </w:pPr>
            <w:r>
              <w:rPr>
                <w:b/>
                <w:i w:val="0"/>
                <w:color w:val="FFFFFF"/>
                <w:sz w:val="16"/>
              </w:rPr>
              <w:t>Back-office (B$)</w:t>
            </w:r>
          </w:p>
        </w:tc>
        <w:tc>
          <w:tcPr>
            <w:tcW w:type="dxa" w:w="1077"/>
            <w:shd w:val="clear" w:color="auto" w:fill="E1058C"/>
            <w:vAlign w:val="center"/>
          </w:tcPr>
          <w:p>
            <w:pPr>
              <w:spacing w:after="0"/>
            </w:pPr>
            <w:r>
              <w:rPr>
                <w:b/>
                <w:i w:val="0"/>
                <w:color w:val="FFFFFF"/>
                <w:sz w:val="16"/>
              </w:rPr>
              <w:t>Total (B$)</w:t>
            </w:r>
          </w:p>
        </w:tc>
        <w:tc>
          <w:tcPr>
            <w:tcW w:type="dxa" w:w="1020"/>
            <w:shd w:val="clear" w:color="auto" w:fill="E1058C"/>
            <w:vAlign w:val="center"/>
          </w:tcPr>
          <w:p>
            <w:pPr>
              <w:spacing w:after="0"/>
            </w:pPr>
            <w:r>
              <w:rPr>
                <w:b/>
                <w:i w:val="0"/>
                <w:color w:val="FFFFFF"/>
                <w:sz w:val="16"/>
              </w:rPr>
              <w:t>In AMC base</w:t>
            </w:r>
          </w:p>
        </w:tc>
      </w:tr>
      <w:tr>
        <w:trPr>
          <w:cantSplit/>
        </w:trPr>
        <w:tc>
          <w:tcPr>
            <w:tcW w:type="dxa" w:w="454"/>
            <w:vAlign w:val="top"/>
          </w:tcPr>
          <w:p>
            <w:pPr>
              <w:spacing w:after="20" w:line="252" w:lineRule="auto"/>
              <w:jc w:val="center"/>
            </w:pPr>
            <w:r>
              <w:rPr>
                <w:b w:val="0"/>
                <w:i w:val="0"/>
                <w:sz w:val="16"/>
              </w:rPr>
              <w:t>1</w:t>
            </w:r>
          </w:p>
        </w:tc>
        <w:tc>
          <w:tcPr>
            <w:tcW w:type="dxa" w:w="4762"/>
            <w:vAlign w:val="top"/>
          </w:tcPr>
          <w:p>
            <w:pPr>
              <w:spacing w:after="20" w:line="252" w:lineRule="auto"/>
            </w:pPr>
            <w:r>
              <w:rPr>
                <w:b w:val="0"/>
                <w:i w:val="0"/>
                <w:sz w:val="16"/>
              </w:rPr>
              <w:t>SalesVerse 2.0 software licence (Agent/Banca Portal and Back-office)</w:t>
            </w:r>
          </w:p>
        </w:tc>
        <w:tc>
          <w:tcPr>
            <w:tcW w:type="dxa" w:w="1077"/>
            <w:vAlign w:val="top"/>
          </w:tcPr>
          <w:p>
            <w:pPr>
              <w:spacing w:after="20" w:line="252" w:lineRule="auto"/>
              <w:jc w:val="right"/>
            </w:pPr>
            <w:r>
              <w:rPr>
                <w:b w:val="0"/>
                <w:i w:val="0"/>
                <w:sz w:val="16"/>
              </w:rPr>
              <w:t>26,000</w:t>
            </w:r>
          </w:p>
        </w:tc>
        <w:tc>
          <w:tcPr>
            <w:tcW w:type="dxa" w:w="1247"/>
            <w:vAlign w:val="top"/>
          </w:tcPr>
          <w:p>
            <w:pPr>
              <w:spacing w:after="20" w:line="252" w:lineRule="auto"/>
              <w:jc w:val="right"/>
            </w:pPr>
            <w:r>
              <w:rPr>
                <w:b w:val="0"/>
                <w:i w:val="0"/>
                <w:sz w:val="16"/>
              </w:rPr>
              <w:t>22,000</w:t>
            </w:r>
          </w:p>
        </w:tc>
        <w:tc>
          <w:tcPr>
            <w:tcW w:type="dxa" w:w="1077"/>
            <w:vAlign w:val="top"/>
          </w:tcPr>
          <w:p>
            <w:pPr>
              <w:spacing w:after="20" w:line="252" w:lineRule="auto"/>
              <w:jc w:val="right"/>
            </w:pPr>
            <w:r>
              <w:rPr>
                <w:b w:val="0"/>
                <w:i w:val="0"/>
                <w:sz w:val="16"/>
              </w:rPr>
              <w:t>48,000</w:t>
            </w:r>
          </w:p>
        </w:tc>
        <w:tc>
          <w:tcPr>
            <w:tcW w:type="dxa" w:w="1020"/>
            <w:vAlign w:val="top"/>
          </w:tcPr>
          <w:p>
            <w:pPr>
              <w:spacing w:after="20" w:line="252" w:lineRule="auto"/>
              <w:jc w:val="center"/>
            </w:pPr>
            <w:r>
              <w:rPr>
                <w:b w:val="0"/>
                <w:i w:val="0"/>
                <w:sz w:val="16"/>
              </w:rPr>
              <w:t>Yes</w:t>
            </w:r>
          </w:p>
        </w:tc>
      </w:tr>
      <w:tr>
        <w:trPr>
          <w:cantSplit/>
        </w:trPr>
        <w:tc>
          <w:tcPr>
            <w:tcW w:type="dxa" w:w="454"/>
            <w:vAlign w:val="top"/>
            <w:shd w:val="clear" w:color="auto" w:fill="FDF0F7"/>
          </w:tcPr>
          <w:p>
            <w:pPr>
              <w:spacing w:after="20" w:line="252" w:lineRule="auto"/>
              <w:jc w:val="center"/>
            </w:pPr>
            <w:r>
              <w:rPr>
                <w:b w:val="0"/>
                <w:i w:val="0"/>
                <w:sz w:val="16"/>
              </w:rPr>
              <w:t>2</w:t>
            </w:r>
          </w:p>
        </w:tc>
        <w:tc>
          <w:tcPr>
            <w:tcW w:type="dxa" w:w="4762"/>
            <w:vAlign w:val="top"/>
            <w:shd w:val="clear" w:color="auto" w:fill="FDF0F7"/>
          </w:tcPr>
          <w:p>
            <w:pPr>
              <w:spacing w:after="20" w:line="252" w:lineRule="auto"/>
            </w:pPr>
            <w:r>
              <w:rPr>
                <w:b w:val="0"/>
                <w:i w:val="0"/>
                <w:sz w:val="16"/>
              </w:rPr>
              <w:t>Implementation and customisation (project management, business analysis, design, configuration, customisation, deployment)</w:t>
            </w:r>
          </w:p>
        </w:tc>
        <w:tc>
          <w:tcPr>
            <w:tcW w:type="dxa" w:w="1077"/>
            <w:vAlign w:val="top"/>
            <w:shd w:val="clear" w:color="auto" w:fill="FDF0F7"/>
          </w:tcPr>
          <w:p>
            <w:pPr>
              <w:spacing w:after="20" w:line="252" w:lineRule="auto"/>
              <w:jc w:val="right"/>
            </w:pPr>
            <w:r>
              <w:rPr>
                <w:b w:val="0"/>
                <w:i w:val="0"/>
                <w:sz w:val="16"/>
              </w:rPr>
              <w:t>36,000</w:t>
            </w:r>
          </w:p>
        </w:tc>
        <w:tc>
          <w:tcPr>
            <w:tcW w:type="dxa" w:w="1247"/>
            <w:vAlign w:val="top"/>
            <w:shd w:val="clear" w:color="auto" w:fill="FDF0F7"/>
          </w:tcPr>
          <w:p>
            <w:pPr>
              <w:spacing w:after="20" w:line="252" w:lineRule="auto"/>
              <w:jc w:val="right"/>
            </w:pPr>
            <w:r>
              <w:rPr>
                <w:b w:val="0"/>
                <w:i w:val="0"/>
                <w:sz w:val="16"/>
              </w:rPr>
              <w:t>28,000</w:t>
            </w:r>
          </w:p>
        </w:tc>
        <w:tc>
          <w:tcPr>
            <w:tcW w:type="dxa" w:w="1077"/>
            <w:vAlign w:val="top"/>
            <w:shd w:val="clear" w:color="auto" w:fill="FDF0F7"/>
          </w:tcPr>
          <w:p>
            <w:pPr>
              <w:spacing w:after="20" w:line="252" w:lineRule="auto"/>
              <w:jc w:val="right"/>
            </w:pPr>
            <w:r>
              <w:rPr>
                <w:b w:val="0"/>
                <w:i w:val="0"/>
                <w:sz w:val="16"/>
              </w:rPr>
              <w:t>64,000</w:t>
            </w:r>
          </w:p>
        </w:tc>
        <w:tc>
          <w:tcPr>
            <w:tcW w:type="dxa" w:w="1020"/>
            <w:vAlign w:val="top"/>
            <w:shd w:val="clear" w:color="auto" w:fill="FDF0F7"/>
          </w:tcPr>
          <w:p>
            <w:pPr>
              <w:spacing w:after="20" w:line="252" w:lineRule="auto"/>
              <w:jc w:val="center"/>
            </w:pPr>
            <w:r>
              <w:rPr>
                <w:b w:val="0"/>
                <w:i w:val="0"/>
                <w:sz w:val="16"/>
              </w:rPr>
              <w:t>Yes</w:t>
            </w:r>
          </w:p>
        </w:tc>
      </w:tr>
      <w:tr>
        <w:trPr>
          <w:cantSplit/>
        </w:trPr>
        <w:tc>
          <w:tcPr>
            <w:tcW w:type="dxa" w:w="454"/>
            <w:vAlign w:val="top"/>
          </w:tcPr>
          <w:p>
            <w:pPr>
              <w:spacing w:after="20" w:line="252" w:lineRule="auto"/>
              <w:jc w:val="center"/>
            </w:pPr>
            <w:r>
              <w:rPr>
                <w:b w:val="0"/>
                <w:i w:val="0"/>
                <w:sz w:val="16"/>
              </w:rPr>
              <w:t>3</w:t>
            </w:r>
          </w:p>
        </w:tc>
        <w:tc>
          <w:tcPr>
            <w:tcW w:type="dxa" w:w="4762"/>
            <w:vAlign w:val="top"/>
          </w:tcPr>
          <w:p>
            <w:pPr>
              <w:spacing w:after="20" w:line="252" w:lineRule="auto"/>
            </w:pPr>
            <w:r>
              <w:rPr>
                <w:b w:val="0"/>
                <w:i w:val="0"/>
                <w:sz w:val="16"/>
              </w:rPr>
              <w:t>Integration (per interface; see integration breakdown)</w:t>
            </w:r>
          </w:p>
        </w:tc>
        <w:tc>
          <w:tcPr>
            <w:tcW w:type="dxa" w:w="1077"/>
            <w:vAlign w:val="top"/>
          </w:tcPr>
          <w:p>
            <w:pPr>
              <w:spacing w:after="20" w:line="252" w:lineRule="auto"/>
              <w:jc w:val="right"/>
            </w:pPr>
            <w:r>
              <w:rPr>
                <w:b w:val="0"/>
                <w:i w:val="0"/>
                <w:sz w:val="16"/>
              </w:rPr>
              <w:t>17,500</w:t>
            </w:r>
          </w:p>
        </w:tc>
        <w:tc>
          <w:tcPr>
            <w:tcW w:type="dxa" w:w="1247"/>
            <w:vAlign w:val="top"/>
          </w:tcPr>
          <w:p>
            <w:pPr>
              <w:spacing w:after="20" w:line="252" w:lineRule="auto"/>
              <w:jc w:val="right"/>
            </w:pPr>
            <w:r>
              <w:rPr>
                <w:b w:val="0"/>
                <w:i w:val="0"/>
                <w:sz w:val="16"/>
              </w:rPr>
              <w:t>13,000</w:t>
            </w:r>
          </w:p>
        </w:tc>
        <w:tc>
          <w:tcPr>
            <w:tcW w:type="dxa" w:w="1077"/>
            <w:vAlign w:val="top"/>
          </w:tcPr>
          <w:p>
            <w:pPr>
              <w:spacing w:after="20" w:line="252" w:lineRule="auto"/>
              <w:jc w:val="right"/>
            </w:pPr>
            <w:r>
              <w:rPr>
                <w:b w:val="0"/>
                <w:i w:val="0"/>
                <w:sz w:val="16"/>
              </w:rPr>
              <w:t>30,500</w:t>
            </w:r>
          </w:p>
        </w:tc>
        <w:tc>
          <w:tcPr>
            <w:tcW w:type="dxa" w:w="1020"/>
            <w:vAlign w:val="top"/>
          </w:tcPr>
          <w:p>
            <w:pPr>
              <w:spacing w:after="20" w:line="252" w:lineRule="auto"/>
              <w:jc w:val="center"/>
            </w:pPr>
            <w:r>
              <w:rPr>
                <w:b w:val="0"/>
                <w:i w:val="0"/>
                <w:sz w:val="16"/>
              </w:rPr>
              <w:t>Yes</w:t>
            </w:r>
          </w:p>
        </w:tc>
      </w:tr>
      <w:tr>
        <w:trPr>
          <w:cantSplit/>
        </w:trPr>
        <w:tc>
          <w:tcPr>
            <w:tcW w:type="dxa" w:w="454"/>
            <w:vAlign w:val="top"/>
            <w:shd w:val="clear" w:color="auto" w:fill="FDF0F7"/>
          </w:tcPr>
          <w:p>
            <w:pPr>
              <w:spacing w:after="20" w:line="252" w:lineRule="auto"/>
              <w:jc w:val="center"/>
            </w:pPr>
            <w:r>
              <w:rPr>
                <w:b w:val="0"/>
                <w:i w:val="0"/>
                <w:sz w:val="16"/>
              </w:rPr>
              <w:t>4</w:t>
            </w:r>
          </w:p>
        </w:tc>
        <w:tc>
          <w:tcPr>
            <w:tcW w:type="dxa" w:w="4762"/>
            <w:vAlign w:val="top"/>
            <w:shd w:val="clear" w:color="auto" w:fill="FDF0F7"/>
          </w:tcPr>
          <w:p>
            <w:pPr>
              <w:spacing w:after="20" w:line="252" w:lineRule="auto"/>
            </w:pPr>
            <w:r>
              <w:rPr>
                <w:b w:val="0"/>
                <w:i w:val="0"/>
                <w:sz w:val="16"/>
              </w:rPr>
              <w:t>Data migration</w:t>
            </w:r>
          </w:p>
        </w:tc>
        <w:tc>
          <w:tcPr>
            <w:tcW w:type="dxa" w:w="1077"/>
            <w:vAlign w:val="top"/>
            <w:shd w:val="clear" w:color="auto" w:fill="FDF0F7"/>
          </w:tcPr>
          <w:p>
            <w:pPr>
              <w:spacing w:after="20" w:line="252" w:lineRule="auto"/>
              <w:jc w:val="right"/>
            </w:pPr>
            <w:r>
              <w:rPr>
                <w:b w:val="0"/>
                <w:i w:val="0"/>
                <w:sz w:val="16"/>
              </w:rPr>
              <w:t>3,000</w:t>
            </w:r>
          </w:p>
        </w:tc>
        <w:tc>
          <w:tcPr>
            <w:tcW w:type="dxa" w:w="1247"/>
            <w:vAlign w:val="top"/>
            <w:shd w:val="clear" w:color="auto" w:fill="FDF0F7"/>
          </w:tcPr>
          <w:p>
            <w:pPr>
              <w:spacing w:after="20" w:line="252" w:lineRule="auto"/>
              <w:jc w:val="right"/>
            </w:pPr>
            <w:r>
              <w:rPr>
                <w:b w:val="0"/>
                <w:i w:val="0"/>
                <w:sz w:val="16"/>
              </w:rPr>
              <w:t>4,500</w:t>
            </w:r>
          </w:p>
        </w:tc>
        <w:tc>
          <w:tcPr>
            <w:tcW w:type="dxa" w:w="1077"/>
            <w:vAlign w:val="top"/>
            <w:shd w:val="clear" w:color="auto" w:fill="FDF0F7"/>
          </w:tcPr>
          <w:p>
            <w:pPr>
              <w:spacing w:after="20" w:line="252" w:lineRule="auto"/>
              <w:jc w:val="right"/>
            </w:pPr>
            <w:r>
              <w:rPr>
                <w:b w:val="0"/>
                <w:i w:val="0"/>
                <w:sz w:val="16"/>
              </w:rPr>
              <w:t>7,500</w:t>
            </w:r>
          </w:p>
        </w:tc>
        <w:tc>
          <w:tcPr>
            <w:tcW w:type="dxa" w:w="1020"/>
            <w:vAlign w:val="top"/>
            <w:shd w:val="clear" w:color="auto" w:fill="FDF0F7"/>
          </w:tcPr>
          <w:p>
            <w:pPr>
              <w:spacing w:after="20" w:line="252" w:lineRule="auto"/>
              <w:jc w:val="center"/>
            </w:pPr>
            <w:r>
              <w:rPr>
                <w:b w:val="0"/>
                <w:i w:val="0"/>
                <w:sz w:val="16"/>
              </w:rPr>
              <w:t>No</w:t>
            </w:r>
          </w:p>
        </w:tc>
      </w:tr>
      <w:tr>
        <w:trPr>
          <w:cantSplit/>
        </w:trPr>
        <w:tc>
          <w:tcPr>
            <w:tcW w:type="dxa" w:w="454"/>
            <w:vAlign w:val="top"/>
          </w:tcPr>
          <w:p>
            <w:pPr>
              <w:spacing w:after="20" w:line="252" w:lineRule="auto"/>
              <w:jc w:val="center"/>
            </w:pPr>
            <w:r>
              <w:rPr>
                <w:b w:val="0"/>
                <w:i w:val="0"/>
                <w:sz w:val="16"/>
              </w:rPr>
              <w:t>7</w:t>
            </w:r>
          </w:p>
        </w:tc>
        <w:tc>
          <w:tcPr>
            <w:tcW w:type="dxa" w:w="4762"/>
            <w:vAlign w:val="top"/>
          </w:tcPr>
          <w:p>
            <w:pPr>
              <w:spacing w:after="20" w:line="252" w:lineRule="auto"/>
            </w:pPr>
            <w:r>
              <w:rPr>
                <w:b w:val="0"/>
                <w:i w:val="0"/>
                <w:sz w:val="16"/>
              </w:rPr>
              <w:t>Security (independent VAPT and re-test)</w:t>
            </w:r>
          </w:p>
        </w:tc>
        <w:tc>
          <w:tcPr>
            <w:tcW w:type="dxa" w:w="1077"/>
            <w:vAlign w:val="top"/>
          </w:tcPr>
          <w:p>
            <w:pPr>
              <w:spacing w:after="20" w:line="252" w:lineRule="auto"/>
              <w:jc w:val="right"/>
            </w:pPr>
            <w:r>
              <w:rPr>
                <w:b w:val="0"/>
                <w:i w:val="0"/>
                <w:sz w:val="16"/>
              </w:rPr>
              <w:t>4,500</w:t>
            </w:r>
          </w:p>
        </w:tc>
        <w:tc>
          <w:tcPr>
            <w:tcW w:type="dxa" w:w="1247"/>
            <w:vAlign w:val="top"/>
          </w:tcPr>
          <w:p>
            <w:pPr>
              <w:spacing w:after="20" w:line="252" w:lineRule="auto"/>
              <w:jc w:val="right"/>
            </w:pPr>
            <w:r>
              <w:rPr>
                <w:b w:val="0"/>
                <w:i w:val="0"/>
                <w:sz w:val="16"/>
              </w:rPr>
              <w:t>4,000</w:t>
            </w:r>
          </w:p>
        </w:tc>
        <w:tc>
          <w:tcPr>
            <w:tcW w:type="dxa" w:w="1077"/>
            <w:vAlign w:val="top"/>
          </w:tcPr>
          <w:p>
            <w:pPr>
              <w:spacing w:after="20" w:line="252" w:lineRule="auto"/>
              <w:jc w:val="right"/>
            </w:pPr>
            <w:r>
              <w:rPr>
                <w:b w:val="0"/>
                <w:i w:val="0"/>
                <w:sz w:val="16"/>
              </w:rPr>
              <w:t>8,500</w:t>
            </w:r>
          </w:p>
        </w:tc>
        <w:tc>
          <w:tcPr>
            <w:tcW w:type="dxa" w:w="1020"/>
            <w:vAlign w:val="top"/>
          </w:tcPr>
          <w:p>
            <w:pPr>
              <w:spacing w:after="20" w:line="252" w:lineRule="auto"/>
              <w:jc w:val="center"/>
            </w:pPr>
            <w:r>
              <w:rPr>
                <w:b w:val="0"/>
                <w:i w:val="0"/>
                <w:sz w:val="16"/>
              </w:rPr>
              <w:t>No</w:t>
            </w:r>
          </w:p>
        </w:tc>
      </w:tr>
      <w:tr>
        <w:trPr>
          <w:cantSplit/>
        </w:trPr>
        <w:tc>
          <w:tcPr>
            <w:tcW w:type="dxa" w:w="454"/>
            <w:vAlign w:val="top"/>
            <w:shd w:val="clear" w:color="auto" w:fill="FDF0F7"/>
          </w:tcPr>
          <w:p>
            <w:pPr>
              <w:spacing w:after="20" w:line="252" w:lineRule="auto"/>
              <w:jc w:val="center"/>
            </w:pPr>
            <w:r>
              <w:rPr>
                <w:b w:val="0"/>
                <w:i w:val="0"/>
                <w:sz w:val="16"/>
              </w:rPr>
              <w:t>8</w:t>
            </w:r>
          </w:p>
        </w:tc>
        <w:tc>
          <w:tcPr>
            <w:tcW w:type="dxa" w:w="4762"/>
            <w:vAlign w:val="top"/>
            <w:shd w:val="clear" w:color="auto" w:fill="FDF0F7"/>
          </w:tcPr>
          <w:p>
            <w:pPr>
              <w:spacing w:after="20" w:line="252" w:lineRule="auto"/>
            </w:pPr>
            <w:r>
              <w:rPr>
                <w:b w:val="0"/>
                <w:i w:val="0"/>
                <w:sz w:val="16"/>
              </w:rPr>
              <w:t>Testing (SIT, performance, regression, UAT support)</w:t>
            </w:r>
          </w:p>
        </w:tc>
        <w:tc>
          <w:tcPr>
            <w:tcW w:type="dxa" w:w="1077"/>
            <w:vAlign w:val="top"/>
            <w:shd w:val="clear" w:color="auto" w:fill="FDF0F7"/>
          </w:tcPr>
          <w:p>
            <w:pPr>
              <w:spacing w:after="20" w:line="252" w:lineRule="auto"/>
              <w:jc w:val="right"/>
            </w:pPr>
            <w:r>
              <w:rPr>
                <w:b w:val="0"/>
                <w:i w:val="0"/>
                <w:sz w:val="16"/>
              </w:rPr>
              <w:t>5,500</w:t>
            </w:r>
          </w:p>
        </w:tc>
        <w:tc>
          <w:tcPr>
            <w:tcW w:type="dxa" w:w="1247"/>
            <w:vAlign w:val="top"/>
            <w:shd w:val="clear" w:color="auto" w:fill="FDF0F7"/>
          </w:tcPr>
          <w:p>
            <w:pPr>
              <w:spacing w:after="20" w:line="252" w:lineRule="auto"/>
              <w:jc w:val="right"/>
            </w:pPr>
            <w:r>
              <w:rPr>
                <w:b w:val="0"/>
                <w:i w:val="0"/>
                <w:sz w:val="16"/>
              </w:rPr>
              <w:t>4,500</w:t>
            </w:r>
          </w:p>
        </w:tc>
        <w:tc>
          <w:tcPr>
            <w:tcW w:type="dxa" w:w="1077"/>
            <w:vAlign w:val="top"/>
            <w:shd w:val="clear" w:color="auto" w:fill="FDF0F7"/>
          </w:tcPr>
          <w:p>
            <w:pPr>
              <w:spacing w:after="20" w:line="252" w:lineRule="auto"/>
              <w:jc w:val="right"/>
            </w:pPr>
            <w:r>
              <w:rPr>
                <w:b w:val="0"/>
                <w:i w:val="0"/>
                <w:sz w:val="16"/>
              </w:rPr>
              <w:t>10,000</w:t>
            </w:r>
          </w:p>
        </w:tc>
        <w:tc>
          <w:tcPr>
            <w:tcW w:type="dxa" w:w="1020"/>
            <w:vAlign w:val="top"/>
            <w:shd w:val="clear" w:color="auto" w:fill="FDF0F7"/>
          </w:tcPr>
          <w:p>
            <w:pPr>
              <w:spacing w:after="20" w:line="252" w:lineRule="auto"/>
              <w:jc w:val="center"/>
            </w:pPr>
            <w:r>
              <w:rPr>
                <w:b w:val="0"/>
                <w:i w:val="0"/>
                <w:sz w:val="16"/>
              </w:rPr>
              <w:t>No</w:t>
            </w:r>
          </w:p>
        </w:tc>
      </w:tr>
      <w:tr>
        <w:trPr>
          <w:cantSplit/>
        </w:trPr>
        <w:tc>
          <w:tcPr>
            <w:tcW w:type="dxa" w:w="454"/>
            <w:vAlign w:val="top"/>
          </w:tcPr>
          <w:p>
            <w:pPr>
              <w:spacing w:after="20" w:line="252" w:lineRule="auto"/>
              <w:jc w:val="center"/>
            </w:pPr>
            <w:r>
              <w:rPr>
                <w:b w:val="0"/>
                <w:i w:val="0"/>
                <w:sz w:val="16"/>
              </w:rPr>
              <w:t>9</w:t>
            </w:r>
          </w:p>
        </w:tc>
        <w:tc>
          <w:tcPr>
            <w:tcW w:type="dxa" w:w="4762"/>
            <w:vAlign w:val="top"/>
          </w:tcPr>
          <w:p>
            <w:pPr>
              <w:spacing w:after="20" w:line="252" w:lineRule="auto"/>
            </w:pPr>
            <w:r>
              <w:rPr>
                <w:b w:val="0"/>
                <w:i w:val="0"/>
                <w:sz w:val="16"/>
              </w:rPr>
              <w:t>Training</w:t>
            </w:r>
          </w:p>
        </w:tc>
        <w:tc>
          <w:tcPr>
            <w:tcW w:type="dxa" w:w="1077"/>
            <w:vAlign w:val="top"/>
          </w:tcPr>
          <w:p>
            <w:pPr>
              <w:spacing w:after="20" w:line="252" w:lineRule="auto"/>
              <w:jc w:val="right"/>
            </w:pPr>
            <w:r>
              <w:rPr>
                <w:b w:val="0"/>
                <w:i w:val="0"/>
                <w:sz w:val="16"/>
              </w:rPr>
              <w:t>2,500</w:t>
            </w:r>
          </w:p>
        </w:tc>
        <w:tc>
          <w:tcPr>
            <w:tcW w:type="dxa" w:w="1247"/>
            <w:vAlign w:val="top"/>
          </w:tcPr>
          <w:p>
            <w:pPr>
              <w:spacing w:after="20" w:line="252" w:lineRule="auto"/>
              <w:jc w:val="right"/>
            </w:pPr>
            <w:r>
              <w:rPr>
                <w:b w:val="0"/>
                <w:i w:val="0"/>
                <w:sz w:val="16"/>
              </w:rPr>
              <w:t>2,000</w:t>
            </w:r>
          </w:p>
        </w:tc>
        <w:tc>
          <w:tcPr>
            <w:tcW w:type="dxa" w:w="1077"/>
            <w:vAlign w:val="top"/>
          </w:tcPr>
          <w:p>
            <w:pPr>
              <w:spacing w:after="20" w:line="252" w:lineRule="auto"/>
              <w:jc w:val="right"/>
            </w:pPr>
            <w:r>
              <w:rPr>
                <w:b w:val="0"/>
                <w:i w:val="0"/>
                <w:sz w:val="16"/>
              </w:rPr>
              <w:t>4,500</w:t>
            </w:r>
          </w:p>
        </w:tc>
        <w:tc>
          <w:tcPr>
            <w:tcW w:type="dxa" w:w="1020"/>
            <w:vAlign w:val="top"/>
          </w:tcPr>
          <w:p>
            <w:pPr>
              <w:spacing w:after="20" w:line="252" w:lineRule="auto"/>
              <w:jc w:val="center"/>
            </w:pPr>
            <w:r>
              <w:rPr>
                <w:b w:val="0"/>
                <w:i w:val="0"/>
                <w:sz w:val="16"/>
              </w:rPr>
              <w:t>No</w:t>
            </w:r>
          </w:p>
        </w:tc>
      </w:tr>
      <w:tr>
        <w:trPr>
          <w:cantSplit/>
        </w:trPr>
        <w:tc>
          <w:tcPr>
            <w:tcW w:type="dxa" w:w="454"/>
            <w:vAlign w:val="top"/>
            <w:shd w:val="clear" w:color="auto" w:fill="FDF0F7"/>
          </w:tcPr>
          <w:p>
            <w:pPr>
              <w:spacing w:after="20" w:line="252" w:lineRule="auto"/>
              <w:jc w:val="center"/>
            </w:pPr>
            <w:r>
              <w:rPr>
                <w:b w:val="0"/>
                <w:i w:val="0"/>
                <w:sz w:val="16"/>
              </w:rPr>
              <w:t>10</w:t>
            </w:r>
          </w:p>
        </w:tc>
        <w:tc>
          <w:tcPr>
            <w:tcW w:type="dxa" w:w="4762"/>
            <w:vAlign w:val="top"/>
            <w:shd w:val="clear" w:color="auto" w:fill="FDF0F7"/>
          </w:tcPr>
          <w:p>
            <w:pPr>
              <w:spacing w:after="20" w:line="252" w:lineRule="auto"/>
            </w:pPr>
            <w:r>
              <w:rPr>
                <w:b w:val="0"/>
                <w:i w:val="0"/>
                <w:sz w:val="16"/>
              </w:rPr>
              <w:t>Documentation</w:t>
            </w:r>
          </w:p>
        </w:tc>
        <w:tc>
          <w:tcPr>
            <w:tcW w:type="dxa" w:w="1077"/>
            <w:vAlign w:val="top"/>
            <w:shd w:val="clear" w:color="auto" w:fill="FDF0F7"/>
          </w:tcPr>
          <w:p>
            <w:pPr>
              <w:spacing w:after="20" w:line="252" w:lineRule="auto"/>
              <w:jc w:val="right"/>
            </w:pPr>
            <w:r>
              <w:rPr>
                <w:b w:val="0"/>
                <w:i w:val="0"/>
                <w:sz w:val="16"/>
              </w:rPr>
              <w:t>2,500</w:t>
            </w:r>
          </w:p>
        </w:tc>
        <w:tc>
          <w:tcPr>
            <w:tcW w:type="dxa" w:w="1247"/>
            <w:vAlign w:val="top"/>
            <w:shd w:val="clear" w:color="auto" w:fill="FDF0F7"/>
          </w:tcPr>
          <w:p>
            <w:pPr>
              <w:spacing w:after="20" w:line="252" w:lineRule="auto"/>
              <w:jc w:val="right"/>
            </w:pPr>
            <w:r>
              <w:rPr>
                <w:b w:val="0"/>
                <w:i w:val="0"/>
                <w:sz w:val="16"/>
              </w:rPr>
              <w:t>2,500</w:t>
            </w:r>
          </w:p>
        </w:tc>
        <w:tc>
          <w:tcPr>
            <w:tcW w:type="dxa" w:w="1077"/>
            <w:vAlign w:val="top"/>
            <w:shd w:val="clear" w:color="auto" w:fill="FDF0F7"/>
          </w:tcPr>
          <w:p>
            <w:pPr>
              <w:spacing w:after="20" w:line="252" w:lineRule="auto"/>
              <w:jc w:val="right"/>
            </w:pPr>
            <w:r>
              <w:rPr>
                <w:b w:val="0"/>
                <w:i w:val="0"/>
                <w:sz w:val="16"/>
              </w:rPr>
              <w:t>5,000</w:t>
            </w:r>
          </w:p>
        </w:tc>
        <w:tc>
          <w:tcPr>
            <w:tcW w:type="dxa" w:w="1020"/>
            <w:vAlign w:val="top"/>
            <w:shd w:val="clear" w:color="auto" w:fill="FDF0F7"/>
          </w:tcPr>
          <w:p>
            <w:pPr>
              <w:spacing w:after="20" w:line="252" w:lineRule="auto"/>
              <w:jc w:val="center"/>
            </w:pPr>
            <w:r>
              <w:rPr>
                <w:b w:val="0"/>
                <w:i w:val="0"/>
                <w:sz w:val="16"/>
              </w:rPr>
              <w:t>No</w:t>
            </w:r>
          </w:p>
        </w:tc>
      </w:tr>
      <w:tr>
        <w:trPr>
          <w:cantSplit/>
        </w:trPr>
        <w:tc>
          <w:tcPr>
            <w:tcW w:type="dxa" w:w="454"/>
            <w:vAlign w:val="top"/>
            <w:shd w:val="clear" w:color="auto" w:fill="FEEBDD"/>
          </w:tcPr>
          <w:p>
            <w:pPr>
              <w:spacing w:after="20" w:line="252" w:lineRule="auto"/>
              <w:jc w:val="center"/>
            </w:pPr>
          </w:p>
        </w:tc>
        <w:tc>
          <w:tcPr>
            <w:tcW w:type="dxa" w:w="4762"/>
            <w:vAlign w:val="top"/>
            <w:shd w:val="clear" w:color="auto" w:fill="FEEBDD"/>
          </w:tcPr>
          <w:p>
            <w:pPr>
              <w:spacing w:after="20" w:line="252" w:lineRule="auto"/>
            </w:pPr>
            <w:r>
              <w:rPr>
                <w:b/>
                <w:i w:val="0"/>
                <w:sz w:val="16"/>
              </w:rPr>
              <w:t>Total one-time fees, Option A</w:t>
            </w:r>
          </w:p>
        </w:tc>
        <w:tc>
          <w:tcPr>
            <w:tcW w:type="dxa" w:w="1077"/>
            <w:vAlign w:val="top"/>
            <w:shd w:val="clear" w:color="auto" w:fill="FEEBDD"/>
          </w:tcPr>
          <w:p>
            <w:pPr>
              <w:spacing w:after="20" w:line="252" w:lineRule="auto"/>
              <w:jc w:val="right"/>
            </w:pPr>
            <w:r>
              <w:rPr>
                <w:b/>
                <w:i w:val="0"/>
                <w:sz w:val="16"/>
              </w:rPr>
              <w:t>97,500</w:t>
            </w:r>
          </w:p>
        </w:tc>
        <w:tc>
          <w:tcPr>
            <w:tcW w:type="dxa" w:w="1247"/>
            <w:vAlign w:val="top"/>
            <w:shd w:val="clear" w:color="auto" w:fill="FEEBDD"/>
          </w:tcPr>
          <w:p>
            <w:pPr>
              <w:spacing w:after="20" w:line="252" w:lineRule="auto"/>
              <w:jc w:val="right"/>
            </w:pPr>
            <w:r>
              <w:rPr>
                <w:b/>
                <w:i w:val="0"/>
                <w:sz w:val="16"/>
              </w:rPr>
              <w:t>80,500</w:t>
            </w:r>
          </w:p>
        </w:tc>
        <w:tc>
          <w:tcPr>
            <w:tcW w:type="dxa" w:w="1077"/>
            <w:vAlign w:val="top"/>
            <w:shd w:val="clear" w:color="auto" w:fill="FEEBDD"/>
          </w:tcPr>
          <w:p>
            <w:pPr>
              <w:spacing w:after="20" w:line="252" w:lineRule="auto"/>
              <w:jc w:val="right"/>
            </w:pPr>
            <w:r>
              <w:rPr>
                <w:b/>
                <w:i w:val="0"/>
                <w:sz w:val="16"/>
              </w:rPr>
              <w:t>178,000</w:t>
            </w:r>
          </w:p>
        </w:tc>
        <w:tc>
          <w:tcPr>
            <w:tcW w:type="dxa" w:w="1020"/>
            <w:vAlign w:val="top"/>
            <w:shd w:val="clear" w:color="auto" w:fill="FEEBDD"/>
          </w:tcPr>
          <w:p>
            <w:pPr>
              <w:spacing w:after="20" w:line="252" w:lineRule="auto"/>
              <w:jc w:val="center"/>
            </w:pPr>
            <w:r>
              <w:rPr>
                <w:b/>
                <w:i w:val="0"/>
                <w:sz w:val="16"/>
              </w:rPr>
              <w:t>142,500</w:t>
            </w:r>
          </w:p>
        </w:tc>
      </w:tr>
    </w:tbl>
    <w:p>
      <w:pPr>
        <w:pStyle w:val="Caption"/>
        <w:jc w:val="center"/>
      </w:pPr>
      <w:r>
        <w:rPr>
          <w:b w:val="0"/>
          <w:i w:val="0"/>
        </w:rPr>
        <w:t>Table 39: Option A one-time fees (RFP section 10 numbering)</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30" w:type="dxa"/>
          <w:left w:w="90" w:type="dxa"/>
          <w:bottom w:w="30" w:type="dxa"/>
          <w:right w:w="90" w:type="dxa"/>
        </w:tblCellMar>
        <w:tblLayout w:type="fixed"/>
      </w:tblPr>
      <w:tblGrid>
        <w:gridCol w:w="2381"/>
        <w:gridCol w:w="7257"/>
      </w:tblGrid>
      <w:tr>
        <w:trPr>
          <w:cantSplit/>
          <w:tblHeader/>
        </w:trPr>
        <w:tc>
          <w:tcPr>
            <w:tcW w:type="dxa" w:w="2381"/>
            <w:shd w:val="clear" w:color="auto" w:fill="E1058C"/>
            <w:vAlign w:val="center"/>
          </w:tcPr>
          <w:p>
            <w:pPr>
              <w:spacing w:after="0"/>
            </w:pPr>
            <w:r>
              <w:rPr>
                <w:b/>
                <w:i w:val="0"/>
                <w:color w:val="FFFFFF"/>
                <w:sz w:val="16"/>
              </w:rPr>
              <w:t>Item</w:t>
            </w:r>
          </w:p>
        </w:tc>
        <w:tc>
          <w:tcPr>
            <w:tcW w:type="dxa" w:w="7257"/>
            <w:shd w:val="clear" w:color="auto" w:fill="E1058C"/>
            <w:vAlign w:val="center"/>
          </w:tcPr>
          <w:p>
            <w:pPr>
              <w:spacing w:after="0"/>
            </w:pPr>
            <w:r>
              <w:rPr>
                <w:b/>
                <w:i w:val="0"/>
                <w:color w:val="FFFFFF"/>
                <w:sz w:val="16"/>
              </w:rPr>
              <w:t>What the fee covers</w:t>
            </w:r>
          </w:p>
        </w:tc>
      </w:tr>
      <w:tr>
        <w:trPr>
          <w:cantSplit/>
        </w:trPr>
        <w:tc>
          <w:tcPr>
            <w:tcW w:type="dxa" w:w="2381"/>
            <w:vAlign w:val="top"/>
          </w:tcPr>
          <w:p>
            <w:pPr>
              <w:spacing w:after="20" w:line="252" w:lineRule="auto"/>
            </w:pPr>
            <w:r>
              <w:rPr>
                <w:b/>
                <w:i w:val="0"/>
                <w:sz w:val="16"/>
              </w:rPr>
              <w:t>1. SalesVerse 2.0 software licence</w:t>
            </w:r>
          </w:p>
        </w:tc>
        <w:tc>
          <w:tcPr>
            <w:tcW w:type="dxa" w:w="7257"/>
            <w:vAlign w:val="top"/>
          </w:tcPr>
          <w:p>
            <w:pPr>
              <w:spacing w:after="20" w:line="252" w:lineRule="auto"/>
            </w:pPr>
            <w:r>
              <w:rPr>
                <w:b w:val="0"/>
                <w:i w:val="0"/>
                <w:sz w:val="16"/>
              </w:rPr>
              <w:t>Perpetual, non-exclusive, non-transferable enterprise licence for IIFT. Unlimited named users; production, DR and non-production environments included. Option A only.</w:t>
            </w:r>
          </w:p>
        </w:tc>
      </w:tr>
      <w:tr>
        <w:trPr>
          <w:cantSplit/>
        </w:trPr>
        <w:tc>
          <w:tcPr>
            <w:tcW w:type="dxa" w:w="2381"/>
            <w:vAlign w:val="top"/>
            <w:shd w:val="clear" w:color="auto" w:fill="FDF0F7"/>
          </w:tcPr>
          <w:p>
            <w:pPr>
              <w:spacing w:after="20" w:line="252" w:lineRule="auto"/>
            </w:pPr>
            <w:r>
              <w:rPr>
                <w:b/>
                <w:i w:val="0"/>
                <w:sz w:val="16"/>
              </w:rPr>
              <w:t>2. Implementation and customisation</w:t>
            </w:r>
          </w:p>
        </w:tc>
        <w:tc>
          <w:tcPr>
            <w:tcW w:type="dxa" w:w="7257"/>
            <w:vAlign w:val="top"/>
            <w:shd w:val="clear" w:color="auto" w:fill="FDF0F7"/>
          </w:tcPr>
          <w:p>
            <w:pPr>
              <w:spacing w:after="20" w:line="252" w:lineRule="auto"/>
            </w:pPr>
            <w:r>
              <w:rPr>
                <w:b w:val="0"/>
                <w:i w:val="0"/>
                <w:sz w:val="16"/>
              </w:rPr>
              <w:t>Fixed price for the functional scope in RFP section 4 and Appendix 3, configured for IIFT's seven products, workflows, documents and reports.</w:t>
            </w:r>
          </w:p>
        </w:tc>
      </w:tr>
      <w:tr>
        <w:trPr>
          <w:cantSplit/>
        </w:trPr>
        <w:tc>
          <w:tcPr>
            <w:tcW w:type="dxa" w:w="2381"/>
            <w:vAlign w:val="top"/>
          </w:tcPr>
          <w:p>
            <w:pPr>
              <w:spacing w:after="20" w:line="252" w:lineRule="auto"/>
            </w:pPr>
            <w:r>
              <w:rPr>
                <w:b/>
                <w:i w:val="0"/>
                <w:sz w:val="16"/>
              </w:rPr>
              <w:t>3. Integration</w:t>
            </w:r>
          </w:p>
        </w:tc>
        <w:tc>
          <w:tcPr>
            <w:tcW w:type="dxa" w:w="7257"/>
            <w:vAlign w:val="top"/>
          </w:tcPr>
          <w:p>
            <w:pPr>
              <w:spacing w:after="20" w:line="252" w:lineRule="auto"/>
            </w:pPr>
            <w:r>
              <w:rPr>
                <w:b w:val="0"/>
                <w:i w:val="0"/>
                <w:sz w:val="16"/>
              </w:rPr>
              <w:t>Core system, FIN, AML screening, LDAP/AD, SMS gateway and Email/SMTP.</w:t>
            </w:r>
          </w:p>
        </w:tc>
      </w:tr>
      <w:tr>
        <w:trPr>
          <w:cantSplit/>
        </w:trPr>
        <w:tc>
          <w:tcPr>
            <w:tcW w:type="dxa" w:w="2381"/>
            <w:vAlign w:val="top"/>
            <w:shd w:val="clear" w:color="auto" w:fill="FDF0F7"/>
          </w:tcPr>
          <w:p>
            <w:pPr>
              <w:spacing w:after="20" w:line="252" w:lineRule="auto"/>
            </w:pPr>
            <w:r>
              <w:rPr>
                <w:b/>
                <w:i w:val="0"/>
                <w:sz w:val="16"/>
              </w:rPr>
              <w:t>4. Data migration</w:t>
            </w:r>
          </w:p>
        </w:tc>
        <w:tc>
          <w:tcPr>
            <w:tcW w:type="dxa" w:w="7257"/>
            <w:vAlign w:val="top"/>
            <w:shd w:val="clear" w:color="auto" w:fill="FDF0F7"/>
          </w:tcPr>
          <w:p>
            <w:pPr>
              <w:spacing w:after="20" w:line="252" w:lineRule="auto"/>
            </w:pPr>
            <w:r>
              <w:rPr>
                <w:b w:val="0"/>
                <w:i w:val="0"/>
                <w:sz w:val="16"/>
              </w:rPr>
              <w:t>Extraction support, transformation, cleansing, two dry runs, load and reconciliation of agreed agent, agency, bank and participant data.</w:t>
            </w:r>
          </w:p>
        </w:tc>
      </w:tr>
      <w:tr>
        <w:trPr>
          <w:cantSplit/>
        </w:trPr>
        <w:tc>
          <w:tcPr>
            <w:tcW w:type="dxa" w:w="2381"/>
            <w:vAlign w:val="top"/>
          </w:tcPr>
          <w:p>
            <w:pPr>
              <w:spacing w:after="20" w:line="252" w:lineRule="auto"/>
            </w:pPr>
            <w:r>
              <w:rPr>
                <w:b/>
                <w:i w:val="0"/>
                <w:sz w:val="16"/>
              </w:rPr>
              <w:t>7. Security</w:t>
            </w:r>
          </w:p>
        </w:tc>
        <w:tc>
          <w:tcPr>
            <w:tcW w:type="dxa" w:w="7257"/>
            <w:vAlign w:val="top"/>
          </w:tcPr>
          <w:p>
            <w:pPr>
              <w:spacing w:after="20" w:line="252" w:lineRule="auto"/>
            </w:pPr>
            <w:r>
              <w:rPr>
                <w:b w:val="0"/>
                <w:i w:val="0"/>
                <w:sz w:val="16"/>
              </w:rPr>
              <w:t>Independent vulnerability assessment and penetration test before go-live, remediation and re-test.</w:t>
            </w:r>
          </w:p>
        </w:tc>
      </w:tr>
      <w:tr>
        <w:trPr>
          <w:cantSplit/>
        </w:trPr>
        <w:tc>
          <w:tcPr>
            <w:tcW w:type="dxa" w:w="2381"/>
            <w:vAlign w:val="top"/>
            <w:shd w:val="clear" w:color="auto" w:fill="FDF0F7"/>
          </w:tcPr>
          <w:p>
            <w:pPr>
              <w:spacing w:after="20" w:line="252" w:lineRule="auto"/>
            </w:pPr>
            <w:r>
              <w:rPr>
                <w:b/>
                <w:i w:val="0"/>
                <w:sz w:val="16"/>
              </w:rPr>
              <w:t>8. Testing</w:t>
            </w:r>
          </w:p>
        </w:tc>
        <w:tc>
          <w:tcPr>
            <w:tcW w:type="dxa" w:w="7257"/>
            <w:vAlign w:val="top"/>
            <w:shd w:val="clear" w:color="auto" w:fill="FDF0F7"/>
          </w:tcPr>
          <w:p>
            <w:pPr>
              <w:spacing w:after="20" w:line="252" w:lineRule="auto"/>
            </w:pPr>
            <w:r>
              <w:rPr>
                <w:b w:val="0"/>
                <w:i w:val="0"/>
                <w:sz w:val="16"/>
              </w:rPr>
              <w:t>Test strategy, SIT cases and execution, performance test, automated regression suite, UAT support and defect fixing.</w:t>
            </w:r>
          </w:p>
        </w:tc>
      </w:tr>
      <w:tr>
        <w:trPr>
          <w:cantSplit/>
        </w:trPr>
        <w:tc>
          <w:tcPr>
            <w:tcW w:type="dxa" w:w="2381"/>
            <w:vAlign w:val="top"/>
          </w:tcPr>
          <w:p>
            <w:pPr>
              <w:spacing w:after="20" w:line="252" w:lineRule="auto"/>
            </w:pPr>
            <w:r>
              <w:rPr>
                <w:b/>
                <w:i w:val="0"/>
                <w:sz w:val="16"/>
              </w:rPr>
              <w:t>9. Training</w:t>
            </w:r>
          </w:p>
        </w:tc>
        <w:tc>
          <w:tcPr>
            <w:tcW w:type="dxa" w:w="7257"/>
            <w:vAlign w:val="top"/>
          </w:tcPr>
          <w:p>
            <w:pPr>
              <w:spacing w:after="20" w:line="252" w:lineRule="auto"/>
            </w:pPr>
            <w:r>
              <w:rPr>
                <w:b w:val="0"/>
                <w:i w:val="0"/>
                <w:sz w:val="16"/>
              </w:rPr>
              <w:t>End-user, administrator and technical training including materials.</w:t>
            </w:r>
          </w:p>
        </w:tc>
      </w:tr>
      <w:tr>
        <w:trPr>
          <w:cantSplit/>
        </w:trPr>
        <w:tc>
          <w:tcPr>
            <w:tcW w:type="dxa" w:w="2381"/>
            <w:vAlign w:val="top"/>
            <w:shd w:val="clear" w:color="auto" w:fill="FDF0F7"/>
          </w:tcPr>
          <w:p>
            <w:pPr>
              <w:spacing w:after="20" w:line="252" w:lineRule="auto"/>
            </w:pPr>
            <w:r>
              <w:rPr>
                <w:b/>
                <w:i w:val="0"/>
                <w:sz w:val="16"/>
              </w:rPr>
              <w:t>10. Documentation</w:t>
            </w:r>
          </w:p>
        </w:tc>
        <w:tc>
          <w:tcPr>
            <w:tcW w:type="dxa" w:w="7257"/>
            <w:vAlign w:val="top"/>
            <w:shd w:val="clear" w:color="auto" w:fill="FDF0F7"/>
          </w:tcPr>
          <w:p>
            <w:pPr>
              <w:spacing w:after="20" w:line="252" w:lineRule="auto"/>
            </w:pPr>
            <w:r>
              <w:rPr>
                <w:b w:val="0"/>
                <w:i w:val="0"/>
                <w:sz w:val="16"/>
              </w:rPr>
              <w:t>User, administrator, technical and operations manuals; maintained throughout the contract.</w:t>
            </w:r>
          </w:p>
        </w:tc>
      </w:tr>
    </w:tbl>
    <w:p>
      <w:pPr>
        <w:pStyle w:val="Caption"/>
        <w:jc w:val="center"/>
      </w:pPr>
      <w:r>
        <w:rPr>
          <w:b w:val="0"/>
          <w:i w:val="0"/>
        </w:rPr>
        <w:t>Table 40: Scope of each one-time fee (COM-06 to COM-10)</w:t>
      </w:r>
    </w:p>
    <w:p>
      <w:pPr>
        <w:pStyle w:val="Heading3"/>
      </w:pPr>
      <w:r>
        <w:t>Integration per interface (COM-05)</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4082"/>
        <w:gridCol w:w="1134"/>
        <w:gridCol w:w="1360"/>
        <w:gridCol w:w="1134"/>
      </w:tblGrid>
      <w:tr>
        <w:trPr>
          <w:cantSplit/>
          <w:tblHeader/>
        </w:trPr>
        <w:tc>
          <w:tcPr>
            <w:tcW w:type="dxa" w:w="1928"/>
            <w:shd w:val="clear" w:color="auto" w:fill="E1058C"/>
            <w:vAlign w:val="center"/>
          </w:tcPr>
          <w:p>
            <w:pPr>
              <w:spacing w:after="0"/>
            </w:pPr>
            <w:r>
              <w:rPr>
                <w:b/>
                <w:i w:val="0"/>
                <w:color w:val="FFFFFF"/>
                <w:sz w:val="16"/>
              </w:rPr>
              <w:t>Interface</w:t>
            </w:r>
          </w:p>
        </w:tc>
        <w:tc>
          <w:tcPr>
            <w:tcW w:type="dxa" w:w="4082"/>
            <w:shd w:val="clear" w:color="auto" w:fill="E1058C"/>
            <w:vAlign w:val="center"/>
          </w:tcPr>
          <w:p>
            <w:pPr>
              <w:spacing w:after="0"/>
            </w:pPr>
            <w:r>
              <w:rPr>
                <w:b/>
                <w:i w:val="0"/>
                <w:color w:val="FFFFFF"/>
                <w:sz w:val="16"/>
              </w:rPr>
              <w:t>Scope</w:t>
            </w:r>
          </w:p>
        </w:tc>
        <w:tc>
          <w:tcPr>
            <w:tcW w:type="dxa" w:w="1134"/>
            <w:shd w:val="clear" w:color="auto" w:fill="E1058C"/>
            <w:vAlign w:val="center"/>
          </w:tcPr>
          <w:p>
            <w:pPr>
              <w:spacing w:after="0"/>
            </w:pPr>
            <w:r>
              <w:rPr>
                <w:b/>
                <w:i w:val="0"/>
                <w:color w:val="FFFFFF"/>
                <w:sz w:val="16"/>
              </w:rPr>
              <w:t>Portal (B$)</w:t>
            </w:r>
          </w:p>
        </w:tc>
        <w:tc>
          <w:tcPr>
            <w:tcW w:type="dxa" w:w="1361"/>
            <w:shd w:val="clear" w:color="auto" w:fill="E1058C"/>
            <w:vAlign w:val="center"/>
          </w:tcPr>
          <w:p>
            <w:pPr>
              <w:spacing w:after="0"/>
            </w:pPr>
            <w:r>
              <w:rPr>
                <w:b/>
                <w:i w:val="0"/>
                <w:color w:val="FFFFFF"/>
                <w:sz w:val="16"/>
              </w:rPr>
              <w:t>Back-office (B$)</w:t>
            </w:r>
          </w:p>
        </w:tc>
        <w:tc>
          <w:tcPr>
            <w:tcW w:type="dxa" w:w="1134"/>
            <w:shd w:val="clear" w:color="auto" w:fill="E1058C"/>
            <w:vAlign w:val="center"/>
          </w:tcPr>
          <w:p>
            <w:pPr>
              <w:spacing w:after="0"/>
            </w:pPr>
            <w:r>
              <w:rPr>
                <w:b/>
                <w:i w:val="0"/>
                <w:color w:val="FFFFFF"/>
                <w:sz w:val="16"/>
              </w:rPr>
              <w:t>Total (B$)</w:t>
            </w:r>
          </w:p>
        </w:tc>
      </w:tr>
      <w:tr>
        <w:trPr>
          <w:cantSplit/>
        </w:trPr>
        <w:tc>
          <w:tcPr>
            <w:tcW w:type="dxa" w:w="1928"/>
            <w:vAlign w:val="top"/>
          </w:tcPr>
          <w:p>
            <w:pPr>
              <w:spacing w:after="20" w:line="252" w:lineRule="auto"/>
            </w:pPr>
            <w:r>
              <w:rPr>
                <w:b/>
                <w:i w:val="0"/>
                <w:sz w:val="16"/>
              </w:rPr>
              <w:t>Core system</w:t>
            </w:r>
          </w:p>
        </w:tc>
        <w:tc>
          <w:tcPr>
            <w:tcW w:type="dxa" w:w="4082"/>
            <w:vAlign w:val="top"/>
          </w:tcPr>
          <w:p>
            <w:pPr>
              <w:spacing w:after="20" w:line="252" w:lineRule="auto"/>
            </w:pPr>
            <w:r>
              <w:rPr>
                <w:b w:val="0"/>
                <w:i w:val="0"/>
                <w:sz w:val="16"/>
              </w:rPr>
              <w:t>Agent, agency, bank and policy master synchronisation; agent information exchange</w:t>
            </w:r>
          </w:p>
        </w:tc>
        <w:tc>
          <w:tcPr>
            <w:tcW w:type="dxa" w:w="1134"/>
            <w:vAlign w:val="top"/>
          </w:tcPr>
          <w:p>
            <w:pPr>
              <w:spacing w:after="20" w:line="252" w:lineRule="auto"/>
              <w:jc w:val="right"/>
            </w:pPr>
            <w:r>
              <w:rPr>
                <w:b w:val="0"/>
                <w:i w:val="0"/>
                <w:sz w:val="16"/>
              </w:rPr>
              <w:t>4,250</w:t>
            </w:r>
          </w:p>
        </w:tc>
        <w:tc>
          <w:tcPr>
            <w:tcW w:type="dxa" w:w="1361"/>
            <w:vAlign w:val="top"/>
          </w:tcPr>
          <w:p>
            <w:pPr>
              <w:spacing w:after="20" w:line="252" w:lineRule="auto"/>
              <w:jc w:val="right"/>
            </w:pPr>
            <w:r>
              <w:rPr>
                <w:b w:val="0"/>
                <w:i w:val="0"/>
                <w:sz w:val="16"/>
              </w:rPr>
              <w:t>4,250</w:t>
            </w:r>
          </w:p>
        </w:tc>
        <w:tc>
          <w:tcPr>
            <w:tcW w:type="dxa" w:w="1134"/>
            <w:vAlign w:val="top"/>
          </w:tcPr>
          <w:p>
            <w:pPr>
              <w:spacing w:after="20" w:line="252" w:lineRule="auto"/>
              <w:jc w:val="right"/>
            </w:pPr>
            <w:r>
              <w:rPr>
                <w:b w:val="0"/>
                <w:i w:val="0"/>
                <w:sz w:val="16"/>
              </w:rPr>
              <w:t>8,500</w:t>
            </w:r>
          </w:p>
        </w:tc>
      </w:tr>
      <w:tr>
        <w:trPr>
          <w:cantSplit/>
        </w:trPr>
        <w:tc>
          <w:tcPr>
            <w:tcW w:type="dxa" w:w="1928"/>
            <w:vAlign w:val="top"/>
            <w:shd w:val="clear" w:color="auto" w:fill="FDF0F7"/>
          </w:tcPr>
          <w:p>
            <w:pPr>
              <w:spacing w:after="20" w:line="252" w:lineRule="auto"/>
            </w:pPr>
            <w:r>
              <w:rPr>
                <w:b/>
                <w:i w:val="0"/>
                <w:sz w:val="16"/>
              </w:rPr>
              <w:t>Financial system (FIN)</w:t>
            </w:r>
          </w:p>
        </w:tc>
        <w:tc>
          <w:tcPr>
            <w:tcW w:type="dxa" w:w="4082"/>
            <w:vAlign w:val="top"/>
            <w:shd w:val="clear" w:color="auto" w:fill="FDF0F7"/>
          </w:tcPr>
          <w:p>
            <w:pPr>
              <w:spacing w:after="20" w:line="252" w:lineRule="auto"/>
            </w:pPr>
            <w:r>
              <w:rPr>
                <w:b w:val="0"/>
                <w:i w:val="0"/>
                <w:sz w:val="16"/>
              </w:rPr>
              <w:t>End-of-day postings, receipts, commission / referral fee information, BRR reconciliation</w:t>
            </w:r>
          </w:p>
        </w:tc>
        <w:tc>
          <w:tcPr>
            <w:tcW w:type="dxa" w:w="1134"/>
            <w:vAlign w:val="top"/>
            <w:shd w:val="clear" w:color="auto" w:fill="FDF0F7"/>
          </w:tcPr>
          <w:p>
            <w:pPr>
              <w:spacing w:after="20" w:line="252" w:lineRule="auto"/>
              <w:jc w:val="right"/>
            </w:pPr>
            <w:r>
              <w:rPr>
                <w:b w:val="0"/>
                <w:i w:val="0"/>
                <w:sz w:val="16"/>
              </w:rPr>
              <w:t>4,250</w:t>
            </w:r>
          </w:p>
        </w:tc>
        <w:tc>
          <w:tcPr>
            <w:tcW w:type="dxa" w:w="1361"/>
            <w:vAlign w:val="top"/>
            <w:shd w:val="clear" w:color="auto" w:fill="FDF0F7"/>
          </w:tcPr>
          <w:p>
            <w:pPr>
              <w:spacing w:after="20" w:line="252" w:lineRule="auto"/>
              <w:jc w:val="right"/>
            </w:pPr>
            <w:r>
              <w:rPr>
                <w:b w:val="0"/>
                <w:i w:val="0"/>
                <w:sz w:val="16"/>
              </w:rPr>
              <w:t>4,250</w:t>
            </w:r>
          </w:p>
        </w:tc>
        <w:tc>
          <w:tcPr>
            <w:tcW w:type="dxa" w:w="1134"/>
            <w:vAlign w:val="top"/>
            <w:shd w:val="clear" w:color="auto" w:fill="FDF0F7"/>
          </w:tcPr>
          <w:p>
            <w:pPr>
              <w:spacing w:after="20" w:line="252" w:lineRule="auto"/>
              <w:jc w:val="right"/>
            </w:pPr>
            <w:r>
              <w:rPr>
                <w:b w:val="0"/>
                <w:i w:val="0"/>
                <w:sz w:val="16"/>
              </w:rPr>
              <w:t>8,500</w:t>
            </w:r>
          </w:p>
        </w:tc>
      </w:tr>
      <w:tr>
        <w:trPr>
          <w:cantSplit/>
        </w:trPr>
        <w:tc>
          <w:tcPr>
            <w:tcW w:type="dxa" w:w="1928"/>
            <w:vAlign w:val="top"/>
          </w:tcPr>
          <w:p>
            <w:pPr>
              <w:spacing w:after="20" w:line="252" w:lineRule="auto"/>
            </w:pPr>
            <w:r>
              <w:rPr>
                <w:b/>
                <w:i w:val="0"/>
                <w:sz w:val="16"/>
              </w:rPr>
              <w:t>AML screening service</w:t>
            </w:r>
          </w:p>
        </w:tc>
        <w:tc>
          <w:tcPr>
            <w:tcW w:type="dxa" w:w="4082"/>
            <w:vAlign w:val="top"/>
          </w:tcPr>
          <w:p>
            <w:pPr>
              <w:spacing w:after="20" w:line="252" w:lineRule="auto"/>
            </w:pPr>
            <w:r>
              <w:rPr>
                <w:b w:val="0"/>
                <w:i w:val="0"/>
                <w:sz w:val="16"/>
              </w:rPr>
              <w:t>Participant and agent screening, result capture, re-screening</w:t>
            </w:r>
          </w:p>
        </w:tc>
        <w:tc>
          <w:tcPr>
            <w:tcW w:type="dxa" w:w="1134"/>
            <w:vAlign w:val="top"/>
          </w:tcPr>
          <w:p>
            <w:pPr>
              <w:spacing w:after="20" w:line="252" w:lineRule="auto"/>
              <w:jc w:val="right"/>
            </w:pPr>
            <w:r>
              <w:rPr>
                <w:b w:val="0"/>
                <w:i w:val="0"/>
                <w:sz w:val="16"/>
              </w:rPr>
              <w:t>2,500</w:t>
            </w:r>
          </w:p>
        </w:tc>
        <w:tc>
          <w:tcPr>
            <w:tcW w:type="dxa" w:w="1361"/>
            <w:vAlign w:val="top"/>
          </w:tcPr>
          <w:p>
            <w:pPr>
              <w:spacing w:after="20" w:line="252" w:lineRule="auto"/>
              <w:jc w:val="right"/>
            </w:pPr>
            <w:r>
              <w:rPr>
                <w:b w:val="0"/>
                <w:i w:val="0"/>
                <w:sz w:val="16"/>
              </w:rPr>
              <w:t>2,500</w:t>
            </w:r>
          </w:p>
        </w:tc>
        <w:tc>
          <w:tcPr>
            <w:tcW w:type="dxa" w:w="1134"/>
            <w:vAlign w:val="top"/>
          </w:tcPr>
          <w:p>
            <w:pPr>
              <w:spacing w:after="20" w:line="252" w:lineRule="auto"/>
              <w:jc w:val="right"/>
            </w:pPr>
            <w:r>
              <w:rPr>
                <w:b w:val="0"/>
                <w:i w:val="0"/>
                <w:sz w:val="16"/>
              </w:rPr>
              <w:t>5,000</w:t>
            </w:r>
          </w:p>
        </w:tc>
      </w:tr>
      <w:tr>
        <w:trPr>
          <w:cantSplit/>
        </w:trPr>
        <w:tc>
          <w:tcPr>
            <w:tcW w:type="dxa" w:w="1928"/>
            <w:vAlign w:val="top"/>
            <w:shd w:val="clear" w:color="auto" w:fill="FDF0F7"/>
          </w:tcPr>
          <w:p>
            <w:pPr>
              <w:spacing w:after="20" w:line="252" w:lineRule="auto"/>
            </w:pPr>
            <w:r>
              <w:rPr>
                <w:b/>
                <w:i w:val="0"/>
                <w:sz w:val="16"/>
              </w:rPr>
              <w:t>LDAP / Active Directory</w:t>
            </w:r>
          </w:p>
        </w:tc>
        <w:tc>
          <w:tcPr>
            <w:tcW w:type="dxa" w:w="4082"/>
            <w:vAlign w:val="top"/>
            <w:shd w:val="clear" w:color="auto" w:fill="FDF0F7"/>
          </w:tcPr>
          <w:p>
            <w:pPr>
              <w:spacing w:after="20" w:line="252" w:lineRule="auto"/>
            </w:pPr>
            <w:r>
              <w:rPr>
                <w:b w:val="0"/>
                <w:i w:val="0"/>
                <w:sz w:val="16"/>
              </w:rPr>
              <w:t>Single sign-on for back-office users; optional directory look-up for portal administration</w:t>
            </w:r>
          </w:p>
        </w:tc>
        <w:tc>
          <w:tcPr>
            <w:tcW w:type="dxa" w:w="1134"/>
            <w:vAlign w:val="top"/>
            <w:shd w:val="clear" w:color="auto" w:fill="FDF0F7"/>
          </w:tcPr>
          <w:p>
            <w:pPr>
              <w:spacing w:after="20" w:line="252" w:lineRule="auto"/>
              <w:jc w:val="right"/>
            </w:pPr>
            <w:r>
              <w:rPr>
                <w:b w:val="0"/>
                <w:i w:val="0"/>
                <w:sz w:val="16"/>
              </w:rPr>
              <w:t>2,000</w:t>
            </w:r>
          </w:p>
        </w:tc>
        <w:tc>
          <w:tcPr>
            <w:tcW w:type="dxa" w:w="1361"/>
            <w:vAlign w:val="top"/>
            <w:shd w:val="clear" w:color="auto" w:fill="FDF0F7"/>
          </w:tcPr>
          <w:p>
            <w:pPr>
              <w:spacing w:after="20" w:line="252" w:lineRule="auto"/>
              <w:jc w:val="right"/>
            </w:pPr>
            <w:r>
              <w:rPr>
                <w:b w:val="0"/>
                <w:i w:val="0"/>
                <w:sz w:val="16"/>
              </w:rPr>
              <w:t>2,000</w:t>
            </w:r>
          </w:p>
        </w:tc>
        <w:tc>
          <w:tcPr>
            <w:tcW w:type="dxa" w:w="1134"/>
            <w:vAlign w:val="top"/>
            <w:shd w:val="clear" w:color="auto" w:fill="FDF0F7"/>
          </w:tcPr>
          <w:p>
            <w:pPr>
              <w:spacing w:after="20" w:line="252" w:lineRule="auto"/>
              <w:jc w:val="right"/>
            </w:pPr>
            <w:r>
              <w:rPr>
                <w:b w:val="0"/>
                <w:i w:val="0"/>
                <w:sz w:val="16"/>
              </w:rPr>
              <w:t>4,000</w:t>
            </w:r>
          </w:p>
        </w:tc>
      </w:tr>
      <w:tr>
        <w:trPr>
          <w:cantSplit/>
        </w:trPr>
        <w:tc>
          <w:tcPr>
            <w:tcW w:type="dxa" w:w="1928"/>
            <w:vAlign w:val="top"/>
          </w:tcPr>
          <w:p>
            <w:pPr>
              <w:spacing w:after="20" w:line="252" w:lineRule="auto"/>
            </w:pPr>
            <w:r>
              <w:rPr>
                <w:b/>
                <w:i w:val="0"/>
                <w:sz w:val="16"/>
              </w:rPr>
              <w:t>SMS gateway</w:t>
            </w:r>
          </w:p>
        </w:tc>
        <w:tc>
          <w:tcPr>
            <w:tcW w:type="dxa" w:w="4082"/>
            <w:vAlign w:val="top"/>
          </w:tcPr>
          <w:p>
            <w:pPr>
              <w:spacing w:after="20" w:line="252" w:lineRule="auto"/>
            </w:pPr>
            <w:r>
              <w:rPr>
                <w:b w:val="0"/>
                <w:i w:val="0"/>
                <w:sz w:val="16"/>
              </w:rPr>
              <w:t>OTP and alert delivery through IIFT-approved SMS provider</w:t>
            </w:r>
          </w:p>
        </w:tc>
        <w:tc>
          <w:tcPr>
            <w:tcW w:type="dxa" w:w="1134"/>
            <w:vAlign w:val="top"/>
          </w:tcPr>
          <w:p>
            <w:pPr>
              <w:spacing w:after="20" w:line="252" w:lineRule="auto"/>
              <w:jc w:val="right"/>
            </w:pPr>
            <w:r>
              <w:rPr>
                <w:b w:val="0"/>
                <w:i w:val="0"/>
                <w:sz w:val="16"/>
              </w:rPr>
              <w:t>2,500</w:t>
            </w:r>
          </w:p>
        </w:tc>
        <w:tc>
          <w:tcPr>
            <w:tcW w:type="dxa" w:w="1361"/>
            <w:vAlign w:val="top"/>
          </w:tcPr>
          <w:p>
            <w:pPr>
              <w:spacing w:after="20" w:line="252" w:lineRule="auto"/>
              <w:jc w:val="right"/>
            </w:pPr>
            <w:r>
              <w:rPr>
                <w:b w:val="0"/>
                <w:i w:val="0"/>
                <w:sz w:val="16"/>
              </w:rPr>
              <w:t>0</w:t>
            </w:r>
          </w:p>
        </w:tc>
        <w:tc>
          <w:tcPr>
            <w:tcW w:type="dxa" w:w="1134"/>
            <w:vAlign w:val="top"/>
          </w:tcPr>
          <w:p>
            <w:pPr>
              <w:spacing w:after="20" w:line="252" w:lineRule="auto"/>
              <w:jc w:val="right"/>
            </w:pPr>
            <w:r>
              <w:rPr>
                <w:b w:val="0"/>
                <w:i w:val="0"/>
                <w:sz w:val="16"/>
              </w:rPr>
              <w:t>2,500</w:t>
            </w:r>
          </w:p>
        </w:tc>
      </w:tr>
      <w:tr>
        <w:trPr>
          <w:cantSplit/>
        </w:trPr>
        <w:tc>
          <w:tcPr>
            <w:tcW w:type="dxa" w:w="1928"/>
            <w:vAlign w:val="top"/>
            <w:shd w:val="clear" w:color="auto" w:fill="FDF0F7"/>
          </w:tcPr>
          <w:p>
            <w:pPr>
              <w:spacing w:after="20" w:line="252" w:lineRule="auto"/>
            </w:pPr>
            <w:r>
              <w:rPr>
                <w:b/>
                <w:i w:val="0"/>
                <w:sz w:val="16"/>
              </w:rPr>
              <w:t>Email / SMTP relay</w:t>
            </w:r>
          </w:p>
        </w:tc>
        <w:tc>
          <w:tcPr>
            <w:tcW w:type="dxa" w:w="4082"/>
            <w:vAlign w:val="top"/>
            <w:shd w:val="clear" w:color="auto" w:fill="FDF0F7"/>
          </w:tcPr>
          <w:p>
            <w:pPr>
              <w:spacing w:after="20" w:line="252" w:lineRule="auto"/>
            </w:pPr>
            <w:r>
              <w:rPr>
                <w:b w:val="0"/>
                <w:i w:val="0"/>
                <w:sz w:val="16"/>
              </w:rPr>
              <w:t>Notification and document e-mail delivery through IIFT mail relay</w:t>
            </w:r>
          </w:p>
        </w:tc>
        <w:tc>
          <w:tcPr>
            <w:tcW w:type="dxa" w:w="1134"/>
            <w:vAlign w:val="top"/>
            <w:shd w:val="clear" w:color="auto" w:fill="FDF0F7"/>
          </w:tcPr>
          <w:p>
            <w:pPr>
              <w:spacing w:after="20" w:line="252" w:lineRule="auto"/>
              <w:jc w:val="right"/>
            </w:pPr>
            <w:r>
              <w:rPr>
                <w:b w:val="0"/>
                <w:i w:val="0"/>
                <w:sz w:val="16"/>
              </w:rPr>
              <w:t>2,000</w:t>
            </w:r>
          </w:p>
        </w:tc>
        <w:tc>
          <w:tcPr>
            <w:tcW w:type="dxa" w:w="1361"/>
            <w:vAlign w:val="top"/>
            <w:shd w:val="clear" w:color="auto" w:fill="FDF0F7"/>
          </w:tcPr>
          <w:p>
            <w:pPr>
              <w:spacing w:after="20" w:line="252" w:lineRule="auto"/>
              <w:jc w:val="right"/>
            </w:pPr>
            <w:r>
              <w:rPr>
                <w:b w:val="0"/>
                <w:i w:val="0"/>
                <w:sz w:val="16"/>
              </w:rPr>
              <w:t>0</w:t>
            </w:r>
          </w:p>
        </w:tc>
        <w:tc>
          <w:tcPr>
            <w:tcW w:type="dxa" w:w="1134"/>
            <w:vAlign w:val="top"/>
            <w:shd w:val="clear" w:color="auto" w:fill="FDF0F7"/>
          </w:tcPr>
          <w:p>
            <w:pPr>
              <w:spacing w:after="20" w:line="252" w:lineRule="auto"/>
              <w:jc w:val="right"/>
            </w:pPr>
            <w:r>
              <w:rPr>
                <w:b w:val="0"/>
                <w:i w:val="0"/>
                <w:sz w:val="16"/>
              </w:rPr>
              <w:t>2,000</w:t>
            </w:r>
          </w:p>
        </w:tc>
      </w:tr>
      <w:tr>
        <w:trPr>
          <w:cantSplit/>
        </w:trPr>
        <w:tc>
          <w:tcPr>
            <w:tcW w:type="dxa" w:w="1928"/>
            <w:vAlign w:val="top"/>
            <w:shd w:val="clear" w:color="auto" w:fill="FEEBDD"/>
          </w:tcPr>
          <w:p>
            <w:pPr>
              <w:spacing w:after="20" w:line="252" w:lineRule="auto"/>
            </w:pPr>
            <w:r>
              <w:rPr>
                <w:b/>
                <w:i w:val="0"/>
                <w:sz w:val="16"/>
              </w:rPr>
              <w:t>Total integration (item 3)</w:t>
            </w:r>
          </w:p>
        </w:tc>
        <w:tc>
          <w:tcPr>
            <w:tcW w:type="dxa" w:w="4082"/>
            <w:vAlign w:val="top"/>
            <w:shd w:val="clear" w:color="auto" w:fill="FEEBDD"/>
          </w:tcPr>
          <w:p>
            <w:pPr>
              <w:spacing w:after="20" w:line="252" w:lineRule="auto"/>
            </w:pPr>
          </w:p>
        </w:tc>
        <w:tc>
          <w:tcPr>
            <w:tcW w:type="dxa" w:w="1134"/>
            <w:vAlign w:val="top"/>
            <w:shd w:val="clear" w:color="auto" w:fill="FEEBDD"/>
          </w:tcPr>
          <w:p>
            <w:pPr>
              <w:spacing w:after="20" w:line="252" w:lineRule="auto"/>
              <w:jc w:val="right"/>
            </w:pPr>
            <w:r>
              <w:rPr>
                <w:b/>
                <w:i w:val="0"/>
                <w:sz w:val="16"/>
              </w:rPr>
              <w:t>17,500</w:t>
            </w:r>
          </w:p>
        </w:tc>
        <w:tc>
          <w:tcPr>
            <w:tcW w:type="dxa" w:w="1361"/>
            <w:vAlign w:val="top"/>
            <w:shd w:val="clear" w:color="auto" w:fill="FEEBDD"/>
          </w:tcPr>
          <w:p>
            <w:pPr>
              <w:spacing w:after="20" w:line="252" w:lineRule="auto"/>
              <w:jc w:val="right"/>
            </w:pPr>
            <w:r>
              <w:rPr>
                <w:b/>
                <w:i w:val="0"/>
                <w:sz w:val="16"/>
              </w:rPr>
              <w:t>13,000</w:t>
            </w:r>
          </w:p>
        </w:tc>
        <w:tc>
          <w:tcPr>
            <w:tcW w:type="dxa" w:w="1134"/>
            <w:vAlign w:val="top"/>
            <w:shd w:val="clear" w:color="auto" w:fill="FEEBDD"/>
          </w:tcPr>
          <w:p>
            <w:pPr>
              <w:spacing w:after="20" w:line="252" w:lineRule="auto"/>
              <w:jc w:val="right"/>
            </w:pPr>
            <w:r>
              <w:rPr>
                <w:b/>
                <w:i w:val="0"/>
                <w:sz w:val="16"/>
              </w:rPr>
              <w:t>30,500</w:t>
            </w:r>
          </w:p>
        </w:tc>
      </w:tr>
    </w:tbl>
    <w:p>
      <w:pPr>
        <w:pStyle w:val="Caption"/>
        <w:jc w:val="center"/>
      </w:pPr>
      <w:r>
        <w:rPr>
          <w:b w:val="0"/>
          <w:i w:val="0"/>
        </w:rPr>
        <w:t>Table 41: Integration cost per interface (same under Option B)</w:t>
      </w:r>
    </w:p>
    <w:p>
      <w:pPr>
        <w:pStyle w:val="Heading3"/>
      </w:pPr>
      <w:r>
        <w:t>Annual maintenance charge (AMC)</w:t>
      </w:r>
    </w:p>
    <w:p>
      <w:pPr>
        <w:keepNext w:val="0"/>
      </w:pPr>
      <w:r>
        <w:rPr>
          <w:b w:val="0"/>
          <w:i w:val="0"/>
        </w:rPr>
        <w:t xml:space="preserve">The AMC is </w:t>
      </w:r>
      <w:r>
        <w:rPr>
          <w:b/>
          <w:i w:val="0"/>
        </w:rPr>
        <w:t>22% of the licence and customisation fees</w:t>
      </w:r>
      <w:r>
        <w:rPr>
          <w:b w:val="0"/>
          <w:i w:val="0"/>
        </w:rPr>
        <w:t xml:space="preserve"> (items 1, 2 and 3): 22% × B$ 142,500 = </w:t>
      </w:r>
      <w:r>
        <w:rPr>
          <w:b/>
          <w:i w:val="0"/>
        </w:rPr>
        <w:t>B$ 31,350 in Year 1</w:t>
      </w:r>
      <w:r>
        <w:rPr>
          <w:b w:val="0"/>
          <w:i w:val="0"/>
        </w:rPr>
        <w:t>, rising by 5% a year. Year 1 starts at production go-live. The 6-month warranty runs inside Year 1: defects are fixed free of charge under the warranty, while the AMC pays for the service desk, SLA, monitoring, patches, upgrades and 60 enhancement hours a year.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963"/>
        <w:gridCol w:w="3005"/>
        <w:gridCol w:w="1360"/>
        <w:gridCol w:w="1474"/>
        <w:gridCol w:w="1360"/>
        <w:gridCol w:w="1474"/>
      </w:tblGrid>
      <w:tr>
        <w:trPr>
          <w:cantSplit/>
          <w:tblHeader/>
        </w:trPr>
        <w:tc>
          <w:tcPr>
            <w:tcW w:type="dxa" w:w="964"/>
            <w:shd w:val="clear" w:color="auto" w:fill="E1058C"/>
            <w:vAlign w:val="center"/>
          </w:tcPr>
          <w:p>
            <w:pPr>
              <w:spacing w:after="0"/>
            </w:pPr>
            <w:r>
              <w:rPr>
                <w:b/>
                <w:i w:val="0"/>
                <w:color w:val="FFFFFF"/>
                <w:sz w:val="16"/>
              </w:rPr>
              <w:t>Year</w:t>
            </w:r>
          </w:p>
        </w:tc>
        <w:tc>
          <w:tcPr>
            <w:tcW w:type="dxa" w:w="3005"/>
            <w:shd w:val="clear" w:color="auto" w:fill="E1058C"/>
            <w:vAlign w:val="center"/>
          </w:tcPr>
          <w:p>
            <w:pPr>
              <w:spacing w:after="0"/>
            </w:pPr>
            <w:r>
              <w:rPr>
                <w:b/>
                <w:i w:val="0"/>
                <w:color w:val="FFFFFF"/>
                <w:sz w:val="16"/>
              </w:rPr>
              <w:t>Focus (RFP section 9)</w:t>
            </w:r>
          </w:p>
        </w:tc>
        <w:tc>
          <w:tcPr>
            <w:tcW w:type="dxa" w:w="1361"/>
            <w:shd w:val="clear" w:color="auto" w:fill="E1058C"/>
            <w:vAlign w:val="center"/>
          </w:tcPr>
          <w:p>
            <w:pPr>
              <w:spacing w:after="0"/>
            </w:pPr>
            <w:r>
              <w:rPr>
                <w:b/>
                <w:i w:val="0"/>
                <w:color w:val="FFFFFF"/>
                <w:sz w:val="16"/>
              </w:rPr>
              <w:t>Portal (B$)</w:t>
            </w:r>
          </w:p>
        </w:tc>
        <w:tc>
          <w:tcPr>
            <w:tcW w:type="dxa" w:w="1474"/>
            <w:shd w:val="clear" w:color="auto" w:fill="E1058C"/>
            <w:vAlign w:val="center"/>
          </w:tcPr>
          <w:p>
            <w:pPr>
              <w:spacing w:after="0"/>
            </w:pPr>
            <w:r>
              <w:rPr>
                <w:b/>
                <w:i w:val="0"/>
                <w:color w:val="FFFFFF"/>
                <w:sz w:val="16"/>
              </w:rPr>
              <w:t>Back-office (B$)</w:t>
            </w:r>
          </w:p>
        </w:tc>
        <w:tc>
          <w:tcPr>
            <w:tcW w:type="dxa" w:w="1361"/>
            <w:shd w:val="clear" w:color="auto" w:fill="E1058C"/>
            <w:vAlign w:val="center"/>
          </w:tcPr>
          <w:p>
            <w:pPr>
              <w:spacing w:after="0"/>
            </w:pPr>
            <w:r>
              <w:rPr>
                <w:b/>
                <w:i w:val="0"/>
                <w:color w:val="FFFFFF"/>
                <w:sz w:val="16"/>
              </w:rPr>
              <w:t>AMC (B$)</w:t>
            </w:r>
          </w:p>
        </w:tc>
        <w:tc>
          <w:tcPr>
            <w:tcW w:type="dxa" w:w="1474"/>
            <w:shd w:val="clear" w:color="auto" w:fill="E1058C"/>
            <w:vAlign w:val="center"/>
          </w:tcPr>
          <w:p>
            <w:pPr>
              <w:spacing w:after="0"/>
            </w:pPr>
            <w:r>
              <w:rPr>
                <w:b/>
                <w:i w:val="0"/>
                <w:color w:val="FFFFFF"/>
                <w:sz w:val="16"/>
              </w:rPr>
              <w:t>Per quarter (B$)</w:t>
            </w:r>
          </w:p>
        </w:tc>
      </w:tr>
      <w:tr>
        <w:trPr>
          <w:cantSplit/>
        </w:trPr>
        <w:tc>
          <w:tcPr>
            <w:tcW w:type="dxa" w:w="964"/>
            <w:vAlign w:val="top"/>
          </w:tcPr>
          <w:p>
            <w:pPr>
              <w:spacing w:after="20" w:line="252" w:lineRule="auto"/>
            </w:pPr>
            <w:r>
              <w:rPr>
                <w:b/>
                <w:i w:val="0"/>
                <w:sz w:val="16"/>
              </w:rPr>
              <w:t>Year 1</w:t>
            </w:r>
          </w:p>
        </w:tc>
        <w:tc>
          <w:tcPr>
            <w:tcW w:type="dxa" w:w="3005"/>
            <w:vAlign w:val="top"/>
          </w:tcPr>
          <w:p>
            <w:pPr>
              <w:spacing w:after="20" w:line="252" w:lineRule="auto"/>
            </w:pPr>
            <w:r>
              <w:rPr>
                <w:b w:val="0"/>
                <w:i w:val="0"/>
                <w:sz w:val="16"/>
              </w:rPr>
              <w:t>Stabilisation &amp; Hypercare</w:t>
            </w:r>
          </w:p>
        </w:tc>
        <w:tc>
          <w:tcPr>
            <w:tcW w:type="dxa" w:w="1361"/>
            <w:vAlign w:val="top"/>
          </w:tcPr>
          <w:p>
            <w:pPr>
              <w:spacing w:after="20" w:line="252" w:lineRule="auto"/>
              <w:jc w:val="right"/>
            </w:pPr>
            <w:r>
              <w:rPr>
                <w:b w:val="0"/>
                <w:i w:val="0"/>
                <w:sz w:val="16"/>
              </w:rPr>
              <w:t>17,490</w:t>
            </w:r>
          </w:p>
        </w:tc>
        <w:tc>
          <w:tcPr>
            <w:tcW w:type="dxa" w:w="1474"/>
            <w:vAlign w:val="top"/>
          </w:tcPr>
          <w:p>
            <w:pPr>
              <w:spacing w:after="20" w:line="252" w:lineRule="auto"/>
              <w:jc w:val="right"/>
            </w:pPr>
            <w:r>
              <w:rPr>
                <w:b w:val="0"/>
                <w:i w:val="0"/>
                <w:sz w:val="16"/>
              </w:rPr>
              <w:t>13,860</w:t>
            </w:r>
          </w:p>
        </w:tc>
        <w:tc>
          <w:tcPr>
            <w:tcW w:type="dxa" w:w="1361"/>
            <w:vAlign w:val="top"/>
          </w:tcPr>
          <w:p>
            <w:pPr>
              <w:spacing w:after="20" w:line="252" w:lineRule="auto"/>
              <w:jc w:val="right"/>
            </w:pPr>
            <w:r>
              <w:rPr>
                <w:b w:val="0"/>
                <w:i w:val="0"/>
                <w:sz w:val="16"/>
              </w:rPr>
              <w:t>31,350</w:t>
            </w:r>
          </w:p>
        </w:tc>
        <w:tc>
          <w:tcPr>
            <w:tcW w:type="dxa" w:w="1474"/>
            <w:vAlign w:val="top"/>
          </w:tcPr>
          <w:p>
            <w:pPr>
              <w:spacing w:after="20" w:line="252" w:lineRule="auto"/>
              <w:jc w:val="right"/>
            </w:pPr>
            <w:r>
              <w:rPr>
                <w:b w:val="0"/>
                <w:i w:val="0"/>
                <w:sz w:val="16"/>
              </w:rPr>
              <w:t>7,837.50</w:t>
            </w:r>
          </w:p>
        </w:tc>
      </w:tr>
      <w:tr>
        <w:trPr>
          <w:cantSplit/>
        </w:trPr>
        <w:tc>
          <w:tcPr>
            <w:tcW w:type="dxa" w:w="964"/>
            <w:vAlign w:val="top"/>
            <w:shd w:val="clear" w:color="auto" w:fill="FDF0F7"/>
          </w:tcPr>
          <w:p>
            <w:pPr>
              <w:spacing w:after="20" w:line="252" w:lineRule="auto"/>
            </w:pPr>
            <w:r>
              <w:rPr>
                <w:b/>
                <w:i w:val="0"/>
                <w:sz w:val="16"/>
              </w:rPr>
              <w:t>Year 2</w:t>
            </w:r>
          </w:p>
        </w:tc>
        <w:tc>
          <w:tcPr>
            <w:tcW w:type="dxa" w:w="3005"/>
            <w:vAlign w:val="top"/>
            <w:shd w:val="clear" w:color="auto" w:fill="FDF0F7"/>
          </w:tcPr>
          <w:p>
            <w:pPr>
              <w:spacing w:after="20" w:line="252" w:lineRule="auto"/>
            </w:pPr>
            <w:r>
              <w:rPr>
                <w:b w:val="0"/>
                <w:i w:val="0"/>
                <w:sz w:val="16"/>
              </w:rPr>
              <w:t>Operational Support</w:t>
            </w:r>
          </w:p>
        </w:tc>
        <w:tc>
          <w:tcPr>
            <w:tcW w:type="dxa" w:w="1361"/>
            <w:vAlign w:val="top"/>
            <w:shd w:val="clear" w:color="auto" w:fill="FDF0F7"/>
          </w:tcPr>
          <w:p>
            <w:pPr>
              <w:spacing w:after="20" w:line="252" w:lineRule="auto"/>
              <w:jc w:val="right"/>
            </w:pPr>
            <w:r>
              <w:rPr>
                <w:b w:val="0"/>
                <w:i w:val="0"/>
                <w:sz w:val="16"/>
              </w:rPr>
              <w:t>18,365</w:t>
            </w:r>
          </w:p>
        </w:tc>
        <w:tc>
          <w:tcPr>
            <w:tcW w:type="dxa" w:w="1474"/>
            <w:vAlign w:val="top"/>
            <w:shd w:val="clear" w:color="auto" w:fill="FDF0F7"/>
          </w:tcPr>
          <w:p>
            <w:pPr>
              <w:spacing w:after="20" w:line="252" w:lineRule="auto"/>
              <w:jc w:val="right"/>
            </w:pPr>
            <w:r>
              <w:rPr>
                <w:b w:val="0"/>
                <w:i w:val="0"/>
                <w:sz w:val="16"/>
              </w:rPr>
              <w:t>14,553</w:t>
            </w:r>
          </w:p>
        </w:tc>
        <w:tc>
          <w:tcPr>
            <w:tcW w:type="dxa" w:w="1361"/>
            <w:vAlign w:val="top"/>
            <w:shd w:val="clear" w:color="auto" w:fill="FDF0F7"/>
          </w:tcPr>
          <w:p>
            <w:pPr>
              <w:spacing w:after="20" w:line="252" w:lineRule="auto"/>
              <w:jc w:val="right"/>
            </w:pPr>
            <w:r>
              <w:rPr>
                <w:b w:val="0"/>
                <w:i w:val="0"/>
                <w:sz w:val="16"/>
              </w:rPr>
              <w:t>32,918</w:t>
            </w:r>
          </w:p>
        </w:tc>
        <w:tc>
          <w:tcPr>
            <w:tcW w:type="dxa" w:w="1474"/>
            <w:vAlign w:val="top"/>
            <w:shd w:val="clear" w:color="auto" w:fill="FDF0F7"/>
          </w:tcPr>
          <w:p>
            <w:pPr>
              <w:spacing w:after="20" w:line="252" w:lineRule="auto"/>
              <w:jc w:val="right"/>
            </w:pPr>
            <w:r>
              <w:rPr>
                <w:b w:val="0"/>
                <w:i w:val="0"/>
                <w:sz w:val="16"/>
              </w:rPr>
              <w:t>8,229.50</w:t>
            </w:r>
          </w:p>
        </w:tc>
      </w:tr>
      <w:tr>
        <w:trPr>
          <w:cantSplit/>
        </w:trPr>
        <w:tc>
          <w:tcPr>
            <w:tcW w:type="dxa" w:w="964"/>
            <w:vAlign w:val="top"/>
          </w:tcPr>
          <w:p>
            <w:pPr>
              <w:spacing w:after="20" w:line="252" w:lineRule="auto"/>
            </w:pPr>
            <w:r>
              <w:rPr>
                <w:b/>
                <w:i w:val="0"/>
                <w:sz w:val="16"/>
              </w:rPr>
              <w:t>Year 3</w:t>
            </w:r>
          </w:p>
        </w:tc>
        <w:tc>
          <w:tcPr>
            <w:tcW w:type="dxa" w:w="3005"/>
            <w:vAlign w:val="top"/>
          </w:tcPr>
          <w:p>
            <w:pPr>
              <w:spacing w:after="20" w:line="252" w:lineRule="auto"/>
            </w:pPr>
            <w:r>
              <w:rPr>
                <w:b w:val="0"/>
                <w:i w:val="0"/>
                <w:sz w:val="16"/>
              </w:rPr>
              <w:t>Optimisation</w:t>
            </w:r>
          </w:p>
        </w:tc>
        <w:tc>
          <w:tcPr>
            <w:tcW w:type="dxa" w:w="1361"/>
            <w:vAlign w:val="top"/>
          </w:tcPr>
          <w:p>
            <w:pPr>
              <w:spacing w:after="20" w:line="252" w:lineRule="auto"/>
              <w:jc w:val="right"/>
            </w:pPr>
            <w:r>
              <w:rPr>
                <w:b w:val="0"/>
                <w:i w:val="0"/>
                <w:sz w:val="16"/>
              </w:rPr>
              <w:t>19,283</w:t>
            </w:r>
          </w:p>
        </w:tc>
        <w:tc>
          <w:tcPr>
            <w:tcW w:type="dxa" w:w="1474"/>
            <w:vAlign w:val="top"/>
          </w:tcPr>
          <w:p>
            <w:pPr>
              <w:spacing w:after="20" w:line="252" w:lineRule="auto"/>
              <w:jc w:val="right"/>
            </w:pPr>
            <w:r>
              <w:rPr>
                <w:b w:val="0"/>
                <w:i w:val="0"/>
                <w:sz w:val="16"/>
              </w:rPr>
              <w:t>15,281</w:t>
            </w:r>
          </w:p>
        </w:tc>
        <w:tc>
          <w:tcPr>
            <w:tcW w:type="dxa" w:w="1361"/>
            <w:vAlign w:val="top"/>
          </w:tcPr>
          <w:p>
            <w:pPr>
              <w:spacing w:after="20" w:line="252" w:lineRule="auto"/>
              <w:jc w:val="right"/>
            </w:pPr>
            <w:r>
              <w:rPr>
                <w:b w:val="0"/>
                <w:i w:val="0"/>
                <w:sz w:val="16"/>
              </w:rPr>
              <w:t>34,564</w:t>
            </w:r>
          </w:p>
        </w:tc>
        <w:tc>
          <w:tcPr>
            <w:tcW w:type="dxa" w:w="1474"/>
            <w:vAlign w:val="top"/>
          </w:tcPr>
          <w:p>
            <w:pPr>
              <w:spacing w:after="20" w:line="252" w:lineRule="auto"/>
              <w:jc w:val="right"/>
            </w:pPr>
            <w:r>
              <w:rPr>
                <w:b w:val="0"/>
                <w:i w:val="0"/>
                <w:sz w:val="16"/>
              </w:rPr>
              <w:t>8,641.00</w:t>
            </w:r>
          </w:p>
        </w:tc>
      </w:tr>
      <w:tr>
        <w:trPr>
          <w:cantSplit/>
        </w:trPr>
        <w:tc>
          <w:tcPr>
            <w:tcW w:type="dxa" w:w="964"/>
            <w:vAlign w:val="top"/>
            <w:shd w:val="clear" w:color="auto" w:fill="FDF0F7"/>
          </w:tcPr>
          <w:p>
            <w:pPr>
              <w:spacing w:after="20" w:line="252" w:lineRule="auto"/>
            </w:pPr>
            <w:r>
              <w:rPr>
                <w:b/>
                <w:i w:val="0"/>
                <w:sz w:val="16"/>
              </w:rPr>
              <w:t>Year 4</w:t>
            </w:r>
          </w:p>
        </w:tc>
        <w:tc>
          <w:tcPr>
            <w:tcW w:type="dxa" w:w="3005"/>
            <w:vAlign w:val="top"/>
            <w:shd w:val="clear" w:color="auto" w:fill="FDF0F7"/>
          </w:tcPr>
          <w:p>
            <w:pPr>
              <w:spacing w:after="20" w:line="252" w:lineRule="auto"/>
            </w:pPr>
            <w:r>
              <w:rPr>
                <w:b w:val="0"/>
                <w:i w:val="0"/>
                <w:sz w:val="16"/>
              </w:rPr>
              <w:t>Technology Refresh</w:t>
            </w:r>
          </w:p>
        </w:tc>
        <w:tc>
          <w:tcPr>
            <w:tcW w:type="dxa" w:w="1361"/>
            <w:vAlign w:val="top"/>
            <w:shd w:val="clear" w:color="auto" w:fill="FDF0F7"/>
          </w:tcPr>
          <w:p>
            <w:pPr>
              <w:spacing w:after="20" w:line="252" w:lineRule="auto"/>
              <w:jc w:val="right"/>
            </w:pPr>
            <w:r>
              <w:rPr>
                <w:b w:val="0"/>
                <w:i w:val="0"/>
                <w:sz w:val="16"/>
              </w:rPr>
              <w:t>20,247</w:t>
            </w:r>
          </w:p>
        </w:tc>
        <w:tc>
          <w:tcPr>
            <w:tcW w:type="dxa" w:w="1474"/>
            <w:vAlign w:val="top"/>
            <w:shd w:val="clear" w:color="auto" w:fill="FDF0F7"/>
          </w:tcPr>
          <w:p>
            <w:pPr>
              <w:spacing w:after="20" w:line="252" w:lineRule="auto"/>
              <w:jc w:val="right"/>
            </w:pPr>
            <w:r>
              <w:rPr>
                <w:b w:val="0"/>
                <w:i w:val="0"/>
                <w:sz w:val="16"/>
              </w:rPr>
              <w:t>16,045</w:t>
            </w:r>
          </w:p>
        </w:tc>
        <w:tc>
          <w:tcPr>
            <w:tcW w:type="dxa" w:w="1361"/>
            <w:vAlign w:val="top"/>
            <w:shd w:val="clear" w:color="auto" w:fill="FDF0F7"/>
          </w:tcPr>
          <w:p>
            <w:pPr>
              <w:spacing w:after="20" w:line="252" w:lineRule="auto"/>
              <w:jc w:val="right"/>
            </w:pPr>
            <w:r>
              <w:rPr>
                <w:b w:val="0"/>
                <w:i w:val="0"/>
                <w:sz w:val="16"/>
              </w:rPr>
              <w:t>36,292</w:t>
            </w:r>
          </w:p>
        </w:tc>
        <w:tc>
          <w:tcPr>
            <w:tcW w:type="dxa" w:w="1474"/>
            <w:vAlign w:val="top"/>
            <w:shd w:val="clear" w:color="auto" w:fill="FDF0F7"/>
          </w:tcPr>
          <w:p>
            <w:pPr>
              <w:spacing w:after="20" w:line="252" w:lineRule="auto"/>
              <w:jc w:val="right"/>
            </w:pPr>
            <w:r>
              <w:rPr>
                <w:b w:val="0"/>
                <w:i w:val="0"/>
                <w:sz w:val="16"/>
              </w:rPr>
              <w:t>9,073.00</w:t>
            </w:r>
          </w:p>
        </w:tc>
      </w:tr>
      <w:tr>
        <w:trPr>
          <w:cantSplit/>
        </w:trPr>
        <w:tc>
          <w:tcPr>
            <w:tcW w:type="dxa" w:w="964"/>
            <w:vAlign w:val="top"/>
          </w:tcPr>
          <w:p>
            <w:pPr>
              <w:spacing w:after="20" w:line="252" w:lineRule="auto"/>
            </w:pPr>
            <w:r>
              <w:rPr>
                <w:b/>
                <w:i w:val="0"/>
                <w:sz w:val="16"/>
              </w:rPr>
              <w:t>Year 5</w:t>
            </w:r>
          </w:p>
        </w:tc>
        <w:tc>
          <w:tcPr>
            <w:tcW w:type="dxa" w:w="3005"/>
            <w:vAlign w:val="top"/>
          </w:tcPr>
          <w:p>
            <w:pPr>
              <w:spacing w:after="20" w:line="252" w:lineRule="auto"/>
            </w:pPr>
            <w:r>
              <w:rPr>
                <w:b w:val="0"/>
                <w:i w:val="0"/>
                <w:sz w:val="16"/>
              </w:rPr>
              <w:t>Sustainability &amp; Transition</w:t>
            </w:r>
          </w:p>
        </w:tc>
        <w:tc>
          <w:tcPr>
            <w:tcW w:type="dxa" w:w="1361"/>
            <w:vAlign w:val="top"/>
          </w:tcPr>
          <w:p>
            <w:pPr>
              <w:spacing w:after="20" w:line="252" w:lineRule="auto"/>
              <w:jc w:val="right"/>
            </w:pPr>
            <w:r>
              <w:rPr>
                <w:b w:val="0"/>
                <w:i w:val="0"/>
                <w:sz w:val="16"/>
              </w:rPr>
              <w:t>21,259</w:t>
            </w:r>
          </w:p>
        </w:tc>
        <w:tc>
          <w:tcPr>
            <w:tcW w:type="dxa" w:w="1474"/>
            <w:vAlign w:val="top"/>
          </w:tcPr>
          <w:p>
            <w:pPr>
              <w:spacing w:after="20" w:line="252" w:lineRule="auto"/>
              <w:jc w:val="right"/>
            </w:pPr>
            <w:r>
              <w:rPr>
                <w:b w:val="0"/>
                <w:i w:val="0"/>
                <w:sz w:val="16"/>
              </w:rPr>
              <w:t>16,847</w:t>
            </w:r>
          </w:p>
        </w:tc>
        <w:tc>
          <w:tcPr>
            <w:tcW w:type="dxa" w:w="1361"/>
            <w:vAlign w:val="top"/>
          </w:tcPr>
          <w:p>
            <w:pPr>
              <w:spacing w:after="20" w:line="252" w:lineRule="auto"/>
              <w:jc w:val="right"/>
            </w:pPr>
            <w:r>
              <w:rPr>
                <w:b w:val="0"/>
                <w:i w:val="0"/>
                <w:sz w:val="16"/>
              </w:rPr>
              <w:t>38,106</w:t>
            </w:r>
          </w:p>
        </w:tc>
        <w:tc>
          <w:tcPr>
            <w:tcW w:type="dxa" w:w="1474"/>
            <w:vAlign w:val="top"/>
          </w:tcPr>
          <w:p>
            <w:pPr>
              <w:spacing w:after="20" w:line="252" w:lineRule="auto"/>
              <w:jc w:val="right"/>
            </w:pPr>
            <w:r>
              <w:rPr>
                <w:b w:val="0"/>
                <w:i w:val="0"/>
                <w:sz w:val="16"/>
              </w:rPr>
              <w:t>9,526.50</w:t>
            </w:r>
          </w:p>
        </w:tc>
      </w:tr>
      <w:tr>
        <w:trPr>
          <w:cantSplit/>
        </w:trPr>
        <w:tc>
          <w:tcPr>
            <w:tcW w:type="dxa" w:w="964"/>
            <w:vAlign w:val="top"/>
            <w:shd w:val="clear" w:color="auto" w:fill="FEEBDD"/>
          </w:tcPr>
          <w:p>
            <w:pPr>
              <w:spacing w:after="20" w:line="252" w:lineRule="auto"/>
            </w:pPr>
            <w:r>
              <w:rPr>
                <w:b/>
                <w:i w:val="0"/>
                <w:sz w:val="16"/>
              </w:rPr>
              <w:t>Total</w:t>
            </w:r>
          </w:p>
        </w:tc>
        <w:tc>
          <w:tcPr>
            <w:tcW w:type="dxa" w:w="3005"/>
            <w:vAlign w:val="top"/>
            <w:shd w:val="clear" w:color="auto" w:fill="FEEBDD"/>
          </w:tcPr>
          <w:p>
            <w:pPr>
              <w:spacing w:after="20" w:line="252" w:lineRule="auto"/>
            </w:pPr>
            <w:r>
              <w:rPr>
                <w:b/>
                <w:i w:val="0"/>
                <w:sz w:val="16"/>
              </w:rPr>
              <w:t>Five years</w:t>
            </w:r>
          </w:p>
        </w:tc>
        <w:tc>
          <w:tcPr>
            <w:tcW w:type="dxa" w:w="1361"/>
            <w:vAlign w:val="top"/>
            <w:shd w:val="clear" w:color="auto" w:fill="FEEBDD"/>
          </w:tcPr>
          <w:p>
            <w:pPr>
              <w:spacing w:after="20" w:line="252" w:lineRule="auto"/>
              <w:jc w:val="right"/>
            </w:pPr>
            <w:r>
              <w:rPr>
                <w:b/>
                <w:i w:val="0"/>
                <w:sz w:val="16"/>
              </w:rPr>
              <w:t>96,644</w:t>
            </w:r>
          </w:p>
        </w:tc>
        <w:tc>
          <w:tcPr>
            <w:tcW w:type="dxa" w:w="1474"/>
            <w:vAlign w:val="top"/>
            <w:shd w:val="clear" w:color="auto" w:fill="FEEBDD"/>
          </w:tcPr>
          <w:p>
            <w:pPr>
              <w:spacing w:after="20" w:line="252" w:lineRule="auto"/>
              <w:jc w:val="right"/>
            </w:pPr>
            <w:r>
              <w:rPr>
                <w:b/>
                <w:i w:val="0"/>
                <w:sz w:val="16"/>
              </w:rPr>
              <w:t>76,586</w:t>
            </w:r>
          </w:p>
        </w:tc>
        <w:tc>
          <w:tcPr>
            <w:tcW w:type="dxa" w:w="1361"/>
            <w:vAlign w:val="top"/>
            <w:shd w:val="clear" w:color="auto" w:fill="FEEBDD"/>
          </w:tcPr>
          <w:p>
            <w:pPr>
              <w:spacing w:after="20" w:line="252" w:lineRule="auto"/>
              <w:jc w:val="right"/>
            </w:pPr>
            <w:r>
              <w:rPr>
                <w:b/>
                <w:i w:val="0"/>
                <w:sz w:val="16"/>
              </w:rPr>
              <w:t>173,230</w:t>
            </w:r>
          </w:p>
        </w:tc>
        <w:tc>
          <w:tcPr>
            <w:tcW w:type="dxa" w:w="1474"/>
            <w:vAlign w:val="top"/>
            <w:shd w:val="clear" w:color="auto" w:fill="FEEBDD"/>
          </w:tcPr>
          <w:p>
            <w:pPr>
              <w:spacing w:after="20" w:line="252" w:lineRule="auto"/>
              <w:jc w:val="right"/>
            </w:pPr>
          </w:p>
        </w:tc>
      </w:tr>
    </w:tbl>
    <w:p>
      <w:pPr>
        <w:pStyle w:val="Caption"/>
        <w:jc w:val="center"/>
      </w:pPr>
      <w:r>
        <w:rPr>
          <w:b w:val="0"/>
          <w:i w:val="0"/>
        </w:rPr>
        <w:t>Table 42: AMC by year (COM-12, COM-18)</w:t>
      </w:r>
    </w:p>
    <w:p>
      <w:pPr>
        <w:keepNext/>
        <w:spacing w:after="40"/>
      </w:pPr>
      <w:r>
        <w:rPr>
          <w:b/>
          <w:i w:val="0"/>
        </w:rPr>
        <w:t>AMC inclusions:</w:t>
      </w:r>
    </w:p>
    <w:p>
      <w:pPr>
        <w:pStyle w:val="ListBullet"/>
      </w:pPr>
      <w:r>
        <w:rPr>
          <w:b w:val="0"/>
          <w:i w:val="0"/>
        </w:rPr>
        <w:t>Helpdesk during IIFT business hours with 24x7 coverage for P1 (Critical) incidents</w:t>
      </w:r>
    </w:p>
    <w:p>
      <w:pPr>
        <w:pStyle w:val="ListBullet"/>
      </w:pPr>
      <w:r>
        <w:rPr>
          <w:b w:val="0"/>
          <w:i w:val="0"/>
        </w:rPr>
        <w:t>Incident, problem and service request management against the agreed SLA</w:t>
      </w:r>
    </w:p>
    <w:p>
      <w:pPr>
        <w:pStyle w:val="ListBullet"/>
      </w:pPr>
      <w:r>
        <w:rPr>
          <w:b w:val="0"/>
          <w:i w:val="0"/>
        </w:rPr>
        <w:t>Corrective and preventive maintenance; defect fixing</w:t>
      </w:r>
    </w:p>
    <w:p>
      <w:pPr>
        <w:pStyle w:val="ListBullet"/>
      </w:pPr>
      <w:r>
        <w:rPr>
          <w:b w:val="0"/>
          <w:i w:val="0"/>
        </w:rPr>
        <w:t>Security patches, dependency updates and vulnerability remediation</w:t>
      </w:r>
    </w:p>
    <w:p>
      <w:pPr>
        <w:pStyle w:val="ListBullet"/>
      </w:pPr>
      <w:r>
        <w:rPr>
          <w:b w:val="0"/>
          <w:i w:val="0"/>
        </w:rPr>
        <w:t>Platform and version upgrades (Node.js, PostgreSQL, frameworks) within the supported lifecycle, including SalesVerse 2.0 platform releases</w:t>
      </w:r>
    </w:p>
    <w:p>
      <w:pPr>
        <w:pStyle w:val="ListBullet"/>
      </w:pPr>
      <w:r>
        <w:rPr>
          <w:b w:val="0"/>
          <w:i w:val="0"/>
        </w:rPr>
        <w:t>60 hours per year of minor enhancements</w:t>
      </w:r>
    </w:p>
    <w:p>
      <w:pPr>
        <w:pStyle w:val="ListBullet"/>
      </w:pPr>
      <w:r>
        <w:rPr>
          <w:b w:val="0"/>
          <w:i w:val="0"/>
        </w:rPr>
        <w:t>Monthly service report and quarterly service review</w:t>
      </w:r>
    </w:p>
    <w:p>
      <w:pPr>
        <w:pStyle w:val="ListBullet"/>
      </w:pPr>
      <w:r>
        <w:rPr>
          <w:b w:val="0"/>
          <w:i w:val="0"/>
        </w:rPr>
        <w:t>Backup verification and annual DR test participation</w:t>
      </w:r>
    </w:p>
    <w:p>
      <w:pPr>
        <w:pStyle w:val="ListBullet"/>
      </w:pPr>
      <w:r>
        <w:rPr>
          <w:b w:val="0"/>
          <w:i w:val="0"/>
        </w:rPr>
        <w:t>Documentation updates and ongoing knowledge transfer</w:t>
      </w:r>
    </w:p>
    <w:p>
      <w:pPr>
        <w:pStyle w:val="ListBullet"/>
      </w:pPr>
      <w:r>
        <w:rPr>
          <w:b w:val="0"/>
          <w:i w:val="0"/>
        </w:rPr>
        <w:t>Exit and transition support in Year 5</w:t>
      </w:r>
    </w:p>
    <w:p>
      <w:pPr>
        <w:keepNext w:val="0"/>
      </w:pPr>
      <w:r>
        <w:rPr>
          <w:b w:val="0"/>
          <w:i w:val="0"/>
        </w:rPr>
        <w:t>Billing: quarterly in advance; year 1 starts at go-live. After Year 5 the AMC is renewable yearly, with the increase capped at 5%. The services are described in Section 20.</w:t>
      </w:r>
    </w:p>
    <w:p>
      <w:pPr>
        <w:pStyle w:val="Heading3"/>
      </w:pPr>
      <w:r>
        <w:t>Warranty (COM-11)</w:t>
      </w:r>
    </w:p>
    <w:p>
      <w:pPr>
        <w:keepNext w:val="0"/>
      </w:pPr>
      <w:r>
        <w:rPr>
          <w:b w:val="0"/>
          <w:i w:val="0"/>
        </w:rPr>
        <w:t>Both options carry a 6-month warranty from production go-live: defects against the approved specifications, including IIFT-specific configuration, adapters, reports and templates, are corrected at no charge within the SLA. The warranty does not cover changes made by others, misuse, or infrastructure and third-party products outside iorta's scope.</w:t>
      </w:r>
    </w:p>
    <w:p>
      <w:pPr>
        <w:pStyle w:val="Heading2"/>
      </w:pPr>
      <w:r>
        <w:t>19.5 Option B – Subscription, hosted and managed by iorta</w:t>
      </w:r>
    </w:p>
    <w:p>
      <w:pPr>
        <w:keepNext w:val="0"/>
      </w:pPr>
      <w:r>
        <w:rPr>
          <w:b w:val="0"/>
          <w:i w:val="0"/>
        </w:rPr>
        <w:t>IIFT pays the implementation fee and a monthly subscription that includes the right to use SalesVerse 2.0, maintenance and support, and application management. iorta hosts the solution on cloud in AWS Asia Pacific (Malaysia) or Azure Malaysia West. A one-off set-up fee covers building the cloud environments. Cloud infrastructure is recharged at cost as a disbursement (or paid by IIFT directly), and iorta's managed services for the infrastructure are a separate fixed fee.</w:t>
      </w:r>
    </w:p>
    <w:p>
      <w:pPr>
        <w:pStyle w:val="Heading3"/>
      </w:pPr>
      <w:r>
        <w:t>Implementation fee</w:t>
      </w:r>
    </w:p>
    <w:p>
      <w:pPr>
        <w:keepNext w:val="0"/>
      </w:pPr>
      <w:r>
        <w:rPr>
          <w:b w:val="0"/>
          <w:i w:val="0"/>
        </w:rPr>
        <w:t>B$ 130,000 (Agent/Banca Portal 71,500; Back-office 58,500): the same scope and fees as Option A items 2 to 10 (Section 19.4), without the licence. It is paid against the service milestones in Section 19.11.</w:t>
      </w:r>
    </w:p>
    <w:p>
      <w:pPr>
        <w:pStyle w:val="Heading3"/>
      </w:pPr>
      <w:r>
        <w:t>Cloud set-up fee</w:t>
      </w:r>
    </w:p>
    <w:p>
      <w:pPr>
        <w:keepNext w:val="0"/>
      </w:pPr>
      <w:r>
        <w:rPr>
          <w:b/>
          <w:i w:val="0"/>
        </w:rPr>
        <w:t>B$ 15,000 one-off</w:t>
      </w:r>
      <w:r>
        <w:rPr>
          <w:b w:val="0"/>
          <w:i w:val="0"/>
        </w:rPr>
        <w:t xml:space="preserve">, payable at contract signing: set-up of the cloud landing zone (account structure, network, VPN to the IITH data centre, identity and key management), the PROD, DR and UAT environments, monitoring and alerting, backups and the DR arrangement, with security baselines applied. It is RFP section 10 item 5 (one-off part) and is not part of the AMC base. Option B one-time fees therefore total </w:t>
      </w:r>
      <w:r>
        <w:rPr>
          <w:b/>
          <w:i w:val="0"/>
        </w:rPr>
        <w:t>B$ 145,000</w:t>
      </w:r>
      <w:r>
        <w:rPr>
          <w:b w:val="0"/>
          <w:i w:val="0"/>
        </w:rPr>
        <w:t>.</w:t>
      </w:r>
    </w:p>
    <w:p>
      <w:pPr>
        <w:pStyle w:val="Heading3"/>
      </w:pPr>
      <w:r>
        <w:t>Subscription (COM-03)</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1927"/>
        <w:gridCol w:w="2154"/>
        <w:gridCol w:w="1927"/>
        <w:gridCol w:w="2041"/>
      </w:tblGrid>
      <w:tr>
        <w:trPr>
          <w:cantSplit/>
          <w:tblHeader/>
        </w:trPr>
        <w:tc>
          <w:tcPr>
            <w:tcW w:type="dxa" w:w="1587"/>
            <w:shd w:val="clear" w:color="auto" w:fill="E1058C"/>
            <w:vAlign w:val="center"/>
          </w:tcPr>
          <w:p>
            <w:pPr>
              <w:spacing w:after="0"/>
            </w:pPr>
            <w:r>
              <w:rPr>
                <w:b/>
                <w:i w:val="0"/>
                <w:color w:val="FFFFFF"/>
                <w:sz w:val="16"/>
              </w:rPr>
              <w:t>Contract year</w:t>
            </w:r>
          </w:p>
        </w:tc>
        <w:tc>
          <w:tcPr>
            <w:tcW w:type="dxa" w:w="1928"/>
            <w:shd w:val="clear" w:color="auto" w:fill="E1058C"/>
            <w:vAlign w:val="center"/>
          </w:tcPr>
          <w:p>
            <w:pPr>
              <w:spacing w:after="0"/>
            </w:pPr>
            <w:r>
              <w:rPr>
                <w:b/>
                <w:i w:val="0"/>
                <w:color w:val="FFFFFF"/>
                <w:sz w:val="16"/>
              </w:rPr>
              <w:t>Portal per month (B$)</w:t>
            </w:r>
          </w:p>
        </w:tc>
        <w:tc>
          <w:tcPr>
            <w:tcW w:type="dxa" w:w="2154"/>
            <w:shd w:val="clear" w:color="auto" w:fill="E1058C"/>
            <w:vAlign w:val="center"/>
          </w:tcPr>
          <w:p>
            <w:pPr>
              <w:spacing w:after="0"/>
            </w:pPr>
            <w:r>
              <w:rPr>
                <w:b/>
                <w:i w:val="0"/>
                <w:color w:val="FFFFFF"/>
                <w:sz w:val="16"/>
              </w:rPr>
              <w:t>Back-office per month (B$)</w:t>
            </w:r>
          </w:p>
        </w:tc>
        <w:tc>
          <w:tcPr>
            <w:tcW w:type="dxa" w:w="1928"/>
            <w:shd w:val="clear" w:color="auto" w:fill="E1058C"/>
            <w:vAlign w:val="center"/>
          </w:tcPr>
          <w:p>
            <w:pPr>
              <w:spacing w:after="0"/>
            </w:pPr>
            <w:r>
              <w:rPr>
                <w:b/>
                <w:i w:val="0"/>
                <w:color w:val="FFFFFF"/>
                <w:sz w:val="16"/>
              </w:rPr>
              <w:t>Total per month (B$)</w:t>
            </w:r>
          </w:p>
        </w:tc>
        <w:tc>
          <w:tcPr>
            <w:tcW w:type="dxa" w:w="2041"/>
            <w:shd w:val="clear" w:color="auto" w:fill="E1058C"/>
            <w:vAlign w:val="center"/>
          </w:tcPr>
          <w:p>
            <w:pPr>
              <w:spacing w:after="0"/>
            </w:pPr>
            <w:r>
              <w:rPr>
                <w:b/>
                <w:i w:val="0"/>
                <w:color w:val="FFFFFF"/>
                <w:sz w:val="16"/>
              </w:rPr>
              <w:t>Per year (B$)</w:t>
            </w:r>
          </w:p>
        </w:tc>
      </w:tr>
      <w:tr>
        <w:trPr>
          <w:cantSplit/>
        </w:trPr>
        <w:tc>
          <w:tcPr>
            <w:tcW w:type="dxa" w:w="1587"/>
            <w:vAlign w:val="top"/>
          </w:tcPr>
          <w:p>
            <w:pPr>
              <w:spacing w:after="20" w:line="252" w:lineRule="auto"/>
            </w:pPr>
            <w:r>
              <w:rPr>
                <w:b/>
                <w:i w:val="0"/>
                <w:sz w:val="16"/>
              </w:rPr>
              <w:t>Year 1</w:t>
            </w:r>
          </w:p>
        </w:tc>
        <w:tc>
          <w:tcPr>
            <w:tcW w:type="dxa" w:w="1928"/>
            <w:vAlign w:val="top"/>
          </w:tcPr>
          <w:p>
            <w:pPr>
              <w:spacing w:after="20" w:line="252" w:lineRule="auto"/>
              <w:jc w:val="right"/>
            </w:pPr>
            <w:r>
              <w:rPr>
                <w:b w:val="0"/>
                <w:i w:val="0"/>
                <w:sz w:val="16"/>
              </w:rPr>
              <w:t>1,850</w:t>
            </w:r>
          </w:p>
        </w:tc>
        <w:tc>
          <w:tcPr>
            <w:tcW w:type="dxa" w:w="2154"/>
            <w:vAlign w:val="top"/>
          </w:tcPr>
          <w:p>
            <w:pPr>
              <w:spacing w:after="20" w:line="252" w:lineRule="auto"/>
              <w:jc w:val="right"/>
            </w:pPr>
            <w:r>
              <w:rPr>
                <w:b w:val="0"/>
                <w:i w:val="0"/>
                <w:sz w:val="16"/>
              </w:rPr>
              <w:t>1,550</w:t>
            </w:r>
          </w:p>
        </w:tc>
        <w:tc>
          <w:tcPr>
            <w:tcW w:type="dxa" w:w="1928"/>
            <w:vAlign w:val="top"/>
          </w:tcPr>
          <w:p>
            <w:pPr>
              <w:spacing w:after="20" w:line="252" w:lineRule="auto"/>
              <w:jc w:val="right"/>
            </w:pPr>
            <w:r>
              <w:rPr>
                <w:b w:val="0"/>
                <w:i w:val="0"/>
                <w:sz w:val="16"/>
              </w:rPr>
              <w:t>3,400</w:t>
            </w:r>
          </w:p>
        </w:tc>
        <w:tc>
          <w:tcPr>
            <w:tcW w:type="dxa" w:w="2041"/>
            <w:vAlign w:val="top"/>
          </w:tcPr>
          <w:p>
            <w:pPr>
              <w:spacing w:after="20" w:line="252" w:lineRule="auto"/>
              <w:jc w:val="right"/>
            </w:pPr>
            <w:r>
              <w:rPr>
                <w:b w:val="0"/>
                <w:i w:val="0"/>
                <w:sz w:val="16"/>
              </w:rPr>
              <w:t>40,800</w:t>
            </w:r>
          </w:p>
        </w:tc>
      </w:tr>
      <w:tr>
        <w:trPr>
          <w:cantSplit/>
        </w:trPr>
        <w:tc>
          <w:tcPr>
            <w:tcW w:type="dxa" w:w="1587"/>
            <w:vAlign w:val="top"/>
            <w:shd w:val="clear" w:color="auto" w:fill="FDF0F7"/>
          </w:tcPr>
          <w:p>
            <w:pPr>
              <w:spacing w:after="20" w:line="252" w:lineRule="auto"/>
            </w:pPr>
            <w:r>
              <w:rPr>
                <w:b/>
                <w:i w:val="0"/>
                <w:sz w:val="16"/>
              </w:rPr>
              <w:t>Year 2</w:t>
            </w:r>
          </w:p>
        </w:tc>
        <w:tc>
          <w:tcPr>
            <w:tcW w:type="dxa" w:w="1928"/>
            <w:vAlign w:val="top"/>
            <w:shd w:val="clear" w:color="auto" w:fill="FDF0F7"/>
          </w:tcPr>
          <w:p>
            <w:pPr>
              <w:spacing w:after="20" w:line="252" w:lineRule="auto"/>
              <w:jc w:val="right"/>
            </w:pPr>
            <w:r>
              <w:rPr>
                <w:b w:val="0"/>
                <w:i w:val="0"/>
                <w:sz w:val="16"/>
              </w:rPr>
              <w:t>1,943</w:t>
            </w:r>
          </w:p>
        </w:tc>
        <w:tc>
          <w:tcPr>
            <w:tcW w:type="dxa" w:w="2154"/>
            <w:vAlign w:val="top"/>
            <w:shd w:val="clear" w:color="auto" w:fill="FDF0F7"/>
          </w:tcPr>
          <w:p>
            <w:pPr>
              <w:spacing w:after="20" w:line="252" w:lineRule="auto"/>
              <w:jc w:val="right"/>
            </w:pPr>
            <w:r>
              <w:rPr>
                <w:b w:val="0"/>
                <w:i w:val="0"/>
                <w:sz w:val="16"/>
              </w:rPr>
              <w:t>1,628</w:t>
            </w:r>
          </w:p>
        </w:tc>
        <w:tc>
          <w:tcPr>
            <w:tcW w:type="dxa" w:w="1928"/>
            <w:vAlign w:val="top"/>
            <w:shd w:val="clear" w:color="auto" w:fill="FDF0F7"/>
          </w:tcPr>
          <w:p>
            <w:pPr>
              <w:spacing w:after="20" w:line="252" w:lineRule="auto"/>
              <w:jc w:val="right"/>
            </w:pPr>
            <w:r>
              <w:rPr>
                <w:b w:val="0"/>
                <w:i w:val="0"/>
                <w:sz w:val="16"/>
              </w:rPr>
              <w:t>3,571</w:t>
            </w:r>
          </w:p>
        </w:tc>
        <w:tc>
          <w:tcPr>
            <w:tcW w:type="dxa" w:w="2041"/>
            <w:vAlign w:val="top"/>
            <w:shd w:val="clear" w:color="auto" w:fill="FDF0F7"/>
          </w:tcPr>
          <w:p>
            <w:pPr>
              <w:spacing w:after="20" w:line="252" w:lineRule="auto"/>
              <w:jc w:val="right"/>
            </w:pPr>
            <w:r>
              <w:rPr>
                <w:b w:val="0"/>
                <w:i w:val="0"/>
                <w:sz w:val="16"/>
              </w:rPr>
              <w:t>42,852</w:t>
            </w:r>
          </w:p>
        </w:tc>
      </w:tr>
      <w:tr>
        <w:trPr>
          <w:cantSplit/>
        </w:trPr>
        <w:tc>
          <w:tcPr>
            <w:tcW w:type="dxa" w:w="1587"/>
            <w:vAlign w:val="top"/>
          </w:tcPr>
          <w:p>
            <w:pPr>
              <w:spacing w:after="20" w:line="252" w:lineRule="auto"/>
            </w:pPr>
            <w:r>
              <w:rPr>
                <w:b/>
                <w:i w:val="0"/>
                <w:sz w:val="16"/>
              </w:rPr>
              <w:t>Year 3</w:t>
            </w:r>
          </w:p>
        </w:tc>
        <w:tc>
          <w:tcPr>
            <w:tcW w:type="dxa" w:w="1928"/>
            <w:vAlign w:val="top"/>
          </w:tcPr>
          <w:p>
            <w:pPr>
              <w:spacing w:after="20" w:line="252" w:lineRule="auto"/>
              <w:jc w:val="right"/>
            </w:pPr>
            <w:r>
              <w:rPr>
                <w:b w:val="0"/>
                <w:i w:val="0"/>
                <w:sz w:val="16"/>
              </w:rPr>
              <w:t>2,040</w:t>
            </w:r>
          </w:p>
        </w:tc>
        <w:tc>
          <w:tcPr>
            <w:tcW w:type="dxa" w:w="2154"/>
            <w:vAlign w:val="top"/>
          </w:tcPr>
          <w:p>
            <w:pPr>
              <w:spacing w:after="20" w:line="252" w:lineRule="auto"/>
              <w:jc w:val="right"/>
            </w:pPr>
            <w:r>
              <w:rPr>
                <w:b w:val="0"/>
                <w:i w:val="0"/>
                <w:sz w:val="16"/>
              </w:rPr>
              <w:t>1,709</w:t>
            </w:r>
          </w:p>
        </w:tc>
        <w:tc>
          <w:tcPr>
            <w:tcW w:type="dxa" w:w="1928"/>
            <w:vAlign w:val="top"/>
          </w:tcPr>
          <w:p>
            <w:pPr>
              <w:spacing w:after="20" w:line="252" w:lineRule="auto"/>
              <w:jc w:val="right"/>
            </w:pPr>
            <w:r>
              <w:rPr>
                <w:b w:val="0"/>
                <w:i w:val="0"/>
                <w:sz w:val="16"/>
              </w:rPr>
              <w:t>3,749</w:t>
            </w:r>
          </w:p>
        </w:tc>
        <w:tc>
          <w:tcPr>
            <w:tcW w:type="dxa" w:w="2041"/>
            <w:vAlign w:val="top"/>
          </w:tcPr>
          <w:p>
            <w:pPr>
              <w:spacing w:after="20" w:line="252" w:lineRule="auto"/>
              <w:jc w:val="right"/>
            </w:pPr>
            <w:r>
              <w:rPr>
                <w:b w:val="0"/>
                <w:i w:val="0"/>
                <w:sz w:val="16"/>
              </w:rPr>
              <w:t>44,988</w:t>
            </w:r>
          </w:p>
        </w:tc>
      </w:tr>
      <w:tr>
        <w:trPr>
          <w:cantSplit/>
        </w:trPr>
        <w:tc>
          <w:tcPr>
            <w:tcW w:type="dxa" w:w="1587"/>
            <w:vAlign w:val="top"/>
            <w:shd w:val="clear" w:color="auto" w:fill="FDF0F7"/>
          </w:tcPr>
          <w:p>
            <w:pPr>
              <w:spacing w:after="20" w:line="252" w:lineRule="auto"/>
            </w:pPr>
            <w:r>
              <w:rPr>
                <w:b/>
                <w:i w:val="0"/>
                <w:sz w:val="16"/>
              </w:rPr>
              <w:t>Year 4</w:t>
            </w:r>
          </w:p>
        </w:tc>
        <w:tc>
          <w:tcPr>
            <w:tcW w:type="dxa" w:w="1928"/>
            <w:vAlign w:val="top"/>
            <w:shd w:val="clear" w:color="auto" w:fill="FDF0F7"/>
          </w:tcPr>
          <w:p>
            <w:pPr>
              <w:spacing w:after="20" w:line="252" w:lineRule="auto"/>
              <w:jc w:val="right"/>
            </w:pPr>
            <w:r>
              <w:rPr>
                <w:b w:val="0"/>
                <w:i w:val="0"/>
                <w:sz w:val="16"/>
              </w:rPr>
              <w:t>2,142</w:t>
            </w:r>
          </w:p>
        </w:tc>
        <w:tc>
          <w:tcPr>
            <w:tcW w:type="dxa" w:w="2154"/>
            <w:vAlign w:val="top"/>
            <w:shd w:val="clear" w:color="auto" w:fill="FDF0F7"/>
          </w:tcPr>
          <w:p>
            <w:pPr>
              <w:spacing w:after="20" w:line="252" w:lineRule="auto"/>
              <w:jc w:val="right"/>
            </w:pPr>
            <w:r>
              <w:rPr>
                <w:b w:val="0"/>
                <w:i w:val="0"/>
                <w:sz w:val="16"/>
              </w:rPr>
              <w:t>1,794</w:t>
            </w:r>
          </w:p>
        </w:tc>
        <w:tc>
          <w:tcPr>
            <w:tcW w:type="dxa" w:w="1928"/>
            <w:vAlign w:val="top"/>
            <w:shd w:val="clear" w:color="auto" w:fill="FDF0F7"/>
          </w:tcPr>
          <w:p>
            <w:pPr>
              <w:spacing w:after="20" w:line="252" w:lineRule="auto"/>
              <w:jc w:val="right"/>
            </w:pPr>
            <w:r>
              <w:rPr>
                <w:b w:val="0"/>
                <w:i w:val="0"/>
                <w:sz w:val="16"/>
              </w:rPr>
              <w:t>3,936</w:t>
            </w:r>
          </w:p>
        </w:tc>
        <w:tc>
          <w:tcPr>
            <w:tcW w:type="dxa" w:w="2041"/>
            <w:vAlign w:val="top"/>
            <w:shd w:val="clear" w:color="auto" w:fill="FDF0F7"/>
          </w:tcPr>
          <w:p>
            <w:pPr>
              <w:spacing w:after="20" w:line="252" w:lineRule="auto"/>
              <w:jc w:val="right"/>
            </w:pPr>
            <w:r>
              <w:rPr>
                <w:b w:val="0"/>
                <w:i w:val="0"/>
                <w:sz w:val="16"/>
              </w:rPr>
              <w:t>47,232</w:t>
            </w:r>
          </w:p>
        </w:tc>
      </w:tr>
      <w:tr>
        <w:trPr>
          <w:cantSplit/>
        </w:trPr>
        <w:tc>
          <w:tcPr>
            <w:tcW w:type="dxa" w:w="1587"/>
            <w:vAlign w:val="top"/>
          </w:tcPr>
          <w:p>
            <w:pPr>
              <w:spacing w:after="20" w:line="252" w:lineRule="auto"/>
            </w:pPr>
            <w:r>
              <w:rPr>
                <w:b/>
                <w:i w:val="0"/>
                <w:sz w:val="16"/>
              </w:rPr>
              <w:t>Year 5</w:t>
            </w:r>
          </w:p>
        </w:tc>
        <w:tc>
          <w:tcPr>
            <w:tcW w:type="dxa" w:w="1928"/>
            <w:vAlign w:val="top"/>
          </w:tcPr>
          <w:p>
            <w:pPr>
              <w:spacing w:after="20" w:line="252" w:lineRule="auto"/>
              <w:jc w:val="right"/>
            </w:pPr>
            <w:r>
              <w:rPr>
                <w:b w:val="0"/>
                <w:i w:val="0"/>
                <w:sz w:val="16"/>
              </w:rPr>
              <w:t>2,249</w:t>
            </w:r>
          </w:p>
        </w:tc>
        <w:tc>
          <w:tcPr>
            <w:tcW w:type="dxa" w:w="2154"/>
            <w:vAlign w:val="top"/>
          </w:tcPr>
          <w:p>
            <w:pPr>
              <w:spacing w:after="20" w:line="252" w:lineRule="auto"/>
              <w:jc w:val="right"/>
            </w:pPr>
            <w:r>
              <w:rPr>
                <w:b w:val="0"/>
                <w:i w:val="0"/>
                <w:sz w:val="16"/>
              </w:rPr>
              <w:t>1,884</w:t>
            </w:r>
          </w:p>
        </w:tc>
        <w:tc>
          <w:tcPr>
            <w:tcW w:type="dxa" w:w="1928"/>
            <w:vAlign w:val="top"/>
          </w:tcPr>
          <w:p>
            <w:pPr>
              <w:spacing w:after="20" w:line="252" w:lineRule="auto"/>
              <w:jc w:val="right"/>
            </w:pPr>
            <w:r>
              <w:rPr>
                <w:b w:val="0"/>
                <w:i w:val="0"/>
                <w:sz w:val="16"/>
              </w:rPr>
              <w:t>4,133</w:t>
            </w:r>
          </w:p>
        </w:tc>
        <w:tc>
          <w:tcPr>
            <w:tcW w:type="dxa" w:w="2041"/>
            <w:vAlign w:val="top"/>
          </w:tcPr>
          <w:p>
            <w:pPr>
              <w:spacing w:after="20" w:line="252" w:lineRule="auto"/>
              <w:jc w:val="right"/>
            </w:pPr>
            <w:r>
              <w:rPr>
                <w:b w:val="0"/>
                <w:i w:val="0"/>
                <w:sz w:val="16"/>
              </w:rPr>
              <w:t>49,596</w:t>
            </w:r>
          </w:p>
        </w:tc>
      </w:tr>
      <w:tr>
        <w:trPr>
          <w:cantSplit/>
        </w:trPr>
        <w:tc>
          <w:tcPr>
            <w:tcW w:type="dxa" w:w="1587"/>
            <w:vAlign w:val="top"/>
            <w:shd w:val="clear" w:color="auto" w:fill="FEEBDD"/>
          </w:tcPr>
          <w:p>
            <w:pPr>
              <w:spacing w:after="20" w:line="252" w:lineRule="auto"/>
            </w:pPr>
            <w:r>
              <w:rPr>
                <w:b/>
                <w:i w:val="0"/>
                <w:sz w:val="16"/>
              </w:rPr>
              <w:t>Total</w:t>
            </w:r>
          </w:p>
        </w:tc>
        <w:tc>
          <w:tcPr>
            <w:tcW w:type="dxa" w:w="1928"/>
            <w:vAlign w:val="top"/>
            <w:shd w:val="clear" w:color="auto" w:fill="FEEBDD"/>
          </w:tcPr>
          <w:p>
            <w:pPr>
              <w:spacing w:after="20" w:line="252" w:lineRule="auto"/>
              <w:jc w:val="right"/>
            </w:pPr>
          </w:p>
        </w:tc>
        <w:tc>
          <w:tcPr>
            <w:tcW w:type="dxa" w:w="2154"/>
            <w:vAlign w:val="top"/>
            <w:shd w:val="clear" w:color="auto" w:fill="FEEBDD"/>
          </w:tcPr>
          <w:p>
            <w:pPr>
              <w:spacing w:after="20" w:line="252" w:lineRule="auto"/>
              <w:jc w:val="right"/>
            </w:pPr>
          </w:p>
        </w:tc>
        <w:tc>
          <w:tcPr>
            <w:tcW w:type="dxa" w:w="1928"/>
            <w:vAlign w:val="top"/>
            <w:shd w:val="clear" w:color="auto" w:fill="FEEBDD"/>
          </w:tcPr>
          <w:p>
            <w:pPr>
              <w:spacing w:after="20" w:line="252" w:lineRule="auto"/>
              <w:jc w:val="right"/>
            </w:pPr>
          </w:p>
        </w:tc>
        <w:tc>
          <w:tcPr>
            <w:tcW w:type="dxa" w:w="2041"/>
            <w:vAlign w:val="top"/>
            <w:shd w:val="clear" w:color="auto" w:fill="FEEBDD"/>
          </w:tcPr>
          <w:p>
            <w:pPr>
              <w:spacing w:after="20" w:line="252" w:lineRule="auto"/>
              <w:jc w:val="right"/>
            </w:pPr>
            <w:r>
              <w:rPr>
                <w:b/>
                <w:i w:val="0"/>
                <w:sz w:val="16"/>
              </w:rPr>
              <w:t>225,468</w:t>
            </w:r>
          </w:p>
        </w:tc>
      </w:tr>
    </w:tbl>
    <w:p>
      <w:pPr>
        <w:pStyle w:val="Caption"/>
        <w:jc w:val="center"/>
      </w:pPr>
      <w:r>
        <w:rPr>
          <w:b w:val="0"/>
          <w:i w:val="0"/>
        </w:rPr>
        <w:t>Table 43: Subscription by year (+5% a year)</w:t>
      </w:r>
    </w:p>
    <w:p>
      <w:pPr>
        <w:pStyle w:val="ListBullet"/>
      </w:pPr>
      <w:r>
        <w:rPr>
          <w:b/>
          <w:i w:val="0"/>
        </w:rPr>
        <w:t>Billing:</w:t>
      </w:r>
      <w:r>
        <w:rPr>
          <w:b w:val="0"/>
          <w:i w:val="0"/>
        </w:rPr>
        <w:t xml:space="preserve"> monthly in advance from go-live (quarterly in advance on request).</w:t>
      </w:r>
    </w:p>
    <w:p>
      <w:pPr>
        <w:pStyle w:val="ListBullet"/>
      </w:pPr>
      <w:r>
        <w:rPr>
          <w:b/>
          <w:i w:val="0"/>
        </w:rPr>
        <w:t>Term:</w:t>
      </w:r>
      <w:r>
        <w:rPr>
          <w:b w:val="0"/>
          <w:i w:val="0"/>
        </w:rPr>
        <w:t xml:space="preserve"> minimum term of 60 months from go-live (B$ 225,468 of subscription). If IIFT ends the subscription earlier other than for iorta's breach, the subscription for the rest of the minimum term is payable; conversion to Option A ends it without that charge. After the minimum term it renews yearly, with the increase capped at 5%.</w:t>
      </w:r>
    </w:p>
    <w:p>
      <w:pPr>
        <w:pStyle w:val="ListBullet"/>
      </w:pPr>
      <w:r>
        <w:rPr>
          <w:b/>
          <w:i w:val="0"/>
        </w:rPr>
        <w:t>Users:</w:t>
      </w:r>
      <w:r>
        <w:rPr>
          <w:b w:val="0"/>
          <w:i w:val="0"/>
        </w:rPr>
        <w:t xml:space="preserve"> unlimited named users for IIFT; no per-user or per-policy charges.</w:t>
      </w:r>
    </w:p>
    <w:p>
      <w:pPr>
        <w:keepNext/>
        <w:spacing w:after="40"/>
      </w:pPr>
      <w:r>
        <w:rPr>
          <w:b/>
          <w:i w:val="0"/>
        </w:rPr>
        <w:t>The subscription includes:</w:t>
      </w:r>
    </w:p>
    <w:p>
      <w:pPr>
        <w:pStyle w:val="ListBullet"/>
      </w:pPr>
      <w:r>
        <w:rPr>
          <w:b w:val="0"/>
          <w:i w:val="0"/>
        </w:rPr>
        <w:t>Right to use SalesVerse 2.0 (Agent/Banca Portal and Back-office) for unlimited IIFT named users</w:t>
      </w:r>
    </w:p>
    <w:p>
      <w:pPr>
        <w:pStyle w:val="ListBullet"/>
      </w:pPr>
      <w:r>
        <w:rPr>
          <w:b w:val="0"/>
          <w:i w:val="0"/>
        </w:rPr>
        <w:t>Everything in the Option A annual maintenance: SLA support, P1 24x7, patches, upgrades, 60 enhancement hours a year, monthly reports and quarterly reviews</w:t>
      </w:r>
    </w:p>
    <w:p>
      <w:pPr>
        <w:pStyle w:val="ListBullet"/>
      </w:pPr>
      <w:r>
        <w:rPr>
          <w:b w:val="0"/>
          <w:i w:val="0"/>
        </w:rPr>
        <w:t>Application management: releases, configuration changes, job and integration monitoring</w:t>
      </w:r>
    </w:p>
    <w:p>
      <w:pPr>
        <w:pStyle w:val="ListBullet"/>
      </w:pPr>
      <w:r>
        <w:rPr>
          <w:b w:val="0"/>
          <w:i w:val="0"/>
        </w:rPr>
        <w:t>Production, DR and UAT environments operated by iorta (infrastructure charged separately on actuals)</w:t>
      </w:r>
    </w:p>
    <w:p>
      <w:pPr>
        <w:pStyle w:val="ListBullet"/>
      </w:pPr>
      <w:r>
        <w:rPr>
          <w:b w:val="0"/>
          <w:i w:val="0"/>
        </w:rPr>
        <w:t>Data export in open formats at any time and at exit; data remains IIFT's property</w:t>
      </w:r>
    </w:p>
    <w:p>
      <w:pPr>
        <w:pStyle w:val="Heading3"/>
      </w:pPr>
      <w:r>
        <w:t>Cloud infrastructure at cost (COM-04)</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288"/>
        <w:gridCol w:w="3969"/>
        <w:gridCol w:w="1134"/>
        <w:gridCol w:w="1247"/>
      </w:tblGrid>
      <w:tr>
        <w:trPr>
          <w:cantSplit/>
          <w:tblHeader/>
        </w:trPr>
        <w:tc>
          <w:tcPr>
            <w:tcW w:type="dxa" w:w="3288"/>
            <w:shd w:val="clear" w:color="auto" w:fill="E1058C"/>
            <w:vAlign w:val="center"/>
          </w:tcPr>
          <w:p>
            <w:pPr>
              <w:spacing w:after="0"/>
            </w:pPr>
            <w:r>
              <w:rPr>
                <w:b/>
                <w:i w:val="0"/>
                <w:color w:val="FFFFFF"/>
                <w:sz w:val="16"/>
              </w:rPr>
              <w:t>Service</w:t>
            </w:r>
          </w:p>
        </w:tc>
        <w:tc>
          <w:tcPr>
            <w:tcW w:type="dxa" w:w="3969"/>
            <w:shd w:val="clear" w:color="auto" w:fill="E1058C"/>
            <w:vAlign w:val="center"/>
          </w:tcPr>
          <w:p>
            <w:pPr>
              <w:spacing w:after="0"/>
            </w:pPr>
            <w:r>
              <w:rPr>
                <w:b/>
                <w:i w:val="0"/>
                <w:color w:val="FFFFFF"/>
                <w:sz w:val="16"/>
              </w:rPr>
              <w:t>Reference sizing</w:t>
            </w:r>
          </w:p>
        </w:tc>
        <w:tc>
          <w:tcPr>
            <w:tcW w:type="dxa" w:w="1134"/>
            <w:shd w:val="clear" w:color="auto" w:fill="E1058C"/>
            <w:vAlign w:val="center"/>
          </w:tcPr>
          <w:p>
            <w:pPr>
              <w:spacing w:after="0"/>
            </w:pPr>
            <w:r>
              <w:rPr>
                <w:b/>
                <w:i w:val="0"/>
                <w:color w:val="FFFFFF"/>
                <w:sz w:val="16"/>
              </w:rPr>
              <w:t>B$ / month</w:t>
            </w:r>
          </w:p>
        </w:tc>
        <w:tc>
          <w:tcPr>
            <w:tcW w:type="dxa" w:w="1247"/>
            <w:shd w:val="clear" w:color="auto" w:fill="E1058C"/>
            <w:vAlign w:val="center"/>
          </w:tcPr>
          <w:p>
            <w:pPr>
              <w:spacing w:after="0"/>
            </w:pPr>
            <w:r>
              <w:rPr>
                <w:b/>
                <w:i w:val="0"/>
                <w:color w:val="FFFFFF"/>
                <w:sz w:val="16"/>
              </w:rPr>
              <w:t>B$ / year</w:t>
            </w:r>
          </w:p>
        </w:tc>
      </w:tr>
      <w:tr>
        <w:trPr>
          <w:cantSplit/>
        </w:trPr>
        <w:tc>
          <w:tcPr>
            <w:tcW w:type="dxa" w:w="3288"/>
            <w:vAlign w:val="top"/>
          </w:tcPr>
          <w:p>
            <w:pPr>
              <w:spacing w:after="20" w:line="252" w:lineRule="auto"/>
            </w:pPr>
            <w:r>
              <w:rPr>
                <w:b w:val="0"/>
                <w:i w:val="0"/>
                <w:sz w:val="16"/>
              </w:rPr>
              <w:t>Container compute, 2 tasks across 2 availability zones</w:t>
            </w:r>
          </w:p>
        </w:tc>
        <w:tc>
          <w:tcPr>
            <w:tcW w:type="dxa" w:w="3969"/>
            <w:vAlign w:val="top"/>
          </w:tcPr>
          <w:p>
            <w:pPr>
              <w:spacing w:after="20" w:line="252" w:lineRule="auto"/>
            </w:pPr>
            <w:r>
              <w:rPr>
                <w:b w:val="0"/>
                <w:i w:val="0"/>
                <w:sz w:val="16"/>
              </w:rPr>
              <w:t>2 tasks × (1 vCPU, 2 GB) incl. ClamAV sidecar; scales to 4 tasks</w:t>
            </w:r>
          </w:p>
        </w:tc>
        <w:tc>
          <w:tcPr>
            <w:tcW w:type="dxa" w:w="1134"/>
            <w:vAlign w:val="top"/>
          </w:tcPr>
          <w:p>
            <w:pPr>
              <w:spacing w:after="20" w:line="252" w:lineRule="auto"/>
              <w:jc w:val="right"/>
            </w:pPr>
            <w:r>
              <w:rPr>
                <w:b w:val="0"/>
                <w:i w:val="0"/>
                <w:sz w:val="16"/>
              </w:rPr>
              <w:t>260</w:t>
            </w:r>
          </w:p>
        </w:tc>
        <w:tc>
          <w:tcPr>
            <w:tcW w:type="dxa" w:w="1247"/>
            <w:vAlign w:val="top"/>
          </w:tcPr>
          <w:p>
            <w:pPr>
              <w:spacing w:after="20" w:line="252" w:lineRule="auto"/>
              <w:jc w:val="right"/>
            </w:pPr>
            <w:r>
              <w:rPr>
                <w:b w:val="0"/>
                <w:i w:val="0"/>
                <w:sz w:val="16"/>
              </w:rPr>
              <w:t>3,120</w:t>
            </w:r>
          </w:p>
        </w:tc>
      </w:tr>
      <w:tr>
        <w:trPr>
          <w:cantSplit/>
        </w:trPr>
        <w:tc>
          <w:tcPr>
            <w:tcW w:type="dxa" w:w="3288"/>
            <w:vAlign w:val="top"/>
            <w:shd w:val="clear" w:color="auto" w:fill="FDF0F7"/>
          </w:tcPr>
          <w:p>
            <w:pPr>
              <w:spacing w:after="20" w:line="252" w:lineRule="auto"/>
            </w:pPr>
            <w:r>
              <w:rPr>
                <w:b w:val="0"/>
                <w:i w:val="0"/>
                <w:sz w:val="16"/>
              </w:rPr>
              <w:t>Managed PostgreSQL, Multi-AZ, 100 GB, automated backups</w:t>
            </w:r>
          </w:p>
        </w:tc>
        <w:tc>
          <w:tcPr>
            <w:tcW w:type="dxa" w:w="3969"/>
            <w:vAlign w:val="top"/>
            <w:shd w:val="clear" w:color="auto" w:fill="FDF0F7"/>
          </w:tcPr>
          <w:p>
            <w:pPr>
              <w:spacing w:after="20" w:line="252" w:lineRule="auto"/>
            </w:pPr>
            <w:r>
              <w:rPr>
                <w:b w:val="0"/>
                <w:i w:val="0"/>
                <w:sz w:val="16"/>
              </w:rPr>
              <w:t>db.t4g.large (2 vCPU, 8 GB), Multi-AZ, 100 GB gp3, 35-day backups and PITR</w:t>
            </w:r>
          </w:p>
        </w:tc>
        <w:tc>
          <w:tcPr>
            <w:tcW w:type="dxa" w:w="1134"/>
            <w:vAlign w:val="top"/>
            <w:shd w:val="clear" w:color="auto" w:fill="FDF0F7"/>
          </w:tcPr>
          <w:p>
            <w:pPr>
              <w:spacing w:after="20" w:line="252" w:lineRule="auto"/>
              <w:jc w:val="right"/>
            </w:pPr>
            <w:r>
              <w:rPr>
                <w:b w:val="0"/>
                <w:i w:val="0"/>
                <w:sz w:val="16"/>
              </w:rPr>
              <w:t>420</w:t>
            </w:r>
          </w:p>
        </w:tc>
        <w:tc>
          <w:tcPr>
            <w:tcW w:type="dxa" w:w="1247"/>
            <w:vAlign w:val="top"/>
            <w:shd w:val="clear" w:color="auto" w:fill="FDF0F7"/>
          </w:tcPr>
          <w:p>
            <w:pPr>
              <w:spacing w:after="20" w:line="252" w:lineRule="auto"/>
              <w:jc w:val="right"/>
            </w:pPr>
            <w:r>
              <w:rPr>
                <w:b w:val="0"/>
                <w:i w:val="0"/>
                <w:sz w:val="16"/>
              </w:rPr>
              <w:t>5,040</w:t>
            </w:r>
          </w:p>
        </w:tc>
      </w:tr>
      <w:tr>
        <w:trPr>
          <w:cantSplit/>
        </w:trPr>
        <w:tc>
          <w:tcPr>
            <w:tcW w:type="dxa" w:w="3288"/>
            <w:vAlign w:val="top"/>
          </w:tcPr>
          <w:p>
            <w:pPr>
              <w:spacing w:after="20" w:line="252" w:lineRule="auto"/>
            </w:pPr>
            <w:r>
              <w:rPr>
                <w:b w:val="0"/>
                <w:i w:val="0"/>
                <w:sz w:val="16"/>
              </w:rPr>
              <w:t>Application load balancer and web application firewall</w:t>
            </w:r>
          </w:p>
        </w:tc>
        <w:tc>
          <w:tcPr>
            <w:tcW w:type="dxa" w:w="3969"/>
            <w:vAlign w:val="top"/>
          </w:tcPr>
          <w:p>
            <w:pPr>
              <w:spacing w:after="20" w:line="252" w:lineRule="auto"/>
            </w:pPr>
            <w:r>
              <w:rPr>
                <w:b w:val="0"/>
                <w:i w:val="0"/>
                <w:sz w:val="16"/>
              </w:rPr>
              <w:t>1 load balancer; WAF with managed OWASP rule sets; managed TLS certificate</w:t>
            </w:r>
          </w:p>
        </w:tc>
        <w:tc>
          <w:tcPr>
            <w:tcW w:type="dxa" w:w="1134"/>
            <w:vAlign w:val="top"/>
          </w:tcPr>
          <w:p>
            <w:pPr>
              <w:spacing w:after="20" w:line="252" w:lineRule="auto"/>
              <w:jc w:val="right"/>
            </w:pPr>
            <w:r>
              <w:rPr>
                <w:b w:val="0"/>
                <w:i w:val="0"/>
                <w:sz w:val="16"/>
              </w:rPr>
              <w:t>130</w:t>
            </w:r>
          </w:p>
        </w:tc>
        <w:tc>
          <w:tcPr>
            <w:tcW w:type="dxa" w:w="1247"/>
            <w:vAlign w:val="top"/>
          </w:tcPr>
          <w:p>
            <w:pPr>
              <w:spacing w:after="20" w:line="252" w:lineRule="auto"/>
              <w:jc w:val="right"/>
            </w:pPr>
            <w:r>
              <w:rPr>
                <w:b w:val="0"/>
                <w:i w:val="0"/>
                <w:sz w:val="16"/>
              </w:rPr>
              <w:t>1,560</w:t>
            </w:r>
          </w:p>
        </w:tc>
      </w:tr>
      <w:tr>
        <w:trPr>
          <w:cantSplit/>
        </w:trPr>
        <w:tc>
          <w:tcPr>
            <w:tcW w:type="dxa" w:w="3288"/>
            <w:vAlign w:val="top"/>
            <w:shd w:val="clear" w:color="auto" w:fill="FDF0F7"/>
          </w:tcPr>
          <w:p>
            <w:pPr>
              <w:spacing w:after="20" w:line="252" w:lineRule="auto"/>
            </w:pPr>
            <w:r>
              <w:rPr>
                <w:b w:val="0"/>
                <w:i w:val="0"/>
                <w:sz w:val="16"/>
              </w:rPr>
              <w:t>NAT gateway and data transfer</w:t>
            </w:r>
          </w:p>
        </w:tc>
        <w:tc>
          <w:tcPr>
            <w:tcW w:type="dxa" w:w="3969"/>
            <w:vAlign w:val="top"/>
            <w:shd w:val="clear" w:color="auto" w:fill="FDF0F7"/>
          </w:tcPr>
          <w:p>
            <w:pPr>
              <w:spacing w:after="20" w:line="252" w:lineRule="auto"/>
            </w:pPr>
            <w:r>
              <w:rPr>
                <w:b w:val="0"/>
                <w:i w:val="0"/>
                <w:sz w:val="16"/>
              </w:rPr>
              <w:t>NAT gateway, site-to-site VPN to the IITH data centre, outbound data</w:t>
            </w:r>
          </w:p>
        </w:tc>
        <w:tc>
          <w:tcPr>
            <w:tcW w:type="dxa" w:w="1134"/>
            <w:vAlign w:val="top"/>
            <w:shd w:val="clear" w:color="auto" w:fill="FDF0F7"/>
          </w:tcPr>
          <w:p>
            <w:pPr>
              <w:spacing w:after="20" w:line="252" w:lineRule="auto"/>
              <w:jc w:val="right"/>
            </w:pPr>
            <w:r>
              <w:rPr>
                <w:b w:val="0"/>
                <w:i w:val="0"/>
                <w:sz w:val="16"/>
              </w:rPr>
              <w:t>90</w:t>
            </w:r>
          </w:p>
        </w:tc>
        <w:tc>
          <w:tcPr>
            <w:tcW w:type="dxa" w:w="1247"/>
            <w:vAlign w:val="top"/>
            <w:shd w:val="clear" w:color="auto" w:fill="FDF0F7"/>
          </w:tcPr>
          <w:p>
            <w:pPr>
              <w:spacing w:after="20" w:line="252" w:lineRule="auto"/>
              <w:jc w:val="right"/>
            </w:pPr>
            <w:r>
              <w:rPr>
                <w:b w:val="0"/>
                <w:i w:val="0"/>
                <w:sz w:val="16"/>
              </w:rPr>
              <w:t>1,080</w:t>
            </w:r>
          </w:p>
        </w:tc>
      </w:tr>
      <w:tr>
        <w:trPr>
          <w:cantSplit/>
        </w:trPr>
        <w:tc>
          <w:tcPr>
            <w:tcW w:type="dxa" w:w="3288"/>
            <w:vAlign w:val="top"/>
          </w:tcPr>
          <w:p>
            <w:pPr>
              <w:spacing w:after="20" w:line="252" w:lineRule="auto"/>
            </w:pPr>
            <w:r>
              <w:rPr>
                <w:b w:val="0"/>
                <w:i w:val="0"/>
                <w:sz w:val="16"/>
              </w:rPr>
              <w:t>Object storage (encrypted) and cross-region backup copies</w:t>
            </w:r>
          </w:p>
        </w:tc>
        <w:tc>
          <w:tcPr>
            <w:tcW w:type="dxa" w:w="3969"/>
            <w:vAlign w:val="top"/>
          </w:tcPr>
          <w:p>
            <w:pPr>
              <w:spacing w:after="20" w:line="252" w:lineRule="auto"/>
            </w:pPr>
            <w:r>
              <w:rPr>
                <w:b w:val="0"/>
                <w:i w:val="0"/>
                <w:sz w:val="16"/>
              </w:rPr>
              <w:t>Shared file storage up to 100 GB; about 200 GB object storage; cross-region copy</w:t>
            </w:r>
          </w:p>
        </w:tc>
        <w:tc>
          <w:tcPr>
            <w:tcW w:type="dxa" w:w="1134"/>
            <w:vAlign w:val="top"/>
          </w:tcPr>
          <w:p>
            <w:pPr>
              <w:spacing w:after="20" w:line="252" w:lineRule="auto"/>
              <w:jc w:val="right"/>
            </w:pPr>
            <w:r>
              <w:rPr>
                <w:b w:val="0"/>
                <w:i w:val="0"/>
                <w:sz w:val="16"/>
              </w:rPr>
              <w:t>70</w:t>
            </w:r>
          </w:p>
        </w:tc>
        <w:tc>
          <w:tcPr>
            <w:tcW w:type="dxa" w:w="1247"/>
            <w:vAlign w:val="top"/>
          </w:tcPr>
          <w:p>
            <w:pPr>
              <w:spacing w:after="20" w:line="252" w:lineRule="auto"/>
              <w:jc w:val="right"/>
            </w:pPr>
            <w:r>
              <w:rPr>
                <w:b w:val="0"/>
                <w:i w:val="0"/>
                <w:sz w:val="16"/>
              </w:rPr>
              <w:t>840</w:t>
            </w:r>
          </w:p>
        </w:tc>
      </w:tr>
      <w:tr>
        <w:trPr>
          <w:cantSplit/>
        </w:trPr>
        <w:tc>
          <w:tcPr>
            <w:tcW w:type="dxa" w:w="3288"/>
            <w:vAlign w:val="top"/>
            <w:shd w:val="clear" w:color="auto" w:fill="FDF0F7"/>
          </w:tcPr>
          <w:p>
            <w:pPr>
              <w:spacing w:after="20" w:line="252" w:lineRule="auto"/>
            </w:pPr>
            <w:r>
              <w:rPr>
                <w:b w:val="0"/>
                <w:i w:val="0"/>
                <w:sz w:val="16"/>
              </w:rPr>
              <w:t>Logging, metrics, alarms and threat detection</w:t>
            </w:r>
          </w:p>
        </w:tc>
        <w:tc>
          <w:tcPr>
            <w:tcW w:type="dxa" w:w="3969"/>
            <w:vAlign w:val="top"/>
            <w:shd w:val="clear" w:color="auto" w:fill="FDF0F7"/>
          </w:tcPr>
          <w:p>
            <w:pPr>
              <w:spacing w:after="20" w:line="252" w:lineRule="auto"/>
            </w:pPr>
            <w:r>
              <w:rPr>
                <w:b w:val="0"/>
                <w:i w:val="0"/>
                <w:sz w:val="16"/>
              </w:rPr>
              <w:t>Log retention 90 days, metrics, alarms, threat detection</w:t>
            </w:r>
          </w:p>
        </w:tc>
        <w:tc>
          <w:tcPr>
            <w:tcW w:type="dxa" w:w="1134"/>
            <w:vAlign w:val="top"/>
            <w:shd w:val="clear" w:color="auto" w:fill="FDF0F7"/>
          </w:tcPr>
          <w:p>
            <w:pPr>
              <w:spacing w:after="20" w:line="252" w:lineRule="auto"/>
              <w:jc w:val="right"/>
            </w:pPr>
            <w:r>
              <w:rPr>
                <w:b w:val="0"/>
                <w:i w:val="0"/>
                <w:sz w:val="16"/>
              </w:rPr>
              <w:t>70</w:t>
            </w:r>
          </w:p>
        </w:tc>
        <w:tc>
          <w:tcPr>
            <w:tcW w:type="dxa" w:w="1247"/>
            <w:vAlign w:val="top"/>
            <w:shd w:val="clear" w:color="auto" w:fill="FDF0F7"/>
          </w:tcPr>
          <w:p>
            <w:pPr>
              <w:spacing w:after="20" w:line="252" w:lineRule="auto"/>
              <w:jc w:val="right"/>
            </w:pPr>
            <w:r>
              <w:rPr>
                <w:b w:val="0"/>
                <w:i w:val="0"/>
                <w:sz w:val="16"/>
              </w:rPr>
              <w:t>840</w:t>
            </w:r>
          </w:p>
        </w:tc>
      </w:tr>
      <w:tr>
        <w:trPr>
          <w:cantSplit/>
        </w:trPr>
        <w:tc>
          <w:tcPr>
            <w:tcW w:type="dxa" w:w="3288"/>
            <w:vAlign w:val="top"/>
          </w:tcPr>
          <w:p>
            <w:pPr>
              <w:spacing w:after="20" w:line="252" w:lineRule="auto"/>
            </w:pPr>
            <w:r>
              <w:rPr>
                <w:b w:val="0"/>
                <w:i w:val="0"/>
                <w:sz w:val="16"/>
              </w:rPr>
              <w:t>Secrets and key management</w:t>
            </w:r>
          </w:p>
        </w:tc>
        <w:tc>
          <w:tcPr>
            <w:tcW w:type="dxa" w:w="3969"/>
            <w:vAlign w:val="top"/>
          </w:tcPr>
          <w:p>
            <w:pPr>
              <w:spacing w:after="20" w:line="252" w:lineRule="auto"/>
            </w:pPr>
            <w:r>
              <w:rPr>
                <w:b w:val="0"/>
                <w:i w:val="0"/>
                <w:sz w:val="16"/>
              </w:rPr>
              <w:t>Secrets store and customer-managed encryption keys</w:t>
            </w:r>
          </w:p>
        </w:tc>
        <w:tc>
          <w:tcPr>
            <w:tcW w:type="dxa" w:w="1134"/>
            <w:vAlign w:val="top"/>
          </w:tcPr>
          <w:p>
            <w:pPr>
              <w:spacing w:after="20" w:line="252" w:lineRule="auto"/>
              <w:jc w:val="right"/>
            </w:pPr>
            <w:r>
              <w:rPr>
                <w:b w:val="0"/>
                <w:i w:val="0"/>
                <w:sz w:val="16"/>
              </w:rPr>
              <w:t>20</w:t>
            </w:r>
          </w:p>
        </w:tc>
        <w:tc>
          <w:tcPr>
            <w:tcW w:type="dxa" w:w="1247"/>
            <w:vAlign w:val="top"/>
          </w:tcPr>
          <w:p>
            <w:pPr>
              <w:spacing w:after="20" w:line="252" w:lineRule="auto"/>
              <w:jc w:val="right"/>
            </w:pPr>
            <w:r>
              <w:rPr>
                <w:b w:val="0"/>
                <w:i w:val="0"/>
                <w:sz w:val="16"/>
              </w:rPr>
              <w:t>240</w:t>
            </w:r>
          </w:p>
        </w:tc>
      </w:tr>
      <w:tr>
        <w:trPr>
          <w:cantSplit/>
        </w:trPr>
        <w:tc>
          <w:tcPr>
            <w:tcW w:type="dxa" w:w="3288"/>
            <w:vAlign w:val="top"/>
            <w:shd w:val="clear" w:color="auto" w:fill="FDF0F7"/>
          </w:tcPr>
          <w:p>
            <w:pPr>
              <w:spacing w:after="20" w:line="252" w:lineRule="auto"/>
            </w:pPr>
            <w:r>
              <w:rPr>
                <w:b w:val="0"/>
                <w:i w:val="0"/>
                <w:sz w:val="16"/>
              </w:rPr>
              <w:t>UAT environment, scaled down, stopped out of hours</w:t>
            </w:r>
          </w:p>
        </w:tc>
        <w:tc>
          <w:tcPr>
            <w:tcW w:type="dxa" w:w="3969"/>
            <w:vAlign w:val="top"/>
            <w:shd w:val="clear" w:color="auto" w:fill="FDF0F7"/>
          </w:tcPr>
          <w:p>
            <w:pPr>
              <w:spacing w:after="20" w:line="252" w:lineRule="auto"/>
            </w:pPr>
            <w:r>
              <w:rPr>
                <w:b w:val="0"/>
                <w:i w:val="0"/>
                <w:sz w:val="16"/>
              </w:rPr>
              <w:t>1 task and a single-AZ db.t4g.medium; stopped outside test periods</w:t>
            </w:r>
          </w:p>
        </w:tc>
        <w:tc>
          <w:tcPr>
            <w:tcW w:type="dxa" w:w="1134"/>
            <w:vAlign w:val="top"/>
            <w:shd w:val="clear" w:color="auto" w:fill="FDF0F7"/>
          </w:tcPr>
          <w:p>
            <w:pPr>
              <w:spacing w:after="20" w:line="252" w:lineRule="auto"/>
              <w:jc w:val="right"/>
            </w:pPr>
            <w:r>
              <w:rPr>
                <w:b w:val="0"/>
                <w:i w:val="0"/>
                <w:sz w:val="16"/>
              </w:rPr>
              <w:t>120</w:t>
            </w:r>
          </w:p>
        </w:tc>
        <w:tc>
          <w:tcPr>
            <w:tcW w:type="dxa" w:w="1247"/>
            <w:vAlign w:val="top"/>
            <w:shd w:val="clear" w:color="auto" w:fill="FDF0F7"/>
          </w:tcPr>
          <w:p>
            <w:pPr>
              <w:spacing w:after="20" w:line="252" w:lineRule="auto"/>
              <w:jc w:val="right"/>
            </w:pPr>
            <w:r>
              <w:rPr>
                <w:b w:val="0"/>
                <w:i w:val="0"/>
                <w:sz w:val="16"/>
              </w:rPr>
              <w:t>1,440</w:t>
            </w:r>
          </w:p>
        </w:tc>
      </w:tr>
      <w:tr>
        <w:trPr>
          <w:cantSplit/>
        </w:trPr>
        <w:tc>
          <w:tcPr>
            <w:tcW w:type="dxa" w:w="3288"/>
            <w:vAlign w:val="top"/>
          </w:tcPr>
          <w:p>
            <w:pPr>
              <w:spacing w:after="20" w:line="252" w:lineRule="auto"/>
            </w:pPr>
            <w:r>
              <w:rPr>
                <w:b w:val="0"/>
                <w:i w:val="0"/>
                <w:sz w:val="16"/>
              </w:rPr>
              <w:t>DR environment, pilot light in a second region</w:t>
            </w:r>
          </w:p>
        </w:tc>
        <w:tc>
          <w:tcPr>
            <w:tcW w:type="dxa" w:w="3969"/>
            <w:vAlign w:val="top"/>
          </w:tcPr>
          <w:p>
            <w:pPr>
              <w:spacing w:after="20" w:line="252" w:lineRule="auto"/>
            </w:pPr>
            <w:r>
              <w:rPr>
                <w:b w:val="0"/>
                <w:i w:val="0"/>
                <w:sz w:val="16"/>
              </w:rPr>
              <w:t>Cross-region database replica or snapshots and standby images</w:t>
            </w:r>
          </w:p>
        </w:tc>
        <w:tc>
          <w:tcPr>
            <w:tcW w:type="dxa" w:w="1134"/>
            <w:vAlign w:val="top"/>
          </w:tcPr>
          <w:p>
            <w:pPr>
              <w:spacing w:after="20" w:line="252" w:lineRule="auto"/>
              <w:jc w:val="right"/>
            </w:pPr>
            <w:r>
              <w:rPr>
                <w:b w:val="0"/>
                <w:i w:val="0"/>
                <w:sz w:val="16"/>
              </w:rPr>
              <w:t>150</w:t>
            </w:r>
          </w:p>
        </w:tc>
        <w:tc>
          <w:tcPr>
            <w:tcW w:type="dxa" w:w="1247"/>
            <w:vAlign w:val="top"/>
          </w:tcPr>
          <w:p>
            <w:pPr>
              <w:spacing w:after="20" w:line="252" w:lineRule="auto"/>
              <w:jc w:val="right"/>
            </w:pPr>
            <w:r>
              <w:rPr>
                <w:b w:val="0"/>
                <w:i w:val="0"/>
                <w:sz w:val="16"/>
              </w:rPr>
              <w:t>1,800</w:t>
            </w:r>
          </w:p>
        </w:tc>
      </w:tr>
      <w:tr>
        <w:trPr>
          <w:cantSplit/>
        </w:trPr>
        <w:tc>
          <w:tcPr>
            <w:tcW w:type="dxa" w:w="3288"/>
            <w:vAlign w:val="top"/>
            <w:shd w:val="clear" w:color="auto" w:fill="FEEBDD"/>
          </w:tcPr>
          <w:p>
            <w:pPr>
              <w:spacing w:after="20" w:line="252" w:lineRule="auto"/>
            </w:pPr>
            <w:r>
              <w:rPr>
                <w:b/>
                <w:i w:val="0"/>
                <w:sz w:val="16"/>
              </w:rPr>
              <w:t>Total, production run</w:t>
            </w:r>
          </w:p>
        </w:tc>
        <w:tc>
          <w:tcPr>
            <w:tcW w:type="dxa" w:w="3969"/>
            <w:vAlign w:val="top"/>
            <w:shd w:val="clear" w:color="auto" w:fill="FEEBDD"/>
          </w:tcPr>
          <w:p>
            <w:pPr>
              <w:spacing w:after="20" w:line="252" w:lineRule="auto"/>
            </w:pPr>
          </w:p>
        </w:tc>
        <w:tc>
          <w:tcPr>
            <w:tcW w:type="dxa" w:w="1134"/>
            <w:vAlign w:val="top"/>
            <w:shd w:val="clear" w:color="auto" w:fill="FEEBDD"/>
          </w:tcPr>
          <w:p>
            <w:pPr>
              <w:spacing w:after="20" w:line="252" w:lineRule="auto"/>
              <w:jc w:val="right"/>
            </w:pPr>
            <w:r>
              <w:rPr>
                <w:b/>
                <w:i w:val="0"/>
                <w:sz w:val="16"/>
              </w:rPr>
              <w:t>1,330</w:t>
            </w:r>
          </w:p>
        </w:tc>
        <w:tc>
          <w:tcPr>
            <w:tcW w:type="dxa" w:w="1247"/>
            <w:vAlign w:val="top"/>
            <w:shd w:val="clear" w:color="auto" w:fill="FEEBDD"/>
          </w:tcPr>
          <w:p>
            <w:pPr>
              <w:spacing w:after="20" w:line="252" w:lineRule="auto"/>
              <w:jc w:val="right"/>
            </w:pPr>
            <w:r>
              <w:rPr>
                <w:b/>
                <w:i w:val="0"/>
                <w:sz w:val="16"/>
              </w:rPr>
              <w:t>15,960</w:t>
            </w:r>
          </w:p>
        </w:tc>
      </w:tr>
      <w:tr>
        <w:trPr>
          <w:cantSplit/>
        </w:trPr>
        <w:tc>
          <w:tcPr>
            <w:tcW w:type="dxa" w:w="3288"/>
            <w:vAlign w:val="top"/>
          </w:tcPr>
          <w:p>
            <w:pPr>
              <w:spacing w:after="20" w:line="252" w:lineRule="auto"/>
            </w:pPr>
            <w:r>
              <w:rPr>
                <w:b w:val="0"/>
                <w:i w:val="0"/>
                <w:sz w:val="16"/>
              </w:rPr>
              <w:t>Project environments (DEV, SIT, UAT) for 5 months before go-live</w:t>
            </w:r>
          </w:p>
        </w:tc>
        <w:tc>
          <w:tcPr>
            <w:tcW w:type="dxa" w:w="3969"/>
            <w:vAlign w:val="top"/>
          </w:tcPr>
          <w:p>
            <w:pPr>
              <w:spacing w:after="20" w:line="252" w:lineRule="auto"/>
            </w:pPr>
            <w:r>
              <w:rPr>
                <w:b w:val="0"/>
                <w:i w:val="0"/>
                <w:sz w:val="16"/>
              </w:rPr>
              <w:t>Scaled-down environments</w:t>
            </w:r>
          </w:p>
        </w:tc>
        <w:tc>
          <w:tcPr>
            <w:tcW w:type="dxa" w:w="1134"/>
            <w:vAlign w:val="top"/>
          </w:tcPr>
          <w:p>
            <w:pPr>
              <w:spacing w:after="20" w:line="252" w:lineRule="auto"/>
              <w:jc w:val="right"/>
            </w:pPr>
            <w:r>
              <w:rPr>
                <w:b w:val="0"/>
                <w:i w:val="0"/>
                <w:sz w:val="16"/>
              </w:rPr>
              <w:t>300</w:t>
            </w:r>
          </w:p>
        </w:tc>
        <w:tc>
          <w:tcPr>
            <w:tcW w:type="dxa" w:w="1247"/>
            <w:vAlign w:val="top"/>
          </w:tcPr>
          <w:p>
            <w:pPr>
              <w:spacing w:after="20" w:line="252" w:lineRule="auto"/>
              <w:jc w:val="right"/>
            </w:pPr>
            <w:r>
              <w:rPr>
                <w:b w:val="0"/>
                <w:i w:val="0"/>
                <w:sz w:val="16"/>
              </w:rPr>
              <w:t>1,500 (one-off)</w:t>
            </w:r>
          </w:p>
        </w:tc>
      </w:tr>
    </w:tbl>
    <w:p>
      <w:pPr>
        <w:pStyle w:val="Caption"/>
        <w:jc w:val="center"/>
      </w:pPr>
      <w:r>
        <w:rPr>
          <w:b w:val="0"/>
          <w:i w:val="0"/>
        </w:rPr>
        <w:t>Table 44: Cloud infrastructure estimate (recharged at cost as a disbursement)</w:t>
      </w:r>
    </w:p>
    <w:p>
      <w:pPr>
        <w:pStyle w:val="ListBullet"/>
      </w:pPr>
      <w:r>
        <w:rPr>
          <w:b/>
          <w:i w:val="0"/>
        </w:rPr>
        <w:t>Recharged at cost as a disbursement.</w:t>
      </w:r>
      <w:r>
        <w:rPr>
          <w:b w:val="0"/>
          <w:i w:val="0"/>
        </w:rPr>
        <w:t xml:space="preserve"> iorta recharges the cloud provider's charges monthly in arrears, with the provider invoice attached and no mark-up, separately from its fees and outside the fees to which withholding tax applies. The estimate above is for budgeting; IIFT pays the actual charges.</w:t>
      </w:r>
    </w:p>
    <w:p>
      <w:pPr>
        <w:pStyle w:val="ListBullet"/>
      </w:pPr>
      <w:r>
        <w:rPr>
          <w:b/>
          <w:i w:val="0"/>
        </w:rPr>
        <w:t>Or paid by IIFT directly.</w:t>
      </w:r>
      <w:r>
        <w:rPr>
          <w:b w:val="0"/>
          <w:i w:val="0"/>
        </w:rPr>
        <w:t xml:space="preserve"> IIFT may hold the cloud account in its own name and pay the provider directly; iorta then operates the account under the managed services with delegated access. Either way the account is dedicated to IIFT.</w:t>
      </w:r>
    </w:p>
    <w:p>
      <w:pPr>
        <w:pStyle w:val="ListBullet"/>
      </w:pPr>
      <w:r>
        <w:rPr>
          <w:b/>
          <w:i w:val="0"/>
        </w:rPr>
        <w:t>Currency.</w:t>
      </w:r>
      <w:r>
        <w:rPr>
          <w:b w:val="0"/>
          <w:i w:val="0"/>
        </w:rPr>
        <w:t xml:space="preserve"> Providers bill in USD; recharged amounts are converted to B$ at the bank selling rate on the provider's invoice date, shown on iorta's disbursement invoice.</w:t>
      </w:r>
    </w:p>
    <w:p>
      <w:pPr>
        <w:pStyle w:val="ListBullet"/>
      </w:pPr>
      <w:r>
        <w:rPr>
          <w:b/>
          <w:i w:val="0"/>
        </w:rPr>
        <w:t>Cost control.</w:t>
      </w:r>
      <w:r>
        <w:rPr>
          <w:b w:val="0"/>
          <w:i w:val="0"/>
        </w:rPr>
        <w:t xml:space="preserve"> Budget alerts at 80% and 100% of the monthly estimate, a monthly cost report and a quarterly right-sizing review. Reserved capacity is bought only with IIFT's approval, and the saving passes to IIFT.</w:t>
      </w:r>
    </w:p>
    <w:p>
      <w:pPr>
        <w:pStyle w:val="Heading3"/>
      </w:pPr>
      <w:r>
        <w:t>Managed services by iorta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3402"/>
        <w:gridCol w:w="3402"/>
      </w:tblGrid>
      <w:tr>
        <w:trPr>
          <w:cantSplit/>
          <w:tblHeader/>
        </w:trPr>
        <w:tc>
          <w:tcPr>
            <w:tcW w:type="dxa" w:w="2835"/>
            <w:shd w:val="clear" w:color="auto" w:fill="E1058C"/>
            <w:vAlign w:val="center"/>
          </w:tcPr>
          <w:p>
            <w:pPr>
              <w:spacing w:after="0"/>
            </w:pPr>
            <w:r>
              <w:rPr>
                <w:b/>
                <w:i w:val="0"/>
                <w:color w:val="FFFFFF"/>
                <w:sz w:val="16"/>
              </w:rPr>
              <w:t>Contract year</w:t>
            </w:r>
          </w:p>
        </w:tc>
        <w:tc>
          <w:tcPr>
            <w:tcW w:type="dxa" w:w="3402"/>
            <w:shd w:val="clear" w:color="auto" w:fill="E1058C"/>
            <w:vAlign w:val="center"/>
          </w:tcPr>
          <w:p>
            <w:pPr>
              <w:spacing w:after="0"/>
            </w:pPr>
            <w:r>
              <w:rPr>
                <w:b/>
                <w:i w:val="0"/>
                <w:color w:val="FFFFFF"/>
                <w:sz w:val="16"/>
              </w:rPr>
              <w:t>Per month (B$)</w:t>
            </w:r>
          </w:p>
        </w:tc>
        <w:tc>
          <w:tcPr>
            <w:tcW w:type="dxa" w:w="3402"/>
            <w:shd w:val="clear" w:color="auto" w:fill="E1058C"/>
            <w:vAlign w:val="center"/>
          </w:tcPr>
          <w:p>
            <w:pPr>
              <w:spacing w:after="0"/>
            </w:pPr>
            <w:r>
              <w:rPr>
                <w:b/>
                <w:i w:val="0"/>
                <w:color w:val="FFFFFF"/>
                <w:sz w:val="16"/>
              </w:rPr>
              <w:t>Per year (B$)</w:t>
            </w:r>
          </w:p>
        </w:tc>
      </w:tr>
      <w:tr>
        <w:trPr>
          <w:cantSplit/>
        </w:trPr>
        <w:tc>
          <w:tcPr>
            <w:tcW w:type="dxa" w:w="2835"/>
            <w:vAlign w:val="top"/>
          </w:tcPr>
          <w:p>
            <w:pPr>
              <w:spacing w:after="20" w:line="252" w:lineRule="auto"/>
            </w:pPr>
            <w:r>
              <w:rPr>
                <w:b/>
                <w:i w:val="0"/>
                <w:sz w:val="16"/>
              </w:rPr>
              <w:t>Year 1</w:t>
            </w:r>
          </w:p>
        </w:tc>
        <w:tc>
          <w:tcPr>
            <w:tcW w:type="dxa" w:w="3402"/>
            <w:vAlign w:val="top"/>
          </w:tcPr>
          <w:p>
            <w:pPr>
              <w:spacing w:after="20" w:line="252" w:lineRule="auto"/>
              <w:jc w:val="right"/>
            </w:pPr>
            <w:r>
              <w:rPr>
                <w:b w:val="0"/>
                <w:i w:val="0"/>
                <w:sz w:val="16"/>
              </w:rPr>
              <w:t>1,100</w:t>
            </w:r>
          </w:p>
        </w:tc>
        <w:tc>
          <w:tcPr>
            <w:tcW w:type="dxa" w:w="3402"/>
            <w:vAlign w:val="top"/>
          </w:tcPr>
          <w:p>
            <w:pPr>
              <w:spacing w:after="20" w:line="252" w:lineRule="auto"/>
              <w:jc w:val="right"/>
            </w:pPr>
            <w:r>
              <w:rPr>
                <w:b w:val="0"/>
                <w:i w:val="0"/>
                <w:sz w:val="16"/>
              </w:rPr>
              <w:t>13,200</w:t>
            </w:r>
          </w:p>
        </w:tc>
      </w:tr>
      <w:tr>
        <w:trPr>
          <w:cantSplit/>
        </w:trPr>
        <w:tc>
          <w:tcPr>
            <w:tcW w:type="dxa" w:w="2835"/>
            <w:vAlign w:val="top"/>
            <w:shd w:val="clear" w:color="auto" w:fill="FDF0F7"/>
          </w:tcPr>
          <w:p>
            <w:pPr>
              <w:spacing w:after="20" w:line="252" w:lineRule="auto"/>
            </w:pPr>
            <w:r>
              <w:rPr>
                <w:b/>
                <w:i w:val="0"/>
                <w:sz w:val="16"/>
              </w:rPr>
              <w:t>Year 2</w:t>
            </w:r>
          </w:p>
        </w:tc>
        <w:tc>
          <w:tcPr>
            <w:tcW w:type="dxa" w:w="3402"/>
            <w:vAlign w:val="top"/>
            <w:shd w:val="clear" w:color="auto" w:fill="FDF0F7"/>
          </w:tcPr>
          <w:p>
            <w:pPr>
              <w:spacing w:after="20" w:line="252" w:lineRule="auto"/>
              <w:jc w:val="right"/>
            </w:pPr>
            <w:r>
              <w:rPr>
                <w:b w:val="0"/>
                <w:i w:val="0"/>
                <w:sz w:val="16"/>
              </w:rPr>
              <w:t>1,155</w:t>
            </w:r>
          </w:p>
        </w:tc>
        <w:tc>
          <w:tcPr>
            <w:tcW w:type="dxa" w:w="3402"/>
            <w:vAlign w:val="top"/>
            <w:shd w:val="clear" w:color="auto" w:fill="FDF0F7"/>
          </w:tcPr>
          <w:p>
            <w:pPr>
              <w:spacing w:after="20" w:line="252" w:lineRule="auto"/>
              <w:jc w:val="right"/>
            </w:pPr>
            <w:r>
              <w:rPr>
                <w:b w:val="0"/>
                <w:i w:val="0"/>
                <w:sz w:val="16"/>
              </w:rPr>
              <w:t>13,860</w:t>
            </w:r>
          </w:p>
        </w:tc>
      </w:tr>
      <w:tr>
        <w:trPr>
          <w:cantSplit/>
        </w:trPr>
        <w:tc>
          <w:tcPr>
            <w:tcW w:type="dxa" w:w="2835"/>
            <w:vAlign w:val="top"/>
          </w:tcPr>
          <w:p>
            <w:pPr>
              <w:spacing w:after="20" w:line="252" w:lineRule="auto"/>
            </w:pPr>
            <w:r>
              <w:rPr>
                <w:b/>
                <w:i w:val="0"/>
                <w:sz w:val="16"/>
              </w:rPr>
              <w:t>Year 3</w:t>
            </w:r>
          </w:p>
        </w:tc>
        <w:tc>
          <w:tcPr>
            <w:tcW w:type="dxa" w:w="3402"/>
            <w:vAlign w:val="top"/>
          </w:tcPr>
          <w:p>
            <w:pPr>
              <w:spacing w:after="20" w:line="252" w:lineRule="auto"/>
              <w:jc w:val="right"/>
            </w:pPr>
            <w:r>
              <w:rPr>
                <w:b w:val="0"/>
                <w:i w:val="0"/>
                <w:sz w:val="16"/>
              </w:rPr>
              <w:t>1,213</w:t>
            </w:r>
          </w:p>
        </w:tc>
        <w:tc>
          <w:tcPr>
            <w:tcW w:type="dxa" w:w="3402"/>
            <w:vAlign w:val="top"/>
          </w:tcPr>
          <w:p>
            <w:pPr>
              <w:spacing w:after="20" w:line="252" w:lineRule="auto"/>
              <w:jc w:val="right"/>
            </w:pPr>
            <w:r>
              <w:rPr>
                <w:b w:val="0"/>
                <w:i w:val="0"/>
                <w:sz w:val="16"/>
              </w:rPr>
              <w:t>14,556</w:t>
            </w:r>
          </w:p>
        </w:tc>
      </w:tr>
      <w:tr>
        <w:trPr>
          <w:cantSplit/>
        </w:trPr>
        <w:tc>
          <w:tcPr>
            <w:tcW w:type="dxa" w:w="2835"/>
            <w:vAlign w:val="top"/>
            <w:shd w:val="clear" w:color="auto" w:fill="FDF0F7"/>
          </w:tcPr>
          <w:p>
            <w:pPr>
              <w:spacing w:after="20" w:line="252" w:lineRule="auto"/>
            </w:pPr>
            <w:r>
              <w:rPr>
                <w:b/>
                <w:i w:val="0"/>
                <w:sz w:val="16"/>
              </w:rPr>
              <w:t>Year 4</w:t>
            </w:r>
          </w:p>
        </w:tc>
        <w:tc>
          <w:tcPr>
            <w:tcW w:type="dxa" w:w="3402"/>
            <w:vAlign w:val="top"/>
            <w:shd w:val="clear" w:color="auto" w:fill="FDF0F7"/>
          </w:tcPr>
          <w:p>
            <w:pPr>
              <w:spacing w:after="20" w:line="252" w:lineRule="auto"/>
              <w:jc w:val="right"/>
            </w:pPr>
            <w:r>
              <w:rPr>
                <w:b w:val="0"/>
                <w:i w:val="0"/>
                <w:sz w:val="16"/>
              </w:rPr>
              <w:t>1,273</w:t>
            </w:r>
          </w:p>
        </w:tc>
        <w:tc>
          <w:tcPr>
            <w:tcW w:type="dxa" w:w="3402"/>
            <w:vAlign w:val="top"/>
            <w:shd w:val="clear" w:color="auto" w:fill="FDF0F7"/>
          </w:tcPr>
          <w:p>
            <w:pPr>
              <w:spacing w:after="20" w:line="252" w:lineRule="auto"/>
              <w:jc w:val="right"/>
            </w:pPr>
            <w:r>
              <w:rPr>
                <w:b w:val="0"/>
                <w:i w:val="0"/>
                <w:sz w:val="16"/>
              </w:rPr>
              <w:t>15,276</w:t>
            </w:r>
          </w:p>
        </w:tc>
      </w:tr>
      <w:tr>
        <w:trPr>
          <w:cantSplit/>
        </w:trPr>
        <w:tc>
          <w:tcPr>
            <w:tcW w:type="dxa" w:w="2835"/>
            <w:vAlign w:val="top"/>
          </w:tcPr>
          <w:p>
            <w:pPr>
              <w:spacing w:after="20" w:line="252" w:lineRule="auto"/>
            </w:pPr>
            <w:r>
              <w:rPr>
                <w:b/>
                <w:i w:val="0"/>
                <w:sz w:val="16"/>
              </w:rPr>
              <w:t>Year 5</w:t>
            </w:r>
          </w:p>
        </w:tc>
        <w:tc>
          <w:tcPr>
            <w:tcW w:type="dxa" w:w="3402"/>
            <w:vAlign w:val="top"/>
          </w:tcPr>
          <w:p>
            <w:pPr>
              <w:spacing w:after="20" w:line="252" w:lineRule="auto"/>
              <w:jc w:val="right"/>
            </w:pPr>
            <w:r>
              <w:rPr>
                <w:b w:val="0"/>
                <w:i w:val="0"/>
                <w:sz w:val="16"/>
              </w:rPr>
              <w:t>1,337</w:t>
            </w:r>
          </w:p>
        </w:tc>
        <w:tc>
          <w:tcPr>
            <w:tcW w:type="dxa" w:w="3402"/>
            <w:vAlign w:val="top"/>
          </w:tcPr>
          <w:p>
            <w:pPr>
              <w:spacing w:after="20" w:line="252" w:lineRule="auto"/>
              <w:jc w:val="right"/>
            </w:pPr>
            <w:r>
              <w:rPr>
                <w:b w:val="0"/>
                <w:i w:val="0"/>
                <w:sz w:val="16"/>
              </w:rPr>
              <w:t>16,044</w:t>
            </w:r>
          </w:p>
        </w:tc>
      </w:tr>
      <w:tr>
        <w:trPr>
          <w:cantSplit/>
        </w:trPr>
        <w:tc>
          <w:tcPr>
            <w:tcW w:type="dxa" w:w="2835"/>
            <w:vAlign w:val="top"/>
            <w:shd w:val="clear" w:color="auto" w:fill="FEEBDD"/>
          </w:tcPr>
          <w:p>
            <w:pPr>
              <w:spacing w:after="20" w:line="252" w:lineRule="auto"/>
            </w:pPr>
            <w:r>
              <w:rPr>
                <w:b/>
                <w:i w:val="0"/>
                <w:sz w:val="16"/>
              </w:rPr>
              <w:t>Total</w:t>
            </w:r>
          </w:p>
        </w:tc>
        <w:tc>
          <w:tcPr>
            <w:tcW w:type="dxa" w:w="3402"/>
            <w:vAlign w:val="top"/>
            <w:shd w:val="clear" w:color="auto" w:fill="FEEBDD"/>
          </w:tcPr>
          <w:p>
            <w:pPr>
              <w:spacing w:after="20" w:line="252" w:lineRule="auto"/>
              <w:jc w:val="right"/>
            </w:pPr>
          </w:p>
        </w:tc>
        <w:tc>
          <w:tcPr>
            <w:tcW w:type="dxa" w:w="3402"/>
            <w:vAlign w:val="top"/>
            <w:shd w:val="clear" w:color="auto" w:fill="FEEBDD"/>
          </w:tcPr>
          <w:p>
            <w:pPr>
              <w:spacing w:after="20" w:line="252" w:lineRule="auto"/>
              <w:jc w:val="right"/>
            </w:pPr>
            <w:r>
              <w:rPr>
                <w:b/>
                <w:i w:val="0"/>
                <w:sz w:val="16"/>
              </w:rPr>
              <w:t>72,936</w:t>
            </w:r>
          </w:p>
        </w:tc>
      </w:tr>
    </w:tbl>
    <w:p>
      <w:pPr>
        <w:pStyle w:val="Caption"/>
        <w:jc w:val="center"/>
      </w:pPr>
      <w:r>
        <w:rPr>
          <w:b w:val="0"/>
          <w:i w:val="0"/>
        </w:rPr>
        <w:t>Table 45: Managed services fee (+5% a year), billed monthly in advance from go-live</w:t>
      </w:r>
    </w:p>
    <w:p>
      <w:pPr>
        <w:keepNext/>
        <w:spacing w:after="40"/>
      </w:pPr>
      <w:r>
        <w:rPr>
          <w:b/>
          <w:i w:val="0"/>
        </w:rPr>
        <w:t>Managed services include:</w:t>
      </w:r>
    </w:p>
    <w:p>
      <w:pPr>
        <w:pStyle w:val="ListBullet"/>
      </w:pPr>
      <w:r>
        <w:rPr>
          <w:b w:val="0"/>
          <w:i w:val="0"/>
        </w:rPr>
        <w:t>24x7 infrastructure and availability monitoring with alerting</w:t>
      </w:r>
    </w:p>
    <w:p>
      <w:pPr>
        <w:pStyle w:val="ListBullet"/>
      </w:pPr>
      <w:r>
        <w:rPr>
          <w:b w:val="0"/>
          <w:i w:val="0"/>
        </w:rPr>
        <w:t>Operating system, container and database patching in agreed windows</w:t>
      </w:r>
    </w:p>
    <w:p>
      <w:pPr>
        <w:pStyle w:val="ListBullet"/>
      </w:pPr>
      <w:r>
        <w:rPr>
          <w:b w:val="0"/>
          <w:i w:val="0"/>
        </w:rPr>
        <w:t>Backups, monthly restore tests and the annual DR drill</w:t>
      </w:r>
    </w:p>
    <w:p>
      <w:pPr>
        <w:pStyle w:val="ListBullet"/>
      </w:pPr>
      <w:r>
        <w:rPr>
          <w:b w:val="0"/>
          <w:i w:val="0"/>
        </w:rPr>
        <w:t>Security monitoring: WAF, threat detection, vulnerability scanning of the cloud estate</w:t>
      </w:r>
    </w:p>
    <w:p>
      <w:pPr>
        <w:pStyle w:val="ListBullet"/>
      </w:pPr>
      <w:r>
        <w:rPr>
          <w:b w:val="0"/>
          <w:i w:val="0"/>
        </w:rPr>
        <w:t>Capacity, performance and cloud cost management with a monthly report</w:t>
      </w:r>
    </w:p>
    <w:p>
      <w:pPr>
        <w:pStyle w:val="ListBullet"/>
      </w:pPr>
      <w:r>
        <w:rPr>
          <w:b w:val="0"/>
          <w:i w:val="0"/>
        </w:rPr>
        <w:t>Infrastructure incident response and liaison with the cloud provider</w:t>
      </w:r>
    </w:p>
    <w:p>
      <w:pPr>
        <w:pStyle w:val="Heading3"/>
      </w:pPr>
      <w:r>
        <w:t>Hosting region and data residency</w:t>
      </w:r>
    </w:p>
    <w:p>
      <w:pPr>
        <w:keepNext w:val="0"/>
      </w:pPr>
      <w:r>
        <w:rPr>
          <w:b w:val="0"/>
          <w:i w:val="0"/>
        </w:rPr>
        <w:t>The reference design uses AWS Asia Pacific (Malaysia) or Azure Malaysia West, with production across two availability zones and DR copies in a second region approved by IIFT (the reference regions are AWS Asia Pacific (Malaysia) and Azure Malaysia West). Data is encrypted at rest with keys held in IIFT's account and in transit with TLS; back-office traffic and integrations with Core, FIN, AD and SMTP run over a site-to-site VPN to the IITH data centre.</w:t>
      </w:r>
    </w:p>
    <w:p>
      <w:pPr>
        <w:keepNext w:val="0"/>
      </w:pPr>
      <w:r>
        <w:rPr>
          <w:b w:val="0"/>
          <w:i w:val="0"/>
        </w:rPr>
        <w:t>Cloud hosting of personal data is an outsourcing arrangement for IIFT. IIFT makes the AMBD outsourcing and cloud notification; iorta provides the supporting material (architecture, controls, exit plan, provider certifications). A Brunei-hosted alternative, such as a local data-centre provider, can be priced on request.</w:t>
      </w:r>
    </w:p>
    <w:p>
      <w:pPr>
        <w:pStyle w:val="Heading3"/>
      </w:pPr>
      <w:r>
        <w:t>Exit and data return</w:t>
      </w:r>
    </w:p>
    <w:p>
      <w:pPr>
        <w:pStyle w:val="ListBullet"/>
      </w:pPr>
      <w:r>
        <w:rPr>
          <w:b w:val="0"/>
          <w:i w:val="0"/>
        </w:rPr>
        <w:t>Data belongs to IIFT. A full export (database dump, CSV extracts, documents and audit records) is available on request during the term and is delivered at exit.</w:t>
      </w:r>
    </w:p>
    <w:p>
      <w:pPr>
        <w:pStyle w:val="ListBullet"/>
      </w:pPr>
      <w:r>
        <w:rPr>
          <w:b w:val="0"/>
          <w:i w:val="0"/>
        </w:rPr>
        <w:t>Exit assistance is included at the end of the term: transition plan, knowledge transfer, data export and up to 30 days of parallel support.</w:t>
      </w:r>
    </w:p>
    <w:p>
      <w:pPr>
        <w:pStyle w:val="ListBullet"/>
      </w:pPr>
      <w:r>
        <w:rPr>
          <w:b w:val="0"/>
          <w:i w:val="0"/>
        </w:rPr>
        <w:t>After IIFT confirms receipt of the data, iorta deletes it from the cloud account and backups and issues a deletion certificate. An account held in IIFT's name stays with IIFT.</w:t>
      </w:r>
    </w:p>
    <w:p>
      <w:pPr>
        <w:pStyle w:val="Heading3"/>
      </w:pPr>
      <w:r>
        <w:t>Conversion to Option A</w:t>
      </w:r>
    </w:p>
    <w:p>
      <w:pPr>
        <w:keepNext w:val="0"/>
      </w:pPr>
      <w:r>
        <w:rPr>
          <w:b w:val="0"/>
          <w:i w:val="0"/>
        </w:rPr>
        <w:t xml:space="preserve">IIFT may convert to Option A at any point in the term. The perpetual licence fee of B$ 48,000 applies </w:t>
      </w:r>
      <w:r>
        <w:rPr>
          <w:b w:val="0"/>
          <w:i w:val="0"/>
          <w:highlight w:val="yellow"/>
        </w:rPr>
        <w:t>[bid owner to confirm any credit of subscription fees already paid]</w:t>
      </w:r>
      <w:r>
        <w:rPr>
          <w:b w:val="0"/>
          <w:i w:val="0"/>
        </w:rPr>
        <w:t>; from the conversion date the subscription, including any remaining minimum term, is replaced by the Option A AMC for that contract year. The solution moves to the IIFT/IITH data centre, or stays in the cloud account with managed services and cloud at actuals continuing. Option C becomes available once converted.</w:t>
      </w:r>
    </w:p>
    <w:p>
      <w:pPr>
        <w:pStyle w:val="Heading2"/>
      </w:pPr>
      <w:r>
        <w:t>19.6 Option C – Source code handover (add-on)</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Source code under every option</w:t>
            </w:r>
          </w:p>
          <w:p>
            <w:pPr>
              <w:spacing w:after="40"/>
            </w:pPr>
            <w:r>
              <w:rPr>
                <w:b w:val="0"/>
                <w:i w:val="0"/>
                <w:sz w:val="19"/>
              </w:rPr>
              <w:t xml:space="preserve">RFP DEL-11 (Must) asks for the source code of agreed custom-developed components. Under </w:t>
            </w:r>
            <w:r>
              <w:rPr>
                <w:b/>
                <w:i w:val="0"/>
                <w:sz w:val="19"/>
              </w:rPr>
              <w:t>every option</w:t>
            </w:r>
            <w:r>
              <w:rPr>
                <w:b w:val="0"/>
                <w:i w:val="0"/>
                <w:sz w:val="19"/>
              </w:rPr>
              <w:t xml:space="preserve"> iorta delivers, at go-live and with every release, the source code of IIFT-specific components: configuration, integration adapters, reports, document templates, migration scripts and build scripts.</w:t>
            </w:r>
          </w:p>
          <w:p>
            <w:pPr>
              <w:spacing w:after="40"/>
            </w:pPr>
            <w:r>
              <w:rPr>
                <w:b/>
                <w:i w:val="0"/>
                <w:sz w:val="19"/>
              </w:rPr>
              <w:t>Option C</w:t>
            </w:r>
            <w:r>
              <w:rPr>
                <w:b w:val="0"/>
                <w:i w:val="0"/>
                <w:sz w:val="19"/>
              </w:rPr>
              <w:t xml:space="preserve"> adds the source code of the SalesVerse 2.0 core platform, with a structured knowledge transfer so that IIFT, IITH or a provider IIFT appoints can maintain and extend it.</w:t>
            </w:r>
          </w:p>
        </w:tc>
      </w:tr>
    </w:tbl>
    <w:p>
      <w:pPr>
        <w:spacing w:after="0" w:before="0"/>
      </w:pPr>
      <w:r>
        <w:rPr>
          <w:sz w:val="12"/>
        </w:rPr>
      </w:r>
    </w:p>
    <w:p>
      <w:pPr>
        <w:pStyle w:val="Heading3"/>
      </w:pPr>
      <w:r>
        <w:t>What is delivered</w:t>
      </w:r>
    </w:p>
    <w:p>
      <w:pPr>
        <w:pStyle w:val="ListBullet"/>
      </w:pPr>
      <w:r>
        <w:rPr>
          <w:b w:val="0"/>
          <w:i w:val="0"/>
        </w:rPr>
        <w:t>Full source code of SalesVerse 2.0 core and IIFT customisations in a Git repository with history</w:t>
      </w:r>
    </w:p>
    <w:p>
      <w:pPr>
        <w:pStyle w:val="ListBullet"/>
      </w:pPr>
      <w:r>
        <w:rPr>
          <w:b w:val="0"/>
          <w:i w:val="0"/>
        </w:rPr>
        <w:t>Build scripts, CI/CD pipeline definitions, infrastructure and container definitions</w:t>
      </w:r>
    </w:p>
    <w:p>
      <w:pPr>
        <w:pStyle w:val="ListBullet"/>
      </w:pPr>
      <w:r>
        <w:rPr>
          <w:b w:val="0"/>
          <w:i w:val="0"/>
        </w:rPr>
        <w:t>Database schema, migrations, reference data and seed scripts</w:t>
      </w:r>
    </w:p>
    <w:p>
      <w:pPr>
        <w:pStyle w:val="ListBullet"/>
      </w:pPr>
      <w:r>
        <w:rPr>
          <w:b w:val="0"/>
          <w:i w:val="0"/>
        </w:rPr>
        <w:t>Automated test suites (unit, end-to-end, security checks) and test data</w:t>
      </w:r>
    </w:p>
    <w:p>
      <w:pPr>
        <w:pStyle w:val="ListBullet"/>
      </w:pPr>
      <w:r>
        <w:rPr>
          <w:b w:val="0"/>
          <w:i w:val="0"/>
        </w:rPr>
        <w:t>Developer guide, architecture document, data dictionary, runbooks and coding standards</w:t>
      </w:r>
    </w:p>
    <w:p>
      <w:pPr>
        <w:pStyle w:val="ListBullet"/>
      </w:pPr>
      <w:r>
        <w:rPr>
          <w:b w:val="0"/>
          <w:i w:val="0"/>
        </w:rPr>
        <w:t>Third-party component inventory and software bill of materials (SBOM)</w:t>
      </w:r>
    </w:p>
    <w:p>
      <w:pPr>
        <w:pStyle w:val="Heading3"/>
      </w:pPr>
      <w:r>
        <w:t>Licence rights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7711"/>
      </w:tblGrid>
      <w:tr>
        <w:trPr>
          <w:cantSplit/>
        </w:trPr>
        <w:tc>
          <w:tcPr>
            <w:tcW w:type="dxa" w:w="1928"/>
            <w:shd w:val="clear" w:color="auto" w:fill="FDF0F7"/>
          </w:tcPr>
          <w:p>
            <w:pPr>
              <w:spacing w:after="20"/>
            </w:pPr>
            <w:r>
              <w:rPr>
                <w:b/>
                <w:i w:val="0"/>
                <w:sz w:val="18"/>
              </w:rPr>
              <w:t>Rights</w:t>
            </w:r>
          </w:p>
        </w:tc>
        <w:tc>
          <w:tcPr>
            <w:tcW w:type="dxa" w:w="7710"/>
          </w:tcPr>
          <w:p>
            <w:pPr>
              <w:spacing w:after="20"/>
            </w:pPr>
            <w:r>
              <w:rPr>
                <w:b w:val="0"/>
                <w:i w:val="0"/>
                <w:sz w:val="18"/>
              </w:rPr>
              <w:t>Use, modify, compile, maintain and extend the source code for the internal business of IIFT and the IITH group. A group company that deploys the solution needs its own licence.</w:t>
            </w:r>
          </w:p>
        </w:tc>
      </w:tr>
      <w:tr>
        <w:trPr>
          <w:cantSplit/>
        </w:trPr>
        <w:tc>
          <w:tcPr>
            <w:tcW w:type="dxa" w:w="1928"/>
            <w:shd w:val="clear" w:color="auto" w:fill="FDF0F7"/>
          </w:tcPr>
          <w:p>
            <w:pPr>
              <w:spacing w:after="20"/>
            </w:pPr>
            <w:r>
              <w:rPr>
                <w:b/>
                <w:i w:val="0"/>
                <w:sz w:val="18"/>
              </w:rPr>
              <w:t>Restrictions</w:t>
            </w:r>
          </w:p>
        </w:tc>
        <w:tc>
          <w:tcPr>
            <w:tcW w:type="dxa" w:w="7710"/>
          </w:tcPr>
          <w:p>
            <w:pPr>
              <w:spacing w:after="20"/>
            </w:pPr>
            <w:r>
              <w:rPr>
                <w:b w:val="0"/>
                <w:i w:val="0"/>
                <w:sz w:val="18"/>
              </w:rPr>
              <w:t>No sale, sublicensing, distribution or provision to third parties as a product or service. Contractors may work on the code for IIFT under confidentiality obligations.</w:t>
            </w:r>
          </w:p>
        </w:tc>
      </w:tr>
      <w:tr>
        <w:trPr>
          <w:cantSplit/>
        </w:trPr>
        <w:tc>
          <w:tcPr>
            <w:tcW w:type="dxa" w:w="1928"/>
            <w:shd w:val="clear" w:color="auto" w:fill="FDF0F7"/>
          </w:tcPr>
          <w:p>
            <w:pPr>
              <w:spacing w:after="20"/>
            </w:pPr>
            <w:r>
              <w:rPr>
                <w:b/>
                <w:i w:val="0"/>
                <w:sz w:val="18"/>
              </w:rPr>
              <w:t>Ownership</w:t>
            </w:r>
          </w:p>
        </w:tc>
        <w:tc>
          <w:tcPr>
            <w:tcW w:type="dxa" w:w="7710"/>
          </w:tcPr>
          <w:p>
            <w:pPr>
              <w:spacing w:after="20"/>
            </w:pPr>
            <w:r>
              <w:rPr>
                <w:b w:val="0"/>
                <w:i w:val="0"/>
                <w:sz w:val="18"/>
              </w:rPr>
              <w:t>The SalesVerse 2.0 core remains iorta TechNXT's intellectual property. Changes IIFT makes after handover belong to IIFT.</w:t>
            </w:r>
          </w:p>
        </w:tc>
      </w:tr>
      <w:tr>
        <w:trPr>
          <w:cantSplit/>
        </w:trPr>
        <w:tc>
          <w:tcPr>
            <w:tcW w:type="dxa" w:w="1928"/>
            <w:shd w:val="clear" w:color="auto" w:fill="FDF0F7"/>
          </w:tcPr>
          <w:p>
            <w:pPr>
              <w:spacing w:after="20"/>
            </w:pPr>
            <w:r>
              <w:rPr>
                <w:b/>
                <w:i w:val="0"/>
                <w:sz w:val="18"/>
              </w:rPr>
              <w:t>Confidentiality</w:t>
            </w:r>
          </w:p>
        </w:tc>
        <w:tc>
          <w:tcPr>
            <w:tcW w:type="dxa" w:w="7710"/>
          </w:tcPr>
          <w:p>
            <w:pPr>
              <w:spacing w:after="20"/>
            </w:pPr>
            <w:r>
              <w:rPr>
                <w:b w:val="0"/>
                <w:i w:val="0"/>
                <w:sz w:val="18"/>
              </w:rPr>
              <w:t>The source code is iorta's confidential information and is kept in IIFT/IITH-controlled repositories.</w:t>
            </w:r>
          </w:p>
        </w:tc>
      </w:tr>
      <w:tr>
        <w:trPr>
          <w:cantSplit/>
        </w:trPr>
        <w:tc>
          <w:tcPr>
            <w:tcW w:type="dxa" w:w="1928"/>
            <w:shd w:val="clear" w:color="auto" w:fill="FDF0F7"/>
          </w:tcPr>
          <w:p>
            <w:pPr>
              <w:spacing w:after="20"/>
            </w:pPr>
            <w:r>
              <w:rPr>
                <w:b/>
                <w:i w:val="0"/>
                <w:sz w:val="18"/>
              </w:rPr>
              <w:t>Third-party code</w:t>
            </w:r>
          </w:p>
        </w:tc>
        <w:tc>
          <w:tcPr>
            <w:tcW w:type="dxa" w:w="7710"/>
          </w:tcPr>
          <w:p>
            <w:pPr>
              <w:spacing w:after="20"/>
            </w:pPr>
            <w:r>
              <w:rPr>
                <w:b w:val="0"/>
                <w:i w:val="0"/>
                <w:sz w:val="18"/>
              </w:rPr>
              <w:t>Open-source components remain under their own licences, listed in the SBOM.</w:t>
            </w:r>
          </w:p>
        </w:tc>
      </w:tr>
      <w:tr>
        <w:trPr>
          <w:cantSplit/>
        </w:trPr>
        <w:tc>
          <w:tcPr>
            <w:tcW w:type="dxa" w:w="1928"/>
            <w:shd w:val="clear" w:color="auto" w:fill="FDF0F7"/>
          </w:tcPr>
          <w:p>
            <w:pPr>
              <w:spacing w:after="20"/>
            </w:pPr>
            <w:r>
              <w:rPr>
                <w:b/>
                <w:i w:val="0"/>
                <w:sz w:val="18"/>
              </w:rPr>
              <w:t>Assurance</w:t>
            </w:r>
          </w:p>
        </w:tc>
        <w:tc>
          <w:tcPr>
            <w:tcW w:type="dxa" w:w="7710"/>
          </w:tcPr>
          <w:p>
            <w:pPr>
              <w:spacing w:after="20"/>
            </w:pPr>
            <w:r>
              <w:rPr>
                <w:b w:val="0"/>
                <w:i w:val="0"/>
                <w:sz w:val="18"/>
              </w:rPr>
              <w:t>The delivered code builds the production release; this is verified by IIFT before payment C1. iorta does not warrant changes made by others.</w:t>
            </w:r>
          </w:p>
        </w:tc>
      </w:tr>
    </w:tbl>
    <w:p>
      <w:pPr>
        <w:pStyle w:val="Caption"/>
        <w:jc w:val="center"/>
      </w:pPr>
      <w:r>
        <w:rPr>
          <w:b w:val="0"/>
          <w:i w:val="0"/>
        </w:rPr>
        <w:t>Table 46: Option C licence rights</w:t>
      </w:r>
    </w:p>
    <w:p>
      <w:pPr>
        <w:pStyle w:val="Heading3"/>
      </w:pPr>
      <w:r>
        <w:t>Timing and transition plan</w:t>
      </w:r>
    </w:p>
    <w:p>
      <w:pPr>
        <w:keepNext w:val="0"/>
      </w:pPr>
      <w:r>
        <w:rPr>
          <w:b w:val="0"/>
          <w:i w:val="0"/>
        </w:rPr>
        <w:t>Handover starts after go-live and hypercare exit (week 29 at the earliest) and takes 8 weeks. It can also start later in the contract. The plan below assumes up to six IIFT/IITH or nominated contractor staff with Node.js and React experience.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793"/>
        <w:gridCol w:w="5896"/>
        <w:gridCol w:w="2948"/>
      </w:tblGrid>
      <w:tr>
        <w:trPr>
          <w:cantSplit/>
          <w:tblHeader/>
        </w:trPr>
        <w:tc>
          <w:tcPr>
            <w:tcW w:type="dxa" w:w="794"/>
            <w:shd w:val="clear" w:color="auto" w:fill="E1058C"/>
            <w:vAlign w:val="center"/>
          </w:tcPr>
          <w:p>
            <w:pPr>
              <w:spacing w:after="0"/>
            </w:pPr>
            <w:r>
              <w:rPr>
                <w:b/>
                <w:i w:val="0"/>
                <w:color w:val="FFFFFF"/>
                <w:sz w:val="16"/>
              </w:rPr>
              <w:t>Week</w:t>
            </w:r>
          </w:p>
        </w:tc>
        <w:tc>
          <w:tcPr>
            <w:tcW w:type="dxa" w:w="5896"/>
            <w:shd w:val="clear" w:color="auto" w:fill="E1058C"/>
            <w:vAlign w:val="center"/>
          </w:tcPr>
          <w:p>
            <w:pPr>
              <w:spacing w:after="0"/>
            </w:pPr>
            <w:r>
              <w:rPr>
                <w:b/>
                <w:i w:val="0"/>
                <w:color w:val="FFFFFF"/>
                <w:sz w:val="16"/>
              </w:rPr>
              <w:t>Activity</w:t>
            </w:r>
          </w:p>
        </w:tc>
        <w:tc>
          <w:tcPr>
            <w:tcW w:type="dxa" w:w="2948"/>
            <w:shd w:val="clear" w:color="auto" w:fill="E1058C"/>
            <w:vAlign w:val="center"/>
          </w:tcPr>
          <w:p>
            <w:pPr>
              <w:spacing w:after="0"/>
            </w:pPr>
            <w:r>
              <w:rPr>
                <w:b/>
                <w:i w:val="0"/>
                <w:color w:val="FFFFFF"/>
                <w:sz w:val="16"/>
              </w:rPr>
              <w:t>Outcome</w:t>
            </w:r>
          </w:p>
        </w:tc>
      </w:tr>
      <w:tr>
        <w:trPr>
          <w:cantSplit/>
        </w:trPr>
        <w:tc>
          <w:tcPr>
            <w:tcW w:type="dxa" w:w="794"/>
            <w:vAlign w:val="top"/>
          </w:tcPr>
          <w:p>
            <w:pPr>
              <w:spacing w:after="20" w:line="252" w:lineRule="auto"/>
              <w:jc w:val="center"/>
            </w:pPr>
            <w:r>
              <w:rPr>
                <w:b w:val="0"/>
                <w:i w:val="0"/>
                <w:sz w:val="16"/>
              </w:rPr>
              <w:t>1</w:t>
            </w:r>
          </w:p>
        </w:tc>
        <w:tc>
          <w:tcPr>
            <w:tcW w:type="dxa" w:w="5896"/>
            <w:vAlign w:val="top"/>
          </w:tcPr>
          <w:p>
            <w:pPr>
              <w:spacing w:after="20" w:line="252" w:lineRule="auto"/>
            </w:pPr>
            <w:r>
              <w:rPr>
                <w:b w:val="0"/>
                <w:i w:val="0"/>
                <w:sz w:val="16"/>
              </w:rPr>
              <w:t>Transition plan, roles, access to repositories and pipelines</w:t>
            </w:r>
          </w:p>
        </w:tc>
        <w:tc>
          <w:tcPr>
            <w:tcW w:type="dxa" w:w="2948"/>
            <w:vAlign w:val="top"/>
          </w:tcPr>
          <w:p>
            <w:pPr>
              <w:spacing w:after="20" w:line="252" w:lineRule="auto"/>
            </w:pPr>
            <w:r>
              <w:rPr>
                <w:b w:val="0"/>
                <w:i w:val="0"/>
                <w:sz w:val="16"/>
              </w:rPr>
              <w:t>Signed transition plan</w:t>
            </w:r>
          </w:p>
        </w:tc>
      </w:tr>
      <w:tr>
        <w:trPr>
          <w:cantSplit/>
        </w:trPr>
        <w:tc>
          <w:tcPr>
            <w:tcW w:type="dxa" w:w="794"/>
            <w:vAlign w:val="top"/>
            <w:shd w:val="clear" w:color="auto" w:fill="FDF0F7"/>
          </w:tcPr>
          <w:p>
            <w:pPr>
              <w:spacing w:after="20" w:line="252" w:lineRule="auto"/>
              <w:jc w:val="center"/>
            </w:pPr>
            <w:r>
              <w:rPr>
                <w:b w:val="0"/>
                <w:i w:val="0"/>
                <w:sz w:val="16"/>
              </w:rPr>
              <w:t>2</w:t>
            </w:r>
          </w:p>
        </w:tc>
        <w:tc>
          <w:tcPr>
            <w:tcW w:type="dxa" w:w="5896"/>
            <w:vAlign w:val="top"/>
            <w:shd w:val="clear" w:color="auto" w:fill="FDF0F7"/>
          </w:tcPr>
          <w:p>
            <w:pPr>
              <w:spacing w:after="20" w:line="252" w:lineRule="auto"/>
            </w:pPr>
            <w:r>
              <w:rPr>
                <w:b w:val="0"/>
                <w:i w:val="0"/>
                <w:sz w:val="16"/>
              </w:rPr>
              <w:t>Architecture, data model and module walkthroughs</w:t>
            </w:r>
          </w:p>
        </w:tc>
        <w:tc>
          <w:tcPr>
            <w:tcW w:type="dxa" w:w="2948"/>
            <w:vAlign w:val="top"/>
            <w:shd w:val="clear" w:color="auto" w:fill="FDF0F7"/>
          </w:tcPr>
          <w:p>
            <w:pPr>
              <w:spacing w:after="20" w:line="252" w:lineRule="auto"/>
            </w:pPr>
            <w:r>
              <w:rPr>
                <w:b w:val="0"/>
                <w:i w:val="0"/>
                <w:sz w:val="16"/>
              </w:rPr>
              <w:t>Architecture walkthrough sign-off</w:t>
            </w:r>
          </w:p>
        </w:tc>
      </w:tr>
      <w:tr>
        <w:trPr>
          <w:cantSplit/>
        </w:trPr>
        <w:tc>
          <w:tcPr>
            <w:tcW w:type="dxa" w:w="794"/>
            <w:vAlign w:val="top"/>
          </w:tcPr>
          <w:p>
            <w:pPr>
              <w:spacing w:after="20" w:line="252" w:lineRule="auto"/>
              <w:jc w:val="center"/>
            </w:pPr>
            <w:r>
              <w:rPr>
                <w:b w:val="0"/>
                <w:i w:val="0"/>
                <w:sz w:val="16"/>
              </w:rPr>
              <w:t>3</w:t>
            </w:r>
          </w:p>
        </w:tc>
        <w:tc>
          <w:tcPr>
            <w:tcW w:type="dxa" w:w="5896"/>
            <w:vAlign w:val="top"/>
          </w:tcPr>
          <w:p>
            <w:pPr>
              <w:spacing w:after="20" w:line="252" w:lineRule="auto"/>
            </w:pPr>
            <w:r>
              <w:rPr>
                <w:b w:val="0"/>
                <w:i w:val="0"/>
                <w:sz w:val="16"/>
              </w:rPr>
              <w:t>Code walkthroughs: sales, policy, billing and claims modules</w:t>
            </w:r>
          </w:p>
        </w:tc>
        <w:tc>
          <w:tcPr>
            <w:tcW w:type="dxa" w:w="2948"/>
            <w:vAlign w:val="top"/>
          </w:tcPr>
          <w:p>
            <w:pPr>
              <w:spacing w:after="20" w:line="252" w:lineRule="auto"/>
            </w:pPr>
            <w:r>
              <w:rPr>
                <w:b w:val="0"/>
                <w:i w:val="0"/>
                <w:sz w:val="16"/>
              </w:rPr>
              <w:t>Module checklists</w:t>
            </w:r>
          </w:p>
        </w:tc>
      </w:tr>
      <w:tr>
        <w:trPr>
          <w:cantSplit/>
        </w:trPr>
        <w:tc>
          <w:tcPr>
            <w:tcW w:type="dxa" w:w="794"/>
            <w:vAlign w:val="top"/>
            <w:shd w:val="clear" w:color="auto" w:fill="FDF0F7"/>
          </w:tcPr>
          <w:p>
            <w:pPr>
              <w:spacing w:after="20" w:line="252" w:lineRule="auto"/>
              <w:jc w:val="center"/>
            </w:pPr>
            <w:r>
              <w:rPr>
                <w:b w:val="0"/>
                <w:i w:val="0"/>
                <w:sz w:val="16"/>
              </w:rPr>
              <w:t>4</w:t>
            </w:r>
          </w:p>
        </w:tc>
        <w:tc>
          <w:tcPr>
            <w:tcW w:type="dxa" w:w="5896"/>
            <w:vAlign w:val="top"/>
            <w:shd w:val="clear" w:color="auto" w:fill="FDF0F7"/>
          </w:tcPr>
          <w:p>
            <w:pPr>
              <w:spacing w:after="20" w:line="252" w:lineRule="auto"/>
            </w:pPr>
            <w:r>
              <w:rPr>
                <w:b w:val="0"/>
                <w:i w:val="0"/>
                <w:sz w:val="16"/>
              </w:rPr>
              <w:t>Code walkthroughs: workflow, integration, reports, security</w:t>
            </w:r>
          </w:p>
        </w:tc>
        <w:tc>
          <w:tcPr>
            <w:tcW w:type="dxa" w:w="2948"/>
            <w:vAlign w:val="top"/>
            <w:shd w:val="clear" w:color="auto" w:fill="FDF0F7"/>
          </w:tcPr>
          <w:p>
            <w:pPr>
              <w:spacing w:after="20" w:line="252" w:lineRule="auto"/>
            </w:pPr>
            <w:r>
              <w:rPr>
                <w:b w:val="0"/>
                <w:i w:val="0"/>
                <w:sz w:val="16"/>
              </w:rPr>
              <w:t>Module checklists</w:t>
            </w:r>
          </w:p>
        </w:tc>
      </w:tr>
      <w:tr>
        <w:trPr>
          <w:cantSplit/>
        </w:trPr>
        <w:tc>
          <w:tcPr>
            <w:tcW w:type="dxa" w:w="794"/>
            <w:vAlign w:val="top"/>
          </w:tcPr>
          <w:p>
            <w:pPr>
              <w:spacing w:after="20" w:line="252" w:lineRule="auto"/>
              <w:jc w:val="center"/>
            </w:pPr>
            <w:r>
              <w:rPr>
                <w:b w:val="0"/>
                <w:i w:val="0"/>
                <w:sz w:val="16"/>
              </w:rPr>
              <w:t>5</w:t>
            </w:r>
          </w:p>
        </w:tc>
        <w:tc>
          <w:tcPr>
            <w:tcW w:type="dxa" w:w="5896"/>
            <w:vAlign w:val="top"/>
          </w:tcPr>
          <w:p>
            <w:pPr>
              <w:spacing w:after="20" w:line="252" w:lineRule="auto"/>
            </w:pPr>
            <w:r>
              <w:rPr>
                <w:b w:val="0"/>
                <w:i w:val="0"/>
                <w:sz w:val="16"/>
              </w:rPr>
              <w:t>Build, test, CI/CD, release and database migration practice</w:t>
            </w:r>
          </w:p>
        </w:tc>
        <w:tc>
          <w:tcPr>
            <w:tcW w:type="dxa" w:w="2948"/>
            <w:vAlign w:val="top"/>
          </w:tcPr>
          <w:p>
            <w:pPr>
              <w:spacing w:after="20" w:line="252" w:lineRule="auto"/>
            </w:pPr>
            <w:r>
              <w:rPr>
                <w:b w:val="0"/>
                <w:i w:val="0"/>
                <w:sz w:val="16"/>
              </w:rPr>
              <w:t>IIFT team produces a release</w:t>
            </w:r>
          </w:p>
        </w:tc>
      </w:tr>
      <w:tr>
        <w:trPr>
          <w:cantSplit/>
        </w:trPr>
        <w:tc>
          <w:tcPr>
            <w:tcW w:type="dxa" w:w="794"/>
            <w:vAlign w:val="top"/>
            <w:shd w:val="clear" w:color="auto" w:fill="FDF0F7"/>
          </w:tcPr>
          <w:p>
            <w:pPr>
              <w:spacing w:after="20" w:line="252" w:lineRule="auto"/>
              <w:jc w:val="center"/>
            </w:pPr>
            <w:r>
              <w:rPr>
                <w:b w:val="0"/>
                <w:i w:val="0"/>
                <w:sz w:val="16"/>
              </w:rPr>
              <w:t>6</w:t>
            </w:r>
          </w:p>
        </w:tc>
        <w:tc>
          <w:tcPr>
            <w:tcW w:type="dxa" w:w="5896"/>
            <w:vAlign w:val="top"/>
            <w:shd w:val="clear" w:color="auto" w:fill="FDF0F7"/>
          </w:tcPr>
          <w:p>
            <w:pPr>
              <w:spacing w:after="20" w:line="252" w:lineRule="auto"/>
            </w:pPr>
            <w:r>
              <w:rPr>
                <w:b w:val="0"/>
                <w:i w:val="0"/>
                <w:sz w:val="16"/>
              </w:rPr>
              <w:t>Shadow support: IIFT developers observe live tickets</w:t>
            </w:r>
          </w:p>
        </w:tc>
        <w:tc>
          <w:tcPr>
            <w:tcW w:type="dxa" w:w="2948"/>
            <w:vAlign w:val="top"/>
            <w:shd w:val="clear" w:color="auto" w:fill="FDF0F7"/>
          </w:tcPr>
          <w:p>
            <w:pPr>
              <w:spacing w:after="20" w:line="252" w:lineRule="auto"/>
            </w:pPr>
            <w:r>
              <w:rPr>
                <w:b w:val="0"/>
                <w:i w:val="0"/>
                <w:sz w:val="16"/>
              </w:rPr>
              <w:t>Ticket log</w:t>
            </w:r>
          </w:p>
        </w:tc>
      </w:tr>
      <w:tr>
        <w:trPr>
          <w:cantSplit/>
        </w:trPr>
        <w:tc>
          <w:tcPr>
            <w:tcW w:type="dxa" w:w="794"/>
            <w:vAlign w:val="top"/>
          </w:tcPr>
          <w:p>
            <w:pPr>
              <w:spacing w:after="20" w:line="252" w:lineRule="auto"/>
              <w:jc w:val="center"/>
            </w:pPr>
            <w:r>
              <w:rPr>
                <w:b w:val="0"/>
                <w:i w:val="0"/>
                <w:sz w:val="16"/>
              </w:rPr>
              <w:t>7</w:t>
            </w:r>
          </w:p>
        </w:tc>
        <w:tc>
          <w:tcPr>
            <w:tcW w:type="dxa" w:w="5896"/>
            <w:vAlign w:val="top"/>
          </w:tcPr>
          <w:p>
            <w:pPr>
              <w:spacing w:after="20" w:line="252" w:lineRule="auto"/>
            </w:pPr>
            <w:r>
              <w:rPr>
                <w:b w:val="0"/>
                <w:i w:val="0"/>
                <w:sz w:val="16"/>
              </w:rPr>
              <w:t>Reverse shadow: IIFT developers resolve tickets, iorta reviews</w:t>
            </w:r>
          </w:p>
        </w:tc>
        <w:tc>
          <w:tcPr>
            <w:tcW w:type="dxa" w:w="2948"/>
            <w:vAlign w:val="top"/>
          </w:tcPr>
          <w:p>
            <w:pPr>
              <w:spacing w:after="20" w:line="252" w:lineRule="auto"/>
            </w:pPr>
            <w:r>
              <w:rPr>
                <w:b w:val="0"/>
                <w:i w:val="0"/>
                <w:sz w:val="16"/>
              </w:rPr>
              <w:t>Ticket log, code reviews</w:t>
            </w:r>
          </w:p>
        </w:tc>
      </w:tr>
      <w:tr>
        <w:trPr>
          <w:cantSplit/>
        </w:trPr>
        <w:tc>
          <w:tcPr>
            <w:tcW w:type="dxa" w:w="794"/>
            <w:vAlign w:val="top"/>
            <w:shd w:val="clear" w:color="auto" w:fill="FDF0F7"/>
          </w:tcPr>
          <w:p>
            <w:pPr>
              <w:spacing w:after="20" w:line="252" w:lineRule="auto"/>
              <w:jc w:val="center"/>
            </w:pPr>
            <w:r>
              <w:rPr>
                <w:b w:val="0"/>
                <w:i w:val="0"/>
                <w:sz w:val="16"/>
              </w:rPr>
              <w:t>8</w:t>
            </w:r>
          </w:p>
        </w:tc>
        <w:tc>
          <w:tcPr>
            <w:tcW w:type="dxa" w:w="5896"/>
            <w:vAlign w:val="top"/>
            <w:shd w:val="clear" w:color="auto" w:fill="FDF0F7"/>
          </w:tcPr>
          <w:p>
            <w:pPr>
              <w:spacing w:after="20" w:line="252" w:lineRule="auto"/>
            </w:pPr>
            <w:r>
              <w:rPr>
                <w:b w:val="0"/>
                <w:i w:val="0"/>
                <w:sz w:val="16"/>
              </w:rPr>
              <w:t>Competency assessment, documentation handover, closure</w:t>
            </w:r>
          </w:p>
        </w:tc>
        <w:tc>
          <w:tcPr>
            <w:tcW w:type="dxa" w:w="2948"/>
            <w:vAlign w:val="top"/>
            <w:shd w:val="clear" w:color="auto" w:fill="FDF0F7"/>
          </w:tcPr>
          <w:p>
            <w:pPr>
              <w:spacing w:after="20" w:line="252" w:lineRule="auto"/>
            </w:pPr>
            <w:r>
              <w:rPr>
                <w:b w:val="0"/>
                <w:i w:val="0"/>
                <w:sz w:val="16"/>
              </w:rPr>
              <w:t>Handover certificate</w:t>
            </w:r>
          </w:p>
        </w:tc>
      </w:tr>
    </w:tbl>
    <w:p>
      <w:pPr>
        <w:pStyle w:val="Caption"/>
        <w:jc w:val="center"/>
      </w:pPr>
      <w:r>
        <w:rPr>
          <w:b w:val="0"/>
          <w:i w:val="0"/>
        </w:rPr>
        <w:t>Table 47: Knowledge transfer and transition plan</w:t>
      </w:r>
    </w:p>
    <w:p>
      <w:pPr>
        <w:keepNext w:val="0"/>
      </w:pPr>
      <w:r>
        <w:rPr>
          <w:b/>
          <w:i w:val="0"/>
        </w:rPr>
        <w:t>Acceptance.</w:t>
      </w:r>
      <w:r>
        <w:rPr>
          <w:b w:val="0"/>
          <w:i w:val="0"/>
        </w:rPr>
        <w:t xml:space="preserve"> The handover certificate is signed when IIFT's team has built and deployed a release to SIT from the delivered repository without iorta's help, resolved tickets in the reverse-shadow weeks, and received the documentation set; the competency assessment in week 8 records the result for each participant.</w:t>
      </w:r>
    </w:p>
    <w:p>
      <w:pPr>
        <w:keepNext w:val="0"/>
      </w:pPr>
      <w:r>
        <w:rPr>
          <w:b w:val="0"/>
          <w:i w:val="0"/>
        </w:rPr>
        <w:t>Onsite: the Solution Architect and a Senior Developer spend the code walkthrough weeks onsite (OPE estimate B$ 8,070, at actuals); the rest is delivered remotely.</w:t>
      </w:r>
    </w:p>
    <w:p>
      <w:pPr>
        <w:pStyle w:val="Heading3"/>
      </w:pPr>
      <w:r>
        <w:t>Price and payment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020"/>
        <w:gridCol w:w="4536"/>
        <w:gridCol w:w="2041"/>
        <w:gridCol w:w="793"/>
        <w:gridCol w:w="1247"/>
      </w:tblGrid>
      <w:tr>
        <w:trPr>
          <w:cantSplit/>
          <w:tblHeader/>
        </w:trPr>
        <w:tc>
          <w:tcPr>
            <w:tcW w:type="dxa" w:w="1020"/>
            <w:shd w:val="clear" w:color="auto" w:fill="E1058C"/>
            <w:vAlign w:val="center"/>
          </w:tcPr>
          <w:p>
            <w:pPr>
              <w:spacing w:after="0"/>
            </w:pPr>
            <w:r>
              <w:rPr>
                <w:b/>
                <w:i w:val="0"/>
                <w:color w:val="FFFFFF"/>
                <w:sz w:val="16"/>
              </w:rPr>
              <w:t>Milestone</w:t>
            </w:r>
          </w:p>
        </w:tc>
        <w:tc>
          <w:tcPr>
            <w:tcW w:type="dxa" w:w="4535"/>
            <w:shd w:val="clear" w:color="auto" w:fill="E1058C"/>
            <w:vAlign w:val="center"/>
          </w:tcPr>
          <w:p>
            <w:pPr>
              <w:spacing w:after="0"/>
            </w:pPr>
            <w:r>
              <w:rPr>
                <w:b/>
                <w:i w:val="0"/>
                <w:color w:val="FFFFFF"/>
                <w:sz w:val="16"/>
              </w:rPr>
              <w:t>Payment trigger</w:t>
            </w:r>
          </w:p>
        </w:tc>
        <w:tc>
          <w:tcPr>
            <w:tcW w:type="dxa" w:w="2041"/>
            <w:shd w:val="clear" w:color="auto" w:fill="E1058C"/>
            <w:vAlign w:val="center"/>
          </w:tcPr>
          <w:p>
            <w:pPr>
              <w:spacing w:after="0"/>
            </w:pPr>
            <w:r>
              <w:rPr>
                <w:b/>
                <w:i w:val="0"/>
                <w:color w:val="FFFFFF"/>
                <w:sz w:val="16"/>
              </w:rPr>
              <w:t>Component</w:t>
            </w:r>
          </w:p>
        </w:tc>
        <w:tc>
          <w:tcPr>
            <w:tcW w:type="dxa" w:w="794"/>
            <w:shd w:val="clear" w:color="auto" w:fill="E1058C"/>
            <w:vAlign w:val="center"/>
          </w:tcPr>
          <w:p>
            <w:pPr>
              <w:spacing w:after="0"/>
            </w:pPr>
            <w:r>
              <w:rPr>
                <w:b/>
                <w:i w:val="0"/>
                <w:color w:val="FFFFFF"/>
                <w:sz w:val="16"/>
              </w:rPr>
              <w:t>Share</w:t>
            </w:r>
          </w:p>
        </w:tc>
        <w:tc>
          <w:tcPr>
            <w:tcW w:type="dxa" w:w="1247"/>
            <w:shd w:val="clear" w:color="auto" w:fill="E1058C"/>
            <w:vAlign w:val="center"/>
          </w:tcPr>
          <w:p>
            <w:pPr>
              <w:spacing w:after="0"/>
            </w:pPr>
            <w:r>
              <w:rPr>
                <w:b/>
                <w:i w:val="0"/>
                <w:color w:val="FFFFFF"/>
                <w:sz w:val="16"/>
              </w:rPr>
              <w:t>Amount (B$)</w:t>
            </w:r>
          </w:p>
        </w:tc>
      </w:tr>
      <w:tr>
        <w:trPr>
          <w:cantSplit/>
        </w:trPr>
        <w:tc>
          <w:tcPr>
            <w:tcW w:type="dxa" w:w="1020"/>
            <w:vAlign w:val="top"/>
          </w:tcPr>
          <w:p>
            <w:pPr>
              <w:spacing w:after="20" w:line="252" w:lineRule="auto"/>
              <w:jc w:val="center"/>
            </w:pPr>
            <w:r>
              <w:rPr>
                <w:b w:val="0"/>
                <w:i w:val="0"/>
                <w:sz w:val="16"/>
              </w:rPr>
              <w:t>C1</w:t>
            </w:r>
          </w:p>
        </w:tc>
        <w:tc>
          <w:tcPr>
            <w:tcW w:type="dxa" w:w="4535"/>
            <w:vAlign w:val="top"/>
          </w:tcPr>
          <w:p>
            <w:pPr>
              <w:spacing w:after="20" w:line="252" w:lineRule="auto"/>
            </w:pPr>
            <w:r>
              <w:rPr>
                <w:b w:val="0"/>
                <w:i w:val="0"/>
                <w:sz w:val="16"/>
              </w:rPr>
              <w:t>Delivery of the source code repository and a verified build by IIFT</w:t>
            </w:r>
          </w:p>
        </w:tc>
        <w:tc>
          <w:tcPr>
            <w:tcW w:type="dxa" w:w="2041"/>
            <w:vAlign w:val="top"/>
          </w:tcPr>
          <w:p>
            <w:pPr>
              <w:spacing w:after="20" w:line="252" w:lineRule="auto"/>
            </w:pPr>
            <w:r>
              <w:rPr>
                <w:b w:val="0"/>
                <w:i w:val="0"/>
                <w:sz w:val="16"/>
              </w:rPr>
              <w:t>Source code licence</w:t>
            </w:r>
          </w:p>
        </w:tc>
        <w:tc>
          <w:tcPr>
            <w:tcW w:type="dxa" w:w="794"/>
            <w:vAlign w:val="top"/>
          </w:tcPr>
          <w:p>
            <w:pPr>
              <w:spacing w:after="20" w:line="252" w:lineRule="auto"/>
              <w:jc w:val="center"/>
            </w:pPr>
            <w:r>
              <w:rPr>
                <w:b w:val="0"/>
                <w:i w:val="0"/>
                <w:sz w:val="16"/>
              </w:rPr>
              <w:t>100%</w:t>
            </w:r>
          </w:p>
        </w:tc>
        <w:tc>
          <w:tcPr>
            <w:tcW w:type="dxa" w:w="1247"/>
            <w:vAlign w:val="top"/>
          </w:tcPr>
          <w:p>
            <w:pPr>
              <w:spacing w:after="20" w:line="252" w:lineRule="auto"/>
              <w:jc w:val="right"/>
            </w:pPr>
            <w:r>
              <w:rPr>
                <w:b w:val="0"/>
                <w:i w:val="0"/>
                <w:sz w:val="16"/>
              </w:rPr>
              <w:t>60,000</w:t>
            </w:r>
          </w:p>
        </w:tc>
      </w:tr>
      <w:tr>
        <w:trPr>
          <w:cantSplit/>
        </w:trPr>
        <w:tc>
          <w:tcPr>
            <w:tcW w:type="dxa" w:w="1020"/>
            <w:vAlign w:val="top"/>
            <w:shd w:val="clear" w:color="auto" w:fill="FDF0F7"/>
          </w:tcPr>
          <w:p>
            <w:pPr>
              <w:spacing w:after="20" w:line="252" w:lineRule="auto"/>
              <w:jc w:val="center"/>
            </w:pPr>
            <w:r>
              <w:rPr>
                <w:b w:val="0"/>
                <w:i w:val="0"/>
                <w:sz w:val="16"/>
              </w:rPr>
              <w:t>C2</w:t>
            </w:r>
          </w:p>
        </w:tc>
        <w:tc>
          <w:tcPr>
            <w:tcW w:type="dxa" w:w="4535"/>
            <w:vAlign w:val="top"/>
            <w:shd w:val="clear" w:color="auto" w:fill="FDF0F7"/>
          </w:tcPr>
          <w:p>
            <w:pPr>
              <w:spacing w:after="20" w:line="252" w:lineRule="auto"/>
            </w:pPr>
            <w:r>
              <w:rPr>
                <w:b w:val="0"/>
                <w:i w:val="0"/>
                <w:sz w:val="16"/>
              </w:rPr>
              <w:t>Start of knowledge transfer</w:t>
            </w:r>
          </w:p>
        </w:tc>
        <w:tc>
          <w:tcPr>
            <w:tcW w:type="dxa" w:w="2041"/>
            <w:vAlign w:val="top"/>
            <w:shd w:val="clear" w:color="auto" w:fill="FDF0F7"/>
          </w:tcPr>
          <w:p>
            <w:pPr>
              <w:spacing w:after="20" w:line="252" w:lineRule="auto"/>
            </w:pPr>
            <w:r>
              <w:rPr>
                <w:b w:val="0"/>
                <w:i w:val="0"/>
                <w:sz w:val="16"/>
              </w:rPr>
              <w:t>Knowledge transfer</w:t>
            </w:r>
          </w:p>
        </w:tc>
        <w:tc>
          <w:tcPr>
            <w:tcW w:type="dxa" w:w="794"/>
            <w:vAlign w:val="top"/>
            <w:shd w:val="clear" w:color="auto" w:fill="FDF0F7"/>
          </w:tcPr>
          <w:p>
            <w:pPr>
              <w:spacing w:after="20" w:line="252" w:lineRule="auto"/>
              <w:jc w:val="center"/>
            </w:pPr>
            <w:r>
              <w:rPr>
                <w:b w:val="0"/>
                <w:i w:val="0"/>
                <w:sz w:val="16"/>
              </w:rPr>
              <w:t>50%</w:t>
            </w:r>
          </w:p>
        </w:tc>
        <w:tc>
          <w:tcPr>
            <w:tcW w:type="dxa" w:w="1247"/>
            <w:vAlign w:val="top"/>
            <w:shd w:val="clear" w:color="auto" w:fill="FDF0F7"/>
          </w:tcPr>
          <w:p>
            <w:pPr>
              <w:spacing w:after="20" w:line="252" w:lineRule="auto"/>
              <w:jc w:val="right"/>
            </w:pPr>
            <w:r>
              <w:rPr>
                <w:b w:val="0"/>
                <w:i w:val="0"/>
                <w:sz w:val="16"/>
              </w:rPr>
              <w:t>14,000</w:t>
            </w:r>
          </w:p>
        </w:tc>
      </w:tr>
      <w:tr>
        <w:trPr>
          <w:cantSplit/>
        </w:trPr>
        <w:tc>
          <w:tcPr>
            <w:tcW w:type="dxa" w:w="1020"/>
            <w:vAlign w:val="top"/>
          </w:tcPr>
          <w:p>
            <w:pPr>
              <w:spacing w:after="20" w:line="252" w:lineRule="auto"/>
              <w:jc w:val="center"/>
            </w:pPr>
            <w:r>
              <w:rPr>
                <w:b w:val="0"/>
                <w:i w:val="0"/>
                <w:sz w:val="16"/>
              </w:rPr>
              <w:t>C3</w:t>
            </w:r>
          </w:p>
        </w:tc>
        <w:tc>
          <w:tcPr>
            <w:tcW w:type="dxa" w:w="4535"/>
            <w:vAlign w:val="top"/>
          </w:tcPr>
          <w:p>
            <w:pPr>
              <w:spacing w:after="20" w:line="252" w:lineRule="auto"/>
            </w:pPr>
            <w:r>
              <w:rPr>
                <w:b w:val="0"/>
                <w:i w:val="0"/>
                <w:sz w:val="16"/>
              </w:rPr>
              <w:t>Handover certificate signed</w:t>
            </w:r>
          </w:p>
        </w:tc>
        <w:tc>
          <w:tcPr>
            <w:tcW w:type="dxa" w:w="2041"/>
            <w:vAlign w:val="top"/>
          </w:tcPr>
          <w:p>
            <w:pPr>
              <w:spacing w:after="20" w:line="252" w:lineRule="auto"/>
            </w:pPr>
            <w:r>
              <w:rPr>
                <w:b w:val="0"/>
                <w:i w:val="0"/>
                <w:sz w:val="16"/>
              </w:rPr>
              <w:t>Knowledge transfer</w:t>
            </w:r>
          </w:p>
        </w:tc>
        <w:tc>
          <w:tcPr>
            <w:tcW w:type="dxa" w:w="794"/>
            <w:vAlign w:val="top"/>
          </w:tcPr>
          <w:p>
            <w:pPr>
              <w:spacing w:after="20" w:line="252" w:lineRule="auto"/>
              <w:jc w:val="center"/>
            </w:pPr>
            <w:r>
              <w:rPr>
                <w:b w:val="0"/>
                <w:i w:val="0"/>
                <w:sz w:val="16"/>
              </w:rPr>
              <w:t>50%</w:t>
            </w:r>
          </w:p>
        </w:tc>
        <w:tc>
          <w:tcPr>
            <w:tcW w:type="dxa" w:w="1247"/>
            <w:vAlign w:val="top"/>
          </w:tcPr>
          <w:p>
            <w:pPr>
              <w:spacing w:after="20" w:line="252" w:lineRule="auto"/>
              <w:jc w:val="right"/>
            </w:pPr>
            <w:r>
              <w:rPr>
                <w:b w:val="0"/>
                <w:i w:val="0"/>
                <w:sz w:val="16"/>
              </w:rPr>
              <w:t>14,000</w:t>
            </w:r>
          </w:p>
        </w:tc>
      </w:tr>
      <w:tr>
        <w:trPr>
          <w:cantSplit/>
        </w:trPr>
        <w:tc>
          <w:tcPr>
            <w:tcW w:type="dxa" w:w="1020"/>
            <w:vAlign w:val="top"/>
            <w:shd w:val="clear" w:color="auto" w:fill="FEEBDD"/>
          </w:tcPr>
          <w:p>
            <w:pPr>
              <w:spacing w:after="20" w:line="252" w:lineRule="auto"/>
              <w:jc w:val="center"/>
            </w:pPr>
          </w:p>
        </w:tc>
        <w:tc>
          <w:tcPr>
            <w:tcW w:type="dxa" w:w="4535"/>
            <w:vAlign w:val="top"/>
            <w:shd w:val="clear" w:color="auto" w:fill="FEEBDD"/>
          </w:tcPr>
          <w:p>
            <w:pPr>
              <w:spacing w:after="20" w:line="252" w:lineRule="auto"/>
            </w:pPr>
            <w:r>
              <w:rPr>
                <w:b/>
                <w:i w:val="0"/>
                <w:sz w:val="16"/>
              </w:rPr>
              <w:t>Total Option C</w:t>
            </w:r>
          </w:p>
        </w:tc>
        <w:tc>
          <w:tcPr>
            <w:tcW w:type="dxa" w:w="2041"/>
            <w:vAlign w:val="top"/>
            <w:shd w:val="clear" w:color="auto" w:fill="FEEBDD"/>
          </w:tcPr>
          <w:p>
            <w:pPr>
              <w:spacing w:after="20" w:line="252" w:lineRule="auto"/>
            </w:pPr>
          </w:p>
        </w:tc>
        <w:tc>
          <w:tcPr>
            <w:tcW w:type="dxa" w:w="794"/>
            <w:vAlign w:val="top"/>
            <w:shd w:val="clear" w:color="auto" w:fill="FEEBDD"/>
          </w:tcPr>
          <w:p>
            <w:pPr>
              <w:spacing w:after="20" w:line="252" w:lineRule="auto"/>
              <w:jc w:val="center"/>
            </w:pPr>
          </w:p>
        </w:tc>
        <w:tc>
          <w:tcPr>
            <w:tcW w:type="dxa" w:w="1247"/>
            <w:vAlign w:val="top"/>
            <w:shd w:val="clear" w:color="auto" w:fill="FEEBDD"/>
          </w:tcPr>
          <w:p>
            <w:pPr>
              <w:spacing w:after="20" w:line="252" w:lineRule="auto"/>
              <w:jc w:val="right"/>
            </w:pPr>
            <w:r>
              <w:rPr>
                <w:b/>
                <w:i w:val="0"/>
                <w:sz w:val="16"/>
              </w:rPr>
              <w:t>88,000</w:t>
            </w:r>
          </w:p>
        </w:tc>
      </w:tr>
    </w:tbl>
    <w:p>
      <w:pPr>
        <w:pStyle w:val="Caption"/>
        <w:jc w:val="center"/>
      </w:pPr>
      <w:r>
        <w:rPr>
          <w:b w:val="0"/>
          <w:i w:val="0"/>
        </w:rPr>
        <w:t>Table 48: Option C: source code licence B$ 60,000 and knowledge transfer B$ 28,000</w:t>
      </w:r>
    </w:p>
    <w:p>
      <w:pPr>
        <w:keepNext w:val="0"/>
      </w:pPr>
      <w:r>
        <w:rPr>
          <w:b w:val="0"/>
          <w:i w:val="0"/>
        </w:rPr>
        <w:t>The price holds if Option C is exercised within 12 months of go-live; later exercise is priced at this fee plus 5% for each further contract year. OPE for the onsite weeks is charged at actuals.</w:t>
      </w:r>
    </w:p>
    <w:p>
      <w:pPr>
        <w:pStyle w:val="Heading3"/>
      </w:pPr>
      <w:r>
        <w:t>Support after handover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4762"/>
        <w:gridCol w:w="2835"/>
      </w:tblGrid>
      <w:tr>
        <w:trPr>
          <w:cantSplit/>
          <w:tblHeader/>
        </w:trPr>
        <w:tc>
          <w:tcPr>
            <w:tcW w:type="dxa" w:w="2041"/>
            <w:shd w:val="clear" w:color="auto" w:fill="E1058C"/>
            <w:vAlign w:val="center"/>
          </w:tcPr>
          <w:p>
            <w:pPr>
              <w:spacing w:after="0"/>
            </w:pPr>
            <w:r>
              <w:rPr>
                <w:b/>
                <w:i w:val="0"/>
                <w:color w:val="FFFFFF"/>
                <w:sz w:val="16"/>
              </w:rPr>
              <w:t>Choice</w:t>
            </w:r>
          </w:p>
        </w:tc>
        <w:tc>
          <w:tcPr>
            <w:tcW w:type="dxa" w:w="4762"/>
            <w:shd w:val="clear" w:color="auto" w:fill="E1058C"/>
            <w:vAlign w:val="center"/>
          </w:tcPr>
          <w:p>
            <w:pPr>
              <w:spacing w:after="0"/>
            </w:pPr>
            <w:r>
              <w:rPr>
                <w:b/>
                <w:i w:val="0"/>
                <w:color w:val="FFFFFF"/>
                <w:sz w:val="16"/>
              </w:rPr>
              <w:t>What iorta provides</w:t>
            </w:r>
          </w:p>
        </w:tc>
        <w:tc>
          <w:tcPr>
            <w:tcW w:type="dxa" w:w="2835"/>
            <w:shd w:val="clear" w:color="auto" w:fill="E1058C"/>
            <w:vAlign w:val="center"/>
          </w:tcPr>
          <w:p>
            <w:pPr>
              <w:spacing w:after="0"/>
            </w:pPr>
            <w:r>
              <w:rPr>
                <w:b/>
                <w:i w:val="0"/>
                <w:color w:val="FFFFFF"/>
                <w:sz w:val="16"/>
              </w:rPr>
              <w:t>Price</w:t>
            </w:r>
          </w:p>
        </w:tc>
      </w:tr>
      <w:tr>
        <w:trPr>
          <w:cantSplit/>
        </w:trPr>
        <w:tc>
          <w:tcPr>
            <w:tcW w:type="dxa" w:w="2041"/>
            <w:vAlign w:val="top"/>
          </w:tcPr>
          <w:p>
            <w:pPr>
              <w:spacing w:after="20" w:line="252" w:lineRule="auto"/>
            </w:pPr>
            <w:r>
              <w:rPr>
                <w:b/>
                <w:i w:val="0"/>
                <w:sz w:val="16"/>
              </w:rPr>
              <w:t>1. Continue the full AMC</w:t>
            </w:r>
          </w:p>
        </w:tc>
        <w:tc>
          <w:tcPr>
            <w:tcW w:type="dxa" w:w="4762"/>
            <w:vAlign w:val="top"/>
          </w:tcPr>
          <w:p>
            <w:pPr>
              <w:spacing w:after="20" w:line="252" w:lineRule="auto"/>
            </w:pPr>
            <w:r>
              <w:rPr>
                <w:b w:val="0"/>
                <w:i w:val="0"/>
                <w:sz w:val="16"/>
              </w:rPr>
              <w:t>All AMC services: service desk, SLA, patches, upgrades, enhancement hours.</w:t>
            </w:r>
          </w:p>
        </w:tc>
        <w:tc>
          <w:tcPr>
            <w:tcW w:type="dxa" w:w="2835"/>
            <w:vAlign w:val="top"/>
          </w:tcPr>
          <w:p>
            <w:pPr>
              <w:spacing w:after="20" w:line="252" w:lineRule="auto"/>
            </w:pPr>
            <w:r>
              <w:rPr>
                <w:b w:val="0"/>
                <w:i w:val="0"/>
                <w:sz w:val="16"/>
              </w:rPr>
              <w:t>AMC unchanged (B$ 31,350 in Year 1, +5% a year)</w:t>
            </w:r>
          </w:p>
        </w:tc>
      </w:tr>
      <w:tr>
        <w:trPr>
          <w:cantSplit/>
        </w:trPr>
        <w:tc>
          <w:tcPr>
            <w:tcW w:type="dxa" w:w="2041"/>
            <w:vAlign w:val="top"/>
            <w:shd w:val="clear" w:color="auto" w:fill="FDF0F7"/>
          </w:tcPr>
          <w:p>
            <w:pPr>
              <w:spacing w:after="20" w:line="252" w:lineRule="auto"/>
            </w:pPr>
            <w:r>
              <w:rPr>
                <w:b/>
                <w:i w:val="0"/>
                <w:sz w:val="16"/>
              </w:rPr>
              <w:t>2. Platform updates and L3 support</w:t>
            </w:r>
          </w:p>
        </w:tc>
        <w:tc>
          <w:tcPr>
            <w:tcW w:type="dxa" w:w="4762"/>
            <w:vAlign w:val="top"/>
            <w:shd w:val="clear" w:color="auto" w:fill="FDF0F7"/>
          </w:tcPr>
          <w:p>
            <w:pPr>
              <w:spacing w:after="20" w:line="252" w:lineRule="auto"/>
            </w:pPr>
            <w:r>
              <w:rPr>
                <w:b w:val="0"/>
                <w:i w:val="0"/>
                <w:sz w:val="16"/>
              </w:rPr>
              <w:t>SalesVerse 2.0 core releases and security patches, L3 advice and defect fixes in the core under the SLA. IIFT's team handles L1/L2 and its own changes.</w:t>
            </w:r>
          </w:p>
        </w:tc>
        <w:tc>
          <w:tcPr>
            <w:tcW w:type="dxa" w:w="2835"/>
            <w:vAlign w:val="top"/>
            <w:shd w:val="clear" w:color="auto" w:fill="FDF0F7"/>
          </w:tcPr>
          <w:p>
            <w:pPr>
              <w:spacing w:after="20" w:line="252" w:lineRule="auto"/>
            </w:pPr>
            <w:r>
              <w:rPr>
                <w:b w:val="0"/>
                <w:i w:val="0"/>
                <w:sz w:val="16"/>
              </w:rPr>
              <w:t>10% of the AMC base: B$ 14,250 in Year 1, +5% a year, in place of the AMC</w:t>
            </w:r>
          </w:p>
        </w:tc>
      </w:tr>
      <w:tr>
        <w:trPr>
          <w:cantSplit/>
        </w:trPr>
        <w:tc>
          <w:tcPr>
            <w:tcW w:type="dxa" w:w="2041"/>
            <w:vAlign w:val="top"/>
          </w:tcPr>
          <w:p>
            <w:pPr>
              <w:spacing w:after="20" w:line="252" w:lineRule="auto"/>
            </w:pPr>
            <w:r>
              <w:rPr>
                <w:b/>
                <w:i w:val="0"/>
                <w:sz w:val="16"/>
              </w:rPr>
              <w:t>3. Rate card only</w:t>
            </w:r>
          </w:p>
        </w:tc>
        <w:tc>
          <w:tcPr>
            <w:tcW w:type="dxa" w:w="4762"/>
            <w:vAlign w:val="top"/>
          </w:tcPr>
          <w:p>
            <w:pPr>
              <w:spacing w:after="20" w:line="252" w:lineRule="auto"/>
            </w:pPr>
            <w:r>
              <w:rPr>
                <w:b w:val="0"/>
                <w:i w:val="0"/>
                <w:sz w:val="16"/>
              </w:rPr>
              <w:t>No retainer; work ordered when needed.</w:t>
            </w:r>
          </w:p>
        </w:tc>
        <w:tc>
          <w:tcPr>
            <w:tcW w:type="dxa" w:w="2835"/>
            <w:vAlign w:val="top"/>
          </w:tcPr>
          <w:p>
            <w:pPr>
              <w:spacing w:after="20" w:line="252" w:lineRule="auto"/>
            </w:pPr>
            <w:r>
              <w:rPr>
                <w:b w:val="0"/>
                <w:i w:val="0"/>
                <w:sz w:val="16"/>
              </w:rPr>
              <w:t>Rate card (Section 19.10)</w:t>
            </w:r>
          </w:p>
        </w:tc>
      </w:tr>
    </w:tbl>
    <w:p>
      <w:pPr>
        <w:pStyle w:val="Caption"/>
        <w:jc w:val="center"/>
      </w:pPr>
      <w:r>
        <w:rPr>
          <w:b w:val="0"/>
          <w:i w:val="0"/>
        </w:rPr>
        <w:t>Table 49: Support choices after handover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2494"/>
        <w:gridCol w:w="2494"/>
        <w:gridCol w:w="2494"/>
      </w:tblGrid>
      <w:tr>
        <w:trPr>
          <w:cantSplit/>
          <w:tblHeader/>
        </w:trPr>
        <w:tc>
          <w:tcPr>
            <w:tcW w:type="dxa" w:w="2154"/>
            <w:shd w:val="clear" w:color="auto" w:fill="E1058C"/>
            <w:vAlign w:val="center"/>
          </w:tcPr>
          <w:p>
            <w:pPr>
              <w:spacing w:after="0"/>
            </w:pPr>
            <w:r>
              <w:rPr>
                <w:b/>
                <w:i w:val="0"/>
                <w:color w:val="FFFFFF"/>
                <w:sz w:val="16"/>
              </w:rPr>
              <w:t>Contract year</w:t>
            </w:r>
          </w:p>
        </w:tc>
        <w:tc>
          <w:tcPr>
            <w:tcW w:type="dxa" w:w="2494"/>
            <w:shd w:val="clear" w:color="auto" w:fill="E1058C"/>
            <w:vAlign w:val="center"/>
          </w:tcPr>
          <w:p>
            <w:pPr>
              <w:spacing w:after="0"/>
            </w:pPr>
            <w:r>
              <w:rPr>
                <w:b/>
                <w:i w:val="0"/>
                <w:color w:val="FFFFFF"/>
                <w:sz w:val="16"/>
              </w:rPr>
              <w:t>Choice 2 (B$)</w:t>
            </w:r>
          </w:p>
        </w:tc>
        <w:tc>
          <w:tcPr>
            <w:tcW w:type="dxa" w:w="2494"/>
            <w:shd w:val="clear" w:color="auto" w:fill="E1058C"/>
            <w:vAlign w:val="center"/>
          </w:tcPr>
          <w:p>
            <w:pPr>
              <w:spacing w:after="0"/>
            </w:pPr>
            <w:r>
              <w:rPr>
                <w:b/>
                <w:i w:val="0"/>
                <w:color w:val="FFFFFF"/>
                <w:sz w:val="16"/>
              </w:rPr>
              <w:t>Full AMC (B$)</w:t>
            </w:r>
          </w:p>
        </w:tc>
        <w:tc>
          <w:tcPr>
            <w:tcW w:type="dxa" w:w="2494"/>
            <w:shd w:val="clear" w:color="auto" w:fill="E1058C"/>
            <w:vAlign w:val="center"/>
          </w:tcPr>
          <w:p>
            <w:pPr>
              <w:spacing w:after="0"/>
            </w:pPr>
            <w:r>
              <w:rPr>
                <w:b/>
                <w:i w:val="0"/>
                <w:color w:val="FFFFFF"/>
                <w:sz w:val="16"/>
              </w:rPr>
              <w:t>Difference (B$)</w:t>
            </w:r>
          </w:p>
        </w:tc>
      </w:tr>
      <w:tr>
        <w:trPr>
          <w:cantSplit/>
        </w:trPr>
        <w:tc>
          <w:tcPr>
            <w:tcW w:type="dxa" w:w="2154"/>
            <w:vAlign w:val="top"/>
          </w:tcPr>
          <w:p>
            <w:pPr>
              <w:spacing w:after="20" w:line="252" w:lineRule="auto"/>
            </w:pPr>
            <w:r>
              <w:rPr>
                <w:b/>
                <w:i w:val="0"/>
                <w:sz w:val="16"/>
              </w:rPr>
              <w:t>Year 1</w:t>
            </w:r>
          </w:p>
        </w:tc>
        <w:tc>
          <w:tcPr>
            <w:tcW w:type="dxa" w:w="2494"/>
            <w:vAlign w:val="top"/>
          </w:tcPr>
          <w:p>
            <w:pPr>
              <w:spacing w:after="20" w:line="252" w:lineRule="auto"/>
              <w:jc w:val="right"/>
            </w:pPr>
            <w:r>
              <w:rPr>
                <w:b w:val="0"/>
                <w:i w:val="0"/>
                <w:sz w:val="16"/>
              </w:rPr>
              <w:t>14,250</w:t>
            </w:r>
          </w:p>
        </w:tc>
        <w:tc>
          <w:tcPr>
            <w:tcW w:type="dxa" w:w="2494"/>
            <w:vAlign w:val="top"/>
          </w:tcPr>
          <w:p>
            <w:pPr>
              <w:spacing w:after="20" w:line="252" w:lineRule="auto"/>
              <w:jc w:val="right"/>
            </w:pPr>
            <w:r>
              <w:rPr>
                <w:b w:val="0"/>
                <w:i w:val="0"/>
                <w:sz w:val="16"/>
              </w:rPr>
              <w:t>31,350</w:t>
            </w:r>
          </w:p>
        </w:tc>
        <w:tc>
          <w:tcPr>
            <w:tcW w:type="dxa" w:w="2494"/>
            <w:vAlign w:val="top"/>
          </w:tcPr>
          <w:p>
            <w:pPr>
              <w:spacing w:after="20" w:line="252" w:lineRule="auto"/>
              <w:jc w:val="right"/>
            </w:pPr>
            <w:r>
              <w:rPr>
                <w:b w:val="0"/>
                <w:i w:val="0"/>
                <w:sz w:val="16"/>
              </w:rPr>
              <w:t>17,100</w:t>
            </w:r>
          </w:p>
        </w:tc>
      </w:tr>
      <w:tr>
        <w:trPr>
          <w:cantSplit/>
        </w:trPr>
        <w:tc>
          <w:tcPr>
            <w:tcW w:type="dxa" w:w="2154"/>
            <w:vAlign w:val="top"/>
            <w:shd w:val="clear" w:color="auto" w:fill="FDF0F7"/>
          </w:tcPr>
          <w:p>
            <w:pPr>
              <w:spacing w:after="20" w:line="252" w:lineRule="auto"/>
            </w:pPr>
            <w:r>
              <w:rPr>
                <w:b/>
                <w:i w:val="0"/>
                <w:sz w:val="16"/>
              </w:rPr>
              <w:t>Year 2</w:t>
            </w:r>
          </w:p>
        </w:tc>
        <w:tc>
          <w:tcPr>
            <w:tcW w:type="dxa" w:w="2494"/>
            <w:vAlign w:val="top"/>
            <w:shd w:val="clear" w:color="auto" w:fill="FDF0F7"/>
          </w:tcPr>
          <w:p>
            <w:pPr>
              <w:spacing w:after="20" w:line="252" w:lineRule="auto"/>
              <w:jc w:val="right"/>
            </w:pPr>
            <w:r>
              <w:rPr>
                <w:b w:val="0"/>
                <w:i w:val="0"/>
                <w:sz w:val="16"/>
              </w:rPr>
              <w:t>14,963</w:t>
            </w:r>
          </w:p>
        </w:tc>
        <w:tc>
          <w:tcPr>
            <w:tcW w:type="dxa" w:w="2494"/>
            <w:vAlign w:val="top"/>
            <w:shd w:val="clear" w:color="auto" w:fill="FDF0F7"/>
          </w:tcPr>
          <w:p>
            <w:pPr>
              <w:spacing w:after="20" w:line="252" w:lineRule="auto"/>
              <w:jc w:val="right"/>
            </w:pPr>
            <w:r>
              <w:rPr>
                <w:b w:val="0"/>
                <w:i w:val="0"/>
                <w:sz w:val="16"/>
              </w:rPr>
              <w:t>32,918</w:t>
            </w:r>
          </w:p>
        </w:tc>
        <w:tc>
          <w:tcPr>
            <w:tcW w:type="dxa" w:w="2494"/>
            <w:vAlign w:val="top"/>
            <w:shd w:val="clear" w:color="auto" w:fill="FDF0F7"/>
          </w:tcPr>
          <w:p>
            <w:pPr>
              <w:spacing w:after="20" w:line="252" w:lineRule="auto"/>
              <w:jc w:val="right"/>
            </w:pPr>
            <w:r>
              <w:rPr>
                <w:b w:val="0"/>
                <w:i w:val="0"/>
                <w:sz w:val="16"/>
              </w:rPr>
              <w:t>17,955</w:t>
            </w:r>
          </w:p>
        </w:tc>
      </w:tr>
      <w:tr>
        <w:trPr>
          <w:cantSplit/>
        </w:trPr>
        <w:tc>
          <w:tcPr>
            <w:tcW w:type="dxa" w:w="2154"/>
            <w:vAlign w:val="top"/>
          </w:tcPr>
          <w:p>
            <w:pPr>
              <w:spacing w:after="20" w:line="252" w:lineRule="auto"/>
            </w:pPr>
            <w:r>
              <w:rPr>
                <w:b/>
                <w:i w:val="0"/>
                <w:sz w:val="16"/>
              </w:rPr>
              <w:t>Year 3</w:t>
            </w:r>
          </w:p>
        </w:tc>
        <w:tc>
          <w:tcPr>
            <w:tcW w:type="dxa" w:w="2494"/>
            <w:vAlign w:val="top"/>
          </w:tcPr>
          <w:p>
            <w:pPr>
              <w:spacing w:after="20" w:line="252" w:lineRule="auto"/>
              <w:jc w:val="right"/>
            </w:pPr>
            <w:r>
              <w:rPr>
                <w:b w:val="0"/>
                <w:i w:val="0"/>
                <w:sz w:val="16"/>
              </w:rPr>
              <w:t>15,711</w:t>
            </w:r>
          </w:p>
        </w:tc>
        <w:tc>
          <w:tcPr>
            <w:tcW w:type="dxa" w:w="2494"/>
            <w:vAlign w:val="top"/>
          </w:tcPr>
          <w:p>
            <w:pPr>
              <w:spacing w:after="20" w:line="252" w:lineRule="auto"/>
              <w:jc w:val="right"/>
            </w:pPr>
            <w:r>
              <w:rPr>
                <w:b w:val="0"/>
                <w:i w:val="0"/>
                <w:sz w:val="16"/>
              </w:rPr>
              <w:t>34,564</w:t>
            </w:r>
          </w:p>
        </w:tc>
        <w:tc>
          <w:tcPr>
            <w:tcW w:type="dxa" w:w="2494"/>
            <w:vAlign w:val="top"/>
          </w:tcPr>
          <w:p>
            <w:pPr>
              <w:spacing w:after="20" w:line="252" w:lineRule="auto"/>
              <w:jc w:val="right"/>
            </w:pPr>
            <w:r>
              <w:rPr>
                <w:b w:val="0"/>
                <w:i w:val="0"/>
                <w:sz w:val="16"/>
              </w:rPr>
              <w:t>18,853</w:t>
            </w:r>
          </w:p>
        </w:tc>
      </w:tr>
      <w:tr>
        <w:trPr>
          <w:cantSplit/>
        </w:trPr>
        <w:tc>
          <w:tcPr>
            <w:tcW w:type="dxa" w:w="2154"/>
            <w:vAlign w:val="top"/>
            <w:shd w:val="clear" w:color="auto" w:fill="FDF0F7"/>
          </w:tcPr>
          <w:p>
            <w:pPr>
              <w:spacing w:after="20" w:line="252" w:lineRule="auto"/>
            </w:pPr>
            <w:r>
              <w:rPr>
                <w:b/>
                <w:i w:val="0"/>
                <w:sz w:val="16"/>
              </w:rPr>
              <w:t>Year 4</w:t>
            </w:r>
          </w:p>
        </w:tc>
        <w:tc>
          <w:tcPr>
            <w:tcW w:type="dxa" w:w="2494"/>
            <w:vAlign w:val="top"/>
            <w:shd w:val="clear" w:color="auto" w:fill="FDF0F7"/>
          </w:tcPr>
          <w:p>
            <w:pPr>
              <w:spacing w:after="20" w:line="252" w:lineRule="auto"/>
              <w:jc w:val="right"/>
            </w:pPr>
            <w:r>
              <w:rPr>
                <w:b w:val="0"/>
                <w:i w:val="0"/>
                <w:sz w:val="16"/>
              </w:rPr>
              <w:t>16,496</w:t>
            </w:r>
          </w:p>
        </w:tc>
        <w:tc>
          <w:tcPr>
            <w:tcW w:type="dxa" w:w="2494"/>
            <w:vAlign w:val="top"/>
            <w:shd w:val="clear" w:color="auto" w:fill="FDF0F7"/>
          </w:tcPr>
          <w:p>
            <w:pPr>
              <w:spacing w:after="20" w:line="252" w:lineRule="auto"/>
              <w:jc w:val="right"/>
            </w:pPr>
            <w:r>
              <w:rPr>
                <w:b w:val="0"/>
                <w:i w:val="0"/>
                <w:sz w:val="16"/>
              </w:rPr>
              <w:t>36,292</w:t>
            </w:r>
          </w:p>
        </w:tc>
        <w:tc>
          <w:tcPr>
            <w:tcW w:type="dxa" w:w="2494"/>
            <w:vAlign w:val="top"/>
            <w:shd w:val="clear" w:color="auto" w:fill="FDF0F7"/>
          </w:tcPr>
          <w:p>
            <w:pPr>
              <w:spacing w:after="20" w:line="252" w:lineRule="auto"/>
              <w:jc w:val="right"/>
            </w:pPr>
            <w:r>
              <w:rPr>
                <w:b w:val="0"/>
                <w:i w:val="0"/>
                <w:sz w:val="16"/>
              </w:rPr>
              <w:t>19,796</w:t>
            </w:r>
          </w:p>
        </w:tc>
      </w:tr>
      <w:tr>
        <w:trPr>
          <w:cantSplit/>
        </w:trPr>
        <w:tc>
          <w:tcPr>
            <w:tcW w:type="dxa" w:w="2154"/>
            <w:vAlign w:val="top"/>
          </w:tcPr>
          <w:p>
            <w:pPr>
              <w:spacing w:after="20" w:line="252" w:lineRule="auto"/>
            </w:pPr>
            <w:r>
              <w:rPr>
                <w:b/>
                <w:i w:val="0"/>
                <w:sz w:val="16"/>
              </w:rPr>
              <w:t>Year 5</w:t>
            </w:r>
          </w:p>
        </w:tc>
        <w:tc>
          <w:tcPr>
            <w:tcW w:type="dxa" w:w="2494"/>
            <w:vAlign w:val="top"/>
          </w:tcPr>
          <w:p>
            <w:pPr>
              <w:spacing w:after="20" w:line="252" w:lineRule="auto"/>
              <w:jc w:val="right"/>
            </w:pPr>
            <w:r>
              <w:rPr>
                <w:b w:val="0"/>
                <w:i w:val="0"/>
                <w:sz w:val="16"/>
              </w:rPr>
              <w:t>17,321</w:t>
            </w:r>
          </w:p>
        </w:tc>
        <w:tc>
          <w:tcPr>
            <w:tcW w:type="dxa" w:w="2494"/>
            <w:vAlign w:val="top"/>
          </w:tcPr>
          <w:p>
            <w:pPr>
              <w:spacing w:after="20" w:line="252" w:lineRule="auto"/>
              <w:jc w:val="right"/>
            </w:pPr>
            <w:r>
              <w:rPr>
                <w:b w:val="0"/>
                <w:i w:val="0"/>
                <w:sz w:val="16"/>
              </w:rPr>
              <w:t>38,106</w:t>
            </w:r>
          </w:p>
        </w:tc>
        <w:tc>
          <w:tcPr>
            <w:tcW w:type="dxa" w:w="2494"/>
            <w:vAlign w:val="top"/>
          </w:tcPr>
          <w:p>
            <w:pPr>
              <w:spacing w:after="20" w:line="252" w:lineRule="auto"/>
              <w:jc w:val="right"/>
            </w:pPr>
            <w:r>
              <w:rPr>
                <w:b w:val="0"/>
                <w:i w:val="0"/>
                <w:sz w:val="16"/>
              </w:rPr>
              <w:t>20,785</w:t>
            </w:r>
          </w:p>
        </w:tc>
      </w:tr>
      <w:tr>
        <w:trPr>
          <w:cantSplit/>
        </w:trPr>
        <w:tc>
          <w:tcPr>
            <w:tcW w:type="dxa" w:w="2154"/>
            <w:vAlign w:val="top"/>
            <w:shd w:val="clear" w:color="auto" w:fill="FEEBDD"/>
          </w:tcPr>
          <w:p>
            <w:pPr>
              <w:spacing w:after="20" w:line="252" w:lineRule="auto"/>
            </w:pPr>
            <w:r>
              <w:rPr>
                <w:b/>
                <w:i w:val="0"/>
                <w:sz w:val="16"/>
              </w:rPr>
              <w:t>Total</w:t>
            </w:r>
          </w:p>
        </w:tc>
        <w:tc>
          <w:tcPr>
            <w:tcW w:type="dxa" w:w="2494"/>
            <w:vAlign w:val="top"/>
            <w:shd w:val="clear" w:color="auto" w:fill="FEEBDD"/>
          </w:tcPr>
          <w:p>
            <w:pPr>
              <w:spacing w:after="20" w:line="252" w:lineRule="auto"/>
              <w:jc w:val="right"/>
            </w:pPr>
            <w:r>
              <w:rPr>
                <w:b/>
                <w:i w:val="0"/>
                <w:sz w:val="16"/>
              </w:rPr>
              <w:t>78,741</w:t>
            </w:r>
          </w:p>
        </w:tc>
        <w:tc>
          <w:tcPr>
            <w:tcW w:type="dxa" w:w="2494"/>
            <w:vAlign w:val="top"/>
            <w:shd w:val="clear" w:color="auto" w:fill="FEEBDD"/>
          </w:tcPr>
          <w:p>
            <w:pPr>
              <w:spacing w:after="20" w:line="252" w:lineRule="auto"/>
              <w:jc w:val="right"/>
            </w:pPr>
            <w:r>
              <w:rPr>
                <w:b/>
                <w:i w:val="0"/>
                <w:sz w:val="16"/>
              </w:rPr>
              <w:t>173,230</w:t>
            </w:r>
          </w:p>
        </w:tc>
        <w:tc>
          <w:tcPr>
            <w:tcW w:type="dxa" w:w="2494"/>
            <w:vAlign w:val="top"/>
            <w:shd w:val="clear" w:color="auto" w:fill="FEEBDD"/>
          </w:tcPr>
          <w:p>
            <w:pPr>
              <w:spacing w:after="20" w:line="252" w:lineRule="auto"/>
              <w:jc w:val="right"/>
            </w:pPr>
            <w:r>
              <w:rPr>
                <w:b/>
                <w:i w:val="0"/>
                <w:sz w:val="16"/>
              </w:rPr>
              <w:t>94,489</w:t>
            </w:r>
          </w:p>
        </w:tc>
      </w:tr>
    </w:tbl>
    <w:p>
      <w:pPr>
        <w:pStyle w:val="Caption"/>
        <w:jc w:val="center"/>
      </w:pPr>
      <w:r>
        <w:rPr>
          <w:b w:val="0"/>
          <w:i w:val="0"/>
        </w:rPr>
        <w:t>Table 50: Choice 2 compared with the full AMC (pro rata from the month after the handover certificate)</w:t>
      </w:r>
    </w:p>
    <w:p>
      <w:pPr>
        <w:pStyle w:val="Heading3"/>
      </w:pPr>
      <w:r>
        <w:t>Escrow alternative</w:t>
      </w:r>
    </w:p>
    <w:p>
      <w:pPr>
        <w:pStyle w:val="ListBullet"/>
      </w:pPr>
      <w:r>
        <w:rPr>
          <w:b w:val="0"/>
          <w:i w:val="0"/>
        </w:rPr>
        <w:t>Instead of Option C, the core source code can be deposited with an independent escrow agent chosen with IIFT, under a tripartite agreement.</w:t>
      </w:r>
    </w:p>
    <w:p>
      <w:pPr>
        <w:pStyle w:val="ListBullet"/>
      </w:pPr>
      <w:r>
        <w:rPr>
          <w:b w:val="0"/>
          <w:i w:val="0"/>
        </w:rPr>
        <w:t>Deposits at go-live and after every major release; an optional verification test confirms the deposit builds.</w:t>
      </w:r>
    </w:p>
    <w:p>
      <w:pPr>
        <w:pStyle w:val="ListBullet"/>
      </w:pPr>
      <w:r>
        <w:rPr>
          <w:b w:val="0"/>
          <w:i w:val="0"/>
        </w:rPr>
        <w:t>Escrow agent fees are paid by IIFT at cost (indicative B$ 2,500–4,000 a year); iorta's deposit work is included.</w:t>
      </w:r>
    </w:p>
    <w:p>
      <w:pPr>
        <w:pStyle w:val="ListBullet"/>
      </w:pPr>
      <w:r>
        <w:rPr>
          <w:b w:val="0"/>
          <w:i w:val="0"/>
        </w:rPr>
        <w:t>Release conditions: iorta's insolvency or winding-up, iorta ceasing to trade or to support SalesVerse 2.0 without a successor, or a material breach of support obligations not remedied within 30 days of notice.</w:t>
      </w:r>
    </w:p>
    <w:p>
      <w:pPr>
        <w:pStyle w:val="ListBullet"/>
      </w:pPr>
      <w:r>
        <w:rPr>
          <w:b w:val="0"/>
          <w:i w:val="0"/>
        </w:rPr>
        <w:t>On release IIFT receives the rights described above for Option C. Knowledge transfer is not part of escrow and can be ordered at the rate card.</w:t>
      </w:r>
    </w:p>
    <w:p>
      <w:pPr>
        <w:pStyle w:val="Heading2"/>
      </w:pPr>
      <w:r>
        <w:t>19.7 Five-year cost of ownership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556"/>
        <w:gridCol w:w="2041"/>
        <w:gridCol w:w="2041"/>
      </w:tblGrid>
      <w:tr>
        <w:trPr>
          <w:cantSplit/>
          <w:tblHeader/>
        </w:trPr>
        <w:tc>
          <w:tcPr>
            <w:tcW w:type="dxa" w:w="5556"/>
            <w:shd w:val="clear" w:color="auto" w:fill="E1058C"/>
            <w:vAlign w:val="center"/>
          </w:tcPr>
          <w:p>
            <w:pPr>
              <w:spacing w:after="0"/>
            </w:pPr>
            <w:r>
              <w:rPr>
                <w:b/>
                <w:i w:val="0"/>
                <w:color w:val="FFFFFF"/>
                <w:sz w:val="16"/>
              </w:rPr>
              <w:t>Cost element</w:t>
            </w:r>
          </w:p>
        </w:tc>
        <w:tc>
          <w:tcPr>
            <w:tcW w:type="dxa" w:w="2041"/>
            <w:shd w:val="clear" w:color="auto" w:fill="E1058C"/>
            <w:vAlign w:val="center"/>
          </w:tcPr>
          <w:p>
            <w:pPr>
              <w:spacing w:after="0"/>
            </w:pPr>
            <w:r>
              <w:rPr>
                <w:b/>
                <w:i w:val="0"/>
                <w:color w:val="FFFFFF"/>
                <w:sz w:val="16"/>
              </w:rPr>
              <w:t>Option A (B$)</w:t>
            </w:r>
          </w:p>
        </w:tc>
        <w:tc>
          <w:tcPr>
            <w:tcW w:type="dxa" w:w="2041"/>
            <w:shd w:val="clear" w:color="auto" w:fill="E1058C"/>
            <w:vAlign w:val="center"/>
          </w:tcPr>
          <w:p>
            <w:pPr>
              <w:spacing w:after="0"/>
            </w:pPr>
            <w:r>
              <w:rPr>
                <w:b/>
                <w:i w:val="0"/>
                <w:color w:val="FFFFFF"/>
                <w:sz w:val="16"/>
              </w:rPr>
              <w:t>Option B (B$)</w:t>
            </w:r>
          </w:p>
        </w:tc>
      </w:tr>
      <w:tr>
        <w:trPr>
          <w:cantSplit/>
        </w:trPr>
        <w:tc>
          <w:tcPr>
            <w:tcW w:type="dxa" w:w="5556"/>
            <w:vAlign w:val="top"/>
          </w:tcPr>
          <w:p>
            <w:pPr>
              <w:spacing w:after="20" w:line="252" w:lineRule="auto"/>
            </w:pPr>
            <w:r>
              <w:rPr>
                <w:b/>
                <w:i w:val="0"/>
                <w:sz w:val="16"/>
              </w:rPr>
              <w:t>One-time iorta fees (B: services and cloud set-up)</w:t>
            </w:r>
          </w:p>
        </w:tc>
        <w:tc>
          <w:tcPr>
            <w:tcW w:type="dxa" w:w="2041"/>
            <w:vAlign w:val="top"/>
          </w:tcPr>
          <w:p>
            <w:pPr>
              <w:spacing w:after="20" w:line="252" w:lineRule="auto"/>
              <w:jc w:val="right"/>
            </w:pPr>
            <w:r>
              <w:rPr>
                <w:b w:val="0"/>
                <w:i w:val="0"/>
                <w:sz w:val="16"/>
              </w:rPr>
              <w:t>178,000</w:t>
            </w:r>
          </w:p>
        </w:tc>
        <w:tc>
          <w:tcPr>
            <w:tcW w:type="dxa" w:w="2041"/>
            <w:vAlign w:val="top"/>
          </w:tcPr>
          <w:p>
            <w:pPr>
              <w:spacing w:after="20" w:line="252" w:lineRule="auto"/>
              <w:jc w:val="right"/>
            </w:pPr>
            <w:r>
              <w:rPr>
                <w:b w:val="0"/>
                <w:i w:val="0"/>
                <w:sz w:val="16"/>
              </w:rPr>
              <w:t>145,000</w:t>
            </w:r>
          </w:p>
        </w:tc>
      </w:tr>
      <w:tr>
        <w:trPr>
          <w:cantSplit/>
        </w:trPr>
        <w:tc>
          <w:tcPr>
            <w:tcW w:type="dxa" w:w="5556"/>
            <w:vAlign w:val="top"/>
            <w:shd w:val="clear" w:color="auto" w:fill="FDF0F7"/>
          </w:tcPr>
          <w:p>
            <w:pPr>
              <w:spacing w:after="20" w:line="252" w:lineRule="auto"/>
            </w:pPr>
            <w:r>
              <w:rPr>
                <w:b/>
                <w:i w:val="0"/>
                <w:sz w:val="16"/>
              </w:rPr>
              <w:t>AMC (A) / subscription (B), Years 1–5</w:t>
            </w:r>
          </w:p>
        </w:tc>
        <w:tc>
          <w:tcPr>
            <w:tcW w:type="dxa" w:w="2041"/>
            <w:vAlign w:val="top"/>
            <w:shd w:val="clear" w:color="auto" w:fill="FDF0F7"/>
          </w:tcPr>
          <w:p>
            <w:pPr>
              <w:spacing w:after="20" w:line="252" w:lineRule="auto"/>
              <w:jc w:val="right"/>
            </w:pPr>
            <w:r>
              <w:rPr>
                <w:b w:val="0"/>
                <w:i w:val="0"/>
                <w:sz w:val="16"/>
              </w:rPr>
              <w:t>173,230</w:t>
            </w:r>
          </w:p>
        </w:tc>
        <w:tc>
          <w:tcPr>
            <w:tcW w:type="dxa" w:w="2041"/>
            <w:vAlign w:val="top"/>
            <w:shd w:val="clear" w:color="auto" w:fill="FDF0F7"/>
          </w:tcPr>
          <w:p>
            <w:pPr>
              <w:spacing w:after="20" w:line="252" w:lineRule="auto"/>
              <w:jc w:val="right"/>
            </w:pPr>
            <w:r>
              <w:rPr>
                <w:b w:val="0"/>
                <w:i w:val="0"/>
                <w:sz w:val="16"/>
              </w:rPr>
              <w:t>225,468</w:t>
            </w:r>
          </w:p>
        </w:tc>
      </w:tr>
      <w:tr>
        <w:trPr>
          <w:cantSplit/>
        </w:trPr>
        <w:tc>
          <w:tcPr>
            <w:tcW w:type="dxa" w:w="5556"/>
            <w:vAlign w:val="top"/>
          </w:tcPr>
          <w:p>
            <w:pPr>
              <w:spacing w:after="20" w:line="252" w:lineRule="auto"/>
            </w:pPr>
            <w:r>
              <w:rPr>
                <w:b/>
                <w:i w:val="0"/>
                <w:sz w:val="16"/>
              </w:rPr>
              <w:t>Managed services, Years 1–5</w:t>
            </w:r>
          </w:p>
        </w:tc>
        <w:tc>
          <w:tcPr>
            <w:tcW w:type="dxa" w:w="2041"/>
            <w:vAlign w:val="top"/>
          </w:tcPr>
          <w:p>
            <w:pPr>
              <w:spacing w:after="20" w:line="252" w:lineRule="auto"/>
              <w:jc w:val="right"/>
            </w:pPr>
            <w:r>
              <w:rPr>
                <w:b w:val="0"/>
                <w:i w:val="0"/>
                <w:sz w:val="16"/>
              </w:rPr>
              <w:t>–</w:t>
            </w:r>
          </w:p>
        </w:tc>
        <w:tc>
          <w:tcPr>
            <w:tcW w:type="dxa" w:w="2041"/>
            <w:vAlign w:val="top"/>
          </w:tcPr>
          <w:p>
            <w:pPr>
              <w:spacing w:after="20" w:line="252" w:lineRule="auto"/>
              <w:jc w:val="right"/>
            </w:pPr>
            <w:r>
              <w:rPr>
                <w:b w:val="0"/>
                <w:i w:val="0"/>
                <w:sz w:val="16"/>
              </w:rPr>
              <w:t>72,936</w:t>
            </w:r>
          </w:p>
        </w:tc>
      </w:tr>
      <w:tr>
        <w:trPr>
          <w:cantSplit/>
        </w:trPr>
        <w:tc>
          <w:tcPr>
            <w:tcW w:type="dxa" w:w="5556"/>
            <w:vAlign w:val="top"/>
            <w:shd w:val="clear" w:color="auto" w:fill="FEEBDD"/>
          </w:tcPr>
          <w:p>
            <w:pPr>
              <w:spacing w:after="20" w:line="252" w:lineRule="auto"/>
            </w:pPr>
            <w:r>
              <w:rPr>
                <w:b/>
                <w:i w:val="0"/>
                <w:sz w:val="16"/>
              </w:rPr>
              <w:t>iorta fees, five years</w:t>
            </w:r>
          </w:p>
        </w:tc>
        <w:tc>
          <w:tcPr>
            <w:tcW w:type="dxa" w:w="2041"/>
            <w:vAlign w:val="top"/>
            <w:shd w:val="clear" w:color="auto" w:fill="FEEBDD"/>
          </w:tcPr>
          <w:p>
            <w:pPr>
              <w:spacing w:after="20" w:line="252" w:lineRule="auto"/>
              <w:jc w:val="right"/>
            </w:pPr>
            <w:r>
              <w:rPr>
                <w:b/>
                <w:i w:val="0"/>
                <w:sz w:val="16"/>
              </w:rPr>
              <w:t>351,230</w:t>
            </w:r>
          </w:p>
        </w:tc>
        <w:tc>
          <w:tcPr>
            <w:tcW w:type="dxa" w:w="2041"/>
            <w:vAlign w:val="top"/>
            <w:shd w:val="clear" w:color="auto" w:fill="FEEBDD"/>
          </w:tcPr>
          <w:p>
            <w:pPr>
              <w:spacing w:after="20" w:line="252" w:lineRule="auto"/>
              <w:jc w:val="right"/>
            </w:pPr>
            <w:r>
              <w:rPr>
                <w:b/>
                <w:i w:val="0"/>
                <w:sz w:val="16"/>
              </w:rPr>
              <w:t>443,404</w:t>
            </w:r>
          </w:p>
        </w:tc>
      </w:tr>
      <w:tr>
        <w:trPr>
          <w:cantSplit/>
        </w:trPr>
        <w:tc>
          <w:tcPr>
            <w:tcW w:type="dxa" w:w="5556"/>
            <w:vAlign w:val="top"/>
          </w:tcPr>
          <w:p>
            <w:pPr>
              <w:spacing w:after="20" w:line="252" w:lineRule="auto"/>
            </w:pPr>
            <w:r>
              <w:rPr>
                <w:b/>
                <w:i w:val="0"/>
                <w:sz w:val="16"/>
              </w:rPr>
              <w:t>OPE, core onsite phases (estimate, disbursements at cost)</w:t>
            </w:r>
          </w:p>
        </w:tc>
        <w:tc>
          <w:tcPr>
            <w:tcW w:type="dxa" w:w="2041"/>
            <w:vAlign w:val="top"/>
          </w:tcPr>
          <w:p>
            <w:pPr>
              <w:spacing w:after="20" w:line="252" w:lineRule="auto"/>
              <w:jc w:val="right"/>
            </w:pPr>
            <w:r>
              <w:rPr>
                <w:b w:val="0"/>
                <w:i w:val="0"/>
                <w:sz w:val="16"/>
              </w:rPr>
              <w:t>31,440</w:t>
            </w:r>
          </w:p>
        </w:tc>
        <w:tc>
          <w:tcPr>
            <w:tcW w:type="dxa" w:w="2041"/>
            <w:vAlign w:val="top"/>
          </w:tcPr>
          <w:p>
            <w:pPr>
              <w:spacing w:after="20" w:line="252" w:lineRule="auto"/>
              <w:jc w:val="right"/>
            </w:pPr>
            <w:r>
              <w:rPr>
                <w:b w:val="0"/>
                <w:i w:val="0"/>
                <w:sz w:val="16"/>
              </w:rPr>
              <w:t>31,440</w:t>
            </w:r>
          </w:p>
        </w:tc>
      </w:tr>
      <w:tr>
        <w:trPr>
          <w:cantSplit/>
        </w:trPr>
        <w:tc>
          <w:tcPr>
            <w:tcW w:type="dxa" w:w="5556"/>
            <w:vAlign w:val="top"/>
            <w:shd w:val="clear" w:color="auto" w:fill="FDF0F7"/>
          </w:tcPr>
          <w:p>
            <w:pPr>
              <w:spacing w:after="20" w:line="252" w:lineRule="auto"/>
            </w:pPr>
            <w:r>
              <w:rPr>
                <w:b/>
                <w:i w:val="0"/>
                <w:sz w:val="16"/>
              </w:rPr>
              <w:t>Cloud infrastructure at cost (estimate, incl. project environments)</w:t>
            </w:r>
          </w:p>
        </w:tc>
        <w:tc>
          <w:tcPr>
            <w:tcW w:type="dxa" w:w="2041"/>
            <w:vAlign w:val="top"/>
            <w:shd w:val="clear" w:color="auto" w:fill="FDF0F7"/>
          </w:tcPr>
          <w:p>
            <w:pPr>
              <w:spacing w:after="20" w:line="252" w:lineRule="auto"/>
              <w:jc w:val="right"/>
            </w:pPr>
            <w:r>
              <w:rPr>
                <w:b w:val="0"/>
                <w:i w:val="0"/>
                <w:sz w:val="16"/>
              </w:rPr>
              <w:t>–</w:t>
            </w:r>
          </w:p>
        </w:tc>
        <w:tc>
          <w:tcPr>
            <w:tcW w:type="dxa" w:w="2041"/>
            <w:vAlign w:val="top"/>
            <w:shd w:val="clear" w:color="auto" w:fill="FDF0F7"/>
          </w:tcPr>
          <w:p>
            <w:pPr>
              <w:spacing w:after="20" w:line="252" w:lineRule="auto"/>
              <w:jc w:val="right"/>
            </w:pPr>
            <w:r>
              <w:rPr>
                <w:b w:val="0"/>
                <w:i w:val="0"/>
                <w:sz w:val="16"/>
              </w:rPr>
              <w:t>81,300</w:t>
            </w:r>
          </w:p>
        </w:tc>
      </w:tr>
      <w:tr>
        <w:trPr>
          <w:cantSplit/>
        </w:trPr>
        <w:tc>
          <w:tcPr>
            <w:tcW w:type="dxa" w:w="5556"/>
            <w:vAlign w:val="top"/>
            <w:shd w:val="clear" w:color="auto" w:fill="FEEBDD"/>
          </w:tcPr>
          <w:p>
            <w:pPr>
              <w:spacing w:after="20" w:line="252" w:lineRule="auto"/>
            </w:pPr>
            <w:r>
              <w:rPr>
                <w:b/>
                <w:i w:val="0"/>
                <w:sz w:val="16"/>
              </w:rPr>
              <w:t>Five-year total (B$)</w:t>
            </w:r>
          </w:p>
        </w:tc>
        <w:tc>
          <w:tcPr>
            <w:tcW w:type="dxa" w:w="2041"/>
            <w:vAlign w:val="top"/>
            <w:shd w:val="clear" w:color="auto" w:fill="FEEBDD"/>
          </w:tcPr>
          <w:p>
            <w:pPr>
              <w:spacing w:after="20" w:line="252" w:lineRule="auto"/>
              <w:jc w:val="right"/>
            </w:pPr>
            <w:r>
              <w:rPr>
                <w:b/>
                <w:i w:val="0"/>
                <w:sz w:val="16"/>
              </w:rPr>
              <w:t>382,670</w:t>
            </w:r>
          </w:p>
        </w:tc>
        <w:tc>
          <w:tcPr>
            <w:tcW w:type="dxa" w:w="2041"/>
            <w:vAlign w:val="top"/>
            <w:shd w:val="clear" w:color="auto" w:fill="FEEBDD"/>
          </w:tcPr>
          <w:p>
            <w:pPr>
              <w:spacing w:after="20" w:line="252" w:lineRule="auto"/>
              <w:jc w:val="right"/>
            </w:pPr>
            <w:r>
              <w:rPr>
                <w:b/>
                <w:i w:val="0"/>
                <w:sz w:val="16"/>
              </w:rPr>
              <w:t>556,144</w:t>
            </w:r>
          </w:p>
        </w:tc>
      </w:tr>
      <w:tr>
        <w:trPr>
          <w:cantSplit/>
        </w:trPr>
        <w:tc>
          <w:tcPr>
            <w:tcW w:type="dxa" w:w="5556"/>
            <w:vAlign w:val="top"/>
            <w:shd w:val="clear" w:color="auto" w:fill="FEEBDD"/>
          </w:tcPr>
          <w:p>
            <w:pPr>
              <w:spacing w:after="20" w:line="252" w:lineRule="auto"/>
            </w:pPr>
            <w:r>
              <w:rPr>
                <w:b/>
                <w:i w:val="0"/>
                <w:sz w:val="16"/>
              </w:rPr>
              <w:t>Five-year total (USD, indicative)</w:t>
            </w:r>
          </w:p>
        </w:tc>
        <w:tc>
          <w:tcPr>
            <w:tcW w:type="dxa" w:w="2041"/>
            <w:vAlign w:val="top"/>
            <w:shd w:val="clear" w:color="auto" w:fill="FEEBDD"/>
          </w:tcPr>
          <w:p>
            <w:pPr>
              <w:spacing w:after="20" w:line="252" w:lineRule="auto"/>
              <w:jc w:val="right"/>
            </w:pPr>
            <w:r>
              <w:rPr>
                <w:b/>
                <w:i w:val="0"/>
                <w:sz w:val="16"/>
              </w:rPr>
              <w:t>294,362</w:t>
            </w:r>
          </w:p>
        </w:tc>
        <w:tc>
          <w:tcPr>
            <w:tcW w:type="dxa" w:w="2041"/>
            <w:vAlign w:val="top"/>
            <w:shd w:val="clear" w:color="auto" w:fill="FEEBDD"/>
          </w:tcPr>
          <w:p>
            <w:pPr>
              <w:spacing w:after="20" w:line="252" w:lineRule="auto"/>
              <w:jc w:val="right"/>
            </w:pPr>
            <w:r>
              <w:rPr>
                <w:b/>
                <w:i w:val="0"/>
                <w:sz w:val="16"/>
              </w:rPr>
              <w:t>427,803</w:t>
            </w:r>
          </w:p>
        </w:tc>
      </w:tr>
      <w:tr>
        <w:trPr>
          <w:cantSplit/>
        </w:trPr>
        <w:tc>
          <w:tcPr>
            <w:tcW w:type="dxa" w:w="2041"/>
            <w:gridSpan w:val="3"/>
            <w:shd w:val="clear" w:color="auto" w:fill="FEEBDD"/>
          </w:tcPr>
          <w:p>
            <w:pPr>
              <w:spacing w:after="0"/>
            </w:pPr>
            <w:r>
              <w:rPr>
                <w:b/>
                <w:i w:val="0"/>
                <w:color w:val="333333"/>
                <w:sz w:val="16"/>
              </w:rPr>
              <w:t>Paid by IIFT directly – indicative, not included in the totals above</w:t>
            </w:r>
          </w:p>
        </w:tc>
      </w:tr>
      <w:tr>
        <w:trPr>
          <w:cantSplit/>
        </w:trPr>
        <w:tc>
          <w:tcPr>
            <w:tcW w:type="dxa" w:w="5556"/>
            <w:vAlign w:val="top"/>
          </w:tcPr>
          <w:p>
            <w:pPr>
              <w:spacing w:after="20" w:line="252" w:lineRule="auto"/>
            </w:pPr>
            <w:r>
              <w:rPr>
                <w:b/>
                <w:i w:val="0"/>
                <w:sz w:val="16"/>
              </w:rPr>
              <w:t>Infrastructure procured by IIFT (one-time, Bill of Materials)</w:t>
            </w:r>
          </w:p>
        </w:tc>
        <w:tc>
          <w:tcPr>
            <w:tcW w:type="dxa" w:w="2041"/>
            <w:vAlign w:val="top"/>
          </w:tcPr>
          <w:p>
            <w:pPr>
              <w:spacing w:after="20" w:line="252" w:lineRule="auto"/>
              <w:jc w:val="right"/>
            </w:pPr>
            <w:r>
              <w:rPr>
                <w:b w:val="0"/>
                <w:i w:val="0"/>
                <w:sz w:val="16"/>
              </w:rPr>
              <w:t>B$ 20,500–42,000</w:t>
            </w:r>
          </w:p>
        </w:tc>
        <w:tc>
          <w:tcPr>
            <w:tcW w:type="dxa" w:w="2041"/>
            <w:vAlign w:val="top"/>
          </w:tcPr>
          <w:p>
            <w:pPr>
              <w:spacing w:after="20" w:line="252" w:lineRule="auto"/>
              <w:jc w:val="right"/>
            </w:pPr>
            <w:r>
              <w:rPr>
                <w:b w:val="0"/>
                <w:i w:val="0"/>
                <w:sz w:val="16"/>
              </w:rPr>
              <w:t>–</w:t>
            </w:r>
          </w:p>
        </w:tc>
      </w:tr>
      <w:tr>
        <w:trPr>
          <w:cantSplit/>
        </w:trPr>
        <w:tc>
          <w:tcPr>
            <w:tcW w:type="dxa" w:w="5556"/>
            <w:vAlign w:val="top"/>
            <w:shd w:val="clear" w:color="auto" w:fill="FDF0F7"/>
          </w:tcPr>
          <w:p>
            <w:pPr>
              <w:spacing w:after="20" w:line="252" w:lineRule="auto"/>
            </w:pPr>
            <w:r>
              <w:rPr>
                <w:b/>
                <w:i w:val="0"/>
                <w:sz w:val="16"/>
              </w:rPr>
              <w:t>Required third-party services, five years (SMS, AML, certificates, e-mail)</w:t>
            </w:r>
          </w:p>
        </w:tc>
        <w:tc>
          <w:tcPr>
            <w:tcW w:type="dxa" w:w="2041"/>
            <w:vAlign w:val="top"/>
            <w:shd w:val="clear" w:color="auto" w:fill="FDF0F7"/>
          </w:tcPr>
          <w:p>
            <w:pPr>
              <w:spacing w:after="20" w:line="252" w:lineRule="auto"/>
              <w:jc w:val="right"/>
            </w:pPr>
            <w:r>
              <w:rPr>
                <w:b w:val="0"/>
                <w:i w:val="0"/>
                <w:sz w:val="16"/>
              </w:rPr>
              <w:t>B$ 3,000–23,600</w:t>
            </w:r>
          </w:p>
        </w:tc>
        <w:tc>
          <w:tcPr>
            <w:tcW w:type="dxa" w:w="2041"/>
            <w:vAlign w:val="top"/>
            <w:shd w:val="clear" w:color="auto" w:fill="FDF0F7"/>
          </w:tcPr>
          <w:p>
            <w:pPr>
              <w:spacing w:after="20" w:line="252" w:lineRule="auto"/>
              <w:jc w:val="right"/>
            </w:pPr>
            <w:r>
              <w:rPr>
                <w:b w:val="0"/>
                <w:i w:val="0"/>
                <w:sz w:val="16"/>
              </w:rPr>
              <w:t>B$ 1,500–18,600</w:t>
            </w:r>
          </w:p>
        </w:tc>
      </w:tr>
      <w:tr>
        <w:trPr>
          <w:cantSplit/>
        </w:trPr>
        <w:tc>
          <w:tcPr>
            <w:tcW w:type="dxa" w:w="5556"/>
            <w:vAlign w:val="top"/>
          </w:tcPr>
          <w:p>
            <w:pPr>
              <w:spacing w:after="20" w:line="252" w:lineRule="auto"/>
            </w:pPr>
            <w:r>
              <w:rPr>
                <w:b/>
                <w:i w:val="0"/>
                <w:sz w:val="16"/>
              </w:rPr>
              <w:t>Optional items, five years (RHEL, PostgreSQL support, escrow)</w:t>
            </w:r>
          </w:p>
        </w:tc>
        <w:tc>
          <w:tcPr>
            <w:tcW w:type="dxa" w:w="2041"/>
            <w:vAlign w:val="top"/>
          </w:tcPr>
          <w:p>
            <w:pPr>
              <w:spacing w:after="20" w:line="252" w:lineRule="auto"/>
              <w:jc w:val="right"/>
            </w:pPr>
            <w:r>
              <w:rPr>
                <w:b w:val="0"/>
                <w:i w:val="0"/>
                <w:sz w:val="16"/>
              </w:rPr>
              <w:t>B$ 60,000–124,000</w:t>
            </w:r>
          </w:p>
        </w:tc>
        <w:tc>
          <w:tcPr>
            <w:tcW w:type="dxa" w:w="2041"/>
            <w:vAlign w:val="top"/>
          </w:tcPr>
          <w:p>
            <w:pPr>
              <w:spacing w:after="20" w:line="252" w:lineRule="auto"/>
              <w:jc w:val="right"/>
            </w:pPr>
            <w:r>
              <w:rPr>
                <w:b w:val="0"/>
                <w:i w:val="0"/>
                <w:sz w:val="16"/>
              </w:rPr>
              <w:t>B$ 12,500–20,000</w:t>
            </w:r>
          </w:p>
        </w:tc>
      </w:tr>
      <w:tr>
        <w:trPr>
          <w:cantSplit/>
        </w:trPr>
        <w:tc>
          <w:tcPr>
            <w:tcW w:type="dxa" w:w="2041"/>
            <w:gridSpan w:val="3"/>
            <w:shd w:val="clear" w:color="auto" w:fill="FEEBDD"/>
          </w:tcPr>
          <w:p>
            <w:pPr>
              <w:spacing w:after="0"/>
            </w:pPr>
            <w:r>
              <w:rPr>
                <w:b/>
                <w:i w:val="0"/>
                <w:color w:val="333333"/>
                <w:sz w:val="16"/>
              </w:rPr>
              <w:t>Option C add-on (either option)</w:t>
            </w:r>
          </w:p>
        </w:tc>
      </w:tr>
      <w:tr>
        <w:trPr>
          <w:cantSplit/>
        </w:trPr>
        <w:tc>
          <w:tcPr>
            <w:tcW w:type="dxa" w:w="5556"/>
            <w:vAlign w:val="top"/>
          </w:tcPr>
          <w:p>
            <w:pPr>
              <w:spacing w:after="20" w:line="252" w:lineRule="auto"/>
            </w:pPr>
            <w:r>
              <w:rPr>
                <w:b/>
                <w:i w:val="0"/>
                <w:sz w:val="16"/>
              </w:rPr>
              <w:t>Source code handover with knowledge transfer</w:t>
            </w:r>
          </w:p>
        </w:tc>
        <w:tc>
          <w:tcPr>
            <w:tcW w:type="dxa" w:w="2041"/>
            <w:vAlign w:val="top"/>
          </w:tcPr>
          <w:p>
            <w:pPr>
              <w:spacing w:after="20" w:line="252" w:lineRule="auto"/>
              <w:jc w:val="right"/>
            </w:pPr>
            <w:r>
              <w:rPr>
                <w:b w:val="0"/>
                <w:i w:val="0"/>
                <w:sz w:val="16"/>
              </w:rPr>
              <w:t>88,000</w:t>
            </w:r>
          </w:p>
        </w:tc>
        <w:tc>
          <w:tcPr>
            <w:tcW w:type="dxa" w:w="2041"/>
            <w:vAlign w:val="top"/>
          </w:tcPr>
          <w:p>
            <w:pPr>
              <w:spacing w:after="20" w:line="252" w:lineRule="auto"/>
              <w:jc w:val="right"/>
            </w:pPr>
            <w:r>
              <w:rPr>
                <w:b w:val="0"/>
                <w:i w:val="0"/>
                <w:sz w:val="16"/>
              </w:rPr>
              <w:t>On conversion</w:t>
            </w:r>
          </w:p>
        </w:tc>
      </w:tr>
      <w:tr>
        <w:trPr>
          <w:cantSplit/>
        </w:trPr>
        <w:tc>
          <w:tcPr>
            <w:tcW w:type="dxa" w:w="5556"/>
            <w:vAlign w:val="top"/>
            <w:shd w:val="clear" w:color="auto" w:fill="FDF0F7"/>
          </w:tcPr>
          <w:p>
            <w:pPr>
              <w:spacing w:after="20" w:line="252" w:lineRule="auto"/>
            </w:pPr>
            <w:r>
              <w:rPr>
                <w:b/>
                <w:i w:val="0"/>
                <w:sz w:val="16"/>
              </w:rPr>
              <w:t>OPE for onsite knowledge transfer (estimate)</w:t>
            </w:r>
          </w:p>
        </w:tc>
        <w:tc>
          <w:tcPr>
            <w:tcW w:type="dxa" w:w="2041"/>
            <w:vAlign w:val="top"/>
            <w:shd w:val="clear" w:color="auto" w:fill="FDF0F7"/>
          </w:tcPr>
          <w:p>
            <w:pPr>
              <w:spacing w:after="20" w:line="252" w:lineRule="auto"/>
              <w:jc w:val="right"/>
            </w:pPr>
            <w:r>
              <w:rPr>
                <w:b w:val="0"/>
                <w:i w:val="0"/>
                <w:sz w:val="16"/>
              </w:rPr>
              <w:t>8,070</w:t>
            </w:r>
          </w:p>
        </w:tc>
        <w:tc>
          <w:tcPr>
            <w:tcW w:type="dxa" w:w="2041"/>
            <w:vAlign w:val="top"/>
            <w:shd w:val="clear" w:color="auto" w:fill="FDF0F7"/>
          </w:tcPr>
          <w:p>
            <w:pPr>
              <w:spacing w:after="20" w:line="252" w:lineRule="auto"/>
              <w:jc w:val="right"/>
            </w:pPr>
            <w:r>
              <w:rPr>
                <w:b w:val="0"/>
                <w:i w:val="0"/>
                <w:sz w:val="16"/>
              </w:rPr>
              <w:t>–</w:t>
            </w:r>
          </w:p>
        </w:tc>
      </w:tr>
    </w:tbl>
    <w:p>
      <w:pPr>
        <w:pStyle w:val="Caption"/>
        <w:jc w:val="center"/>
      </w:pPr>
      <w:r>
        <w:rPr>
          <w:b w:val="0"/>
          <w:i w:val="0"/>
        </w:rPr>
        <w:t>Table 51: Five-year cost of ownership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71"/>
        <w:gridCol w:w="1134"/>
        <w:gridCol w:w="907"/>
        <w:gridCol w:w="1077"/>
        <w:gridCol w:w="1134"/>
        <w:gridCol w:w="1020"/>
        <w:gridCol w:w="907"/>
        <w:gridCol w:w="1587"/>
      </w:tblGrid>
      <w:tr>
        <w:trPr>
          <w:cantSplit/>
          <w:tblHeader/>
        </w:trPr>
        <w:tc>
          <w:tcPr>
            <w:tcW w:type="dxa" w:w="1871"/>
            <w:shd w:val="clear" w:color="auto" w:fill="E1058C"/>
            <w:vAlign w:val="center"/>
          </w:tcPr>
          <w:p>
            <w:pPr>
              <w:spacing w:after="0"/>
            </w:pPr>
            <w:r>
              <w:rPr>
                <w:b/>
                <w:i w:val="0"/>
                <w:color w:val="FFFFFF"/>
                <w:sz w:val="16"/>
              </w:rPr>
              <w:t>Period</w:t>
            </w:r>
          </w:p>
        </w:tc>
        <w:tc>
          <w:tcPr>
            <w:tcW w:type="dxa" w:w="1134"/>
            <w:shd w:val="clear" w:color="auto" w:fill="E1058C"/>
            <w:vAlign w:val="center"/>
          </w:tcPr>
          <w:p>
            <w:pPr>
              <w:spacing w:after="0"/>
            </w:pPr>
            <w:r>
              <w:rPr>
                <w:b/>
                <w:i w:val="0"/>
                <w:color w:val="FFFFFF"/>
                <w:sz w:val="16"/>
              </w:rPr>
              <w:t>A: iorta fees</w:t>
            </w:r>
          </w:p>
        </w:tc>
        <w:tc>
          <w:tcPr>
            <w:tcW w:type="dxa" w:w="907"/>
            <w:shd w:val="clear" w:color="auto" w:fill="E1058C"/>
            <w:vAlign w:val="center"/>
          </w:tcPr>
          <w:p>
            <w:pPr>
              <w:spacing w:after="0"/>
            </w:pPr>
            <w:r>
              <w:rPr>
                <w:b/>
                <w:i w:val="0"/>
                <w:color w:val="FFFFFF"/>
                <w:sz w:val="16"/>
              </w:rPr>
              <w:t>A: OPE</w:t>
            </w:r>
          </w:p>
        </w:tc>
        <w:tc>
          <w:tcPr>
            <w:tcW w:type="dxa" w:w="1077"/>
            <w:shd w:val="clear" w:color="auto" w:fill="E1058C"/>
            <w:vAlign w:val="center"/>
          </w:tcPr>
          <w:p>
            <w:pPr>
              <w:spacing w:after="0"/>
            </w:pPr>
            <w:r>
              <w:rPr>
                <w:b/>
                <w:i w:val="0"/>
                <w:color w:val="FFFFFF"/>
                <w:sz w:val="16"/>
              </w:rPr>
              <w:t>A: total</w:t>
            </w:r>
          </w:p>
        </w:tc>
        <w:tc>
          <w:tcPr>
            <w:tcW w:type="dxa" w:w="1134"/>
            <w:shd w:val="clear" w:color="auto" w:fill="E1058C"/>
            <w:vAlign w:val="center"/>
          </w:tcPr>
          <w:p>
            <w:pPr>
              <w:spacing w:after="0"/>
            </w:pPr>
            <w:r>
              <w:rPr>
                <w:b/>
                <w:i w:val="0"/>
                <w:color w:val="FFFFFF"/>
                <w:sz w:val="16"/>
              </w:rPr>
              <w:t>B: iorta fees</w:t>
            </w:r>
          </w:p>
        </w:tc>
        <w:tc>
          <w:tcPr>
            <w:tcW w:type="dxa" w:w="1020"/>
            <w:shd w:val="clear" w:color="auto" w:fill="E1058C"/>
            <w:vAlign w:val="center"/>
          </w:tcPr>
          <w:p>
            <w:pPr>
              <w:spacing w:after="0"/>
            </w:pPr>
            <w:r>
              <w:rPr>
                <w:b/>
                <w:i w:val="0"/>
                <w:color w:val="FFFFFF"/>
                <w:sz w:val="16"/>
              </w:rPr>
              <w:t>B: cloud</w:t>
            </w:r>
          </w:p>
        </w:tc>
        <w:tc>
          <w:tcPr>
            <w:tcW w:type="dxa" w:w="907"/>
            <w:shd w:val="clear" w:color="auto" w:fill="E1058C"/>
            <w:vAlign w:val="center"/>
          </w:tcPr>
          <w:p>
            <w:pPr>
              <w:spacing w:after="0"/>
            </w:pPr>
            <w:r>
              <w:rPr>
                <w:b/>
                <w:i w:val="0"/>
                <w:color w:val="FFFFFF"/>
                <w:sz w:val="16"/>
              </w:rPr>
              <w:t>B: OPE</w:t>
            </w:r>
          </w:p>
        </w:tc>
        <w:tc>
          <w:tcPr>
            <w:tcW w:type="dxa" w:w="1587"/>
            <w:shd w:val="clear" w:color="auto" w:fill="E1058C"/>
            <w:vAlign w:val="center"/>
          </w:tcPr>
          <w:p>
            <w:pPr>
              <w:spacing w:after="0"/>
            </w:pPr>
            <w:r>
              <w:rPr>
                <w:b/>
                <w:i w:val="0"/>
                <w:color w:val="FFFFFF"/>
                <w:sz w:val="16"/>
              </w:rPr>
              <w:t>B: total</w:t>
            </w:r>
          </w:p>
        </w:tc>
      </w:tr>
      <w:tr>
        <w:trPr>
          <w:cantSplit/>
        </w:trPr>
        <w:tc>
          <w:tcPr>
            <w:tcW w:type="dxa" w:w="1871"/>
            <w:vAlign w:val="top"/>
          </w:tcPr>
          <w:p>
            <w:pPr>
              <w:spacing w:after="20" w:line="252" w:lineRule="auto"/>
            </w:pPr>
            <w:r>
              <w:rPr>
                <w:b/>
                <w:i w:val="0"/>
                <w:sz w:val="16"/>
              </w:rPr>
              <w:t>Year 0 (implementation)</w:t>
            </w:r>
          </w:p>
        </w:tc>
        <w:tc>
          <w:tcPr>
            <w:tcW w:type="dxa" w:w="1134"/>
            <w:vAlign w:val="top"/>
          </w:tcPr>
          <w:p>
            <w:pPr>
              <w:spacing w:after="20" w:line="252" w:lineRule="auto"/>
              <w:jc w:val="right"/>
            </w:pPr>
            <w:r>
              <w:rPr>
                <w:b w:val="0"/>
                <w:i w:val="0"/>
                <w:sz w:val="16"/>
              </w:rPr>
              <w:t>178,000</w:t>
            </w:r>
          </w:p>
        </w:tc>
        <w:tc>
          <w:tcPr>
            <w:tcW w:type="dxa" w:w="907"/>
            <w:vAlign w:val="top"/>
          </w:tcPr>
          <w:p>
            <w:pPr>
              <w:spacing w:after="20" w:line="252" w:lineRule="auto"/>
              <w:jc w:val="right"/>
            </w:pPr>
            <w:r>
              <w:rPr>
                <w:b w:val="0"/>
                <w:i w:val="0"/>
                <w:sz w:val="16"/>
              </w:rPr>
              <w:t>31,440</w:t>
            </w:r>
          </w:p>
        </w:tc>
        <w:tc>
          <w:tcPr>
            <w:tcW w:type="dxa" w:w="1077"/>
            <w:vAlign w:val="top"/>
          </w:tcPr>
          <w:p>
            <w:pPr>
              <w:spacing w:after="20" w:line="252" w:lineRule="auto"/>
              <w:jc w:val="right"/>
            </w:pPr>
            <w:r>
              <w:rPr>
                <w:b w:val="0"/>
                <w:i w:val="0"/>
                <w:sz w:val="16"/>
              </w:rPr>
              <w:t>209,440</w:t>
            </w:r>
          </w:p>
        </w:tc>
        <w:tc>
          <w:tcPr>
            <w:tcW w:type="dxa" w:w="1134"/>
            <w:vAlign w:val="top"/>
          </w:tcPr>
          <w:p>
            <w:pPr>
              <w:spacing w:after="20" w:line="252" w:lineRule="auto"/>
              <w:jc w:val="right"/>
            </w:pPr>
            <w:r>
              <w:rPr>
                <w:b w:val="0"/>
                <w:i w:val="0"/>
                <w:sz w:val="16"/>
              </w:rPr>
              <w:t>145,000</w:t>
            </w:r>
          </w:p>
        </w:tc>
        <w:tc>
          <w:tcPr>
            <w:tcW w:type="dxa" w:w="1020"/>
            <w:vAlign w:val="top"/>
          </w:tcPr>
          <w:p>
            <w:pPr>
              <w:spacing w:after="20" w:line="252" w:lineRule="auto"/>
              <w:jc w:val="right"/>
            </w:pPr>
            <w:r>
              <w:rPr>
                <w:b w:val="0"/>
                <w:i w:val="0"/>
                <w:sz w:val="16"/>
              </w:rPr>
              <w:t>1,500</w:t>
            </w:r>
          </w:p>
        </w:tc>
        <w:tc>
          <w:tcPr>
            <w:tcW w:type="dxa" w:w="907"/>
            <w:vAlign w:val="top"/>
          </w:tcPr>
          <w:p>
            <w:pPr>
              <w:spacing w:after="20" w:line="252" w:lineRule="auto"/>
              <w:jc w:val="right"/>
            </w:pPr>
            <w:r>
              <w:rPr>
                <w:b w:val="0"/>
                <w:i w:val="0"/>
                <w:sz w:val="16"/>
              </w:rPr>
              <w:t>31,440</w:t>
            </w:r>
          </w:p>
        </w:tc>
        <w:tc>
          <w:tcPr>
            <w:tcW w:type="dxa" w:w="1587"/>
            <w:vAlign w:val="top"/>
          </w:tcPr>
          <w:p>
            <w:pPr>
              <w:spacing w:after="20" w:line="252" w:lineRule="auto"/>
              <w:jc w:val="right"/>
            </w:pPr>
            <w:r>
              <w:rPr>
                <w:b w:val="0"/>
                <w:i w:val="0"/>
                <w:sz w:val="16"/>
              </w:rPr>
              <w:t>177,940</w:t>
            </w:r>
          </w:p>
        </w:tc>
      </w:tr>
      <w:tr>
        <w:trPr>
          <w:cantSplit/>
        </w:trPr>
        <w:tc>
          <w:tcPr>
            <w:tcW w:type="dxa" w:w="1871"/>
            <w:vAlign w:val="top"/>
            <w:shd w:val="clear" w:color="auto" w:fill="FDF0F7"/>
          </w:tcPr>
          <w:p>
            <w:pPr>
              <w:spacing w:after="20" w:line="252" w:lineRule="auto"/>
            </w:pPr>
            <w:r>
              <w:rPr>
                <w:b/>
                <w:i w:val="0"/>
                <w:sz w:val="16"/>
              </w:rPr>
              <w:t>Year 1</w:t>
            </w:r>
          </w:p>
        </w:tc>
        <w:tc>
          <w:tcPr>
            <w:tcW w:type="dxa" w:w="1134"/>
            <w:vAlign w:val="top"/>
            <w:shd w:val="clear" w:color="auto" w:fill="FDF0F7"/>
          </w:tcPr>
          <w:p>
            <w:pPr>
              <w:spacing w:after="20" w:line="252" w:lineRule="auto"/>
              <w:jc w:val="right"/>
            </w:pPr>
            <w:r>
              <w:rPr>
                <w:b w:val="0"/>
                <w:i w:val="0"/>
                <w:sz w:val="16"/>
              </w:rPr>
              <w:t>31,350</w:t>
            </w:r>
          </w:p>
        </w:tc>
        <w:tc>
          <w:tcPr>
            <w:tcW w:type="dxa" w:w="907"/>
            <w:vAlign w:val="top"/>
            <w:shd w:val="clear" w:color="auto" w:fill="FDF0F7"/>
          </w:tcPr>
          <w:p>
            <w:pPr>
              <w:spacing w:after="20" w:line="252" w:lineRule="auto"/>
              <w:jc w:val="right"/>
            </w:pPr>
            <w:r>
              <w:rPr>
                <w:b w:val="0"/>
                <w:i w:val="0"/>
                <w:sz w:val="16"/>
              </w:rPr>
              <w:t>0</w:t>
            </w:r>
          </w:p>
        </w:tc>
        <w:tc>
          <w:tcPr>
            <w:tcW w:type="dxa" w:w="1077"/>
            <w:vAlign w:val="top"/>
            <w:shd w:val="clear" w:color="auto" w:fill="FDF0F7"/>
          </w:tcPr>
          <w:p>
            <w:pPr>
              <w:spacing w:after="20" w:line="252" w:lineRule="auto"/>
              <w:jc w:val="right"/>
            </w:pPr>
            <w:r>
              <w:rPr>
                <w:b w:val="0"/>
                <w:i w:val="0"/>
                <w:sz w:val="16"/>
              </w:rPr>
              <w:t>31,350</w:t>
            </w:r>
          </w:p>
        </w:tc>
        <w:tc>
          <w:tcPr>
            <w:tcW w:type="dxa" w:w="1134"/>
            <w:vAlign w:val="top"/>
            <w:shd w:val="clear" w:color="auto" w:fill="FDF0F7"/>
          </w:tcPr>
          <w:p>
            <w:pPr>
              <w:spacing w:after="20" w:line="252" w:lineRule="auto"/>
              <w:jc w:val="right"/>
            </w:pPr>
            <w:r>
              <w:rPr>
                <w:b w:val="0"/>
                <w:i w:val="0"/>
                <w:sz w:val="16"/>
              </w:rPr>
              <w:t>54,000</w:t>
            </w:r>
          </w:p>
        </w:tc>
        <w:tc>
          <w:tcPr>
            <w:tcW w:type="dxa" w:w="1020"/>
            <w:vAlign w:val="top"/>
            <w:shd w:val="clear" w:color="auto" w:fill="FDF0F7"/>
          </w:tcPr>
          <w:p>
            <w:pPr>
              <w:spacing w:after="20" w:line="252" w:lineRule="auto"/>
              <w:jc w:val="right"/>
            </w:pPr>
            <w:r>
              <w:rPr>
                <w:b w:val="0"/>
                <w:i w:val="0"/>
                <w:sz w:val="16"/>
              </w:rPr>
              <w:t>15,960</w:t>
            </w:r>
          </w:p>
        </w:tc>
        <w:tc>
          <w:tcPr>
            <w:tcW w:type="dxa" w:w="907"/>
            <w:vAlign w:val="top"/>
            <w:shd w:val="clear" w:color="auto" w:fill="FDF0F7"/>
          </w:tcPr>
          <w:p>
            <w:pPr>
              <w:spacing w:after="20" w:line="252" w:lineRule="auto"/>
              <w:jc w:val="right"/>
            </w:pPr>
            <w:r>
              <w:rPr>
                <w:b w:val="0"/>
                <w:i w:val="0"/>
                <w:sz w:val="16"/>
              </w:rPr>
              <w:t>0</w:t>
            </w:r>
          </w:p>
        </w:tc>
        <w:tc>
          <w:tcPr>
            <w:tcW w:type="dxa" w:w="1587"/>
            <w:vAlign w:val="top"/>
            <w:shd w:val="clear" w:color="auto" w:fill="FDF0F7"/>
          </w:tcPr>
          <w:p>
            <w:pPr>
              <w:spacing w:after="20" w:line="252" w:lineRule="auto"/>
              <w:jc w:val="right"/>
            </w:pPr>
            <w:r>
              <w:rPr>
                <w:b w:val="0"/>
                <w:i w:val="0"/>
                <w:sz w:val="16"/>
              </w:rPr>
              <w:t>69,960</w:t>
            </w:r>
          </w:p>
        </w:tc>
      </w:tr>
      <w:tr>
        <w:trPr>
          <w:cantSplit/>
        </w:trPr>
        <w:tc>
          <w:tcPr>
            <w:tcW w:type="dxa" w:w="1871"/>
            <w:vAlign w:val="top"/>
          </w:tcPr>
          <w:p>
            <w:pPr>
              <w:spacing w:after="20" w:line="252" w:lineRule="auto"/>
            </w:pPr>
            <w:r>
              <w:rPr>
                <w:b/>
                <w:i w:val="0"/>
                <w:sz w:val="16"/>
              </w:rPr>
              <w:t>Year 2</w:t>
            </w:r>
          </w:p>
        </w:tc>
        <w:tc>
          <w:tcPr>
            <w:tcW w:type="dxa" w:w="1134"/>
            <w:vAlign w:val="top"/>
          </w:tcPr>
          <w:p>
            <w:pPr>
              <w:spacing w:after="20" w:line="252" w:lineRule="auto"/>
              <w:jc w:val="right"/>
            </w:pPr>
            <w:r>
              <w:rPr>
                <w:b w:val="0"/>
                <w:i w:val="0"/>
                <w:sz w:val="16"/>
              </w:rPr>
              <w:t>32,918</w:t>
            </w:r>
          </w:p>
        </w:tc>
        <w:tc>
          <w:tcPr>
            <w:tcW w:type="dxa" w:w="907"/>
            <w:vAlign w:val="top"/>
          </w:tcPr>
          <w:p>
            <w:pPr>
              <w:spacing w:after="20" w:line="252" w:lineRule="auto"/>
              <w:jc w:val="right"/>
            </w:pPr>
            <w:r>
              <w:rPr>
                <w:b w:val="0"/>
                <w:i w:val="0"/>
                <w:sz w:val="16"/>
              </w:rPr>
              <w:t>0</w:t>
            </w:r>
          </w:p>
        </w:tc>
        <w:tc>
          <w:tcPr>
            <w:tcW w:type="dxa" w:w="1077"/>
            <w:vAlign w:val="top"/>
          </w:tcPr>
          <w:p>
            <w:pPr>
              <w:spacing w:after="20" w:line="252" w:lineRule="auto"/>
              <w:jc w:val="right"/>
            </w:pPr>
            <w:r>
              <w:rPr>
                <w:b w:val="0"/>
                <w:i w:val="0"/>
                <w:sz w:val="16"/>
              </w:rPr>
              <w:t>32,918</w:t>
            </w:r>
          </w:p>
        </w:tc>
        <w:tc>
          <w:tcPr>
            <w:tcW w:type="dxa" w:w="1134"/>
            <w:vAlign w:val="top"/>
          </w:tcPr>
          <w:p>
            <w:pPr>
              <w:spacing w:after="20" w:line="252" w:lineRule="auto"/>
              <w:jc w:val="right"/>
            </w:pPr>
            <w:r>
              <w:rPr>
                <w:b w:val="0"/>
                <w:i w:val="0"/>
                <w:sz w:val="16"/>
              </w:rPr>
              <w:t>56,712</w:t>
            </w:r>
          </w:p>
        </w:tc>
        <w:tc>
          <w:tcPr>
            <w:tcW w:type="dxa" w:w="1020"/>
            <w:vAlign w:val="top"/>
          </w:tcPr>
          <w:p>
            <w:pPr>
              <w:spacing w:after="20" w:line="252" w:lineRule="auto"/>
              <w:jc w:val="right"/>
            </w:pPr>
            <w:r>
              <w:rPr>
                <w:b w:val="0"/>
                <w:i w:val="0"/>
                <w:sz w:val="16"/>
              </w:rPr>
              <w:t>15,960</w:t>
            </w:r>
          </w:p>
        </w:tc>
        <w:tc>
          <w:tcPr>
            <w:tcW w:type="dxa" w:w="907"/>
            <w:vAlign w:val="top"/>
          </w:tcPr>
          <w:p>
            <w:pPr>
              <w:spacing w:after="20" w:line="252" w:lineRule="auto"/>
              <w:jc w:val="right"/>
            </w:pPr>
            <w:r>
              <w:rPr>
                <w:b w:val="0"/>
                <w:i w:val="0"/>
                <w:sz w:val="16"/>
              </w:rPr>
              <w:t>0</w:t>
            </w:r>
          </w:p>
        </w:tc>
        <w:tc>
          <w:tcPr>
            <w:tcW w:type="dxa" w:w="1587"/>
            <w:vAlign w:val="top"/>
          </w:tcPr>
          <w:p>
            <w:pPr>
              <w:spacing w:after="20" w:line="252" w:lineRule="auto"/>
              <w:jc w:val="right"/>
            </w:pPr>
            <w:r>
              <w:rPr>
                <w:b w:val="0"/>
                <w:i w:val="0"/>
                <w:sz w:val="16"/>
              </w:rPr>
              <w:t>72,672</w:t>
            </w:r>
          </w:p>
        </w:tc>
      </w:tr>
      <w:tr>
        <w:trPr>
          <w:cantSplit/>
        </w:trPr>
        <w:tc>
          <w:tcPr>
            <w:tcW w:type="dxa" w:w="1871"/>
            <w:vAlign w:val="top"/>
            <w:shd w:val="clear" w:color="auto" w:fill="FDF0F7"/>
          </w:tcPr>
          <w:p>
            <w:pPr>
              <w:spacing w:after="20" w:line="252" w:lineRule="auto"/>
            </w:pPr>
            <w:r>
              <w:rPr>
                <w:b/>
                <w:i w:val="0"/>
                <w:sz w:val="16"/>
              </w:rPr>
              <w:t>Year 3</w:t>
            </w:r>
          </w:p>
        </w:tc>
        <w:tc>
          <w:tcPr>
            <w:tcW w:type="dxa" w:w="1134"/>
            <w:vAlign w:val="top"/>
            <w:shd w:val="clear" w:color="auto" w:fill="FDF0F7"/>
          </w:tcPr>
          <w:p>
            <w:pPr>
              <w:spacing w:after="20" w:line="252" w:lineRule="auto"/>
              <w:jc w:val="right"/>
            </w:pPr>
            <w:r>
              <w:rPr>
                <w:b w:val="0"/>
                <w:i w:val="0"/>
                <w:sz w:val="16"/>
              </w:rPr>
              <w:t>34,564</w:t>
            </w:r>
          </w:p>
        </w:tc>
        <w:tc>
          <w:tcPr>
            <w:tcW w:type="dxa" w:w="907"/>
            <w:vAlign w:val="top"/>
            <w:shd w:val="clear" w:color="auto" w:fill="FDF0F7"/>
          </w:tcPr>
          <w:p>
            <w:pPr>
              <w:spacing w:after="20" w:line="252" w:lineRule="auto"/>
              <w:jc w:val="right"/>
            </w:pPr>
            <w:r>
              <w:rPr>
                <w:b w:val="0"/>
                <w:i w:val="0"/>
                <w:sz w:val="16"/>
              </w:rPr>
              <w:t>0</w:t>
            </w:r>
          </w:p>
        </w:tc>
        <w:tc>
          <w:tcPr>
            <w:tcW w:type="dxa" w:w="1077"/>
            <w:vAlign w:val="top"/>
            <w:shd w:val="clear" w:color="auto" w:fill="FDF0F7"/>
          </w:tcPr>
          <w:p>
            <w:pPr>
              <w:spacing w:after="20" w:line="252" w:lineRule="auto"/>
              <w:jc w:val="right"/>
            </w:pPr>
            <w:r>
              <w:rPr>
                <w:b w:val="0"/>
                <w:i w:val="0"/>
                <w:sz w:val="16"/>
              </w:rPr>
              <w:t>34,564</w:t>
            </w:r>
          </w:p>
        </w:tc>
        <w:tc>
          <w:tcPr>
            <w:tcW w:type="dxa" w:w="1134"/>
            <w:vAlign w:val="top"/>
            <w:shd w:val="clear" w:color="auto" w:fill="FDF0F7"/>
          </w:tcPr>
          <w:p>
            <w:pPr>
              <w:spacing w:after="20" w:line="252" w:lineRule="auto"/>
              <w:jc w:val="right"/>
            </w:pPr>
            <w:r>
              <w:rPr>
                <w:b w:val="0"/>
                <w:i w:val="0"/>
                <w:sz w:val="16"/>
              </w:rPr>
              <w:t>59,544</w:t>
            </w:r>
          </w:p>
        </w:tc>
        <w:tc>
          <w:tcPr>
            <w:tcW w:type="dxa" w:w="1020"/>
            <w:vAlign w:val="top"/>
            <w:shd w:val="clear" w:color="auto" w:fill="FDF0F7"/>
          </w:tcPr>
          <w:p>
            <w:pPr>
              <w:spacing w:after="20" w:line="252" w:lineRule="auto"/>
              <w:jc w:val="right"/>
            </w:pPr>
            <w:r>
              <w:rPr>
                <w:b w:val="0"/>
                <w:i w:val="0"/>
                <w:sz w:val="16"/>
              </w:rPr>
              <w:t>15,960</w:t>
            </w:r>
          </w:p>
        </w:tc>
        <w:tc>
          <w:tcPr>
            <w:tcW w:type="dxa" w:w="907"/>
            <w:vAlign w:val="top"/>
            <w:shd w:val="clear" w:color="auto" w:fill="FDF0F7"/>
          </w:tcPr>
          <w:p>
            <w:pPr>
              <w:spacing w:after="20" w:line="252" w:lineRule="auto"/>
              <w:jc w:val="right"/>
            </w:pPr>
            <w:r>
              <w:rPr>
                <w:b w:val="0"/>
                <w:i w:val="0"/>
                <w:sz w:val="16"/>
              </w:rPr>
              <w:t>0</w:t>
            </w:r>
          </w:p>
        </w:tc>
        <w:tc>
          <w:tcPr>
            <w:tcW w:type="dxa" w:w="1587"/>
            <w:vAlign w:val="top"/>
            <w:shd w:val="clear" w:color="auto" w:fill="FDF0F7"/>
          </w:tcPr>
          <w:p>
            <w:pPr>
              <w:spacing w:after="20" w:line="252" w:lineRule="auto"/>
              <w:jc w:val="right"/>
            </w:pPr>
            <w:r>
              <w:rPr>
                <w:b w:val="0"/>
                <w:i w:val="0"/>
                <w:sz w:val="16"/>
              </w:rPr>
              <w:t>75,504</w:t>
            </w:r>
          </w:p>
        </w:tc>
      </w:tr>
      <w:tr>
        <w:trPr>
          <w:cantSplit/>
        </w:trPr>
        <w:tc>
          <w:tcPr>
            <w:tcW w:type="dxa" w:w="1871"/>
            <w:vAlign w:val="top"/>
          </w:tcPr>
          <w:p>
            <w:pPr>
              <w:spacing w:after="20" w:line="252" w:lineRule="auto"/>
            </w:pPr>
            <w:r>
              <w:rPr>
                <w:b/>
                <w:i w:val="0"/>
                <w:sz w:val="16"/>
              </w:rPr>
              <w:t>Year 4</w:t>
            </w:r>
          </w:p>
        </w:tc>
        <w:tc>
          <w:tcPr>
            <w:tcW w:type="dxa" w:w="1134"/>
            <w:vAlign w:val="top"/>
          </w:tcPr>
          <w:p>
            <w:pPr>
              <w:spacing w:after="20" w:line="252" w:lineRule="auto"/>
              <w:jc w:val="right"/>
            </w:pPr>
            <w:r>
              <w:rPr>
                <w:b w:val="0"/>
                <w:i w:val="0"/>
                <w:sz w:val="16"/>
              </w:rPr>
              <w:t>36,292</w:t>
            </w:r>
          </w:p>
        </w:tc>
        <w:tc>
          <w:tcPr>
            <w:tcW w:type="dxa" w:w="907"/>
            <w:vAlign w:val="top"/>
          </w:tcPr>
          <w:p>
            <w:pPr>
              <w:spacing w:after="20" w:line="252" w:lineRule="auto"/>
              <w:jc w:val="right"/>
            </w:pPr>
            <w:r>
              <w:rPr>
                <w:b w:val="0"/>
                <w:i w:val="0"/>
                <w:sz w:val="16"/>
              </w:rPr>
              <w:t>0</w:t>
            </w:r>
          </w:p>
        </w:tc>
        <w:tc>
          <w:tcPr>
            <w:tcW w:type="dxa" w:w="1077"/>
            <w:vAlign w:val="top"/>
          </w:tcPr>
          <w:p>
            <w:pPr>
              <w:spacing w:after="20" w:line="252" w:lineRule="auto"/>
              <w:jc w:val="right"/>
            </w:pPr>
            <w:r>
              <w:rPr>
                <w:b w:val="0"/>
                <w:i w:val="0"/>
                <w:sz w:val="16"/>
              </w:rPr>
              <w:t>36,292</w:t>
            </w:r>
          </w:p>
        </w:tc>
        <w:tc>
          <w:tcPr>
            <w:tcW w:type="dxa" w:w="1134"/>
            <w:vAlign w:val="top"/>
          </w:tcPr>
          <w:p>
            <w:pPr>
              <w:spacing w:after="20" w:line="252" w:lineRule="auto"/>
              <w:jc w:val="right"/>
            </w:pPr>
            <w:r>
              <w:rPr>
                <w:b w:val="0"/>
                <w:i w:val="0"/>
                <w:sz w:val="16"/>
              </w:rPr>
              <w:t>62,508</w:t>
            </w:r>
          </w:p>
        </w:tc>
        <w:tc>
          <w:tcPr>
            <w:tcW w:type="dxa" w:w="1020"/>
            <w:vAlign w:val="top"/>
          </w:tcPr>
          <w:p>
            <w:pPr>
              <w:spacing w:after="20" w:line="252" w:lineRule="auto"/>
              <w:jc w:val="right"/>
            </w:pPr>
            <w:r>
              <w:rPr>
                <w:b w:val="0"/>
                <w:i w:val="0"/>
                <w:sz w:val="16"/>
              </w:rPr>
              <w:t>15,960</w:t>
            </w:r>
          </w:p>
        </w:tc>
        <w:tc>
          <w:tcPr>
            <w:tcW w:type="dxa" w:w="907"/>
            <w:vAlign w:val="top"/>
          </w:tcPr>
          <w:p>
            <w:pPr>
              <w:spacing w:after="20" w:line="252" w:lineRule="auto"/>
              <w:jc w:val="right"/>
            </w:pPr>
            <w:r>
              <w:rPr>
                <w:b w:val="0"/>
                <w:i w:val="0"/>
                <w:sz w:val="16"/>
              </w:rPr>
              <w:t>0</w:t>
            </w:r>
          </w:p>
        </w:tc>
        <w:tc>
          <w:tcPr>
            <w:tcW w:type="dxa" w:w="1587"/>
            <w:vAlign w:val="top"/>
          </w:tcPr>
          <w:p>
            <w:pPr>
              <w:spacing w:after="20" w:line="252" w:lineRule="auto"/>
              <w:jc w:val="right"/>
            </w:pPr>
            <w:r>
              <w:rPr>
                <w:b w:val="0"/>
                <w:i w:val="0"/>
                <w:sz w:val="16"/>
              </w:rPr>
              <w:t>78,468</w:t>
            </w:r>
          </w:p>
        </w:tc>
      </w:tr>
      <w:tr>
        <w:trPr>
          <w:cantSplit/>
        </w:trPr>
        <w:tc>
          <w:tcPr>
            <w:tcW w:type="dxa" w:w="1871"/>
            <w:vAlign w:val="top"/>
            <w:shd w:val="clear" w:color="auto" w:fill="FDF0F7"/>
          </w:tcPr>
          <w:p>
            <w:pPr>
              <w:spacing w:after="20" w:line="252" w:lineRule="auto"/>
            </w:pPr>
            <w:r>
              <w:rPr>
                <w:b/>
                <w:i w:val="0"/>
                <w:sz w:val="16"/>
              </w:rPr>
              <w:t>Year 5</w:t>
            </w:r>
          </w:p>
        </w:tc>
        <w:tc>
          <w:tcPr>
            <w:tcW w:type="dxa" w:w="1134"/>
            <w:vAlign w:val="top"/>
            <w:shd w:val="clear" w:color="auto" w:fill="FDF0F7"/>
          </w:tcPr>
          <w:p>
            <w:pPr>
              <w:spacing w:after="20" w:line="252" w:lineRule="auto"/>
              <w:jc w:val="right"/>
            </w:pPr>
            <w:r>
              <w:rPr>
                <w:b w:val="0"/>
                <w:i w:val="0"/>
                <w:sz w:val="16"/>
              </w:rPr>
              <w:t>38,106</w:t>
            </w:r>
          </w:p>
        </w:tc>
        <w:tc>
          <w:tcPr>
            <w:tcW w:type="dxa" w:w="907"/>
            <w:vAlign w:val="top"/>
            <w:shd w:val="clear" w:color="auto" w:fill="FDF0F7"/>
          </w:tcPr>
          <w:p>
            <w:pPr>
              <w:spacing w:after="20" w:line="252" w:lineRule="auto"/>
              <w:jc w:val="right"/>
            </w:pPr>
            <w:r>
              <w:rPr>
                <w:b w:val="0"/>
                <w:i w:val="0"/>
                <w:sz w:val="16"/>
              </w:rPr>
              <w:t>0</w:t>
            </w:r>
          </w:p>
        </w:tc>
        <w:tc>
          <w:tcPr>
            <w:tcW w:type="dxa" w:w="1077"/>
            <w:vAlign w:val="top"/>
            <w:shd w:val="clear" w:color="auto" w:fill="FDF0F7"/>
          </w:tcPr>
          <w:p>
            <w:pPr>
              <w:spacing w:after="20" w:line="252" w:lineRule="auto"/>
              <w:jc w:val="right"/>
            </w:pPr>
            <w:r>
              <w:rPr>
                <w:b w:val="0"/>
                <w:i w:val="0"/>
                <w:sz w:val="16"/>
              </w:rPr>
              <w:t>38,106</w:t>
            </w:r>
          </w:p>
        </w:tc>
        <w:tc>
          <w:tcPr>
            <w:tcW w:type="dxa" w:w="1134"/>
            <w:vAlign w:val="top"/>
            <w:shd w:val="clear" w:color="auto" w:fill="FDF0F7"/>
          </w:tcPr>
          <w:p>
            <w:pPr>
              <w:spacing w:after="20" w:line="252" w:lineRule="auto"/>
              <w:jc w:val="right"/>
            </w:pPr>
            <w:r>
              <w:rPr>
                <w:b w:val="0"/>
                <w:i w:val="0"/>
                <w:sz w:val="16"/>
              </w:rPr>
              <w:t>65,640</w:t>
            </w:r>
          </w:p>
        </w:tc>
        <w:tc>
          <w:tcPr>
            <w:tcW w:type="dxa" w:w="1020"/>
            <w:vAlign w:val="top"/>
            <w:shd w:val="clear" w:color="auto" w:fill="FDF0F7"/>
          </w:tcPr>
          <w:p>
            <w:pPr>
              <w:spacing w:after="20" w:line="252" w:lineRule="auto"/>
              <w:jc w:val="right"/>
            </w:pPr>
            <w:r>
              <w:rPr>
                <w:b w:val="0"/>
                <w:i w:val="0"/>
                <w:sz w:val="16"/>
              </w:rPr>
              <w:t>15,960</w:t>
            </w:r>
          </w:p>
        </w:tc>
        <w:tc>
          <w:tcPr>
            <w:tcW w:type="dxa" w:w="907"/>
            <w:vAlign w:val="top"/>
            <w:shd w:val="clear" w:color="auto" w:fill="FDF0F7"/>
          </w:tcPr>
          <w:p>
            <w:pPr>
              <w:spacing w:after="20" w:line="252" w:lineRule="auto"/>
              <w:jc w:val="right"/>
            </w:pPr>
            <w:r>
              <w:rPr>
                <w:b w:val="0"/>
                <w:i w:val="0"/>
                <w:sz w:val="16"/>
              </w:rPr>
              <w:t>0</w:t>
            </w:r>
          </w:p>
        </w:tc>
        <w:tc>
          <w:tcPr>
            <w:tcW w:type="dxa" w:w="1587"/>
            <w:vAlign w:val="top"/>
            <w:shd w:val="clear" w:color="auto" w:fill="FDF0F7"/>
          </w:tcPr>
          <w:p>
            <w:pPr>
              <w:spacing w:after="20" w:line="252" w:lineRule="auto"/>
              <w:jc w:val="right"/>
            </w:pPr>
            <w:r>
              <w:rPr>
                <w:b w:val="0"/>
                <w:i w:val="0"/>
                <w:sz w:val="16"/>
              </w:rPr>
              <w:t>81,600</w:t>
            </w:r>
          </w:p>
        </w:tc>
      </w:tr>
      <w:tr>
        <w:trPr>
          <w:cantSplit/>
        </w:trPr>
        <w:tc>
          <w:tcPr>
            <w:tcW w:type="dxa" w:w="1871"/>
            <w:vAlign w:val="top"/>
            <w:shd w:val="clear" w:color="auto" w:fill="FEEBDD"/>
          </w:tcPr>
          <w:p>
            <w:pPr>
              <w:spacing w:after="20" w:line="252" w:lineRule="auto"/>
            </w:pPr>
            <w:r>
              <w:rPr>
                <w:b/>
                <w:i w:val="0"/>
                <w:sz w:val="16"/>
              </w:rPr>
              <w:t>Total</w:t>
            </w:r>
          </w:p>
        </w:tc>
        <w:tc>
          <w:tcPr>
            <w:tcW w:type="dxa" w:w="1134"/>
            <w:vAlign w:val="top"/>
            <w:shd w:val="clear" w:color="auto" w:fill="FEEBDD"/>
          </w:tcPr>
          <w:p>
            <w:pPr>
              <w:spacing w:after="20" w:line="252" w:lineRule="auto"/>
              <w:jc w:val="right"/>
            </w:pPr>
            <w:r>
              <w:rPr>
                <w:b/>
                <w:i w:val="0"/>
                <w:sz w:val="16"/>
              </w:rPr>
              <w:t>351,230</w:t>
            </w:r>
          </w:p>
        </w:tc>
        <w:tc>
          <w:tcPr>
            <w:tcW w:type="dxa" w:w="907"/>
            <w:vAlign w:val="top"/>
            <w:shd w:val="clear" w:color="auto" w:fill="FEEBDD"/>
          </w:tcPr>
          <w:p>
            <w:pPr>
              <w:spacing w:after="20" w:line="252" w:lineRule="auto"/>
              <w:jc w:val="right"/>
            </w:pPr>
            <w:r>
              <w:rPr>
                <w:b/>
                <w:i w:val="0"/>
                <w:sz w:val="16"/>
              </w:rPr>
              <w:t>31,440</w:t>
            </w:r>
          </w:p>
        </w:tc>
        <w:tc>
          <w:tcPr>
            <w:tcW w:type="dxa" w:w="1077"/>
            <w:vAlign w:val="top"/>
            <w:shd w:val="clear" w:color="auto" w:fill="FEEBDD"/>
          </w:tcPr>
          <w:p>
            <w:pPr>
              <w:spacing w:after="20" w:line="252" w:lineRule="auto"/>
              <w:jc w:val="right"/>
            </w:pPr>
            <w:r>
              <w:rPr>
                <w:b/>
                <w:i w:val="0"/>
                <w:sz w:val="16"/>
              </w:rPr>
              <w:t>382,670</w:t>
            </w:r>
          </w:p>
        </w:tc>
        <w:tc>
          <w:tcPr>
            <w:tcW w:type="dxa" w:w="1134"/>
            <w:vAlign w:val="top"/>
            <w:shd w:val="clear" w:color="auto" w:fill="FEEBDD"/>
          </w:tcPr>
          <w:p>
            <w:pPr>
              <w:spacing w:after="20" w:line="252" w:lineRule="auto"/>
              <w:jc w:val="right"/>
            </w:pPr>
            <w:r>
              <w:rPr>
                <w:b/>
                <w:i w:val="0"/>
                <w:sz w:val="16"/>
              </w:rPr>
              <w:t>443,404</w:t>
            </w:r>
          </w:p>
        </w:tc>
        <w:tc>
          <w:tcPr>
            <w:tcW w:type="dxa" w:w="1020"/>
            <w:vAlign w:val="top"/>
            <w:shd w:val="clear" w:color="auto" w:fill="FEEBDD"/>
          </w:tcPr>
          <w:p>
            <w:pPr>
              <w:spacing w:after="20" w:line="252" w:lineRule="auto"/>
              <w:jc w:val="right"/>
            </w:pPr>
            <w:r>
              <w:rPr>
                <w:b/>
                <w:i w:val="0"/>
                <w:sz w:val="16"/>
              </w:rPr>
              <w:t>81,300</w:t>
            </w:r>
          </w:p>
        </w:tc>
        <w:tc>
          <w:tcPr>
            <w:tcW w:type="dxa" w:w="907"/>
            <w:vAlign w:val="top"/>
            <w:shd w:val="clear" w:color="auto" w:fill="FEEBDD"/>
          </w:tcPr>
          <w:p>
            <w:pPr>
              <w:spacing w:after="20" w:line="252" w:lineRule="auto"/>
              <w:jc w:val="right"/>
            </w:pPr>
            <w:r>
              <w:rPr>
                <w:b/>
                <w:i w:val="0"/>
                <w:sz w:val="16"/>
              </w:rPr>
              <w:t>31,440</w:t>
            </w:r>
          </w:p>
        </w:tc>
        <w:tc>
          <w:tcPr>
            <w:tcW w:type="dxa" w:w="1587"/>
            <w:vAlign w:val="top"/>
            <w:shd w:val="clear" w:color="auto" w:fill="FEEBDD"/>
          </w:tcPr>
          <w:p>
            <w:pPr>
              <w:spacing w:after="20" w:line="252" w:lineRule="auto"/>
              <w:jc w:val="right"/>
            </w:pPr>
            <w:r>
              <w:rPr>
                <w:b/>
                <w:i w:val="0"/>
                <w:sz w:val="16"/>
              </w:rPr>
              <w:t>556,144</w:t>
            </w:r>
          </w:p>
        </w:tc>
      </w:tr>
    </w:tbl>
    <w:p>
      <w:pPr>
        <w:pStyle w:val="Caption"/>
        <w:jc w:val="center"/>
      </w:pPr>
      <w:r>
        <w:rPr>
          <w:b w:val="0"/>
          <w:i w:val="0"/>
        </w:rPr>
        <w:t>Table 52: Cash view by contract year (B$)</w:t>
      </w:r>
    </w:p>
    <w:p>
      <w:pPr>
        <w:keepNext w:val="0"/>
      </w:pPr>
      <w:r>
        <w:rPr>
          <w:b w:val="0"/>
          <w:i w:val="0"/>
        </w:rPr>
        <w:t>Option B needs B$ 33,000 less in one-time fees. Option A costs less over five years by B$ 173,474, and becomes the cheaper option in Year 2 even when the mid-point of IIFT's infrastructure estimate (B$ 31,250) is added to it.</w:t>
      </w:r>
    </w:p>
    <w:p>
      <w:pPr>
        <w:pStyle w:val="Heading2"/>
      </w:pPr>
      <w:r>
        <w:t>19.8 Out-of-pocket expenses (OPE)</w:t>
      </w:r>
    </w:p>
    <w:p>
      <w:pPr>
        <w:keepNext w:val="0"/>
      </w:pPr>
      <w:r>
        <w:rPr>
          <w:b w:val="0"/>
          <w:i w:val="0"/>
        </w:rPr>
        <w:t>The team works from Malaysia and India. Onsite presence in Bandar Seri Begawan is recommended for requirements gathering, user training and UAT support, go-live with one month of support and, if Option C is taken, knowledge transfer and handover. All other work is delivered remotely and carries no OPE.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1701"/>
        <w:gridCol w:w="1701"/>
        <w:gridCol w:w="3628"/>
      </w:tblGrid>
      <w:tr>
        <w:trPr>
          <w:cantSplit/>
          <w:tblHeader/>
        </w:trPr>
        <w:tc>
          <w:tcPr>
            <w:tcW w:type="dxa" w:w="2608"/>
            <w:shd w:val="clear" w:color="auto" w:fill="E1058C"/>
            <w:vAlign w:val="center"/>
          </w:tcPr>
          <w:p>
            <w:pPr>
              <w:spacing w:after="0"/>
            </w:pPr>
            <w:r>
              <w:rPr>
                <w:b/>
                <w:i w:val="0"/>
                <w:color w:val="FFFFFF"/>
                <w:sz w:val="16"/>
              </w:rPr>
              <w:t>Cost item</w:t>
            </w:r>
          </w:p>
        </w:tc>
        <w:tc>
          <w:tcPr>
            <w:tcW w:type="dxa" w:w="1701"/>
            <w:shd w:val="clear" w:color="auto" w:fill="E1058C"/>
            <w:vAlign w:val="center"/>
          </w:tcPr>
          <w:p>
            <w:pPr>
              <w:spacing w:after="0"/>
            </w:pPr>
            <w:r>
              <w:rPr>
                <w:b/>
                <w:i w:val="0"/>
                <w:color w:val="FFFFFF"/>
                <w:sz w:val="16"/>
              </w:rPr>
              <w:t>From Malaysia (B$)</w:t>
            </w:r>
          </w:p>
        </w:tc>
        <w:tc>
          <w:tcPr>
            <w:tcW w:type="dxa" w:w="1701"/>
            <w:shd w:val="clear" w:color="auto" w:fill="E1058C"/>
            <w:vAlign w:val="center"/>
          </w:tcPr>
          <w:p>
            <w:pPr>
              <w:spacing w:after="0"/>
            </w:pPr>
            <w:r>
              <w:rPr>
                <w:b/>
                <w:i w:val="0"/>
                <w:color w:val="FFFFFF"/>
                <w:sz w:val="16"/>
              </w:rPr>
              <w:t>From India (B$)</w:t>
            </w:r>
          </w:p>
        </w:tc>
        <w:tc>
          <w:tcPr>
            <w:tcW w:type="dxa" w:w="3628"/>
            <w:shd w:val="clear" w:color="auto" w:fill="E1058C"/>
            <w:vAlign w:val="center"/>
          </w:tcPr>
          <w:p>
            <w:pPr>
              <w:spacing w:after="0"/>
            </w:pPr>
            <w:r>
              <w:rPr>
                <w:b/>
                <w:i w:val="0"/>
                <w:color w:val="FFFFFF"/>
                <w:sz w:val="16"/>
              </w:rPr>
              <w:t>Basis</w:t>
            </w:r>
          </w:p>
        </w:tc>
      </w:tr>
      <w:tr>
        <w:trPr>
          <w:cantSplit/>
        </w:trPr>
        <w:tc>
          <w:tcPr>
            <w:tcW w:type="dxa" w:w="2608"/>
            <w:vAlign w:val="top"/>
          </w:tcPr>
          <w:p>
            <w:pPr>
              <w:spacing w:after="20" w:line="252" w:lineRule="auto"/>
            </w:pPr>
            <w:r>
              <w:rPr>
                <w:b/>
                <w:i w:val="0"/>
                <w:sz w:val="16"/>
              </w:rPr>
              <w:t>Return airfare (economy)</w:t>
            </w:r>
          </w:p>
        </w:tc>
        <w:tc>
          <w:tcPr>
            <w:tcW w:type="dxa" w:w="1701"/>
            <w:vAlign w:val="top"/>
          </w:tcPr>
          <w:p>
            <w:pPr>
              <w:spacing w:after="20" w:line="252" w:lineRule="auto"/>
              <w:jc w:val="right"/>
            </w:pPr>
            <w:r>
              <w:rPr>
                <w:b w:val="0"/>
                <w:i w:val="0"/>
                <w:sz w:val="16"/>
              </w:rPr>
              <w:t>500</w:t>
            </w:r>
          </w:p>
        </w:tc>
        <w:tc>
          <w:tcPr>
            <w:tcW w:type="dxa" w:w="1701"/>
            <w:vAlign w:val="top"/>
          </w:tcPr>
          <w:p>
            <w:pPr>
              <w:spacing w:after="20" w:line="252" w:lineRule="auto"/>
              <w:jc w:val="right"/>
            </w:pPr>
            <w:r>
              <w:rPr>
                <w:b w:val="0"/>
                <w:i w:val="0"/>
                <w:sz w:val="16"/>
              </w:rPr>
              <w:t>1,200</w:t>
            </w:r>
          </w:p>
        </w:tc>
        <w:tc>
          <w:tcPr>
            <w:tcW w:type="dxa" w:w="3628"/>
            <w:vAlign w:val="top"/>
          </w:tcPr>
          <w:p>
            <w:pPr>
              <w:spacing w:after="20" w:line="252" w:lineRule="auto"/>
            </w:pPr>
            <w:r>
              <w:rPr>
                <w:b w:val="0"/>
                <w:i w:val="0"/>
                <w:sz w:val="16"/>
              </w:rPr>
              <w:t>Per trip, at actuals</w:t>
            </w:r>
          </w:p>
        </w:tc>
      </w:tr>
      <w:tr>
        <w:trPr>
          <w:cantSplit/>
        </w:trPr>
        <w:tc>
          <w:tcPr>
            <w:tcW w:type="dxa" w:w="2608"/>
            <w:vAlign w:val="top"/>
            <w:shd w:val="clear" w:color="auto" w:fill="FDF0F7"/>
          </w:tcPr>
          <w:p>
            <w:pPr>
              <w:spacing w:after="20" w:line="252" w:lineRule="auto"/>
            </w:pPr>
            <w:r>
              <w:rPr>
                <w:b/>
                <w:i w:val="0"/>
                <w:sz w:val="16"/>
              </w:rPr>
              <w:t>Accommodation</w:t>
            </w:r>
          </w:p>
        </w:tc>
        <w:tc>
          <w:tcPr>
            <w:tcW w:type="dxa" w:w="1701"/>
            <w:vAlign w:val="top"/>
            <w:shd w:val="clear" w:color="auto" w:fill="FDF0F7"/>
          </w:tcPr>
          <w:p>
            <w:pPr>
              <w:spacing w:after="20" w:line="252" w:lineRule="auto"/>
              <w:jc w:val="right"/>
            </w:pPr>
            <w:r>
              <w:rPr>
                <w:b w:val="0"/>
                <w:i w:val="0"/>
                <w:sz w:val="16"/>
              </w:rPr>
              <w:t>150</w:t>
            </w:r>
          </w:p>
        </w:tc>
        <w:tc>
          <w:tcPr>
            <w:tcW w:type="dxa" w:w="1701"/>
            <w:vAlign w:val="top"/>
            <w:shd w:val="clear" w:color="auto" w:fill="FDF0F7"/>
          </w:tcPr>
          <w:p>
            <w:pPr>
              <w:spacing w:after="20" w:line="252" w:lineRule="auto"/>
              <w:jc w:val="right"/>
            </w:pPr>
            <w:r>
              <w:rPr>
                <w:b w:val="0"/>
                <w:i w:val="0"/>
                <w:sz w:val="16"/>
              </w:rPr>
              <w:t>150</w:t>
            </w:r>
          </w:p>
        </w:tc>
        <w:tc>
          <w:tcPr>
            <w:tcW w:type="dxa" w:w="3628"/>
            <w:vAlign w:val="top"/>
            <w:shd w:val="clear" w:color="auto" w:fill="FDF0F7"/>
          </w:tcPr>
          <w:p>
            <w:pPr>
              <w:spacing w:after="20" w:line="252" w:lineRule="auto"/>
            </w:pPr>
            <w:r>
              <w:rPr>
                <w:b w:val="0"/>
                <w:i w:val="0"/>
                <w:sz w:val="16"/>
              </w:rPr>
              <w:t>Per night, at actuals</w:t>
            </w:r>
          </w:p>
        </w:tc>
      </w:tr>
      <w:tr>
        <w:trPr>
          <w:cantSplit/>
        </w:trPr>
        <w:tc>
          <w:tcPr>
            <w:tcW w:type="dxa" w:w="2608"/>
            <w:vAlign w:val="top"/>
          </w:tcPr>
          <w:p>
            <w:pPr>
              <w:spacing w:after="20" w:line="252" w:lineRule="auto"/>
            </w:pPr>
            <w:r>
              <w:rPr>
                <w:b/>
                <w:i w:val="0"/>
                <w:sz w:val="16"/>
              </w:rPr>
              <w:t>Per diem (meals, local transport)</w:t>
            </w:r>
          </w:p>
        </w:tc>
        <w:tc>
          <w:tcPr>
            <w:tcW w:type="dxa" w:w="1701"/>
            <w:vAlign w:val="top"/>
          </w:tcPr>
          <w:p>
            <w:pPr>
              <w:spacing w:after="20" w:line="252" w:lineRule="auto"/>
              <w:jc w:val="right"/>
            </w:pPr>
            <w:r>
              <w:rPr>
                <w:b w:val="0"/>
                <w:i w:val="0"/>
                <w:sz w:val="16"/>
              </w:rPr>
              <w:t>65</w:t>
            </w:r>
          </w:p>
        </w:tc>
        <w:tc>
          <w:tcPr>
            <w:tcW w:type="dxa" w:w="1701"/>
            <w:vAlign w:val="top"/>
          </w:tcPr>
          <w:p>
            <w:pPr>
              <w:spacing w:after="20" w:line="252" w:lineRule="auto"/>
              <w:jc w:val="right"/>
            </w:pPr>
            <w:r>
              <w:rPr>
                <w:b w:val="0"/>
                <w:i w:val="0"/>
                <w:sz w:val="16"/>
              </w:rPr>
              <w:t>65</w:t>
            </w:r>
          </w:p>
        </w:tc>
        <w:tc>
          <w:tcPr>
            <w:tcW w:type="dxa" w:w="3628"/>
            <w:vAlign w:val="top"/>
          </w:tcPr>
          <w:p>
            <w:pPr>
              <w:spacing w:after="20" w:line="252" w:lineRule="auto"/>
            </w:pPr>
            <w:r>
              <w:rPr>
                <w:b w:val="0"/>
                <w:i w:val="0"/>
                <w:sz w:val="16"/>
              </w:rPr>
              <w:t>Per day onsite incl. travel days; fixed at USD 50</w:t>
            </w:r>
          </w:p>
        </w:tc>
      </w:tr>
      <w:tr>
        <w:trPr>
          <w:cantSplit/>
        </w:trPr>
        <w:tc>
          <w:tcPr>
            <w:tcW w:type="dxa" w:w="2608"/>
            <w:vAlign w:val="top"/>
            <w:shd w:val="clear" w:color="auto" w:fill="FDF0F7"/>
          </w:tcPr>
          <w:p>
            <w:pPr>
              <w:spacing w:after="20" w:line="252" w:lineRule="auto"/>
            </w:pPr>
            <w:r>
              <w:rPr>
                <w:b/>
                <w:i w:val="0"/>
                <w:sz w:val="16"/>
              </w:rPr>
              <w:t>Travel insurance</w:t>
            </w:r>
          </w:p>
        </w:tc>
        <w:tc>
          <w:tcPr>
            <w:tcW w:type="dxa" w:w="1701"/>
            <w:vAlign w:val="top"/>
            <w:shd w:val="clear" w:color="auto" w:fill="FDF0F7"/>
          </w:tcPr>
          <w:p>
            <w:pPr>
              <w:spacing w:after="20" w:line="252" w:lineRule="auto"/>
              <w:jc w:val="right"/>
            </w:pPr>
            <w:r>
              <w:rPr>
                <w:b w:val="0"/>
                <w:i w:val="0"/>
                <w:sz w:val="16"/>
              </w:rPr>
              <w:t>50</w:t>
            </w:r>
          </w:p>
        </w:tc>
        <w:tc>
          <w:tcPr>
            <w:tcW w:type="dxa" w:w="1701"/>
            <w:vAlign w:val="top"/>
            <w:shd w:val="clear" w:color="auto" w:fill="FDF0F7"/>
          </w:tcPr>
          <w:p>
            <w:pPr>
              <w:spacing w:after="20" w:line="252" w:lineRule="auto"/>
              <w:jc w:val="right"/>
            </w:pPr>
            <w:r>
              <w:rPr>
                <w:b w:val="0"/>
                <w:i w:val="0"/>
                <w:sz w:val="16"/>
              </w:rPr>
              <w:t>70</w:t>
            </w:r>
          </w:p>
        </w:tc>
        <w:tc>
          <w:tcPr>
            <w:tcW w:type="dxa" w:w="3628"/>
            <w:vAlign w:val="top"/>
            <w:shd w:val="clear" w:color="auto" w:fill="FDF0F7"/>
          </w:tcPr>
          <w:p>
            <w:pPr>
              <w:spacing w:after="20" w:line="252" w:lineRule="auto"/>
            </w:pPr>
            <w:r>
              <w:rPr>
                <w:b w:val="0"/>
                <w:i w:val="0"/>
                <w:sz w:val="16"/>
              </w:rPr>
              <w:t>Per trip, at actuals</w:t>
            </w:r>
          </w:p>
        </w:tc>
      </w:tr>
      <w:tr>
        <w:trPr>
          <w:cantSplit/>
        </w:trPr>
        <w:tc>
          <w:tcPr>
            <w:tcW w:type="dxa" w:w="2608"/>
            <w:vAlign w:val="top"/>
          </w:tcPr>
          <w:p>
            <w:pPr>
              <w:spacing w:after="20" w:line="252" w:lineRule="auto"/>
            </w:pPr>
            <w:r>
              <w:rPr>
                <w:b/>
                <w:i w:val="0"/>
                <w:sz w:val="16"/>
              </w:rPr>
              <w:t>Airport transfers</w:t>
            </w:r>
          </w:p>
        </w:tc>
        <w:tc>
          <w:tcPr>
            <w:tcW w:type="dxa" w:w="1701"/>
            <w:vAlign w:val="top"/>
          </w:tcPr>
          <w:p>
            <w:pPr>
              <w:spacing w:after="20" w:line="252" w:lineRule="auto"/>
              <w:jc w:val="right"/>
            </w:pPr>
            <w:r>
              <w:rPr>
                <w:b w:val="0"/>
                <w:i w:val="0"/>
                <w:sz w:val="16"/>
              </w:rPr>
              <w:t>80</w:t>
            </w:r>
          </w:p>
        </w:tc>
        <w:tc>
          <w:tcPr>
            <w:tcW w:type="dxa" w:w="1701"/>
            <w:vAlign w:val="top"/>
          </w:tcPr>
          <w:p>
            <w:pPr>
              <w:spacing w:after="20" w:line="252" w:lineRule="auto"/>
              <w:jc w:val="right"/>
            </w:pPr>
            <w:r>
              <w:rPr>
                <w:b w:val="0"/>
                <w:i w:val="0"/>
                <w:sz w:val="16"/>
              </w:rPr>
              <w:t>80</w:t>
            </w:r>
          </w:p>
        </w:tc>
        <w:tc>
          <w:tcPr>
            <w:tcW w:type="dxa" w:w="3628"/>
            <w:vAlign w:val="top"/>
          </w:tcPr>
          <w:p>
            <w:pPr>
              <w:spacing w:after="20" w:line="252" w:lineRule="auto"/>
            </w:pPr>
            <w:r>
              <w:rPr>
                <w:b w:val="0"/>
                <w:i w:val="0"/>
                <w:sz w:val="16"/>
              </w:rPr>
              <w:t>Per trip, at actuals</w:t>
            </w:r>
          </w:p>
        </w:tc>
      </w:tr>
      <w:tr>
        <w:trPr>
          <w:cantSplit/>
        </w:trPr>
        <w:tc>
          <w:tcPr>
            <w:tcW w:type="dxa" w:w="2608"/>
            <w:vAlign w:val="top"/>
            <w:shd w:val="clear" w:color="auto" w:fill="FDF0F7"/>
          </w:tcPr>
          <w:p>
            <w:pPr>
              <w:spacing w:after="20" w:line="252" w:lineRule="auto"/>
            </w:pPr>
            <w:r>
              <w:rPr>
                <w:b/>
                <w:i w:val="0"/>
                <w:sz w:val="16"/>
              </w:rPr>
              <w:t>Visa</w:t>
            </w:r>
          </w:p>
        </w:tc>
        <w:tc>
          <w:tcPr>
            <w:tcW w:type="dxa" w:w="1701"/>
            <w:vAlign w:val="top"/>
            <w:shd w:val="clear" w:color="auto" w:fill="FDF0F7"/>
          </w:tcPr>
          <w:p>
            <w:pPr>
              <w:spacing w:after="20" w:line="252" w:lineRule="auto"/>
              <w:jc w:val="right"/>
            </w:pPr>
            <w:r>
              <w:rPr>
                <w:b w:val="0"/>
                <w:i w:val="0"/>
                <w:sz w:val="16"/>
              </w:rPr>
              <w:t>0 (visa-free)</w:t>
            </w:r>
          </w:p>
        </w:tc>
        <w:tc>
          <w:tcPr>
            <w:tcW w:type="dxa" w:w="1701"/>
            <w:vAlign w:val="top"/>
            <w:shd w:val="clear" w:color="auto" w:fill="FDF0F7"/>
          </w:tcPr>
          <w:p>
            <w:pPr>
              <w:spacing w:after="20" w:line="252" w:lineRule="auto"/>
              <w:jc w:val="right"/>
            </w:pPr>
            <w:r>
              <w:rPr>
                <w:b w:val="0"/>
                <w:i w:val="0"/>
                <w:sz w:val="16"/>
              </w:rPr>
              <w:t>40</w:t>
            </w:r>
          </w:p>
        </w:tc>
        <w:tc>
          <w:tcPr>
            <w:tcW w:type="dxa" w:w="3628"/>
            <w:vAlign w:val="top"/>
            <w:shd w:val="clear" w:color="auto" w:fill="FDF0F7"/>
          </w:tcPr>
          <w:p>
            <w:pPr>
              <w:spacing w:after="20" w:line="252" w:lineRule="auto"/>
            </w:pPr>
            <w:r>
              <w:rPr>
                <w:b w:val="0"/>
                <w:i w:val="0"/>
                <w:sz w:val="16"/>
              </w:rPr>
              <w:t>Per trip, at actuals</w:t>
            </w:r>
          </w:p>
        </w:tc>
      </w:tr>
    </w:tbl>
    <w:p>
      <w:pPr>
        <w:pStyle w:val="Caption"/>
        <w:jc w:val="center"/>
      </w:pPr>
      <w:r>
        <w:rPr>
          <w:b w:val="0"/>
          <w:i w:val="0"/>
        </w:rPr>
        <w:t>Table 53: OPE unit rates used for the estimate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494"/>
        <w:gridCol w:w="963"/>
        <w:gridCol w:w="737"/>
        <w:gridCol w:w="850"/>
        <w:gridCol w:w="850"/>
        <w:gridCol w:w="907"/>
        <w:gridCol w:w="1474"/>
        <w:gridCol w:w="1360"/>
      </w:tblGrid>
      <w:tr>
        <w:trPr>
          <w:cantSplit/>
          <w:tblHeader/>
        </w:trPr>
        <w:tc>
          <w:tcPr>
            <w:tcW w:type="dxa" w:w="2494"/>
            <w:shd w:val="clear" w:color="auto" w:fill="E1058C"/>
            <w:vAlign w:val="center"/>
          </w:tcPr>
          <w:p>
            <w:pPr>
              <w:spacing w:after="0"/>
            </w:pPr>
            <w:r>
              <w:rPr>
                <w:b/>
                <w:i w:val="0"/>
                <w:color w:val="FFFFFF"/>
                <w:sz w:val="16"/>
              </w:rPr>
              <w:t>Role</w:t>
            </w:r>
          </w:p>
        </w:tc>
        <w:tc>
          <w:tcPr>
            <w:tcW w:type="dxa" w:w="964"/>
            <w:shd w:val="clear" w:color="auto" w:fill="E1058C"/>
            <w:vAlign w:val="center"/>
          </w:tcPr>
          <w:p>
            <w:pPr>
              <w:spacing w:after="0"/>
            </w:pPr>
            <w:r>
              <w:rPr>
                <w:b/>
                <w:i w:val="0"/>
                <w:color w:val="FFFFFF"/>
                <w:sz w:val="16"/>
              </w:rPr>
              <w:t>From</w:t>
            </w:r>
          </w:p>
        </w:tc>
        <w:tc>
          <w:tcPr>
            <w:tcW w:type="dxa" w:w="737"/>
            <w:shd w:val="clear" w:color="auto" w:fill="E1058C"/>
            <w:vAlign w:val="center"/>
          </w:tcPr>
          <w:p>
            <w:pPr>
              <w:spacing w:after="0"/>
            </w:pPr>
            <w:r>
              <w:rPr>
                <w:b/>
                <w:i w:val="0"/>
                <w:color w:val="FFFFFF"/>
                <w:sz w:val="16"/>
              </w:rPr>
              <w:t>Nights</w:t>
            </w:r>
          </w:p>
        </w:tc>
        <w:tc>
          <w:tcPr>
            <w:tcW w:type="dxa" w:w="850"/>
            <w:shd w:val="clear" w:color="auto" w:fill="E1058C"/>
            <w:vAlign w:val="center"/>
          </w:tcPr>
          <w:p>
            <w:pPr>
              <w:spacing w:after="0"/>
            </w:pPr>
            <w:r>
              <w:rPr>
                <w:b/>
                <w:i w:val="0"/>
                <w:color w:val="FFFFFF"/>
                <w:sz w:val="16"/>
              </w:rPr>
              <w:t>Airfare</w:t>
            </w:r>
          </w:p>
        </w:tc>
        <w:tc>
          <w:tcPr>
            <w:tcW w:type="dxa" w:w="850"/>
            <w:shd w:val="clear" w:color="auto" w:fill="E1058C"/>
            <w:vAlign w:val="center"/>
          </w:tcPr>
          <w:p>
            <w:pPr>
              <w:spacing w:after="0"/>
            </w:pPr>
            <w:r>
              <w:rPr>
                <w:b/>
                <w:i w:val="0"/>
                <w:color w:val="FFFFFF"/>
                <w:sz w:val="16"/>
              </w:rPr>
              <w:t>Hotel</w:t>
            </w:r>
          </w:p>
        </w:tc>
        <w:tc>
          <w:tcPr>
            <w:tcW w:type="dxa" w:w="907"/>
            <w:shd w:val="clear" w:color="auto" w:fill="E1058C"/>
            <w:vAlign w:val="center"/>
          </w:tcPr>
          <w:p>
            <w:pPr>
              <w:spacing w:after="0"/>
            </w:pPr>
            <w:r>
              <w:rPr>
                <w:b/>
                <w:i w:val="0"/>
                <w:color w:val="FFFFFF"/>
                <w:sz w:val="16"/>
              </w:rPr>
              <w:t>Per diem</w:t>
            </w:r>
          </w:p>
        </w:tc>
        <w:tc>
          <w:tcPr>
            <w:tcW w:type="dxa" w:w="1474"/>
            <w:shd w:val="clear" w:color="auto" w:fill="E1058C"/>
            <w:vAlign w:val="center"/>
          </w:tcPr>
          <w:p>
            <w:pPr>
              <w:spacing w:after="0"/>
            </w:pPr>
            <w:r>
              <w:rPr>
                <w:b/>
                <w:i w:val="0"/>
                <w:color w:val="FFFFFF"/>
                <w:sz w:val="16"/>
              </w:rPr>
              <w:t>Insurance, transfers, visa</w:t>
            </w:r>
          </w:p>
        </w:tc>
        <w:tc>
          <w:tcPr>
            <w:tcW w:type="dxa" w:w="1361"/>
            <w:shd w:val="clear" w:color="auto" w:fill="E1058C"/>
            <w:vAlign w:val="center"/>
          </w:tcPr>
          <w:p>
            <w:pPr>
              <w:spacing w:after="0"/>
            </w:pPr>
            <w:r>
              <w:rPr>
                <w:b/>
                <w:i w:val="0"/>
                <w:color w:val="FFFFFF"/>
                <w:sz w:val="16"/>
              </w:rPr>
              <w:t>Total (B$)</w:t>
            </w:r>
          </w:p>
        </w:tc>
      </w:tr>
      <w:tr>
        <w:trPr>
          <w:cantSplit/>
        </w:trPr>
        <w:tc>
          <w:tcPr>
            <w:tcW w:type="dxa" w:w="1361"/>
            <w:gridSpan w:val="8"/>
            <w:shd w:val="clear" w:color="auto" w:fill="FEEBDD"/>
          </w:tcPr>
          <w:p>
            <w:pPr>
              <w:spacing w:after="0"/>
            </w:pPr>
            <w:r>
              <w:rPr>
                <w:b/>
                <w:i w:val="0"/>
                <w:color w:val="333333"/>
                <w:sz w:val="16"/>
              </w:rPr>
              <w:t>Requirements gathering and fit-gap (weeks 1–4)</w:t>
            </w:r>
          </w:p>
        </w:tc>
      </w:tr>
      <w:tr>
        <w:trPr>
          <w:cantSplit/>
        </w:trPr>
        <w:tc>
          <w:tcPr>
            <w:tcW w:type="dxa" w:w="2494"/>
            <w:vAlign w:val="top"/>
          </w:tcPr>
          <w:p>
            <w:pPr>
              <w:spacing w:after="20" w:line="252" w:lineRule="auto"/>
            </w:pPr>
            <w:r>
              <w:rPr>
                <w:b w:val="0"/>
                <w:i w:val="0"/>
                <w:sz w:val="16"/>
              </w:rPr>
              <w:t>Project Manager</w:t>
            </w:r>
          </w:p>
        </w:tc>
        <w:tc>
          <w:tcPr>
            <w:tcW w:type="dxa" w:w="964"/>
            <w:vAlign w:val="top"/>
          </w:tcPr>
          <w:p>
            <w:pPr>
              <w:spacing w:after="20" w:line="252" w:lineRule="auto"/>
            </w:pPr>
            <w:r>
              <w:rPr>
                <w:b w:val="0"/>
                <w:i w:val="0"/>
                <w:sz w:val="16"/>
              </w:rPr>
              <w:t>Malaysia</w:t>
            </w:r>
          </w:p>
        </w:tc>
        <w:tc>
          <w:tcPr>
            <w:tcW w:type="dxa" w:w="737"/>
            <w:vAlign w:val="top"/>
          </w:tcPr>
          <w:p>
            <w:pPr>
              <w:spacing w:after="20" w:line="252" w:lineRule="auto"/>
              <w:jc w:val="right"/>
            </w:pPr>
            <w:r>
              <w:rPr>
                <w:b w:val="0"/>
                <w:i w:val="0"/>
                <w:sz w:val="16"/>
              </w:rPr>
              <w:t>12</w:t>
            </w:r>
          </w:p>
        </w:tc>
        <w:tc>
          <w:tcPr>
            <w:tcW w:type="dxa" w:w="850"/>
            <w:vAlign w:val="top"/>
          </w:tcPr>
          <w:p>
            <w:pPr>
              <w:spacing w:after="20" w:line="252" w:lineRule="auto"/>
              <w:jc w:val="right"/>
            </w:pPr>
            <w:r>
              <w:rPr>
                <w:b w:val="0"/>
                <w:i w:val="0"/>
                <w:sz w:val="16"/>
              </w:rPr>
              <w:t>500</w:t>
            </w:r>
          </w:p>
        </w:tc>
        <w:tc>
          <w:tcPr>
            <w:tcW w:type="dxa" w:w="850"/>
            <w:vAlign w:val="top"/>
          </w:tcPr>
          <w:p>
            <w:pPr>
              <w:spacing w:after="20" w:line="252" w:lineRule="auto"/>
              <w:jc w:val="right"/>
            </w:pPr>
            <w:r>
              <w:rPr>
                <w:b w:val="0"/>
                <w:i w:val="0"/>
                <w:sz w:val="16"/>
              </w:rPr>
              <w:t>1,800</w:t>
            </w:r>
          </w:p>
        </w:tc>
        <w:tc>
          <w:tcPr>
            <w:tcW w:type="dxa" w:w="907"/>
            <w:vAlign w:val="top"/>
          </w:tcPr>
          <w:p>
            <w:pPr>
              <w:spacing w:after="20" w:line="252" w:lineRule="auto"/>
              <w:jc w:val="right"/>
            </w:pPr>
            <w:r>
              <w:rPr>
                <w:b w:val="0"/>
                <w:i w:val="0"/>
                <w:sz w:val="16"/>
              </w:rPr>
              <w:t>845</w:t>
            </w:r>
          </w:p>
        </w:tc>
        <w:tc>
          <w:tcPr>
            <w:tcW w:type="dxa" w:w="1474"/>
            <w:vAlign w:val="top"/>
          </w:tcPr>
          <w:p>
            <w:pPr>
              <w:spacing w:after="20" w:line="252" w:lineRule="auto"/>
              <w:jc w:val="right"/>
            </w:pPr>
            <w:r>
              <w:rPr>
                <w:b w:val="0"/>
                <w:i w:val="0"/>
                <w:sz w:val="16"/>
              </w:rPr>
              <w:t>130</w:t>
            </w:r>
          </w:p>
        </w:tc>
        <w:tc>
          <w:tcPr>
            <w:tcW w:type="dxa" w:w="1361"/>
            <w:vAlign w:val="top"/>
          </w:tcPr>
          <w:p>
            <w:pPr>
              <w:spacing w:after="20" w:line="252" w:lineRule="auto"/>
              <w:jc w:val="right"/>
            </w:pPr>
            <w:r>
              <w:rPr>
                <w:b w:val="0"/>
                <w:i w:val="0"/>
                <w:sz w:val="16"/>
              </w:rPr>
              <w:t>3,275</w:t>
            </w:r>
          </w:p>
        </w:tc>
      </w:tr>
      <w:tr>
        <w:trPr>
          <w:cantSplit/>
        </w:trPr>
        <w:tc>
          <w:tcPr>
            <w:tcW w:type="dxa" w:w="2494"/>
            <w:vAlign w:val="top"/>
            <w:shd w:val="clear" w:color="auto" w:fill="FDF0F7"/>
          </w:tcPr>
          <w:p>
            <w:pPr>
              <w:spacing w:after="20" w:line="252" w:lineRule="auto"/>
            </w:pPr>
            <w:r>
              <w:rPr>
                <w:b w:val="0"/>
                <w:i w:val="0"/>
                <w:sz w:val="16"/>
              </w:rPr>
              <w:t>Business Analyst</w:t>
            </w:r>
          </w:p>
        </w:tc>
        <w:tc>
          <w:tcPr>
            <w:tcW w:type="dxa" w:w="964"/>
            <w:vAlign w:val="top"/>
            <w:shd w:val="clear" w:color="auto" w:fill="FDF0F7"/>
          </w:tcPr>
          <w:p>
            <w:pPr>
              <w:spacing w:after="20" w:line="252" w:lineRule="auto"/>
            </w:pPr>
            <w:r>
              <w:rPr>
                <w:b w:val="0"/>
                <w:i w:val="0"/>
                <w:sz w:val="16"/>
              </w:rPr>
              <w:t>Malaysia</w:t>
            </w:r>
          </w:p>
        </w:tc>
        <w:tc>
          <w:tcPr>
            <w:tcW w:type="dxa" w:w="737"/>
            <w:vAlign w:val="top"/>
            <w:shd w:val="clear" w:color="auto" w:fill="FDF0F7"/>
          </w:tcPr>
          <w:p>
            <w:pPr>
              <w:spacing w:after="20" w:line="252" w:lineRule="auto"/>
              <w:jc w:val="right"/>
            </w:pPr>
            <w:r>
              <w:rPr>
                <w:b w:val="0"/>
                <w:i w:val="0"/>
                <w:sz w:val="16"/>
              </w:rPr>
              <w:t>19</w:t>
            </w:r>
          </w:p>
        </w:tc>
        <w:tc>
          <w:tcPr>
            <w:tcW w:type="dxa" w:w="850"/>
            <w:vAlign w:val="top"/>
            <w:shd w:val="clear" w:color="auto" w:fill="FDF0F7"/>
          </w:tcPr>
          <w:p>
            <w:pPr>
              <w:spacing w:after="20" w:line="252" w:lineRule="auto"/>
              <w:jc w:val="right"/>
            </w:pPr>
            <w:r>
              <w:rPr>
                <w:b w:val="0"/>
                <w:i w:val="0"/>
                <w:sz w:val="16"/>
              </w:rPr>
              <w:t>500</w:t>
            </w:r>
          </w:p>
        </w:tc>
        <w:tc>
          <w:tcPr>
            <w:tcW w:type="dxa" w:w="850"/>
            <w:vAlign w:val="top"/>
            <w:shd w:val="clear" w:color="auto" w:fill="FDF0F7"/>
          </w:tcPr>
          <w:p>
            <w:pPr>
              <w:spacing w:after="20" w:line="252" w:lineRule="auto"/>
              <w:jc w:val="right"/>
            </w:pPr>
            <w:r>
              <w:rPr>
                <w:b w:val="0"/>
                <w:i w:val="0"/>
                <w:sz w:val="16"/>
              </w:rPr>
              <w:t>2,850</w:t>
            </w:r>
          </w:p>
        </w:tc>
        <w:tc>
          <w:tcPr>
            <w:tcW w:type="dxa" w:w="907"/>
            <w:vAlign w:val="top"/>
            <w:shd w:val="clear" w:color="auto" w:fill="FDF0F7"/>
          </w:tcPr>
          <w:p>
            <w:pPr>
              <w:spacing w:after="20" w:line="252" w:lineRule="auto"/>
              <w:jc w:val="right"/>
            </w:pPr>
            <w:r>
              <w:rPr>
                <w:b w:val="0"/>
                <w:i w:val="0"/>
                <w:sz w:val="16"/>
              </w:rPr>
              <w:t>1,300</w:t>
            </w:r>
          </w:p>
        </w:tc>
        <w:tc>
          <w:tcPr>
            <w:tcW w:type="dxa" w:w="1474"/>
            <w:vAlign w:val="top"/>
            <w:shd w:val="clear" w:color="auto" w:fill="FDF0F7"/>
          </w:tcPr>
          <w:p>
            <w:pPr>
              <w:spacing w:after="20" w:line="252" w:lineRule="auto"/>
              <w:jc w:val="right"/>
            </w:pPr>
            <w:r>
              <w:rPr>
                <w:b w:val="0"/>
                <w:i w:val="0"/>
                <w:sz w:val="16"/>
              </w:rPr>
              <w:t>130</w:t>
            </w:r>
          </w:p>
        </w:tc>
        <w:tc>
          <w:tcPr>
            <w:tcW w:type="dxa" w:w="1361"/>
            <w:vAlign w:val="top"/>
            <w:shd w:val="clear" w:color="auto" w:fill="FDF0F7"/>
          </w:tcPr>
          <w:p>
            <w:pPr>
              <w:spacing w:after="20" w:line="252" w:lineRule="auto"/>
              <w:jc w:val="right"/>
            </w:pPr>
            <w:r>
              <w:rPr>
                <w:b w:val="0"/>
                <w:i w:val="0"/>
                <w:sz w:val="16"/>
              </w:rPr>
              <w:t>4,780</w:t>
            </w:r>
          </w:p>
        </w:tc>
      </w:tr>
      <w:tr>
        <w:trPr>
          <w:cantSplit/>
        </w:trPr>
        <w:tc>
          <w:tcPr>
            <w:tcW w:type="dxa" w:w="2494"/>
            <w:vAlign w:val="top"/>
          </w:tcPr>
          <w:p>
            <w:pPr>
              <w:spacing w:after="20" w:line="252" w:lineRule="auto"/>
            </w:pPr>
            <w:r>
              <w:rPr>
                <w:b w:val="0"/>
                <w:i w:val="0"/>
                <w:sz w:val="16"/>
              </w:rPr>
              <w:t>Solution Architect</w:t>
            </w:r>
          </w:p>
        </w:tc>
        <w:tc>
          <w:tcPr>
            <w:tcW w:type="dxa" w:w="964"/>
            <w:vAlign w:val="top"/>
          </w:tcPr>
          <w:p>
            <w:pPr>
              <w:spacing w:after="20" w:line="252" w:lineRule="auto"/>
            </w:pPr>
            <w:r>
              <w:rPr>
                <w:b w:val="0"/>
                <w:i w:val="0"/>
                <w:sz w:val="16"/>
              </w:rPr>
              <w:t>India</w:t>
            </w:r>
          </w:p>
        </w:tc>
        <w:tc>
          <w:tcPr>
            <w:tcW w:type="dxa" w:w="737"/>
            <w:vAlign w:val="top"/>
          </w:tcPr>
          <w:p>
            <w:pPr>
              <w:spacing w:after="20" w:line="252" w:lineRule="auto"/>
              <w:jc w:val="right"/>
            </w:pPr>
            <w:r>
              <w:rPr>
                <w:b w:val="0"/>
                <w:i w:val="0"/>
                <w:sz w:val="16"/>
              </w:rPr>
              <w:t>12</w:t>
            </w:r>
          </w:p>
        </w:tc>
        <w:tc>
          <w:tcPr>
            <w:tcW w:type="dxa" w:w="850"/>
            <w:vAlign w:val="top"/>
          </w:tcPr>
          <w:p>
            <w:pPr>
              <w:spacing w:after="20" w:line="252" w:lineRule="auto"/>
              <w:jc w:val="right"/>
            </w:pPr>
            <w:r>
              <w:rPr>
                <w:b w:val="0"/>
                <w:i w:val="0"/>
                <w:sz w:val="16"/>
              </w:rPr>
              <w:t>1,200</w:t>
            </w:r>
          </w:p>
        </w:tc>
        <w:tc>
          <w:tcPr>
            <w:tcW w:type="dxa" w:w="850"/>
            <w:vAlign w:val="top"/>
          </w:tcPr>
          <w:p>
            <w:pPr>
              <w:spacing w:after="20" w:line="252" w:lineRule="auto"/>
              <w:jc w:val="right"/>
            </w:pPr>
            <w:r>
              <w:rPr>
                <w:b w:val="0"/>
                <w:i w:val="0"/>
                <w:sz w:val="16"/>
              </w:rPr>
              <w:t>1,800</w:t>
            </w:r>
          </w:p>
        </w:tc>
        <w:tc>
          <w:tcPr>
            <w:tcW w:type="dxa" w:w="907"/>
            <w:vAlign w:val="top"/>
          </w:tcPr>
          <w:p>
            <w:pPr>
              <w:spacing w:after="20" w:line="252" w:lineRule="auto"/>
              <w:jc w:val="right"/>
            </w:pPr>
            <w:r>
              <w:rPr>
                <w:b w:val="0"/>
                <w:i w:val="0"/>
                <w:sz w:val="16"/>
              </w:rPr>
              <w:t>845</w:t>
            </w:r>
          </w:p>
        </w:tc>
        <w:tc>
          <w:tcPr>
            <w:tcW w:type="dxa" w:w="1474"/>
            <w:vAlign w:val="top"/>
          </w:tcPr>
          <w:p>
            <w:pPr>
              <w:spacing w:after="20" w:line="252" w:lineRule="auto"/>
              <w:jc w:val="right"/>
            </w:pPr>
            <w:r>
              <w:rPr>
                <w:b w:val="0"/>
                <w:i w:val="0"/>
                <w:sz w:val="16"/>
              </w:rPr>
              <w:t>190</w:t>
            </w:r>
          </w:p>
        </w:tc>
        <w:tc>
          <w:tcPr>
            <w:tcW w:type="dxa" w:w="1361"/>
            <w:vAlign w:val="top"/>
          </w:tcPr>
          <w:p>
            <w:pPr>
              <w:spacing w:after="20" w:line="252" w:lineRule="auto"/>
              <w:jc w:val="right"/>
            </w:pPr>
            <w:r>
              <w:rPr>
                <w:b w:val="0"/>
                <w:i w:val="0"/>
                <w:sz w:val="16"/>
              </w:rPr>
              <w:t>4,035</w:t>
            </w:r>
          </w:p>
        </w:tc>
      </w:tr>
      <w:tr>
        <w:trPr>
          <w:cantSplit/>
        </w:trPr>
        <w:tc>
          <w:tcPr>
            <w:tcW w:type="dxa" w:w="1361"/>
            <w:gridSpan w:val="8"/>
            <w:shd w:val="clear" w:color="auto" w:fill="FEEBDD"/>
          </w:tcPr>
          <w:p>
            <w:pPr>
              <w:spacing w:after="0"/>
            </w:pPr>
            <w:r>
              <w:rPr>
                <w:b/>
                <w:i w:val="0"/>
                <w:color w:val="333333"/>
                <w:sz w:val="16"/>
              </w:rPr>
              <w:t>User training and UAT support (weeks 19–23)</w:t>
            </w:r>
          </w:p>
        </w:tc>
      </w:tr>
      <w:tr>
        <w:trPr>
          <w:cantSplit/>
        </w:trPr>
        <w:tc>
          <w:tcPr>
            <w:tcW w:type="dxa" w:w="2494"/>
            <w:vAlign w:val="top"/>
          </w:tcPr>
          <w:p>
            <w:pPr>
              <w:spacing w:after="20" w:line="252" w:lineRule="auto"/>
            </w:pPr>
            <w:r>
              <w:rPr>
                <w:b w:val="0"/>
                <w:i w:val="0"/>
                <w:sz w:val="16"/>
              </w:rPr>
              <w:t>Business Analyst / Trainer</w:t>
            </w:r>
          </w:p>
        </w:tc>
        <w:tc>
          <w:tcPr>
            <w:tcW w:type="dxa" w:w="964"/>
            <w:vAlign w:val="top"/>
          </w:tcPr>
          <w:p>
            <w:pPr>
              <w:spacing w:after="20" w:line="252" w:lineRule="auto"/>
            </w:pPr>
            <w:r>
              <w:rPr>
                <w:b w:val="0"/>
                <w:i w:val="0"/>
                <w:sz w:val="16"/>
              </w:rPr>
              <w:t>Malaysia</w:t>
            </w:r>
          </w:p>
        </w:tc>
        <w:tc>
          <w:tcPr>
            <w:tcW w:type="dxa" w:w="737"/>
            <w:vAlign w:val="top"/>
          </w:tcPr>
          <w:p>
            <w:pPr>
              <w:spacing w:after="20" w:line="252" w:lineRule="auto"/>
              <w:jc w:val="right"/>
            </w:pPr>
            <w:r>
              <w:rPr>
                <w:b w:val="0"/>
                <w:i w:val="0"/>
                <w:sz w:val="16"/>
              </w:rPr>
              <w:t>19</w:t>
            </w:r>
          </w:p>
        </w:tc>
        <w:tc>
          <w:tcPr>
            <w:tcW w:type="dxa" w:w="850"/>
            <w:vAlign w:val="top"/>
          </w:tcPr>
          <w:p>
            <w:pPr>
              <w:spacing w:after="20" w:line="252" w:lineRule="auto"/>
              <w:jc w:val="right"/>
            </w:pPr>
            <w:r>
              <w:rPr>
                <w:b w:val="0"/>
                <w:i w:val="0"/>
                <w:sz w:val="16"/>
              </w:rPr>
              <w:t>500</w:t>
            </w:r>
          </w:p>
        </w:tc>
        <w:tc>
          <w:tcPr>
            <w:tcW w:type="dxa" w:w="850"/>
            <w:vAlign w:val="top"/>
          </w:tcPr>
          <w:p>
            <w:pPr>
              <w:spacing w:after="20" w:line="252" w:lineRule="auto"/>
              <w:jc w:val="right"/>
            </w:pPr>
            <w:r>
              <w:rPr>
                <w:b w:val="0"/>
                <w:i w:val="0"/>
                <w:sz w:val="16"/>
              </w:rPr>
              <w:t>2,850</w:t>
            </w:r>
          </w:p>
        </w:tc>
        <w:tc>
          <w:tcPr>
            <w:tcW w:type="dxa" w:w="907"/>
            <w:vAlign w:val="top"/>
          </w:tcPr>
          <w:p>
            <w:pPr>
              <w:spacing w:after="20" w:line="252" w:lineRule="auto"/>
              <w:jc w:val="right"/>
            </w:pPr>
            <w:r>
              <w:rPr>
                <w:b w:val="0"/>
                <w:i w:val="0"/>
                <w:sz w:val="16"/>
              </w:rPr>
              <w:t>1,300</w:t>
            </w:r>
          </w:p>
        </w:tc>
        <w:tc>
          <w:tcPr>
            <w:tcW w:type="dxa" w:w="1474"/>
            <w:vAlign w:val="top"/>
          </w:tcPr>
          <w:p>
            <w:pPr>
              <w:spacing w:after="20" w:line="252" w:lineRule="auto"/>
              <w:jc w:val="right"/>
            </w:pPr>
            <w:r>
              <w:rPr>
                <w:b w:val="0"/>
                <w:i w:val="0"/>
                <w:sz w:val="16"/>
              </w:rPr>
              <w:t>130</w:t>
            </w:r>
          </w:p>
        </w:tc>
        <w:tc>
          <w:tcPr>
            <w:tcW w:type="dxa" w:w="1361"/>
            <w:vAlign w:val="top"/>
          </w:tcPr>
          <w:p>
            <w:pPr>
              <w:spacing w:after="20" w:line="252" w:lineRule="auto"/>
              <w:jc w:val="right"/>
            </w:pPr>
            <w:r>
              <w:rPr>
                <w:b w:val="0"/>
                <w:i w:val="0"/>
                <w:sz w:val="16"/>
              </w:rPr>
              <w:t>4,780</w:t>
            </w:r>
          </w:p>
        </w:tc>
      </w:tr>
      <w:tr>
        <w:trPr>
          <w:cantSplit/>
        </w:trPr>
        <w:tc>
          <w:tcPr>
            <w:tcW w:type="dxa" w:w="2494"/>
            <w:vAlign w:val="top"/>
            <w:shd w:val="clear" w:color="auto" w:fill="FDF0F7"/>
          </w:tcPr>
          <w:p>
            <w:pPr>
              <w:spacing w:after="20" w:line="252" w:lineRule="auto"/>
            </w:pPr>
            <w:r>
              <w:rPr>
                <w:b w:val="0"/>
                <w:i w:val="0"/>
                <w:sz w:val="16"/>
              </w:rPr>
              <w:t>QA Lead</w:t>
            </w:r>
          </w:p>
        </w:tc>
        <w:tc>
          <w:tcPr>
            <w:tcW w:type="dxa" w:w="964"/>
            <w:vAlign w:val="top"/>
            <w:shd w:val="clear" w:color="auto" w:fill="FDF0F7"/>
          </w:tcPr>
          <w:p>
            <w:pPr>
              <w:spacing w:after="20" w:line="252" w:lineRule="auto"/>
            </w:pPr>
            <w:r>
              <w:rPr>
                <w:b w:val="0"/>
                <w:i w:val="0"/>
                <w:sz w:val="16"/>
              </w:rPr>
              <w:t>India</w:t>
            </w:r>
          </w:p>
        </w:tc>
        <w:tc>
          <w:tcPr>
            <w:tcW w:type="dxa" w:w="737"/>
            <w:vAlign w:val="top"/>
            <w:shd w:val="clear" w:color="auto" w:fill="FDF0F7"/>
          </w:tcPr>
          <w:p>
            <w:pPr>
              <w:spacing w:after="20" w:line="252" w:lineRule="auto"/>
              <w:jc w:val="right"/>
            </w:pPr>
            <w:r>
              <w:rPr>
                <w:b w:val="0"/>
                <w:i w:val="0"/>
                <w:sz w:val="16"/>
              </w:rPr>
              <w:t>12</w:t>
            </w:r>
          </w:p>
        </w:tc>
        <w:tc>
          <w:tcPr>
            <w:tcW w:type="dxa" w:w="850"/>
            <w:vAlign w:val="top"/>
            <w:shd w:val="clear" w:color="auto" w:fill="FDF0F7"/>
          </w:tcPr>
          <w:p>
            <w:pPr>
              <w:spacing w:after="20" w:line="252" w:lineRule="auto"/>
              <w:jc w:val="right"/>
            </w:pPr>
            <w:r>
              <w:rPr>
                <w:b w:val="0"/>
                <w:i w:val="0"/>
                <w:sz w:val="16"/>
              </w:rPr>
              <w:t>1,200</w:t>
            </w:r>
          </w:p>
        </w:tc>
        <w:tc>
          <w:tcPr>
            <w:tcW w:type="dxa" w:w="850"/>
            <w:vAlign w:val="top"/>
            <w:shd w:val="clear" w:color="auto" w:fill="FDF0F7"/>
          </w:tcPr>
          <w:p>
            <w:pPr>
              <w:spacing w:after="20" w:line="252" w:lineRule="auto"/>
              <w:jc w:val="right"/>
            </w:pPr>
            <w:r>
              <w:rPr>
                <w:b w:val="0"/>
                <w:i w:val="0"/>
                <w:sz w:val="16"/>
              </w:rPr>
              <w:t>1,800</w:t>
            </w:r>
          </w:p>
        </w:tc>
        <w:tc>
          <w:tcPr>
            <w:tcW w:type="dxa" w:w="907"/>
            <w:vAlign w:val="top"/>
            <w:shd w:val="clear" w:color="auto" w:fill="FDF0F7"/>
          </w:tcPr>
          <w:p>
            <w:pPr>
              <w:spacing w:after="20" w:line="252" w:lineRule="auto"/>
              <w:jc w:val="right"/>
            </w:pPr>
            <w:r>
              <w:rPr>
                <w:b w:val="0"/>
                <w:i w:val="0"/>
                <w:sz w:val="16"/>
              </w:rPr>
              <w:t>845</w:t>
            </w:r>
          </w:p>
        </w:tc>
        <w:tc>
          <w:tcPr>
            <w:tcW w:type="dxa" w:w="1474"/>
            <w:vAlign w:val="top"/>
            <w:shd w:val="clear" w:color="auto" w:fill="FDF0F7"/>
          </w:tcPr>
          <w:p>
            <w:pPr>
              <w:spacing w:after="20" w:line="252" w:lineRule="auto"/>
              <w:jc w:val="right"/>
            </w:pPr>
            <w:r>
              <w:rPr>
                <w:b w:val="0"/>
                <w:i w:val="0"/>
                <w:sz w:val="16"/>
              </w:rPr>
              <w:t>190</w:t>
            </w:r>
          </w:p>
        </w:tc>
        <w:tc>
          <w:tcPr>
            <w:tcW w:type="dxa" w:w="1361"/>
            <w:vAlign w:val="top"/>
            <w:shd w:val="clear" w:color="auto" w:fill="FDF0F7"/>
          </w:tcPr>
          <w:p>
            <w:pPr>
              <w:spacing w:after="20" w:line="252" w:lineRule="auto"/>
              <w:jc w:val="right"/>
            </w:pPr>
            <w:r>
              <w:rPr>
                <w:b w:val="0"/>
                <w:i w:val="0"/>
                <w:sz w:val="16"/>
              </w:rPr>
              <w:t>4,035</w:t>
            </w:r>
          </w:p>
        </w:tc>
      </w:tr>
      <w:tr>
        <w:trPr>
          <w:cantSplit/>
        </w:trPr>
        <w:tc>
          <w:tcPr>
            <w:tcW w:type="dxa" w:w="1361"/>
            <w:gridSpan w:val="8"/>
            <w:shd w:val="clear" w:color="auto" w:fill="FEEBDD"/>
          </w:tcPr>
          <w:p>
            <w:pPr>
              <w:spacing w:after="0"/>
            </w:pPr>
            <w:r>
              <w:rPr>
                <w:b/>
                <w:i w:val="0"/>
                <w:color w:val="333333"/>
                <w:sz w:val="16"/>
              </w:rPr>
              <w:t>Go-live and one month of support (weeks 24–28)</w:t>
            </w:r>
          </w:p>
        </w:tc>
      </w:tr>
      <w:tr>
        <w:trPr>
          <w:cantSplit/>
        </w:trPr>
        <w:tc>
          <w:tcPr>
            <w:tcW w:type="dxa" w:w="2494"/>
            <w:vAlign w:val="top"/>
          </w:tcPr>
          <w:p>
            <w:pPr>
              <w:spacing w:after="20" w:line="252" w:lineRule="auto"/>
            </w:pPr>
            <w:r>
              <w:rPr>
                <w:b w:val="0"/>
                <w:i w:val="0"/>
                <w:sz w:val="16"/>
              </w:rPr>
              <w:t>Senior Developer</w:t>
            </w:r>
          </w:p>
        </w:tc>
        <w:tc>
          <w:tcPr>
            <w:tcW w:type="dxa" w:w="964"/>
            <w:vAlign w:val="top"/>
          </w:tcPr>
          <w:p>
            <w:pPr>
              <w:spacing w:after="20" w:line="252" w:lineRule="auto"/>
            </w:pPr>
            <w:r>
              <w:rPr>
                <w:b w:val="0"/>
                <w:i w:val="0"/>
                <w:sz w:val="16"/>
              </w:rPr>
              <w:t>India</w:t>
            </w:r>
          </w:p>
        </w:tc>
        <w:tc>
          <w:tcPr>
            <w:tcW w:type="dxa" w:w="737"/>
            <w:vAlign w:val="top"/>
          </w:tcPr>
          <w:p>
            <w:pPr>
              <w:spacing w:after="20" w:line="252" w:lineRule="auto"/>
              <w:jc w:val="right"/>
            </w:pPr>
            <w:r>
              <w:rPr>
                <w:b w:val="0"/>
                <w:i w:val="0"/>
                <w:sz w:val="16"/>
              </w:rPr>
              <w:t>33</w:t>
            </w:r>
          </w:p>
        </w:tc>
        <w:tc>
          <w:tcPr>
            <w:tcW w:type="dxa" w:w="850"/>
            <w:vAlign w:val="top"/>
          </w:tcPr>
          <w:p>
            <w:pPr>
              <w:spacing w:after="20" w:line="252" w:lineRule="auto"/>
              <w:jc w:val="right"/>
            </w:pPr>
            <w:r>
              <w:rPr>
                <w:b w:val="0"/>
                <w:i w:val="0"/>
                <w:sz w:val="16"/>
              </w:rPr>
              <w:t>1,200</w:t>
            </w:r>
          </w:p>
        </w:tc>
        <w:tc>
          <w:tcPr>
            <w:tcW w:type="dxa" w:w="850"/>
            <w:vAlign w:val="top"/>
          </w:tcPr>
          <w:p>
            <w:pPr>
              <w:spacing w:after="20" w:line="252" w:lineRule="auto"/>
              <w:jc w:val="right"/>
            </w:pPr>
            <w:r>
              <w:rPr>
                <w:b w:val="0"/>
                <w:i w:val="0"/>
                <w:sz w:val="16"/>
              </w:rPr>
              <w:t>4,950</w:t>
            </w:r>
          </w:p>
        </w:tc>
        <w:tc>
          <w:tcPr>
            <w:tcW w:type="dxa" w:w="907"/>
            <w:vAlign w:val="top"/>
          </w:tcPr>
          <w:p>
            <w:pPr>
              <w:spacing w:after="20" w:line="252" w:lineRule="auto"/>
              <w:jc w:val="right"/>
            </w:pPr>
            <w:r>
              <w:rPr>
                <w:b w:val="0"/>
                <w:i w:val="0"/>
                <w:sz w:val="16"/>
              </w:rPr>
              <w:t>2,210</w:t>
            </w:r>
          </w:p>
        </w:tc>
        <w:tc>
          <w:tcPr>
            <w:tcW w:type="dxa" w:w="1474"/>
            <w:vAlign w:val="top"/>
          </w:tcPr>
          <w:p>
            <w:pPr>
              <w:spacing w:after="20" w:line="252" w:lineRule="auto"/>
              <w:jc w:val="right"/>
            </w:pPr>
            <w:r>
              <w:rPr>
                <w:b w:val="0"/>
                <w:i w:val="0"/>
                <w:sz w:val="16"/>
              </w:rPr>
              <w:t>190</w:t>
            </w:r>
          </w:p>
        </w:tc>
        <w:tc>
          <w:tcPr>
            <w:tcW w:type="dxa" w:w="1361"/>
            <w:vAlign w:val="top"/>
          </w:tcPr>
          <w:p>
            <w:pPr>
              <w:spacing w:after="20" w:line="252" w:lineRule="auto"/>
              <w:jc w:val="right"/>
            </w:pPr>
            <w:r>
              <w:rPr>
                <w:b w:val="0"/>
                <w:i w:val="0"/>
                <w:sz w:val="16"/>
              </w:rPr>
              <w:t>8,550</w:t>
            </w:r>
          </w:p>
        </w:tc>
      </w:tr>
      <w:tr>
        <w:trPr>
          <w:cantSplit/>
        </w:trPr>
        <w:tc>
          <w:tcPr>
            <w:tcW w:type="dxa" w:w="2494"/>
            <w:vAlign w:val="top"/>
            <w:shd w:val="clear" w:color="auto" w:fill="FDF0F7"/>
          </w:tcPr>
          <w:p>
            <w:pPr>
              <w:spacing w:after="20" w:line="252" w:lineRule="auto"/>
            </w:pPr>
            <w:r>
              <w:rPr>
                <w:b w:val="0"/>
                <w:i w:val="0"/>
                <w:sz w:val="16"/>
              </w:rPr>
              <w:t>Project Manager</w:t>
            </w:r>
          </w:p>
        </w:tc>
        <w:tc>
          <w:tcPr>
            <w:tcW w:type="dxa" w:w="964"/>
            <w:vAlign w:val="top"/>
            <w:shd w:val="clear" w:color="auto" w:fill="FDF0F7"/>
          </w:tcPr>
          <w:p>
            <w:pPr>
              <w:spacing w:after="20" w:line="252" w:lineRule="auto"/>
            </w:pPr>
            <w:r>
              <w:rPr>
                <w:b w:val="0"/>
                <w:i w:val="0"/>
                <w:sz w:val="16"/>
              </w:rPr>
              <w:t>Malaysia</w:t>
            </w:r>
          </w:p>
        </w:tc>
        <w:tc>
          <w:tcPr>
            <w:tcW w:type="dxa" w:w="737"/>
            <w:vAlign w:val="top"/>
            <w:shd w:val="clear" w:color="auto" w:fill="FDF0F7"/>
          </w:tcPr>
          <w:p>
            <w:pPr>
              <w:spacing w:after="20" w:line="252" w:lineRule="auto"/>
              <w:jc w:val="right"/>
            </w:pPr>
            <w:r>
              <w:rPr>
                <w:b w:val="0"/>
                <w:i w:val="0"/>
                <w:sz w:val="16"/>
              </w:rPr>
              <w:t>6</w:t>
            </w:r>
          </w:p>
        </w:tc>
        <w:tc>
          <w:tcPr>
            <w:tcW w:type="dxa" w:w="850"/>
            <w:vAlign w:val="top"/>
            <w:shd w:val="clear" w:color="auto" w:fill="FDF0F7"/>
          </w:tcPr>
          <w:p>
            <w:pPr>
              <w:spacing w:after="20" w:line="252" w:lineRule="auto"/>
              <w:jc w:val="right"/>
            </w:pPr>
            <w:r>
              <w:rPr>
                <w:b w:val="0"/>
                <w:i w:val="0"/>
                <w:sz w:val="16"/>
              </w:rPr>
              <w:t>500</w:t>
            </w:r>
          </w:p>
        </w:tc>
        <w:tc>
          <w:tcPr>
            <w:tcW w:type="dxa" w:w="850"/>
            <w:vAlign w:val="top"/>
            <w:shd w:val="clear" w:color="auto" w:fill="FDF0F7"/>
          </w:tcPr>
          <w:p>
            <w:pPr>
              <w:spacing w:after="20" w:line="252" w:lineRule="auto"/>
              <w:jc w:val="right"/>
            </w:pPr>
            <w:r>
              <w:rPr>
                <w:b w:val="0"/>
                <w:i w:val="0"/>
                <w:sz w:val="16"/>
              </w:rPr>
              <w:t>900</w:t>
            </w:r>
          </w:p>
        </w:tc>
        <w:tc>
          <w:tcPr>
            <w:tcW w:type="dxa" w:w="907"/>
            <w:vAlign w:val="top"/>
            <w:shd w:val="clear" w:color="auto" w:fill="FDF0F7"/>
          </w:tcPr>
          <w:p>
            <w:pPr>
              <w:spacing w:after="20" w:line="252" w:lineRule="auto"/>
              <w:jc w:val="right"/>
            </w:pPr>
            <w:r>
              <w:rPr>
                <w:b w:val="0"/>
                <w:i w:val="0"/>
                <w:sz w:val="16"/>
              </w:rPr>
              <w:t>455</w:t>
            </w:r>
          </w:p>
        </w:tc>
        <w:tc>
          <w:tcPr>
            <w:tcW w:type="dxa" w:w="1474"/>
            <w:vAlign w:val="top"/>
            <w:shd w:val="clear" w:color="auto" w:fill="FDF0F7"/>
          </w:tcPr>
          <w:p>
            <w:pPr>
              <w:spacing w:after="20" w:line="252" w:lineRule="auto"/>
              <w:jc w:val="right"/>
            </w:pPr>
            <w:r>
              <w:rPr>
                <w:b w:val="0"/>
                <w:i w:val="0"/>
                <w:sz w:val="16"/>
              </w:rPr>
              <w:t>130</w:t>
            </w:r>
          </w:p>
        </w:tc>
        <w:tc>
          <w:tcPr>
            <w:tcW w:type="dxa" w:w="1361"/>
            <w:vAlign w:val="top"/>
            <w:shd w:val="clear" w:color="auto" w:fill="FDF0F7"/>
          </w:tcPr>
          <w:p>
            <w:pPr>
              <w:spacing w:after="20" w:line="252" w:lineRule="auto"/>
              <w:jc w:val="right"/>
            </w:pPr>
            <w:r>
              <w:rPr>
                <w:b w:val="0"/>
                <w:i w:val="0"/>
                <w:sz w:val="16"/>
              </w:rPr>
              <w:t>1,985</w:t>
            </w:r>
          </w:p>
        </w:tc>
      </w:tr>
      <w:tr>
        <w:trPr>
          <w:cantSplit/>
        </w:trPr>
        <w:tc>
          <w:tcPr>
            <w:tcW w:type="dxa" w:w="1361"/>
            <w:gridSpan w:val="8"/>
            <w:shd w:val="clear" w:color="auto" w:fill="FEEBDD"/>
          </w:tcPr>
          <w:p>
            <w:pPr>
              <w:spacing w:after="0"/>
            </w:pPr>
            <w:r>
              <w:rPr>
                <w:b/>
                <w:i w:val="0"/>
                <w:color w:val="333333"/>
                <w:sz w:val="16"/>
              </w:rPr>
              <w:t>Knowledge transfer and source code handover (Option C) – optional</w:t>
            </w:r>
          </w:p>
        </w:tc>
      </w:tr>
      <w:tr>
        <w:trPr>
          <w:cantSplit/>
        </w:trPr>
        <w:tc>
          <w:tcPr>
            <w:tcW w:type="dxa" w:w="2494"/>
            <w:vAlign w:val="top"/>
          </w:tcPr>
          <w:p>
            <w:pPr>
              <w:spacing w:after="20" w:line="252" w:lineRule="auto"/>
            </w:pPr>
            <w:r>
              <w:rPr>
                <w:b w:val="0"/>
                <w:i w:val="0"/>
                <w:sz w:val="16"/>
              </w:rPr>
              <w:t>Solution Architect</w:t>
            </w:r>
          </w:p>
        </w:tc>
        <w:tc>
          <w:tcPr>
            <w:tcW w:type="dxa" w:w="964"/>
            <w:vAlign w:val="top"/>
          </w:tcPr>
          <w:p>
            <w:pPr>
              <w:spacing w:after="20" w:line="252" w:lineRule="auto"/>
            </w:pPr>
            <w:r>
              <w:rPr>
                <w:b w:val="0"/>
                <w:i w:val="0"/>
                <w:sz w:val="16"/>
              </w:rPr>
              <w:t>India</w:t>
            </w:r>
          </w:p>
        </w:tc>
        <w:tc>
          <w:tcPr>
            <w:tcW w:type="dxa" w:w="737"/>
            <w:vAlign w:val="top"/>
          </w:tcPr>
          <w:p>
            <w:pPr>
              <w:spacing w:after="20" w:line="252" w:lineRule="auto"/>
              <w:jc w:val="right"/>
            </w:pPr>
            <w:r>
              <w:rPr>
                <w:b w:val="0"/>
                <w:i w:val="0"/>
                <w:sz w:val="16"/>
              </w:rPr>
              <w:t>12</w:t>
            </w:r>
          </w:p>
        </w:tc>
        <w:tc>
          <w:tcPr>
            <w:tcW w:type="dxa" w:w="850"/>
            <w:vAlign w:val="top"/>
          </w:tcPr>
          <w:p>
            <w:pPr>
              <w:spacing w:after="20" w:line="252" w:lineRule="auto"/>
              <w:jc w:val="right"/>
            </w:pPr>
            <w:r>
              <w:rPr>
                <w:b w:val="0"/>
                <w:i w:val="0"/>
                <w:sz w:val="16"/>
              </w:rPr>
              <w:t>1,200</w:t>
            </w:r>
          </w:p>
        </w:tc>
        <w:tc>
          <w:tcPr>
            <w:tcW w:type="dxa" w:w="850"/>
            <w:vAlign w:val="top"/>
          </w:tcPr>
          <w:p>
            <w:pPr>
              <w:spacing w:after="20" w:line="252" w:lineRule="auto"/>
              <w:jc w:val="right"/>
            </w:pPr>
            <w:r>
              <w:rPr>
                <w:b w:val="0"/>
                <w:i w:val="0"/>
                <w:sz w:val="16"/>
              </w:rPr>
              <w:t>1,800</w:t>
            </w:r>
          </w:p>
        </w:tc>
        <w:tc>
          <w:tcPr>
            <w:tcW w:type="dxa" w:w="907"/>
            <w:vAlign w:val="top"/>
          </w:tcPr>
          <w:p>
            <w:pPr>
              <w:spacing w:after="20" w:line="252" w:lineRule="auto"/>
              <w:jc w:val="right"/>
            </w:pPr>
            <w:r>
              <w:rPr>
                <w:b w:val="0"/>
                <w:i w:val="0"/>
                <w:sz w:val="16"/>
              </w:rPr>
              <w:t>845</w:t>
            </w:r>
          </w:p>
        </w:tc>
        <w:tc>
          <w:tcPr>
            <w:tcW w:type="dxa" w:w="1474"/>
            <w:vAlign w:val="top"/>
          </w:tcPr>
          <w:p>
            <w:pPr>
              <w:spacing w:after="20" w:line="252" w:lineRule="auto"/>
              <w:jc w:val="right"/>
            </w:pPr>
            <w:r>
              <w:rPr>
                <w:b w:val="0"/>
                <w:i w:val="0"/>
                <w:sz w:val="16"/>
              </w:rPr>
              <w:t>190</w:t>
            </w:r>
          </w:p>
        </w:tc>
        <w:tc>
          <w:tcPr>
            <w:tcW w:type="dxa" w:w="1361"/>
            <w:vAlign w:val="top"/>
          </w:tcPr>
          <w:p>
            <w:pPr>
              <w:spacing w:after="20" w:line="252" w:lineRule="auto"/>
              <w:jc w:val="right"/>
            </w:pPr>
            <w:r>
              <w:rPr>
                <w:b w:val="0"/>
                <w:i w:val="0"/>
                <w:sz w:val="16"/>
              </w:rPr>
              <w:t>4,035</w:t>
            </w:r>
          </w:p>
        </w:tc>
      </w:tr>
      <w:tr>
        <w:trPr>
          <w:cantSplit/>
        </w:trPr>
        <w:tc>
          <w:tcPr>
            <w:tcW w:type="dxa" w:w="2494"/>
            <w:vAlign w:val="top"/>
            <w:shd w:val="clear" w:color="auto" w:fill="FDF0F7"/>
          </w:tcPr>
          <w:p>
            <w:pPr>
              <w:spacing w:after="20" w:line="252" w:lineRule="auto"/>
            </w:pPr>
            <w:r>
              <w:rPr>
                <w:b w:val="0"/>
                <w:i w:val="0"/>
                <w:sz w:val="16"/>
              </w:rPr>
              <w:t>Senior Developer</w:t>
            </w:r>
          </w:p>
        </w:tc>
        <w:tc>
          <w:tcPr>
            <w:tcW w:type="dxa" w:w="964"/>
            <w:vAlign w:val="top"/>
            <w:shd w:val="clear" w:color="auto" w:fill="FDF0F7"/>
          </w:tcPr>
          <w:p>
            <w:pPr>
              <w:spacing w:after="20" w:line="252" w:lineRule="auto"/>
            </w:pPr>
            <w:r>
              <w:rPr>
                <w:b w:val="0"/>
                <w:i w:val="0"/>
                <w:sz w:val="16"/>
              </w:rPr>
              <w:t>India</w:t>
            </w:r>
          </w:p>
        </w:tc>
        <w:tc>
          <w:tcPr>
            <w:tcW w:type="dxa" w:w="737"/>
            <w:vAlign w:val="top"/>
            <w:shd w:val="clear" w:color="auto" w:fill="FDF0F7"/>
          </w:tcPr>
          <w:p>
            <w:pPr>
              <w:spacing w:after="20" w:line="252" w:lineRule="auto"/>
              <w:jc w:val="right"/>
            </w:pPr>
            <w:r>
              <w:rPr>
                <w:b w:val="0"/>
                <w:i w:val="0"/>
                <w:sz w:val="16"/>
              </w:rPr>
              <w:t>12</w:t>
            </w:r>
          </w:p>
        </w:tc>
        <w:tc>
          <w:tcPr>
            <w:tcW w:type="dxa" w:w="850"/>
            <w:vAlign w:val="top"/>
            <w:shd w:val="clear" w:color="auto" w:fill="FDF0F7"/>
          </w:tcPr>
          <w:p>
            <w:pPr>
              <w:spacing w:after="20" w:line="252" w:lineRule="auto"/>
              <w:jc w:val="right"/>
            </w:pPr>
            <w:r>
              <w:rPr>
                <w:b w:val="0"/>
                <w:i w:val="0"/>
                <w:sz w:val="16"/>
              </w:rPr>
              <w:t>1,200</w:t>
            </w:r>
          </w:p>
        </w:tc>
        <w:tc>
          <w:tcPr>
            <w:tcW w:type="dxa" w:w="850"/>
            <w:vAlign w:val="top"/>
            <w:shd w:val="clear" w:color="auto" w:fill="FDF0F7"/>
          </w:tcPr>
          <w:p>
            <w:pPr>
              <w:spacing w:after="20" w:line="252" w:lineRule="auto"/>
              <w:jc w:val="right"/>
            </w:pPr>
            <w:r>
              <w:rPr>
                <w:b w:val="0"/>
                <w:i w:val="0"/>
                <w:sz w:val="16"/>
              </w:rPr>
              <w:t>1,800</w:t>
            </w:r>
          </w:p>
        </w:tc>
        <w:tc>
          <w:tcPr>
            <w:tcW w:type="dxa" w:w="907"/>
            <w:vAlign w:val="top"/>
            <w:shd w:val="clear" w:color="auto" w:fill="FDF0F7"/>
          </w:tcPr>
          <w:p>
            <w:pPr>
              <w:spacing w:after="20" w:line="252" w:lineRule="auto"/>
              <w:jc w:val="right"/>
            </w:pPr>
            <w:r>
              <w:rPr>
                <w:b w:val="0"/>
                <w:i w:val="0"/>
                <w:sz w:val="16"/>
              </w:rPr>
              <w:t>845</w:t>
            </w:r>
          </w:p>
        </w:tc>
        <w:tc>
          <w:tcPr>
            <w:tcW w:type="dxa" w:w="1474"/>
            <w:vAlign w:val="top"/>
            <w:shd w:val="clear" w:color="auto" w:fill="FDF0F7"/>
          </w:tcPr>
          <w:p>
            <w:pPr>
              <w:spacing w:after="20" w:line="252" w:lineRule="auto"/>
              <w:jc w:val="right"/>
            </w:pPr>
            <w:r>
              <w:rPr>
                <w:b w:val="0"/>
                <w:i w:val="0"/>
                <w:sz w:val="16"/>
              </w:rPr>
              <w:t>190</w:t>
            </w:r>
          </w:p>
        </w:tc>
        <w:tc>
          <w:tcPr>
            <w:tcW w:type="dxa" w:w="1361"/>
            <w:vAlign w:val="top"/>
            <w:shd w:val="clear" w:color="auto" w:fill="FDF0F7"/>
          </w:tcPr>
          <w:p>
            <w:pPr>
              <w:spacing w:after="20" w:line="252" w:lineRule="auto"/>
              <w:jc w:val="right"/>
            </w:pPr>
            <w:r>
              <w:rPr>
                <w:b w:val="0"/>
                <w:i w:val="0"/>
                <w:sz w:val="16"/>
              </w:rPr>
              <w:t>4,035</w:t>
            </w:r>
          </w:p>
        </w:tc>
      </w:tr>
      <w:tr>
        <w:trPr>
          <w:cantSplit/>
        </w:trPr>
        <w:tc>
          <w:tcPr>
            <w:tcW w:type="dxa" w:w="2494"/>
            <w:vAlign w:val="top"/>
            <w:shd w:val="clear" w:color="auto" w:fill="FEEBDD"/>
          </w:tcPr>
          <w:p>
            <w:pPr>
              <w:spacing w:after="20" w:line="252" w:lineRule="auto"/>
            </w:pPr>
            <w:r>
              <w:rPr>
                <w:b/>
                <w:i w:val="0"/>
                <w:sz w:val="16"/>
              </w:rPr>
              <w:t>Core onsite phases</w:t>
            </w:r>
          </w:p>
        </w:tc>
        <w:tc>
          <w:tcPr>
            <w:tcW w:type="dxa" w:w="964"/>
            <w:vAlign w:val="top"/>
            <w:shd w:val="clear" w:color="auto" w:fill="FEEBDD"/>
          </w:tcPr>
          <w:p>
            <w:pPr>
              <w:spacing w:after="20" w:line="252" w:lineRule="auto"/>
            </w:pPr>
          </w:p>
        </w:tc>
        <w:tc>
          <w:tcPr>
            <w:tcW w:type="dxa" w:w="737"/>
            <w:vAlign w:val="top"/>
            <w:shd w:val="clear" w:color="auto" w:fill="FEEBDD"/>
          </w:tcPr>
          <w:p>
            <w:pPr>
              <w:spacing w:after="20" w:line="252" w:lineRule="auto"/>
              <w:jc w:val="right"/>
            </w:pPr>
            <w:r>
              <w:rPr>
                <w:b/>
                <w:i w:val="0"/>
                <w:sz w:val="16"/>
              </w:rPr>
              <w:t>113</w:t>
            </w:r>
          </w:p>
        </w:tc>
        <w:tc>
          <w:tcPr>
            <w:tcW w:type="dxa" w:w="850"/>
            <w:vAlign w:val="top"/>
            <w:shd w:val="clear" w:color="auto" w:fill="FEEBDD"/>
          </w:tcPr>
          <w:p>
            <w:pPr>
              <w:spacing w:after="20" w:line="252" w:lineRule="auto"/>
              <w:jc w:val="right"/>
            </w:pPr>
          </w:p>
        </w:tc>
        <w:tc>
          <w:tcPr>
            <w:tcW w:type="dxa" w:w="850"/>
            <w:vAlign w:val="top"/>
            <w:shd w:val="clear" w:color="auto" w:fill="FEEBDD"/>
          </w:tcPr>
          <w:p>
            <w:pPr>
              <w:spacing w:after="20" w:line="252" w:lineRule="auto"/>
              <w:jc w:val="right"/>
            </w:pPr>
          </w:p>
        </w:tc>
        <w:tc>
          <w:tcPr>
            <w:tcW w:type="dxa" w:w="907"/>
            <w:vAlign w:val="top"/>
            <w:shd w:val="clear" w:color="auto" w:fill="FEEBDD"/>
          </w:tcPr>
          <w:p>
            <w:pPr>
              <w:spacing w:after="20" w:line="252" w:lineRule="auto"/>
              <w:jc w:val="right"/>
            </w:pPr>
          </w:p>
        </w:tc>
        <w:tc>
          <w:tcPr>
            <w:tcW w:type="dxa" w:w="1474"/>
            <w:vAlign w:val="top"/>
            <w:shd w:val="clear" w:color="auto" w:fill="FEEBDD"/>
          </w:tcPr>
          <w:p>
            <w:pPr>
              <w:spacing w:after="20" w:line="252" w:lineRule="auto"/>
              <w:jc w:val="right"/>
            </w:pPr>
          </w:p>
        </w:tc>
        <w:tc>
          <w:tcPr>
            <w:tcW w:type="dxa" w:w="1361"/>
            <w:vAlign w:val="top"/>
            <w:shd w:val="clear" w:color="auto" w:fill="FEEBDD"/>
          </w:tcPr>
          <w:p>
            <w:pPr>
              <w:spacing w:after="20" w:line="252" w:lineRule="auto"/>
              <w:jc w:val="right"/>
            </w:pPr>
            <w:r>
              <w:rPr>
                <w:b/>
                <w:i w:val="0"/>
                <w:sz w:val="16"/>
              </w:rPr>
              <w:t>31,440</w:t>
            </w:r>
          </w:p>
        </w:tc>
      </w:tr>
      <w:tr>
        <w:trPr>
          <w:cantSplit/>
        </w:trPr>
        <w:tc>
          <w:tcPr>
            <w:tcW w:type="dxa" w:w="2494"/>
            <w:vAlign w:val="top"/>
            <w:shd w:val="clear" w:color="auto" w:fill="FDF0F7"/>
          </w:tcPr>
          <w:p>
            <w:pPr>
              <w:spacing w:after="20" w:line="252" w:lineRule="auto"/>
            </w:pPr>
            <w:r>
              <w:rPr>
                <w:b w:val="0"/>
                <w:i w:val="0"/>
                <w:sz w:val="16"/>
              </w:rPr>
              <w:t>Option C knowledge transfer (optional)</w:t>
            </w:r>
          </w:p>
        </w:tc>
        <w:tc>
          <w:tcPr>
            <w:tcW w:type="dxa" w:w="964"/>
            <w:vAlign w:val="top"/>
            <w:shd w:val="clear" w:color="auto" w:fill="FDF0F7"/>
          </w:tcPr>
          <w:p>
            <w:pPr>
              <w:spacing w:after="20" w:line="252" w:lineRule="auto"/>
            </w:pPr>
          </w:p>
        </w:tc>
        <w:tc>
          <w:tcPr>
            <w:tcW w:type="dxa" w:w="737"/>
            <w:vAlign w:val="top"/>
            <w:shd w:val="clear" w:color="auto" w:fill="FDF0F7"/>
          </w:tcPr>
          <w:p>
            <w:pPr>
              <w:spacing w:after="20" w:line="252" w:lineRule="auto"/>
              <w:jc w:val="right"/>
            </w:pPr>
            <w:r>
              <w:rPr>
                <w:b w:val="0"/>
                <w:i w:val="0"/>
                <w:sz w:val="16"/>
              </w:rPr>
              <w:t>24</w:t>
            </w:r>
          </w:p>
        </w:tc>
        <w:tc>
          <w:tcPr>
            <w:tcW w:type="dxa" w:w="850"/>
            <w:vAlign w:val="top"/>
            <w:shd w:val="clear" w:color="auto" w:fill="FDF0F7"/>
          </w:tcPr>
          <w:p>
            <w:pPr>
              <w:spacing w:after="20" w:line="252" w:lineRule="auto"/>
              <w:jc w:val="right"/>
            </w:pPr>
          </w:p>
        </w:tc>
        <w:tc>
          <w:tcPr>
            <w:tcW w:type="dxa" w:w="850"/>
            <w:vAlign w:val="top"/>
            <w:shd w:val="clear" w:color="auto" w:fill="FDF0F7"/>
          </w:tcPr>
          <w:p>
            <w:pPr>
              <w:spacing w:after="20" w:line="252" w:lineRule="auto"/>
              <w:jc w:val="right"/>
            </w:pPr>
          </w:p>
        </w:tc>
        <w:tc>
          <w:tcPr>
            <w:tcW w:type="dxa" w:w="907"/>
            <w:vAlign w:val="top"/>
            <w:shd w:val="clear" w:color="auto" w:fill="FDF0F7"/>
          </w:tcPr>
          <w:p>
            <w:pPr>
              <w:spacing w:after="20" w:line="252" w:lineRule="auto"/>
              <w:jc w:val="right"/>
            </w:pPr>
          </w:p>
        </w:tc>
        <w:tc>
          <w:tcPr>
            <w:tcW w:type="dxa" w:w="1474"/>
            <w:vAlign w:val="top"/>
            <w:shd w:val="clear" w:color="auto" w:fill="FDF0F7"/>
          </w:tcPr>
          <w:p>
            <w:pPr>
              <w:spacing w:after="20" w:line="252" w:lineRule="auto"/>
              <w:jc w:val="right"/>
            </w:pPr>
          </w:p>
        </w:tc>
        <w:tc>
          <w:tcPr>
            <w:tcW w:type="dxa" w:w="1361"/>
            <w:vAlign w:val="top"/>
            <w:shd w:val="clear" w:color="auto" w:fill="FDF0F7"/>
          </w:tcPr>
          <w:p>
            <w:pPr>
              <w:spacing w:after="20" w:line="252" w:lineRule="auto"/>
              <w:jc w:val="right"/>
            </w:pPr>
            <w:r>
              <w:rPr>
                <w:b w:val="0"/>
                <w:i w:val="0"/>
                <w:sz w:val="16"/>
              </w:rPr>
              <w:t>8,070</w:t>
            </w:r>
          </w:p>
        </w:tc>
      </w:tr>
      <w:tr>
        <w:trPr>
          <w:cantSplit/>
        </w:trPr>
        <w:tc>
          <w:tcPr>
            <w:tcW w:type="dxa" w:w="2494"/>
            <w:vAlign w:val="top"/>
            <w:shd w:val="clear" w:color="auto" w:fill="FEEBDD"/>
          </w:tcPr>
          <w:p>
            <w:pPr>
              <w:spacing w:after="20" w:line="252" w:lineRule="auto"/>
            </w:pPr>
            <w:r>
              <w:rPr>
                <w:b/>
                <w:i w:val="0"/>
                <w:sz w:val="16"/>
              </w:rPr>
              <w:t>Total including Option C</w:t>
            </w:r>
          </w:p>
        </w:tc>
        <w:tc>
          <w:tcPr>
            <w:tcW w:type="dxa" w:w="964"/>
            <w:vAlign w:val="top"/>
            <w:shd w:val="clear" w:color="auto" w:fill="FEEBDD"/>
          </w:tcPr>
          <w:p>
            <w:pPr>
              <w:spacing w:after="20" w:line="252" w:lineRule="auto"/>
            </w:pPr>
          </w:p>
        </w:tc>
        <w:tc>
          <w:tcPr>
            <w:tcW w:type="dxa" w:w="737"/>
            <w:vAlign w:val="top"/>
            <w:shd w:val="clear" w:color="auto" w:fill="FEEBDD"/>
          </w:tcPr>
          <w:p>
            <w:pPr>
              <w:spacing w:after="20" w:line="252" w:lineRule="auto"/>
              <w:jc w:val="right"/>
            </w:pPr>
          </w:p>
        </w:tc>
        <w:tc>
          <w:tcPr>
            <w:tcW w:type="dxa" w:w="850"/>
            <w:vAlign w:val="top"/>
            <w:shd w:val="clear" w:color="auto" w:fill="FEEBDD"/>
          </w:tcPr>
          <w:p>
            <w:pPr>
              <w:spacing w:after="20" w:line="252" w:lineRule="auto"/>
              <w:jc w:val="right"/>
            </w:pPr>
          </w:p>
        </w:tc>
        <w:tc>
          <w:tcPr>
            <w:tcW w:type="dxa" w:w="850"/>
            <w:vAlign w:val="top"/>
            <w:shd w:val="clear" w:color="auto" w:fill="FEEBDD"/>
          </w:tcPr>
          <w:p>
            <w:pPr>
              <w:spacing w:after="20" w:line="252" w:lineRule="auto"/>
              <w:jc w:val="right"/>
            </w:pPr>
          </w:p>
        </w:tc>
        <w:tc>
          <w:tcPr>
            <w:tcW w:type="dxa" w:w="907"/>
            <w:vAlign w:val="top"/>
            <w:shd w:val="clear" w:color="auto" w:fill="FEEBDD"/>
          </w:tcPr>
          <w:p>
            <w:pPr>
              <w:spacing w:after="20" w:line="252" w:lineRule="auto"/>
              <w:jc w:val="right"/>
            </w:pPr>
          </w:p>
        </w:tc>
        <w:tc>
          <w:tcPr>
            <w:tcW w:type="dxa" w:w="1474"/>
            <w:vAlign w:val="top"/>
            <w:shd w:val="clear" w:color="auto" w:fill="FEEBDD"/>
          </w:tcPr>
          <w:p>
            <w:pPr>
              <w:spacing w:after="20" w:line="252" w:lineRule="auto"/>
              <w:jc w:val="right"/>
            </w:pPr>
          </w:p>
        </w:tc>
        <w:tc>
          <w:tcPr>
            <w:tcW w:type="dxa" w:w="1361"/>
            <w:vAlign w:val="top"/>
            <w:shd w:val="clear" w:color="auto" w:fill="FEEBDD"/>
          </w:tcPr>
          <w:p>
            <w:pPr>
              <w:spacing w:after="20" w:line="252" w:lineRule="auto"/>
              <w:jc w:val="right"/>
            </w:pPr>
            <w:r>
              <w:rPr>
                <w:b/>
                <w:i w:val="0"/>
                <w:sz w:val="16"/>
              </w:rPr>
              <w:t>39,510</w:t>
            </w:r>
          </w:p>
        </w:tc>
      </w:tr>
    </w:tbl>
    <w:p>
      <w:pPr>
        <w:pStyle w:val="Caption"/>
        <w:jc w:val="center"/>
      </w:pPr>
      <w:r>
        <w:rPr>
          <w:b w:val="0"/>
          <w:i w:val="0"/>
        </w:rPr>
        <w:t>Table 54: Onsite plan and OPE estimate</w:t>
      </w:r>
    </w:p>
    <w:p>
      <w:pPr>
        <w:pStyle w:val="ListBullet"/>
      </w:pPr>
      <w:r>
        <w:rPr>
          <w:b/>
          <w:i w:val="0"/>
        </w:rPr>
        <w:t>Billing:</w:t>
      </w:r>
      <w:r>
        <w:rPr>
          <w:b w:val="0"/>
          <w:i w:val="0"/>
        </w:rPr>
        <w:t xml:space="preserve"> recharged monthly in arrears at cost as disbursements, with the travel invoices and receipts attached and no mark-up, separately from iorta's fees and outside the fees to which withholding tax applies. The per diem is fixed and needs no receipts.</w:t>
      </w:r>
    </w:p>
    <w:p>
      <w:pPr>
        <w:pStyle w:val="ListBullet"/>
      </w:pPr>
      <w:r>
        <w:rPr>
          <w:b/>
          <w:i w:val="0"/>
        </w:rPr>
        <w:t>Ceiling:</w:t>
      </w:r>
      <w:r>
        <w:rPr>
          <w:b w:val="0"/>
          <w:i w:val="0"/>
        </w:rPr>
        <w:t xml:space="preserve"> total OPE will not exceed the estimate by more than 10% (B$ 34,584 for the core phases) without IIFT's prior written approval.</w:t>
      </w:r>
    </w:p>
    <w:p>
      <w:pPr>
        <w:pStyle w:val="ListBullet"/>
      </w:pPr>
      <w:r>
        <w:rPr>
          <w:b/>
          <w:i w:val="0"/>
        </w:rPr>
        <w:t>Standards:</w:t>
      </w:r>
      <w:r>
        <w:rPr>
          <w:b w:val="0"/>
          <w:i w:val="0"/>
        </w:rPr>
        <w:t xml:space="preserve"> economy-class flights; business hotels near IIFT's office. If IIFT provides accommodation or transport, the OPE falls accordingly.</w:t>
      </w:r>
    </w:p>
    <w:p>
      <w:pPr>
        <w:pStyle w:val="ListBullet"/>
      </w:pPr>
      <w:r>
        <w:rPr>
          <w:b/>
          <w:i w:val="0"/>
        </w:rPr>
        <w:t>Changes:</w:t>
      </w:r>
      <w:r>
        <w:rPr>
          <w:b w:val="0"/>
          <w:i w:val="0"/>
        </w:rPr>
        <w:t xml:space="preserve"> trips are agreed with IIFT's project manager two weeks ahead. Extra onsite days that IIFT requests outside these phases are charged at the rate card (B$ 850 a day) plus OPE.</w:t>
      </w:r>
    </w:p>
    <w:p>
      <w:pPr>
        <w:pStyle w:val="Heading2"/>
      </w:pPr>
      <w:r>
        <w:t>19.9 Third-party charges, licences and infrastructure (COM-04, COM-17)</w:t>
      </w:r>
    </w:p>
    <w:p>
      <w:pPr>
        <w:keepNext w:val="0"/>
      </w:pPr>
      <w:r>
        <w:rPr>
          <w:b w:val="0"/>
          <w:i w:val="0"/>
        </w:rPr>
        <w:t>Every third-party product, licence, service and infrastructure item is listed in the Bill of Materials workbook (IIFT-Bill-of-Materials-iorta-TechNXT.xlsx) and summarised in Annex C. The table gives the totals.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175"/>
        <w:gridCol w:w="2154"/>
        <w:gridCol w:w="1927"/>
        <w:gridCol w:w="2381"/>
      </w:tblGrid>
      <w:tr>
        <w:trPr>
          <w:cantSplit/>
          <w:tblHeader/>
        </w:trPr>
        <w:tc>
          <w:tcPr>
            <w:tcW w:type="dxa" w:w="3175"/>
            <w:shd w:val="clear" w:color="auto" w:fill="E1058C"/>
            <w:vAlign w:val="center"/>
          </w:tcPr>
          <w:p>
            <w:pPr>
              <w:spacing w:after="0"/>
            </w:pPr>
            <w:r>
              <w:rPr>
                <w:b/>
                <w:i w:val="0"/>
                <w:color w:val="FFFFFF"/>
                <w:sz w:val="16"/>
              </w:rPr>
              <w:t>Category</w:t>
            </w:r>
          </w:p>
        </w:tc>
        <w:tc>
          <w:tcPr>
            <w:tcW w:type="dxa" w:w="2154"/>
            <w:shd w:val="clear" w:color="auto" w:fill="E1058C"/>
            <w:vAlign w:val="center"/>
          </w:tcPr>
          <w:p>
            <w:pPr>
              <w:spacing w:after="0"/>
            </w:pPr>
            <w:r>
              <w:rPr>
                <w:b/>
                <w:i w:val="0"/>
                <w:color w:val="FFFFFF"/>
                <w:sz w:val="16"/>
              </w:rPr>
              <w:t>Option A</w:t>
            </w:r>
          </w:p>
        </w:tc>
        <w:tc>
          <w:tcPr>
            <w:tcW w:type="dxa" w:w="1928"/>
            <w:shd w:val="clear" w:color="auto" w:fill="E1058C"/>
            <w:vAlign w:val="center"/>
          </w:tcPr>
          <w:p>
            <w:pPr>
              <w:spacing w:after="0"/>
            </w:pPr>
            <w:r>
              <w:rPr>
                <w:b/>
                <w:i w:val="0"/>
                <w:color w:val="FFFFFF"/>
                <w:sz w:val="16"/>
              </w:rPr>
              <w:t>Option B</w:t>
            </w:r>
          </w:p>
        </w:tc>
        <w:tc>
          <w:tcPr>
            <w:tcW w:type="dxa" w:w="2381"/>
            <w:shd w:val="clear" w:color="auto" w:fill="E1058C"/>
            <w:vAlign w:val="center"/>
          </w:tcPr>
          <w:p>
            <w:pPr>
              <w:spacing w:after="0"/>
            </w:pPr>
            <w:r>
              <w:rPr>
                <w:b/>
                <w:i w:val="0"/>
                <w:color w:val="FFFFFF"/>
                <w:sz w:val="16"/>
              </w:rPr>
              <w:t>Treatment</w:t>
            </w:r>
          </w:p>
        </w:tc>
      </w:tr>
      <w:tr>
        <w:trPr>
          <w:cantSplit/>
        </w:trPr>
        <w:tc>
          <w:tcPr>
            <w:tcW w:type="dxa" w:w="3175"/>
            <w:vAlign w:val="top"/>
          </w:tcPr>
          <w:p>
            <w:pPr>
              <w:spacing w:after="20" w:line="252" w:lineRule="auto"/>
            </w:pPr>
            <w:r>
              <w:rPr>
                <w:b/>
                <w:i w:val="0"/>
                <w:sz w:val="16"/>
              </w:rPr>
              <w:t>Runtime software: Node.js, NestJS, React, Ant Design, Prisma, PostgreSQL, nginx, ClamAV, Docker, monitoring stack</w:t>
            </w:r>
          </w:p>
        </w:tc>
        <w:tc>
          <w:tcPr>
            <w:tcW w:type="dxa" w:w="2154"/>
            <w:vAlign w:val="top"/>
          </w:tcPr>
          <w:p>
            <w:pPr>
              <w:spacing w:after="20" w:line="252" w:lineRule="auto"/>
            </w:pPr>
            <w:r>
              <w:rPr>
                <w:b w:val="0"/>
                <w:i w:val="0"/>
                <w:sz w:val="16"/>
              </w:rPr>
              <w:t>B$ 0 licence</w:t>
            </w:r>
          </w:p>
        </w:tc>
        <w:tc>
          <w:tcPr>
            <w:tcW w:type="dxa" w:w="1928"/>
            <w:vAlign w:val="top"/>
          </w:tcPr>
          <w:p>
            <w:pPr>
              <w:spacing w:after="20" w:line="252" w:lineRule="auto"/>
            </w:pPr>
            <w:r>
              <w:rPr>
                <w:b w:val="0"/>
                <w:i w:val="0"/>
                <w:sz w:val="16"/>
              </w:rPr>
              <w:t>B$ 0 licence</w:t>
            </w:r>
          </w:p>
        </w:tc>
        <w:tc>
          <w:tcPr>
            <w:tcW w:type="dxa" w:w="2381"/>
            <w:vAlign w:val="top"/>
          </w:tcPr>
          <w:p>
            <w:pPr>
              <w:spacing w:after="20" w:line="252" w:lineRule="auto"/>
            </w:pPr>
            <w:r>
              <w:rPr>
                <w:b w:val="0"/>
                <w:i w:val="0"/>
                <w:sz w:val="16"/>
              </w:rPr>
              <w:t>Open source; included</w:t>
            </w:r>
          </w:p>
        </w:tc>
      </w:tr>
      <w:tr>
        <w:trPr>
          <w:cantSplit/>
        </w:trPr>
        <w:tc>
          <w:tcPr>
            <w:tcW w:type="dxa" w:w="3175"/>
            <w:vAlign w:val="top"/>
            <w:shd w:val="clear" w:color="auto" w:fill="FDF0F7"/>
          </w:tcPr>
          <w:p>
            <w:pPr>
              <w:spacing w:after="20" w:line="252" w:lineRule="auto"/>
            </w:pPr>
            <w:r>
              <w:rPr>
                <w:b/>
                <w:i w:val="0"/>
                <w:sz w:val="16"/>
              </w:rPr>
              <w:t>Infrastructure</w:t>
            </w:r>
          </w:p>
        </w:tc>
        <w:tc>
          <w:tcPr>
            <w:tcW w:type="dxa" w:w="2154"/>
            <w:vAlign w:val="top"/>
            <w:shd w:val="clear" w:color="auto" w:fill="FDF0F7"/>
          </w:tcPr>
          <w:p>
            <w:pPr>
              <w:spacing w:after="20" w:line="252" w:lineRule="auto"/>
            </w:pPr>
            <w:r>
              <w:rPr>
                <w:b w:val="0"/>
                <w:i w:val="0"/>
                <w:sz w:val="16"/>
              </w:rPr>
              <w:t>B$ 20,500–42,000 one-time (indicative)</w:t>
            </w:r>
          </w:p>
        </w:tc>
        <w:tc>
          <w:tcPr>
            <w:tcW w:type="dxa" w:w="1928"/>
            <w:vAlign w:val="top"/>
            <w:shd w:val="clear" w:color="auto" w:fill="FDF0F7"/>
          </w:tcPr>
          <w:p>
            <w:pPr>
              <w:spacing w:after="20" w:line="252" w:lineRule="auto"/>
            </w:pPr>
            <w:r>
              <w:rPr>
                <w:b w:val="0"/>
                <w:i w:val="0"/>
                <w:sz w:val="16"/>
              </w:rPr>
              <w:t>≈ B$ 1,330 a month at cost</w:t>
            </w:r>
          </w:p>
        </w:tc>
        <w:tc>
          <w:tcPr>
            <w:tcW w:type="dxa" w:w="2381"/>
            <w:vAlign w:val="top"/>
            <w:shd w:val="clear" w:color="auto" w:fill="FDF0F7"/>
          </w:tcPr>
          <w:p>
            <w:pPr>
              <w:spacing w:after="20" w:line="252" w:lineRule="auto"/>
            </w:pPr>
            <w:r>
              <w:rPr>
                <w:b w:val="0"/>
                <w:i w:val="0"/>
                <w:sz w:val="16"/>
              </w:rPr>
              <w:t>A: IIFT procures. B: disbursement at cost or paid by IIFT directly</w:t>
            </w:r>
          </w:p>
        </w:tc>
      </w:tr>
      <w:tr>
        <w:trPr>
          <w:cantSplit/>
        </w:trPr>
        <w:tc>
          <w:tcPr>
            <w:tcW w:type="dxa" w:w="3175"/>
            <w:vAlign w:val="top"/>
          </w:tcPr>
          <w:p>
            <w:pPr>
              <w:spacing w:after="20" w:line="252" w:lineRule="auto"/>
            </w:pPr>
            <w:r>
              <w:rPr>
                <w:b/>
                <w:i w:val="0"/>
                <w:sz w:val="16"/>
              </w:rPr>
              <w:t>Operating system</w:t>
            </w:r>
          </w:p>
        </w:tc>
        <w:tc>
          <w:tcPr>
            <w:tcW w:type="dxa" w:w="2154"/>
            <w:vAlign w:val="top"/>
          </w:tcPr>
          <w:p>
            <w:pPr>
              <w:spacing w:after="20" w:line="252" w:lineRule="auto"/>
            </w:pPr>
            <w:r>
              <w:rPr>
                <w:b w:val="0"/>
                <w:i w:val="0"/>
                <w:sz w:val="16"/>
              </w:rPr>
              <w:t>Ubuntu LTS B$ 0; RHEL optional B$ 4,500–10,800 a year</w:t>
            </w:r>
          </w:p>
        </w:tc>
        <w:tc>
          <w:tcPr>
            <w:tcW w:type="dxa" w:w="1928"/>
            <w:vAlign w:val="top"/>
          </w:tcPr>
          <w:p>
            <w:pPr>
              <w:spacing w:after="20" w:line="252" w:lineRule="auto"/>
            </w:pPr>
            <w:r>
              <w:rPr>
                <w:b w:val="0"/>
                <w:i w:val="0"/>
                <w:sz w:val="16"/>
              </w:rPr>
              <w:t>In cloud actuals</w:t>
            </w:r>
          </w:p>
        </w:tc>
        <w:tc>
          <w:tcPr>
            <w:tcW w:type="dxa" w:w="2381"/>
            <w:vAlign w:val="top"/>
          </w:tcPr>
          <w:p>
            <w:pPr>
              <w:spacing w:after="20" w:line="252" w:lineRule="auto"/>
            </w:pPr>
            <w:r>
              <w:rPr>
                <w:b w:val="0"/>
                <w:i w:val="0"/>
                <w:sz w:val="16"/>
              </w:rPr>
              <w:t>A: IIFT procures</w:t>
            </w:r>
          </w:p>
        </w:tc>
      </w:tr>
      <w:tr>
        <w:trPr>
          <w:cantSplit/>
        </w:trPr>
        <w:tc>
          <w:tcPr>
            <w:tcW w:type="dxa" w:w="3175"/>
            <w:vAlign w:val="top"/>
            <w:shd w:val="clear" w:color="auto" w:fill="FDF0F7"/>
          </w:tcPr>
          <w:p>
            <w:pPr>
              <w:spacing w:after="20" w:line="252" w:lineRule="auto"/>
            </w:pPr>
            <w:r>
              <w:rPr>
                <w:b/>
                <w:i w:val="0"/>
                <w:sz w:val="16"/>
              </w:rPr>
              <w:t>Required services: SMS, AML data, certificates, e-mail relay</w:t>
            </w:r>
          </w:p>
        </w:tc>
        <w:tc>
          <w:tcPr>
            <w:tcW w:type="dxa" w:w="2154"/>
            <w:vAlign w:val="top"/>
            <w:shd w:val="clear" w:color="auto" w:fill="FDF0F7"/>
          </w:tcPr>
          <w:p>
            <w:pPr>
              <w:spacing w:after="20" w:line="252" w:lineRule="auto"/>
            </w:pPr>
            <w:r>
              <w:rPr>
                <w:b w:val="0"/>
                <w:i w:val="0"/>
                <w:sz w:val="16"/>
              </w:rPr>
              <w:t>B$ 600–4,720 a year</w:t>
            </w:r>
          </w:p>
        </w:tc>
        <w:tc>
          <w:tcPr>
            <w:tcW w:type="dxa" w:w="1928"/>
            <w:vAlign w:val="top"/>
            <w:shd w:val="clear" w:color="auto" w:fill="FDF0F7"/>
          </w:tcPr>
          <w:p>
            <w:pPr>
              <w:spacing w:after="20" w:line="252" w:lineRule="auto"/>
            </w:pPr>
            <w:r>
              <w:rPr>
                <w:b w:val="0"/>
                <w:i w:val="0"/>
                <w:sz w:val="16"/>
              </w:rPr>
              <w:t>B$ 300–3,720 a year</w:t>
            </w:r>
          </w:p>
        </w:tc>
        <w:tc>
          <w:tcPr>
            <w:tcW w:type="dxa" w:w="2381"/>
            <w:vAlign w:val="top"/>
            <w:shd w:val="clear" w:color="auto" w:fill="FDF0F7"/>
          </w:tcPr>
          <w:p>
            <w:pPr>
              <w:spacing w:after="20" w:line="252" w:lineRule="auto"/>
            </w:pPr>
            <w:r>
              <w:rPr>
                <w:b w:val="0"/>
                <w:i w:val="0"/>
                <w:sz w:val="16"/>
              </w:rPr>
              <w:t>IIFT procures or pass-through at cost</w:t>
            </w:r>
          </w:p>
        </w:tc>
      </w:tr>
      <w:tr>
        <w:trPr>
          <w:cantSplit/>
        </w:trPr>
        <w:tc>
          <w:tcPr>
            <w:tcW w:type="dxa" w:w="3175"/>
            <w:vAlign w:val="top"/>
          </w:tcPr>
          <w:p>
            <w:pPr>
              <w:spacing w:after="20" w:line="252" w:lineRule="auto"/>
            </w:pPr>
            <w:r>
              <w:rPr>
                <w:b/>
                <w:i w:val="0"/>
                <w:sz w:val="16"/>
              </w:rPr>
              <w:t>Optional: commercial PostgreSQL support, RHEL, escrow agent</w:t>
            </w:r>
          </w:p>
        </w:tc>
        <w:tc>
          <w:tcPr>
            <w:tcW w:type="dxa" w:w="2154"/>
            <w:vAlign w:val="top"/>
          </w:tcPr>
          <w:p>
            <w:pPr>
              <w:spacing w:after="20" w:line="252" w:lineRule="auto"/>
            </w:pPr>
            <w:r>
              <w:rPr>
                <w:b w:val="0"/>
                <w:i w:val="0"/>
                <w:sz w:val="16"/>
              </w:rPr>
              <w:t>B$ 12,000–24,800 a year</w:t>
            </w:r>
          </w:p>
        </w:tc>
        <w:tc>
          <w:tcPr>
            <w:tcW w:type="dxa" w:w="1928"/>
            <w:vAlign w:val="top"/>
          </w:tcPr>
          <w:p>
            <w:pPr>
              <w:spacing w:after="20" w:line="252" w:lineRule="auto"/>
            </w:pPr>
            <w:r>
              <w:rPr>
                <w:b w:val="0"/>
                <w:i w:val="0"/>
                <w:sz w:val="16"/>
              </w:rPr>
              <w:t>B$ 2,500–4,000 a year</w:t>
            </w:r>
          </w:p>
        </w:tc>
        <w:tc>
          <w:tcPr>
            <w:tcW w:type="dxa" w:w="2381"/>
            <w:vAlign w:val="top"/>
          </w:tcPr>
          <w:p>
            <w:pPr>
              <w:spacing w:after="20" w:line="252" w:lineRule="auto"/>
            </w:pPr>
            <w:r>
              <w:rPr>
                <w:b w:val="0"/>
                <w:i w:val="0"/>
                <w:sz w:val="16"/>
              </w:rPr>
              <w:t>Only if IIFT elects them</w:t>
            </w:r>
          </w:p>
        </w:tc>
      </w:tr>
      <w:tr>
        <w:trPr>
          <w:cantSplit/>
        </w:trPr>
        <w:tc>
          <w:tcPr>
            <w:tcW w:type="dxa" w:w="3175"/>
            <w:vAlign w:val="top"/>
            <w:shd w:val="clear" w:color="auto" w:fill="FDF0F7"/>
          </w:tcPr>
          <w:p>
            <w:pPr>
              <w:spacing w:after="20" w:line="252" w:lineRule="auto"/>
            </w:pPr>
            <w:r>
              <w:rPr>
                <w:b/>
                <w:i w:val="0"/>
                <w:sz w:val="16"/>
              </w:rPr>
              <w:t>Cloud set-up (landing zone, environments, monitoring, backups, DR)</w:t>
            </w:r>
          </w:p>
        </w:tc>
        <w:tc>
          <w:tcPr>
            <w:tcW w:type="dxa" w:w="2154"/>
            <w:vAlign w:val="top"/>
            <w:shd w:val="clear" w:color="auto" w:fill="FDF0F7"/>
          </w:tcPr>
          <w:p>
            <w:pPr>
              <w:spacing w:after="20" w:line="252" w:lineRule="auto"/>
            </w:pPr>
            <w:r>
              <w:rPr>
                <w:b w:val="0"/>
                <w:i w:val="0"/>
                <w:sz w:val="16"/>
              </w:rPr>
              <w:t>Not applicable</w:t>
            </w:r>
          </w:p>
        </w:tc>
        <w:tc>
          <w:tcPr>
            <w:tcW w:type="dxa" w:w="1928"/>
            <w:vAlign w:val="top"/>
            <w:shd w:val="clear" w:color="auto" w:fill="FDF0F7"/>
          </w:tcPr>
          <w:p>
            <w:pPr>
              <w:spacing w:after="20" w:line="252" w:lineRule="auto"/>
            </w:pPr>
            <w:r>
              <w:rPr>
                <w:b w:val="0"/>
                <w:i w:val="0"/>
                <w:sz w:val="16"/>
              </w:rPr>
              <w:t>B$ 15,000 one-off</w:t>
            </w:r>
          </w:p>
        </w:tc>
        <w:tc>
          <w:tcPr>
            <w:tcW w:type="dxa" w:w="2381"/>
            <w:vAlign w:val="top"/>
            <w:shd w:val="clear" w:color="auto" w:fill="FDF0F7"/>
          </w:tcPr>
          <w:p>
            <w:pPr>
              <w:spacing w:after="20" w:line="252" w:lineRule="auto"/>
            </w:pPr>
            <w:r>
              <w:rPr>
                <w:b w:val="0"/>
                <w:i w:val="0"/>
                <w:sz w:val="16"/>
              </w:rPr>
              <w:t>iorta fee (Option B one-time fees)</w:t>
            </w:r>
          </w:p>
        </w:tc>
      </w:tr>
      <w:tr>
        <w:trPr>
          <w:cantSplit/>
        </w:trPr>
        <w:tc>
          <w:tcPr>
            <w:tcW w:type="dxa" w:w="3175"/>
            <w:vAlign w:val="top"/>
          </w:tcPr>
          <w:p>
            <w:pPr>
              <w:spacing w:after="20" w:line="252" w:lineRule="auto"/>
            </w:pPr>
            <w:r>
              <w:rPr>
                <w:b/>
                <w:i w:val="0"/>
                <w:sz w:val="16"/>
              </w:rPr>
              <w:t>Independent VAPT and re-test</w:t>
            </w:r>
          </w:p>
        </w:tc>
        <w:tc>
          <w:tcPr>
            <w:tcW w:type="dxa" w:w="2154"/>
            <w:vAlign w:val="top"/>
          </w:tcPr>
          <w:p>
            <w:pPr>
              <w:spacing w:after="20" w:line="252" w:lineRule="auto"/>
            </w:pPr>
            <w:r>
              <w:rPr>
                <w:b w:val="0"/>
                <w:i w:val="0"/>
                <w:sz w:val="16"/>
              </w:rPr>
              <w:t>Included (item 7)</w:t>
            </w:r>
          </w:p>
        </w:tc>
        <w:tc>
          <w:tcPr>
            <w:tcW w:type="dxa" w:w="1928"/>
            <w:vAlign w:val="top"/>
          </w:tcPr>
          <w:p>
            <w:pPr>
              <w:spacing w:after="20" w:line="252" w:lineRule="auto"/>
            </w:pPr>
            <w:r>
              <w:rPr>
                <w:b w:val="0"/>
                <w:i w:val="0"/>
                <w:sz w:val="16"/>
              </w:rPr>
              <w:t>Included (item 7)</w:t>
            </w:r>
          </w:p>
        </w:tc>
        <w:tc>
          <w:tcPr>
            <w:tcW w:type="dxa" w:w="2381"/>
            <w:vAlign w:val="top"/>
          </w:tcPr>
          <w:p>
            <w:pPr>
              <w:spacing w:after="20" w:line="252" w:lineRule="auto"/>
            </w:pPr>
            <w:r>
              <w:rPr>
                <w:b w:val="0"/>
                <w:i w:val="0"/>
                <w:sz w:val="16"/>
              </w:rPr>
              <w:t>Included in iorta fee</w:t>
            </w:r>
          </w:p>
        </w:tc>
      </w:tr>
    </w:tbl>
    <w:p>
      <w:pPr>
        <w:pStyle w:val="Caption"/>
        <w:jc w:val="center"/>
      </w:pPr>
      <w:r>
        <w:rPr>
          <w:b w:val="0"/>
          <w:i w:val="0"/>
        </w:rPr>
        <w:t>Table 55: Third-party charges and licences (detail in Annex C and the BOM workbook)</w:t>
      </w:r>
    </w:p>
    <w:p>
      <w:pPr>
        <w:keepNext w:val="0"/>
      </w:pPr>
      <w:r>
        <w:rPr>
          <w:b w:val="0"/>
          <w:i w:val="0"/>
        </w:rPr>
        <w:t>The CI pipeline produces a CycloneDX software bill of materials (SBOM) of the production dependencies on every build. It is delivered with each release and lists every open-source package with its licence.</w:t>
      </w:r>
    </w:p>
    <w:p>
      <w:pPr>
        <w:pStyle w:val="Heading2"/>
      </w:pPr>
      <w:r>
        <w:t>19.10 Rate card (COM-16)</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1134"/>
        <w:gridCol w:w="1020"/>
        <w:gridCol w:w="1020"/>
        <w:gridCol w:w="1020"/>
        <w:gridCol w:w="1020"/>
        <w:gridCol w:w="1020"/>
      </w:tblGrid>
      <w:tr>
        <w:trPr>
          <w:cantSplit/>
          <w:tblHeader/>
        </w:trPr>
        <w:tc>
          <w:tcPr>
            <w:tcW w:type="dxa" w:w="3402"/>
            <w:shd w:val="clear" w:color="auto" w:fill="E1058C"/>
            <w:vAlign w:val="center"/>
          </w:tcPr>
          <w:p>
            <w:pPr>
              <w:spacing w:after="0"/>
            </w:pPr>
            <w:r>
              <w:rPr>
                <w:b/>
                <w:i w:val="0"/>
                <w:color w:val="FFFFFF"/>
                <w:sz w:val="16"/>
              </w:rPr>
              <w:t>Service</w:t>
            </w:r>
          </w:p>
        </w:tc>
        <w:tc>
          <w:tcPr>
            <w:tcW w:type="dxa" w:w="1134"/>
            <w:shd w:val="clear" w:color="auto" w:fill="E1058C"/>
            <w:vAlign w:val="center"/>
          </w:tcPr>
          <w:p>
            <w:pPr>
              <w:spacing w:after="0"/>
            </w:pPr>
            <w:r>
              <w:rPr>
                <w:b/>
                <w:i w:val="0"/>
                <w:color w:val="FFFFFF"/>
                <w:sz w:val="16"/>
              </w:rPr>
              <w:t>Unit</w:t>
            </w:r>
          </w:p>
        </w:tc>
        <w:tc>
          <w:tcPr>
            <w:tcW w:type="dxa" w:w="1020"/>
            <w:shd w:val="clear" w:color="auto" w:fill="E1058C"/>
            <w:vAlign w:val="center"/>
          </w:tcPr>
          <w:p>
            <w:pPr>
              <w:spacing w:after="0"/>
            </w:pPr>
            <w:r>
              <w:rPr>
                <w:b/>
                <w:i w:val="0"/>
                <w:color w:val="FFFFFF"/>
                <w:sz w:val="16"/>
              </w:rPr>
              <w:t>Year 1</w:t>
            </w:r>
          </w:p>
        </w:tc>
        <w:tc>
          <w:tcPr>
            <w:tcW w:type="dxa" w:w="1020"/>
            <w:shd w:val="clear" w:color="auto" w:fill="E1058C"/>
            <w:vAlign w:val="center"/>
          </w:tcPr>
          <w:p>
            <w:pPr>
              <w:spacing w:after="0"/>
            </w:pPr>
            <w:r>
              <w:rPr>
                <w:b/>
                <w:i w:val="0"/>
                <w:color w:val="FFFFFF"/>
                <w:sz w:val="16"/>
              </w:rPr>
              <w:t>Year 2</w:t>
            </w:r>
          </w:p>
        </w:tc>
        <w:tc>
          <w:tcPr>
            <w:tcW w:type="dxa" w:w="1020"/>
            <w:shd w:val="clear" w:color="auto" w:fill="E1058C"/>
            <w:vAlign w:val="center"/>
          </w:tcPr>
          <w:p>
            <w:pPr>
              <w:spacing w:after="0"/>
            </w:pPr>
            <w:r>
              <w:rPr>
                <w:b/>
                <w:i w:val="0"/>
                <w:color w:val="FFFFFF"/>
                <w:sz w:val="16"/>
              </w:rPr>
              <w:t>Year 3</w:t>
            </w:r>
          </w:p>
        </w:tc>
        <w:tc>
          <w:tcPr>
            <w:tcW w:type="dxa" w:w="1020"/>
            <w:shd w:val="clear" w:color="auto" w:fill="E1058C"/>
            <w:vAlign w:val="center"/>
          </w:tcPr>
          <w:p>
            <w:pPr>
              <w:spacing w:after="0"/>
            </w:pPr>
            <w:r>
              <w:rPr>
                <w:b/>
                <w:i w:val="0"/>
                <w:color w:val="FFFFFF"/>
                <w:sz w:val="16"/>
              </w:rPr>
              <w:t>Year 4</w:t>
            </w:r>
          </w:p>
        </w:tc>
        <w:tc>
          <w:tcPr>
            <w:tcW w:type="dxa" w:w="1020"/>
            <w:shd w:val="clear" w:color="auto" w:fill="E1058C"/>
            <w:vAlign w:val="center"/>
          </w:tcPr>
          <w:p>
            <w:pPr>
              <w:spacing w:after="0"/>
            </w:pPr>
            <w:r>
              <w:rPr>
                <w:b/>
                <w:i w:val="0"/>
                <w:color w:val="FFFFFF"/>
                <w:sz w:val="16"/>
              </w:rPr>
              <w:t>Year 5</w:t>
            </w:r>
          </w:p>
        </w:tc>
      </w:tr>
      <w:tr>
        <w:trPr>
          <w:cantSplit/>
        </w:trPr>
        <w:tc>
          <w:tcPr>
            <w:tcW w:type="dxa" w:w="3402"/>
            <w:vAlign w:val="top"/>
          </w:tcPr>
          <w:p>
            <w:pPr>
              <w:spacing w:after="20" w:line="252" w:lineRule="auto"/>
            </w:pPr>
            <w:r>
              <w:rPr>
                <w:b/>
                <w:i w:val="0"/>
                <w:sz w:val="16"/>
              </w:rPr>
              <w:t>Enhancements and change requests</w:t>
            </w:r>
          </w:p>
        </w:tc>
        <w:tc>
          <w:tcPr>
            <w:tcW w:type="dxa" w:w="1134"/>
            <w:vAlign w:val="top"/>
          </w:tcPr>
          <w:p>
            <w:pPr>
              <w:spacing w:after="20" w:line="252" w:lineRule="auto"/>
            </w:pPr>
            <w:r>
              <w:rPr>
                <w:b w:val="0"/>
                <w:i w:val="0"/>
                <w:sz w:val="16"/>
              </w:rPr>
              <w:t>Per man-day</w:t>
            </w:r>
          </w:p>
        </w:tc>
        <w:tc>
          <w:tcPr>
            <w:tcW w:type="dxa" w:w="1020"/>
            <w:vAlign w:val="top"/>
          </w:tcPr>
          <w:p>
            <w:pPr>
              <w:spacing w:after="20" w:line="252" w:lineRule="auto"/>
              <w:jc w:val="right"/>
            </w:pPr>
            <w:r>
              <w:rPr>
                <w:b w:val="0"/>
                <w:i w:val="0"/>
                <w:sz w:val="16"/>
              </w:rPr>
              <w:t>680</w:t>
            </w:r>
          </w:p>
        </w:tc>
        <w:tc>
          <w:tcPr>
            <w:tcW w:type="dxa" w:w="1020"/>
            <w:vAlign w:val="top"/>
          </w:tcPr>
          <w:p>
            <w:pPr>
              <w:spacing w:after="20" w:line="252" w:lineRule="auto"/>
              <w:jc w:val="right"/>
            </w:pPr>
            <w:r>
              <w:rPr>
                <w:b w:val="0"/>
                <w:i w:val="0"/>
                <w:sz w:val="16"/>
              </w:rPr>
              <w:t>714</w:t>
            </w:r>
          </w:p>
        </w:tc>
        <w:tc>
          <w:tcPr>
            <w:tcW w:type="dxa" w:w="1020"/>
            <w:vAlign w:val="top"/>
          </w:tcPr>
          <w:p>
            <w:pPr>
              <w:spacing w:after="20" w:line="252" w:lineRule="auto"/>
              <w:jc w:val="right"/>
            </w:pPr>
            <w:r>
              <w:rPr>
                <w:b w:val="0"/>
                <w:i w:val="0"/>
                <w:sz w:val="16"/>
              </w:rPr>
              <w:t>750</w:t>
            </w:r>
          </w:p>
        </w:tc>
        <w:tc>
          <w:tcPr>
            <w:tcW w:type="dxa" w:w="1020"/>
            <w:vAlign w:val="top"/>
          </w:tcPr>
          <w:p>
            <w:pPr>
              <w:spacing w:after="20" w:line="252" w:lineRule="auto"/>
              <w:jc w:val="right"/>
            </w:pPr>
            <w:r>
              <w:rPr>
                <w:b w:val="0"/>
                <w:i w:val="0"/>
                <w:sz w:val="16"/>
              </w:rPr>
              <w:t>787</w:t>
            </w:r>
          </w:p>
        </w:tc>
        <w:tc>
          <w:tcPr>
            <w:tcW w:type="dxa" w:w="1020"/>
            <w:vAlign w:val="top"/>
          </w:tcPr>
          <w:p>
            <w:pPr>
              <w:spacing w:after="20" w:line="252" w:lineRule="auto"/>
              <w:jc w:val="right"/>
            </w:pPr>
            <w:r>
              <w:rPr>
                <w:b w:val="0"/>
                <w:i w:val="0"/>
                <w:sz w:val="16"/>
              </w:rPr>
              <w:t>827</w:t>
            </w:r>
          </w:p>
        </w:tc>
      </w:tr>
      <w:tr>
        <w:trPr>
          <w:cantSplit/>
        </w:trPr>
        <w:tc>
          <w:tcPr>
            <w:tcW w:type="dxa" w:w="3402"/>
            <w:vAlign w:val="top"/>
            <w:shd w:val="clear" w:color="auto" w:fill="FDF0F7"/>
          </w:tcPr>
          <w:p>
            <w:pPr>
              <w:spacing w:after="20" w:line="252" w:lineRule="auto"/>
            </w:pPr>
            <w:r>
              <w:rPr>
                <w:b/>
                <w:i w:val="0"/>
                <w:sz w:val="16"/>
              </w:rPr>
              <w:t>Enhancements and change requests</w:t>
            </w:r>
          </w:p>
        </w:tc>
        <w:tc>
          <w:tcPr>
            <w:tcW w:type="dxa" w:w="1134"/>
            <w:vAlign w:val="top"/>
            <w:shd w:val="clear" w:color="auto" w:fill="FDF0F7"/>
          </w:tcPr>
          <w:p>
            <w:pPr>
              <w:spacing w:after="20" w:line="252" w:lineRule="auto"/>
            </w:pPr>
            <w:r>
              <w:rPr>
                <w:b w:val="0"/>
                <w:i w:val="0"/>
                <w:sz w:val="16"/>
              </w:rPr>
              <w:t>Per hour</w:t>
            </w:r>
          </w:p>
        </w:tc>
        <w:tc>
          <w:tcPr>
            <w:tcW w:type="dxa" w:w="1020"/>
            <w:vAlign w:val="top"/>
            <w:shd w:val="clear" w:color="auto" w:fill="FDF0F7"/>
          </w:tcPr>
          <w:p>
            <w:pPr>
              <w:spacing w:after="20" w:line="252" w:lineRule="auto"/>
              <w:jc w:val="right"/>
            </w:pPr>
            <w:r>
              <w:rPr>
                <w:b w:val="0"/>
                <w:i w:val="0"/>
                <w:sz w:val="16"/>
              </w:rPr>
              <w:t>90</w:t>
            </w:r>
          </w:p>
        </w:tc>
        <w:tc>
          <w:tcPr>
            <w:tcW w:type="dxa" w:w="1020"/>
            <w:vAlign w:val="top"/>
            <w:shd w:val="clear" w:color="auto" w:fill="FDF0F7"/>
          </w:tcPr>
          <w:p>
            <w:pPr>
              <w:spacing w:after="20" w:line="252" w:lineRule="auto"/>
              <w:jc w:val="right"/>
            </w:pPr>
            <w:r>
              <w:rPr>
                <w:b w:val="0"/>
                <w:i w:val="0"/>
                <w:sz w:val="16"/>
              </w:rPr>
              <w:t>95</w:t>
            </w:r>
          </w:p>
        </w:tc>
        <w:tc>
          <w:tcPr>
            <w:tcW w:type="dxa" w:w="1020"/>
            <w:vAlign w:val="top"/>
            <w:shd w:val="clear" w:color="auto" w:fill="FDF0F7"/>
          </w:tcPr>
          <w:p>
            <w:pPr>
              <w:spacing w:after="20" w:line="252" w:lineRule="auto"/>
              <w:jc w:val="right"/>
            </w:pPr>
            <w:r>
              <w:rPr>
                <w:b w:val="0"/>
                <w:i w:val="0"/>
                <w:sz w:val="16"/>
              </w:rPr>
              <w:t>99</w:t>
            </w:r>
          </w:p>
        </w:tc>
        <w:tc>
          <w:tcPr>
            <w:tcW w:type="dxa" w:w="1020"/>
            <w:vAlign w:val="top"/>
            <w:shd w:val="clear" w:color="auto" w:fill="FDF0F7"/>
          </w:tcPr>
          <w:p>
            <w:pPr>
              <w:spacing w:after="20" w:line="252" w:lineRule="auto"/>
              <w:jc w:val="right"/>
            </w:pPr>
            <w:r>
              <w:rPr>
                <w:b w:val="0"/>
                <w:i w:val="0"/>
                <w:sz w:val="16"/>
              </w:rPr>
              <w:t>104</w:t>
            </w:r>
          </w:p>
        </w:tc>
        <w:tc>
          <w:tcPr>
            <w:tcW w:type="dxa" w:w="1020"/>
            <w:vAlign w:val="top"/>
            <w:shd w:val="clear" w:color="auto" w:fill="FDF0F7"/>
          </w:tcPr>
          <w:p>
            <w:pPr>
              <w:spacing w:after="20" w:line="252" w:lineRule="auto"/>
              <w:jc w:val="right"/>
            </w:pPr>
            <w:r>
              <w:rPr>
                <w:b w:val="0"/>
                <w:i w:val="0"/>
                <w:sz w:val="16"/>
              </w:rPr>
              <w:t>109</w:t>
            </w:r>
          </w:p>
        </w:tc>
      </w:tr>
      <w:tr>
        <w:trPr>
          <w:cantSplit/>
        </w:trPr>
        <w:tc>
          <w:tcPr>
            <w:tcW w:type="dxa" w:w="3402"/>
            <w:vAlign w:val="top"/>
          </w:tcPr>
          <w:p>
            <w:pPr>
              <w:spacing w:after="20" w:line="252" w:lineRule="auto"/>
            </w:pPr>
            <w:r>
              <w:rPr>
                <w:b/>
                <w:i w:val="0"/>
                <w:sz w:val="16"/>
              </w:rPr>
              <w:t>Onsite support, unplanned visit (plus OPE)</w:t>
            </w:r>
          </w:p>
        </w:tc>
        <w:tc>
          <w:tcPr>
            <w:tcW w:type="dxa" w:w="1134"/>
            <w:vAlign w:val="top"/>
          </w:tcPr>
          <w:p>
            <w:pPr>
              <w:spacing w:after="20" w:line="252" w:lineRule="auto"/>
            </w:pPr>
            <w:r>
              <w:rPr>
                <w:b w:val="0"/>
                <w:i w:val="0"/>
                <w:sz w:val="16"/>
              </w:rPr>
              <w:t>Per day</w:t>
            </w:r>
          </w:p>
        </w:tc>
        <w:tc>
          <w:tcPr>
            <w:tcW w:type="dxa" w:w="1020"/>
            <w:vAlign w:val="top"/>
          </w:tcPr>
          <w:p>
            <w:pPr>
              <w:spacing w:after="20" w:line="252" w:lineRule="auto"/>
              <w:jc w:val="right"/>
            </w:pPr>
            <w:r>
              <w:rPr>
                <w:b w:val="0"/>
                <w:i w:val="0"/>
                <w:sz w:val="16"/>
              </w:rPr>
              <w:t>850</w:t>
            </w:r>
          </w:p>
        </w:tc>
        <w:tc>
          <w:tcPr>
            <w:tcW w:type="dxa" w:w="1020"/>
            <w:vAlign w:val="top"/>
          </w:tcPr>
          <w:p>
            <w:pPr>
              <w:spacing w:after="20" w:line="252" w:lineRule="auto"/>
              <w:jc w:val="right"/>
            </w:pPr>
            <w:r>
              <w:rPr>
                <w:b w:val="0"/>
                <w:i w:val="0"/>
                <w:sz w:val="16"/>
              </w:rPr>
              <w:t>893</w:t>
            </w:r>
          </w:p>
        </w:tc>
        <w:tc>
          <w:tcPr>
            <w:tcW w:type="dxa" w:w="1020"/>
            <w:vAlign w:val="top"/>
          </w:tcPr>
          <w:p>
            <w:pPr>
              <w:spacing w:after="20" w:line="252" w:lineRule="auto"/>
              <w:jc w:val="right"/>
            </w:pPr>
            <w:r>
              <w:rPr>
                <w:b w:val="0"/>
                <w:i w:val="0"/>
                <w:sz w:val="16"/>
              </w:rPr>
              <w:t>937</w:t>
            </w:r>
          </w:p>
        </w:tc>
        <w:tc>
          <w:tcPr>
            <w:tcW w:type="dxa" w:w="1020"/>
            <w:vAlign w:val="top"/>
          </w:tcPr>
          <w:p>
            <w:pPr>
              <w:spacing w:after="20" w:line="252" w:lineRule="auto"/>
              <w:jc w:val="right"/>
            </w:pPr>
            <w:r>
              <w:rPr>
                <w:b w:val="0"/>
                <w:i w:val="0"/>
                <w:sz w:val="16"/>
              </w:rPr>
              <w:t>984</w:t>
            </w:r>
          </w:p>
        </w:tc>
        <w:tc>
          <w:tcPr>
            <w:tcW w:type="dxa" w:w="1020"/>
            <w:vAlign w:val="top"/>
          </w:tcPr>
          <w:p>
            <w:pPr>
              <w:spacing w:after="20" w:line="252" w:lineRule="auto"/>
              <w:jc w:val="right"/>
            </w:pPr>
            <w:r>
              <w:rPr>
                <w:b w:val="0"/>
                <w:i w:val="0"/>
                <w:sz w:val="16"/>
              </w:rPr>
              <w:t>1,033</w:t>
            </w:r>
          </w:p>
        </w:tc>
      </w:tr>
      <w:tr>
        <w:trPr>
          <w:cantSplit/>
        </w:trPr>
        <w:tc>
          <w:tcPr>
            <w:tcW w:type="dxa" w:w="3402"/>
            <w:vAlign w:val="top"/>
            <w:shd w:val="clear" w:color="auto" w:fill="FDF0F7"/>
          </w:tcPr>
          <w:p>
            <w:pPr>
              <w:spacing w:after="20" w:line="252" w:lineRule="auto"/>
            </w:pPr>
            <w:r>
              <w:rPr>
                <w:b/>
                <w:i w:val="0"/>
                <w:sz w:val="16"/>
              </w:rPr>
              <w:t>After-hours support other than P1</w:t>
            </w:r>
          </w:p>
        </w:tc>
        <w:tc>
          <w:tcPr>
            <w:tcW w:type="dxa" w:w="1134"/>
            <w:vAlign w:val="top"/>
            <w:shd w:val="clear" w:color="auto" w:fill="FDF0F7"/>
          </w:tcPr>
          <w:p>
            <w:pPr>
              <w:spacing w:after="20" w:line="252" w:lineRule="auto"/>
            </w:pPr>
            <w:r>
              <w:rPr>
                <w:b w:val="0"/>
                <w:i w:val="0"/>
                <w:sz w:val="16"/>
              </w:rPr>
              <w:t>Per hour</w:t>
            </w:r>
          </w:p>
        </w:tc>
        <w:tc>
          <w:tcPr>
            <w:tcW w:type="dxa" w:w="1020"/>
            <w:vAlign w:val="top"/>
            <w:shd w:val="clear" w:color="auto" w:fill="FDF0F7"/>
          </w:tcPr>
          <w:p>
            <w:pPr>
              <w:spacing w:after="20" w:line="252" w:lineRule="auto"/>
              <w:jc w:val="right"/>
            </w:pPr>
            <w:r>
              <w:rPr>
                <w:b w:val="0"/>
                <w:i w:val="0"/>
                <w:sz w:val="16"/>
              </w:rPr>
              <w:t>120</w:t>
            </w:r>
          </w:p>
        </w:tc>
        <w:tc>
          <w:tcPr>
            <w:tcW w:type="dxa" w:w="1020"/>
            <w:vAlign w:val="top"/>
            <w:shd w:val="clear" w:color="auto" w:fill="FDF0F7"/>
          </w:tcPr>
          <w:p>
            <w:pPr>
              <w:spacing w:after="20" w:line="252" w:lineRule="auto"/>
              <w:jc w:val="right"/>
            </w:pPr>
            <w:r>
              <w:rPr>
                <w:b w:val="0"/>
                <w:i w:val="0"/>
                <w:sz w:val="16"/>
              </w:rPr>
              <w:t>126</w:t>
            </w:r>
          </w:p>
        </w:tc>
        <w:tc>
          <w:tcPr>
            <w:tcW w:type="dxa" w:w="1020"/>
            <w:vAlign w:val="top"/>
            <w:shd w:val="clear" w:color="auto" w:fill="FDF0F7"/>
          </w:tcPr>
          <w:p>
            <w:pPr>
              <w:spacing w:after="20" w:line="252" w:lineRule="auto"/>
              <w:jc w:val="right"/>
            </w:pPr>
            <w:r>
              <w:rPr>
                <w:b w:val="0"/>
                <w:i w:val="0"/>
                <w:sz w:val="16"/>
              </w:rPr>
              <w:t>132</w:t>
            </w:r>
          </w:p>
        </w:tc>
        <w:tc>
          <w:tcPr>
            <w:tcW w:type="dxa" w:w="1020"/>
            <w:vAlign w:val="top"/>
            <w:shd w:val="clear" w:color="auto" w:fill="FDF0F7"/>
          </w:tcPr>
          <w:p>
            <w:pPr>
              <w:spacing w:after="20" w:line="252" w:lineRule="auto"/>
              <w:jc w:val="right"/>
            </w:pPr>
            <w:r>
              <w:rPr>
                <w:b w:val="0"/>
                <w:i w:val="0"/>
                <w:sz w:val="16"/>
              </w:rPr>
              <w:t>139</w:t>
            </w:r>
          </w:p>
        </w:tc>
        <w:tc>
          <w:tcPr>
            <w:tcW w:type="dxa" w:w="1020"/>
            <w:vAlign w:val="top"/>
            <w:shd w:val="clear" w:color="auto" w:fill="FDF0F7"/>
          </w:tcPr>
          <w:p>
            <w:pPr>
              <w:spacing w:after="20" w:line="252" w:lineRule="auto"/>
              <w:jc w:val="right"/>
            </w:pPr>
            <w:r>
              <w:rPr>
                <w:b w:val="0"/>
                <w:i w:val="0"/>
                <w:sz w:val="16"/>
              </w:rPr>
              <w:t>146</w:t>
            </w:r>
          </w:p>
        </w:tc>
      </w:tr>
      <w:tr>
        <w:trPr>
          <w:cantSplit/>
        </w:trPr>
        <w:tc>
          <w:tcPr>
            <w:tcW w:type="dxa" w:w="3402"/>
            <w:vAlign w:val="top"/>
          </w:tcPr>
          <w:p>
            <w:pPr>
              <w:spacing w:after="20" w:line="252" w:lineRule="auto"/>
            </w:pPr>
            <w:r>
              <w:rPr>
                <w:b/>
                <w:i w:val="0"/>
                <w:sz w:val="16"/>
              </w:rPr>
              <w:t>After-hours support for P1 (Critical) incidents</w:t>
            </w:r>
          </w:p>
        </w:tc>
        <w:tc>
          <w:tcPr>
            <w:tcW w:type="dxa" w:w="1134"/>
            <w:vAlign w:val="top"/>
          </w:tcPr>
          <w:p>
            <w:pPr>
              <w:spacing w:after="20" w:line="252" w:lineRule="auto"/>
            </w:pPr>
            <w:r>
              <w:rPr>
                <w:b w:val="0"/>
                <w:i w:val="0"/>
                <w:sz w:val="16"/>
              </w:rPr>
              <w:t>Per incident</w:t>
            </w:r>
          </w:p>
        </w:tc>
        <w:tc>
          <w:tcPr>
            <w:tcW w:type="dxa" w:w="1020"/>
            <w:vAlign w:val="top"/>
          </w:tcPr>
          <w:p>
            <w:pPr>
              <w:spacing w:after="20" w:line="252" w:lineRule="auto"/>
              <w:jc w:val="right"/>
            </w:pPr>
            <w:r>
              <w:rPr>
                <w:b w:val="0"/>
                <w:i w:val="0"/>
                <w:sz w:val="16"/>
              </w:rPr>
              <w:t>Included</w:t>
            </w:r>
          </w:p>
        </w:tc>
        <w:tc>
          <w:tcPr>
            <w:tcW w:type="dxa" w:w="1020"/>
            <w:vAlign w:val="top"/>
          </w:tcPr>
          <w:p>
            <w:pPr>
              <w:spacing w:after="20" w:line="252" w:lineRule="auto"/>
              <w:jc w:val="right"/>
            </w:pPr>
            <w:r>
              <w:rPr>
                <w:b w:val="0"/>
                <w:i w:val="0"/>
                <w:sz w:val="16"/>
              </w:rPr>
              <w:t>Included</w:t>
            </w:r>
          </w:p>
        </w:tc>
        <w:tc>
          <w:tcPr>
            <w:tcW w:type="dxa" w:w="1020"/>
            <w:vAlign w:val="top"/>
          </w:tcPr>
          <w:p>
            <w:pPr>
              <w:spacing w:after="20" w:line="252" w:lineRule="auto"/>
              <w:jc w:val="right"/>
            </w:pPr>
            <w:r>
              <w:rPr>
                <w:b w:val="0"/>
                <w:i w:val="0"/>
                <w:sz w:val="16"/>
              </w:rPr>
              <w:t>Included</w:t>
            </w:r>
          </w:p>
        </w:tc>
        <w:tc>
          <w:tcPr>
            <w:tcW w:type="dxa" w:w="1020"/>
            <w:vAlign w:val="top"/>
          </w:tcPr>
          <w:p>
            <w:pPr>
              <w:spacing w:after="20" w:line="252" w:lineRule="auto"/>
              <w:jc w:val="right"/>
            </w:pPr>
            <w:r>
              <w:rPr>
                <w:b w:val="0"/>
                <w:i w:val="0"/>
                <w:sz w:val="16"/>
              </w:rPr>
              <w:t>Included</w:t>
            </w:r>
          </w:p>
        </w:tc>
        <w:tc>
          <w:tcPr>
            <w:tcW w:type="dxa" w:w="1020"/>
            <w:vAlign w:val="top"/>
          </w:tcPr>
          <w:p>
            <w:pPr>
              <w:spacing w:after="20" w:line="252" w:lineRule="auto"/>
              <w:jc w:val="right"/>
            </w:pPr>
            <w:r>
              <w:rPr>
                <w:b w:val="0"/>
                <w:i w:val="0"/>
                <w:sz w:val="16"/>
              </w:rPr>
              <w:t>Included</w:t>
            </w:r>
          </w:p>
        </w:tc>
      </w:tr>
      <w:tr>
        <w:trPr>
          <w:cantSplit/>
        </w:trPr>
        <w:tc>
          <w:tcPr>
            <w:tcW w:type="dxa" w:w="3402"/>
            <w:vAlign w:val="top"/>
            <w:shd w:val="clear" w:color="auto" w:fill="FDF0F7"/>
          </w:tcPr>
          <w:p>
            <w:pPr>
              <w:spacing w:after="20" w:line="252" w:lineRule="auto"/>
            </w:pPr>
            <w:r>
              <w:rPr>
                <w:b/>
                <w:i w:val="0"/>
                <w:sz w:val="16"/>
              </w:rPr>
              <w:t>Exit and transition at contract end</w:t>
            </w:r>
          </w:p>
        </w:tc>
        <w:tc>
          <w:tcPr>
            <w:tcW w:type="dxa" w:w="1134"/>
            <w:vAlign w:val="top"/>
            <w:shd w:val="clear" w:color="auto" w:fill="FDF0F7"/>
          </w:tcPr>
          <w:p>
            <w:pPr>
              <w:spacing w:after="20" w:line="252" w:lineRule="auto"/>
            </w:pPr>
            <w:r>
              <w:rPr>
                <w:b w:val="0"/>
                <w:i w:val="0"/>
                <w:sz w:val="16"/>
              </w:rPr>
              <w:t>Fixed</w:t>
            </w:r>
          </w:p>
        </w:tc>
        <w:tc>
          <w:tcPr>
            <w:tcW w:type="dxa" w:w="1020"/>
            <w:vAlign w:val="top"/>
            <w:shd w:val="clear" w:color="auto" w:fill="FDF0F7"/>
          </w:tcPr>
          <w:p>
            <w:pPr>
              <w:spacing w:after="20" w:line="252" w:lineRule="auto"/>
              <w:jc w:val="right"/>
            </w:pPr>
            <w:r>
              <w:rPr>
                <w:b w:val="0"/>
                <w:i w:val="0"/>
                <w:sz w:val="16"/>
              </w:rPr>
              <w:t>Included</w:t>
            </w:r>
          </w:p>
        </w:tc>
        <w:tc>
          <w:tcPr>
            <w:tcW w:type="dxa" w:w="1020"/>
            <w:vAlign w:val="top"/>
            <w:shd w:val="clear" w:color="auto" w:fill="FDF0F7"/>
          </w:tcPr>
          <w:p>
            <w:pPr>
              <w:spacing w:after="20" w:line="252" w:lineRule="auto"/>
              <w:jc w:val="right"/>
            </w:pPr>
            <w:r>
              <w:rPr>
                <w:b w:val="0"/>
                <w:i w:val="0"/>
                <w:sz w:val="16"/>
              </w:rPr>
              <w:t>Included</w:t>
            </w:r>
          </w:p>
        </w:tc>
        <w:tc>
          <w:tcPr>
            <w:tcW w:type="dxa" w:w="1020"/>
            <w:vAlign w:val="top"/>
            <w:shd w:val="clear" w:color="auto" w:fill="FDF0F7"/>
          </w:tcPr>
          <w:p>
            <w:pPr>
              <w:spacing w:after="20" w:line="252" w:lineRule="auto"/>
              <w:jc w:val="right"/>
            </w:pPr>
            <w:r>
              <w:rPr>
                <w:b w:val="0"/>
                <w:i w:val="0"/>
                <w:sz w:val="16"/>
              </w:rPr>
              <w:t>Included</w:t>
            </w:r>
          </w:p>
        </w:tc>
        <w:tc>
          <w:tcPr>
            <w:tcW w:type="dxa" w:w="1020"/>
            <w:vAlign w:val="top"/>
            <w:shd w:val="clear" w:color="auto" w:fill="FDF0F7"/>
          </w:tcPr>
          <w:p>
            <w:pPr>
              <w:spacing w:after="20" w:line="252" w:lineRule="auto"/>
              <w:jc w:val="right"/>
            </w:pPr>
            <w:r>
              <w:rPr>
                <w:b w:val="0"/>
                <w:i w:val="0"/>
                <w:sz w:val="16"/>
              </w:rPr>
              <w:t>Included</w:t>
            </w:r>
          </w:p>
        </w:tc>
        <w:tc>
          <w:tcPr>
            <w:tcW w:type="dxa" w:w="1020"/>
            <w:vAlign w:val="top"/>
            <w:shd w:val="clear" w:color="auto" w:fill="FDF0F7"/>
          </w:tcPr>
          <w:p>
            <w:pPr>
              <w:spacing w:after="20" w:line="252" w:lineRule="auto"/>
              <w:jc w:val="right"/>
            </w:pPr>
            <w:r>
              <w:rPr>
                <w:b w:val="0"/>
                <w:i w:val="0"/>
                <w:sz w:val="16"/>
              </w:rPr>
              <w:t>Included</w:t>
            </w:r>
          </w:p>
        </w:tc>
      </w:tr>
    </w:tbl>
    <w:p>
      <w:pPr>
        <w:pStyle w:val="Caption"/>
        <w:jc w:val="center"/>
      </w:pPr>
      <w:r>
        <w:rPr>
          <w:b w:val="0"/>
          <w:i w:val="0"/>
        </w:rPr>
        <w:t>Table 56: Rate card in B$ (RFP section 10 items 17–19 and 21; +5% a year)</w:t>
      </w:r>
    </w:p>
    <w:p>
      <w:pPr>
        <w:keepNext w:val="0"/>
      </w:pPr>
      <w:r>
        <w:rPr>
          <w:b w:val="0"/>
          <w:i w:val="0"/>
        </w:rPr>
        <w:t>The man-day rate is blended across roles. 60 hours of minor enhancements a year are included in the AMC and the subscription. Change requests follow a written request, an impact assessment within five business days, a quotation at these rates and IIFT's written approval before work starts; quotations remain valid for 90 days.</w:t>
      </w:r>
    </w:p>
    <w:p>
      <w:pPr>
        <w:pStyle w:val="Heading2"/>
      </w:pPr>
      <w:r>
        <w:t>19.11 Payment schedules</w:t>
      </w:r>
    </w:p>
    <w:p>
      <w:pPr>
        <w:pStyle w:val="Heading3"/>
      </w:pPr>
      <w:r>
        <w:t>Option A licence fee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247"/>
        <w:gridCol w:w="5443"/>
        <w:gridCol w:w="1134"/>
        <w:gridCol w:w="1814"/>
      </w:tblGrid>
      <w:tr>
        <w:trPr>
          <w:cantSplit/>
          <w:tblHeader/>
        </w:trPr>
        <w:tc>
          <w:tcPr>
            <w:tcW w:type="dxa" w:w="1247"/>
            <w:shd w:val="clear" w:color="auto" w:fill="E1058C"/>
            <w:vAlign w:val="center"/>
          </w:tcPr>
          <w:p>
            <w:pPr>
              <w:spacing w:after="0"/>
            </w:pPr>
            <w:r>
              <w:rPr>
                <w:b/>
                <w:i w:val="0"/>
                <w:color w:val="FFFFFF"/>
                <w:sz w:val="16"/>
              </w:rPr>
              <w:t>Milestone</w:t>
            </w:r>
          </w:p>
        </w:tc>
        <w:tc>
          <w:tcPr>
            <w:tcW w:type="dxa" w:w="5443"/>
            <w:shd w:val="clear" w:color="auto" w:fill="E1058C"/>
            <w:vAlign w:val="center"/>
          </w:tcPr>
          <w:p>
            <w:pPr>
              <w:spacing w:after="0"/>
            </w:pPr>
            <w:r>
              <w:rPr>
                <w:b/>
                <w:i w:val="0"/>
                <w:color w:val="FFFFFF"/>
                <w:sz w:val="16"/>
              </w:rPr>
              <w:t>Payment trigger</w:t>
            </w:r>
          </w:p>
        </w:tc>
        <w:tc>
          <w:tcPr>
            <w:tcW w:type="dxa" w:w="1134"/>
            <w:shd w:val="clear" w:color="auto" w:fill="E1058C"/>
            <w:vAlign w:val="center"/>
          </w:tcPr>
          <w:p>
            <w:pPr>
              <w:spacing w:after="0"/>
            </w:pPr>
            <w:r>
              <w:rPr>
                <w:b/>
                <w:i w:val="0"/>
                <w:color w:val="FFFFFF"/>
                <w:sz w:val="16"/>
              </w:rPr>
              <w:t>Share</w:t>
            </w:r>
          </w:p>
        </w:tc>
        <w:tc>
          <w:tcPr>
            <w:tcW w:type="dxa" w:w="1814"/>
            <w:shd w:val="clear" w:color="auto" w:fill="E1058C"/>
            <w:vAlign w:val="center"/>
          </w:tcPr>
          <w:p>
            <w:pPr>
              <w:spacing w:after="0"/>
            </w:pPr>
            <w:r>
              <w:rPr>
                <w:b/>
                <w:i w:val="0"/>
                <w:color w:val="FFFFFF"/>
                <w:sz w:val="16"/>
              </w:rPr>
              <w:t>Amount (B$)</w:t>
            </w:r>
          </w:p>
        </w:tc>
      </w:tr>
      <w:tr>
        <w:trPr>
          <w:cantSplit/>
        </w:trPr>
        <w:tc>
          <w:tcPr>
            <w:tcW w:type="dxa" w:w="1247"/>
            <w:vAlign w:val="top"/>
          </w:tcPr>
          <w:p>
            <w:pPr>
              <w:spacing w:after="20" w:line="252" w:lineRule="auto"/>
              <w:jc w:val="center"/>
            </w:pPr>
            <w:r>
              <w:rPr>
                <w:b w:val="0"/>
                <w:i w:val="0"/>
                <w:sz w:val="16"/>
              </w:rPr>
              <w:t>L1</w:t>
            </w:r>
          </w:p>
        </w:tc>
        <w:tc>
          <w:tcPr>
            <w:tcW w:type="dxa" w:w="5443"/>
            <w:vAlign w:val="top"/>
          </w:tcPr>
          <w:p>
            <w:pPr>
              <w:spacing w:after="20" w:line="252" w:lineRule="auto"/>
            </w:pPr>
            <w:r>
              <w:rPr>
                <w:b w:val="0"/>
                <w:i w:val="0"/>
                <w:sz w:val="16"/>
              </w:rPr>
              <w:t>Contract signing</w:t>
            </w:r>
          </w:p>
        </w:tc>
        <w:tc>
          <w:tcPr>
            <w:tcW w:type="dxa" w:w="1134"/>
            <w:vAlign w:val="top"/>
          </w:tcPr>
          <w:p>
            <w:pPr>
              <w:spacing w:after="20" w:line="252" w:lineRule="auto"/>
              <w:jc w:val="center"/>
            </w:pPr>
            <w:r>
              <w:rPr>
                <w:b w:val="0"/>
                <w:i w:val="0"/>
                <w:sz w:val="16"/>
              </w:rPr>
              <w:t>50%</w:t>
            </w:r>
          </w:p>
        </w:tc>
        <w:tc>
          <w:tcPr>
            <w:tcW w:type="dxa" w:w="1814"/>
            <w:vAlign w:val="top"/>
          </w:tcPr>
          <w:p>
            <w:pPr>
              <w:spacing w:after="20" w:line="252" w:lineRule="auto"/>
              <w:jc w:val="right"/>
            </w:pPr>
            <w:r>
              <w:rPr>
                <w:b w:val="0"/>
                <w:i w:val="0"/>
                <w:sz w:val="16"/>
              </w:rPr>
              <w:t>24,000</w:t>
            </w:r>
          </w:p>
        </w:tc>
      </w:tr>
      <w:tr>
        <w:trPr>
          <w:cantSplit/>
        </w:trPr>
        <w:tc>
          <w:tcPr>
            <w:tcW w:type="dxa" w:w="1247"/>
            <w:vAlign w:val="top"/>
            <w:shd w:val="clear" w:color="auto" w:fill="FDF0F7"/>
          </w:tcPr>
          <w:p>
            <w:pPr>
              <w:spacing w:after="20" w:line="252" w:lineRule="auto"/>
              <w:jc w:val="center"/>
            </w:pPr>
            <w:r>
              <w:rPr>
                <w:b w:val="0"/>
                <w:i w:val="0"/>
                <w:sz w:val="16"/>
              </w:rPr>
              <w:t>L2</w:t>
            </w:r>
          </w:p>
        </w:tc>
        <w:tc>
          <w:tcPr>
            <w:tcW w:type="dxa" w:w="5443"/>
            <w:vAlign w:val="top"/>
            <w:shd w:val="clear" w:color="auto" w:fill="FDF0F7"/>
          </w:tcPr>
          <w:p>
            <w:pPr>
              <w:spacing w:after="20" w:line="252" w:lineRule="auto"/>
            </w:pPr>
            <w:r>
              <w:rPr>
                <w:b w:val="0"/>
                <w:i w:val="0"/>
                <w:sz w:val="16"/>
              </w:rPr>
              <w:t>Installation in the SIT environment</w:t>
            </w:r>
          </w:p>
        </w:tc>
        <w:tc>
          <w:tcPr>
            <w:tcW w:type="dxa" w:w="1134"/>
            <w:vAlign w:val="top"/>
            <w:shd w:val="clear" w:color="auto" w:fill="FDF0F7"/>
          </w:tcPr>
          <w:p>
            <w:pPr>
              <w:spacing w:after="20" w:line="252" w:lineRule="auto"/>
              <w:jc w:val="center"/>
            </w:pPr>
            <w:r>
              <w:rPr>
                <w:b w:val="0"/>
                <w:i w:val="0"/>
                <w:sz w:val="16"/>
              </w:rPr>
              <w:t>30%</w:t>
            </w:r>
          </w:p>
        </w:tc>
        <w:tc>
          <w:tcPr>
            <w:tcW w:type="dxa" w:w="1814"/>
            <w:vAlign w:val="top"/>
            <w:shd w:val="clear" w:color="auto" w:fill="FDF0F7"/>
          </w:tcPr>
          <w:p>
            <w:pPr>
              <w:spacing w:after="20" w:line="252" w:lineRule="auto"/>
              <w:jc w:val="right"/>
            </w:pPr>
            <w:r>
              <w:rPr>
                <w:b w:val="0"/>
                <w:i w:val="0"/>
                <w:sz w:val="16"/>
              </w:rPr>
              <w:t>14,400</w:t>
            </w:r>
          </w:p>
        </w:tc>
      </w:tr>
      <w:tr>
        <w:trPr>
          <w:cantSplit/>
        </w:trPr>
        <w:tc>
          <w:tcPr>
            <w:tcW w:type="dxa" w:w="1247"/>
            <w:vAlign w:val="top"/>
          </w:tcPr>
          <w:p>
            <w:pPr>
              <w:spacing w:after="20" w:line="252" w:lineRule="auto"/>
              <w:jc w:val="center"/>
            </w:pPr>
            <w:r>
              <w:rPr>
                <w:b w:val="0"/>
                <w:i w:val="0"/>
                <w:sz w:val="16"/>
              </w:rPr>
              <w:t>L3</w:t>
            </w:r>
          </w:p>
        </w:tc>
        <w:tc>
          <w:tcPr>
            <w:tcW w:type="dxa" w:w="5443"/>
            <w:vAlign w:val="top"/>
          </w:tcPr>
          <w:p>
            <w:pPr>
              <w:spacing w:after="20" w:line="252" w:lineRule="auto"/>
            </w:pPr>
            <w:r>
              <w:rPr>
                <w:b w:val="0"/>
                <w:i w:val="0"/>
                <w:sz w:val="16"/>
              </w:rPr>
              <w:t>Production go-live</w:t>
            </w:r>
          </w:p>
        </w:tc>
        <w:tc>
          <w:tcPr>
            <w:tcW w:type="dxa" w:w="1134"/>
            <w:vAlign w:val="top"/>
          </w:tcPr>
          <w:p>
            <w:pPr>
              <w:spacing w:after="20" w:line="252" w:lineRule="auto"/>
              <w:jc w:val="center"/>
            </w:pPr>
            <w:r>
              <w:rPr>
                <w:b w:val="0"/>
                <w:i w:val="0"/>
                <w:sz w:val="16"/>
              </w:rPr>
              <w:t>20%</w:t>
            </w:r>
          </w:p>
        </w:tc>
        <w:tc>
          <w:tcPr>
            <w:tcW w:type="dxa" w:w="1814"/>
            <w:vAlign w:val="top"/>
          </w:tcPr>
          <w:p>
            <w:pPr>
              <w:spacing w:after="20" w:line="252" w:lineRule="auto"/>
              <w:jc w:val="right"/>
            </w:pPr>
            <w:r>
              <w:rPr>
                <w:b w:val="0"/>
                <w:i w:val="0"/>
                <w:sz w:val="16"/>
              </w:rPr>
              <w:t>9,600</w:t>
            </w:r>
          </w:p>
        </w:tc>
      </w:tr>
      <w:tr>
        <w:trPr>
          <w:cantSplit/>
        </w:trPr>
        <w:tc>
          <w:tcPr>
            <w:tcW w:type="dxa" w:w="1247"/>
            <w:vAlign w:val="top"/>
            <w:shd w:val="clear" w:color="auto" w:fill="FEEBDD"/>
          </w:tcPr>
          <w:p>
            <w:pPr>
              <w:spacing w:after="20" w:line="252" w:lineRule="auto"/>
              <w:jc w:val="center"/>
            </w:pPr>
          </w:p>
        </w:tc>
        <w:tc>
          <w:tcPr>
            <w:tcW w:type="dxa" w:w="5443"/>
            <w:vAlign w:val="top"/>
            <w:shd w:val="clear" w:color="auto" w:fill="FEEBDD"/>
          </w:tcPr>
          <w:p>
            <w:pPr>
              <w:spacing w:after="20" w:line="252" w:lineRule="auto"/>
            </w:pPr>
            <w:r>
              <w:rPr>
                <w:b/>
                <w:i w:val="0"/>
                <w:sz w:val="16"/>
              </w:rPr>
              <w:t>Total licence fee</w:t>
            </w:r>
          </w:p>
        </w:tc>
        <w:tc>
          <w:tcPr>
            <w:tcW w:type="dxa" w:w="1134"/>
            <w:vAlign w:val="top"/>
            <w:shd w:val="clear" w:color="auto" w:fill="FEEBDD"/>
          </w:tcPr>
          <w:p>
            <w:pPr>
              <w:spacing w:after="20" w:line="252" w:lineRule="auto"/>
              <w:jc w:val="center"/>
            </w:pPr>
            <w:r>
              <w:rPr>
                <w:b/>
                <w:i w:val="0"/>
                <w:sz w:val="16"/>
              </w:rPr>
              <w:t>100%</w:t>
            </w:r>
          </w:p>
        </w:tc>
        <w:tc>
          <w:tcPr>
            <w:tcW w:type="dxa" w:w="1814"/>
            <w:vAlign w:val="top"/>
            <w:shd w:val="clear" w:color="auto" w:fill="FEEBDD"/>
          </w:tcPr>
          <w:p>
            <w:pPr>
              <w:spacing w:after="20" w:line="252" w:lineRule="auto"/>
              <w:jc w:val="right"/>
            </w:pPr>
            <w:r>
              <w:rPr>
                <w:b/>
                <w:i w:val="0"/>
                <w:sz w:val="16"/>
              </w:rPr>
              <w:t>48,000</w:t>
            </w:r>
          </w:p>
        </w:tc>
      </w:tr>
    </w:tbl>
    <w:p>
      <w:pPr>
        <w:pStyle w:val="Caption"/>
        <w:jc w:val="center"/>
      </w:pPr>
      <w:r>
        <w:rPr>
          <w:b w:val="0"/>
          <w:i w:val="0"/>
        </w:rPr>
        <w:t>Table 57: Licence milestones</w:t>
      </w:r>
    </w:p>
    <w:p>
      <w:pPr>
        <w:pStyle w:val="Heading3"/>
      </w:pPr>
      <w:r>
        <w:t>Services fee (Options A and B)</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4876"/>
        <w:gridCol w:w="1020"/>
        <w:gridCol w:w="907"/>
        <w:gridCol w:w="1701"/>
      </w:tblGrid>
      <w:tr>
        <w:trPr>
          <w:cantSplit/>
          <w:tblHeader/>
        </w:trPr>
        <w:tc>
          <w:tcPr>
            <w:tcW w:type="dxa" w:w="1134"/>
            <w:shd w:val="clear" w:color="auto" w:fill="E1058C"/>
            <w:vAlign w:val="center"/>
          </w:tcPr>
          <w:p>
            <w:pPr>
              <w:spacing w:after="0"/>
            </w:pPr>
            <w:r>
              <w:rPr>
                <w:b/>
                <w:i w:val="0"/>
                <w:color w:val="FFFFFF"/>
                <w:sz w:val="16"/>
              </w:rPr>
              <w:t>Milestone</w:t>
            </w:r>
          </w:p>
        </w:tc>
        <w:tc>
          <w:tcPr>
            <w:tcW w:type="dxa" w:w="4876"/>
            <w:shd w:val="clear" w:color="auto" w:fill="E1058C"/>
            <w:vAlign w:val="center"/>
          </w:tcPr>
          <w:p>
            <w:pPr>
              <w:spacing w:after="0"/>
            </w:pPr>
            <w:r>
              <w:rPr>
                <w:b/>
                <w:i w:val="0"/>
                <w:color w:val="FFFFFF"/>
                <w:sz w:val="16"/>
              </w:rPr>
              <w:t>Payment trigger</w:t>
            </w:r>
          </w:p>
        </w:tc>
        <w:tc>
          <w:tcPr>
            <w:tcW w:type="dxa" w:w="1020"/>
            <w:shd w:val="clear" w:color="auto" w:fill="E1058C"/>
            <w:vAlign w:val="center"/>
          </w:tcPr>
          <w:p>
            <w:pPr>
              <w:spacing w:after="0"/>
            </w:pPr>
            <w:r>
              <w:rPr>
                <w:b/>
                <w:i w:val="0"/>
                <w:color w:val="FFFFFF"/>
                <w:sz w:val="16"/>
              </w:rPr>
              <w:t>Target</w:t>
            </w:r>
          </w:p>
        </w:tc>
        <w:tc>
          <w:tcPr>
            <w:tcW w:type="dxa" w:w="907"/>
            <w:shd w:val="clear" w:color="auto" w:fill="E1058C"/>
            <w:vAlign w:val="center"/>
          </w:tcPr>
          <w:p>
            <w:pPr>
              <w:spacing w:after="0"/>
            </w:pPr>
            <w:r>
              <w:rPr>
                <w:b/>
                <w:i w:val="0"/>
                <w:color w:val="FFFFFF"/>
                <w:sz w:val="16"/>
              </w:rPr>
              <w:t>Share</w:t>
            </w:r>
          </w:p>
        </w:tc>
        <w:tc>
          <w:tcPr>
            <w:tcW w:type="dxa" w:w="1701"/>
            <w:shd w:val="clear" w:color="auto" w:fill="E1058C"/>
            <w:vAlign w:val="center"/>
          </w:tcPr>
          <w:p>
            <w:pPr>
              <w:spacing w:after="0"/>
            </w:pPr>
            <w:r>
              <w:rPr>
                <w:b/>
                <w:i w:val="0"/>
                <w:color w:val="FFFFFF"/>
                <w:sz w:val="16"/>
              </w:rPr>
              <w:t>Amount (B$)</w:t>
            </w:r>
          </w:p>
        </w:tc>
      </w:tr>
      <w:tr>
        <w:trPr>
          <w:cantSplit/>
        </w:trPr>
        <w:tc>
          <w:tcPr>
            <w:tcW w:type="dxa" w:w="1134"/>
            <w:vAlign w:val="top"/>
          </w:tcPr>
          <w:p>
            <w:pPr>
              <w:spacing w:after="20" w:line="252" w:lineRule="auto"/>
              <w:jc w:val="center"/>
            </w:pPr>
            <w:r>
              <w:rPr>
                <w:b w:val="0"/>
                <w:i w:val="0"/>
                <w:sz w:val="16"/>
              </w:rPr>
              <w:t>M1</w:t>
            </w:r>
          </w:p>
        </w:tc>
        <w:tc>
          <w:tcPr>
            <w:tcW w:type="dxa" w:w="4876"/>
            <w:vAlign w:val="top"/>
          </w:tcPr>
          <w:p>
            <w:pPr>
              <w:spacing w:after="20" w:line="252" w:lineRule="auto"/>
            </w:pPr>
            <w:r>
              <w:rPr>
                <w:b w:val="0"/>
                <w:i w:val="0"/>
                <w:sz w:val="16"/>
              </w:rPr>
              <w:t>Contract signing and project kick-off</w:t>
            </w:r>
          </w:p>
        </w:tc>
        <w:tc>
          <w:tcPr>
            <w:tcW w:type="dxa" w:w="1020"/>
            <w:vAlign w:val="top"/>
          </w:tcPr>
          <w:p>
            <w:pPr>
              <w:spacing w:after="20" w:line="252" w:lineRule="auto"/>
              <w:jc w:val="center"/>
            </w:pPr>
            <w:r>
              <w:rPr>
                <w:b w:val="0"/>
                <w:i w:val="0"/>
                <w:sz w:val="16"/>
              </w:rPr>
              <w:t>Week 2</w:t>
            </w:r>
          </w:p>
        </w:tc>
        <w:tc>
          <w:tcPr>
            <w:tcW w:type="dxa" w:w="907"/>
            <w:vAlign w:val="top"/>
          </w:tcPr>
          <w:p>
            <w:pPr>
              <w:spacing w:after="20" w:line="252" w:lineRule="auto"/>
              <w:jc w:val="center"/>
            </w:pPr>
            <w:r>
              <w:rPr>
                <w:b w:val="0"/>
                <w:i w:val="0"/>
                <w:sz w:val="16"/>
              </w:rPr>
              <w:t>15%</w:t>
            </w:r>
          </w:p>
        </w:tc>
        <w:tc>
          <w:tcPr>
            <w:tcW w:type="dxa" w:w="1701"/>
            <w:vAlign w:val="top"/>
          </w:tcPr>
          <w:p>
            <w:pPr>
              <w:spacing w:after="20" w:line="252" w:lineRule="auto"/>
              <w:jc w:val="right"/>
            </w:pPr>
            <w:r>
              <w:rPr>
                <w:b w:val="0"/>
                <w:i w:val="0"/>
                <w:sz w:val="16"/>
              </w:rPr>
              <w:t>19,500</w:t>
            </w:r>
          </w:p>
        </w:tc>
      </w:tr>
      <w:tr>
        <w:trPr>
          <w:cantSplit/>
        </w:trPr>
        <w:tc>
          <w:tcPr>
            <w:tcW w:type="dxa" w:w="1134"/>
            <w:vAlign w:val="top"/>
            <w:shd w:val="clear" w:color="auto" w:fill="FDF0F7"/>
          </w:tcPr>
          <w:p>
            <w:pPr>
              <w:spacing w:after="20" w:line="252" w:lineRule="auto"/>
              <w:jc w:val="center"/>
            </w:pPr>
            <w:r>
              <w:rPr>
                <w:b w:val="0"/>
                <w:i w:val="0"/>
                <w:sz w:val="16"/>
              </w:rPr>
              <w:t>M2</w:t>
            </w:r>
          </w:p>
        </w:tc>
        <w:tc>
          <w:tcPr>
            <w:tcW w:type="dxa" w:w="4876"/>
            <w:vAlign w:val="top"/>
            <w:shd w:val="clear" w:color="auto" w:fill="FDF0F7"/>
          </w:tcPr>
          <w:p>
            <w:pPr>
              <w:spacing w:after="20" w:line="252" w:lineRule="auto"/>
            </w:pPr>
            <w:r>
              <w:rPr>
                <w:b w:val="0"/>
                <w:i w:val="0"/>
                <w:sz w:val="16"/>
              </w:rPr>
              <w:t>Design sign-off (BRS, FRS, SAD, TDD, UI/UX, interface specification)</w:t>
            </w:r>
          </w:p>
        </w:tc>
        <w:tc>
          <w:tcPr>
            <w:tcW w:type="dxa" w:w="1020"/>
            <w:vAlign w:val="top"/>
            <w:shd w:val="clear" w:color="auto" w:fill="FDF0F7"/>
          </w:tcPr>
          <w:p>
            <w:pPr>
              <w:spacing w:after="20" w:line="252" w:lineRule="auto"/>
              <w:jc w:val="center"/>
            </w:pPr>
            <w:r>
              <w:rPr>
                <w:b w:val="0"/>
                <w:i w:val="0"/>
                <w:sz w:val="16"/>
              </w:rPr>
              <w:t>Week 6</w:t>
            </w:r>
          </w:p>
        </w:tc>
        <w:tc>
          <w:tcPr>
            <w:tcW w:type="dxa" w:w="907"/>
            <w:vAlign w:val="top"/>
            <w:shd w:val="clear" w:color="auto" w:fill="FDF0F7"/>
          </w:tcPr>
          <w:p>
            <w:pPr>
              <w:spacing w:after="20" w:line="252" w:lineRule="auto"/>
              <w:jc w:val="center"/>
            </w:pPr>
            <w:r>
              <w:rPr>
                <w:b w:val="0"/>
                <w:i w:val="0"/>
                <w:sz w:val="16"/>
              </w:rPr>
              <w:t>15%</w:t>
            </w:r>
          </w:p>
        </w:tc>
        <w:tc>
          <w:tcPr>
            <w:tcW w:type="dxa" w:w="1701"/>
            <w:vAlign w:val="top"/>
            <w:shd w:val="clear" w:color="auto" w:fill="FDF0F7"/>
          </w:tcPr>
          <w:p>
            <w:pPr>
              <w:spacing w:after="20" w:line="252" w:lineRule="auto"/>
              <w:jc w:val="right"/>
            </w:pPr>
            <w:r>
              <w:rPr>
                <w:b w:val="0"/>
                <w:i w:val="0"/>
                <w:sz w:val="16"/>
              </w:rPr>
              <w:t>19,500</w:t>
            </w:r>
          </w:p>
        </w:tc>
      </w:tr>
      <w:tr>
        <w:trPr>
          <w:cantSplit/>
        </w:trPr>
        <w:tc>
          <w:tcPr>
            <w:tcW w:type="dxa" w:w="1134"/>
            <w:vAlign w:val="top"/>
          </w:tcPr>
          <w:p>
            <w:pPr>
              <w:spacing w:after="20" w:line="252" w:lineRule="auto"/>
              <w:jc w:val="center"/>
            </w:pPr>
            <w:r>
              <w:rPr>
                <w:b w:val="0"/>
                <w:i w:val="0"/>
                <w:sz w:val="16"/>
              </w:rPr>
              <w:t>M4</w:t>
            </w:r>
          </w:p>
        </w:tc>
        <w:tc>
          <w:tcPr>
            <w:tcW w:type="dxa" w:w="4876"/>
            <w:vAlign w:val="top"/>
          </w:tcPr>
          <w:p>
            <w:pPr>
              <w:spacing w:after="20" w:line="252" w:lineRule="auto"/>
            </w:pPr>
            <w:r>
              <w:rPr>
                <w:b w:val="0"/>
                <w:i w:val="0"/>
                <w:sz w:val="16"/>
              </w:rPr>
              <w:t>SIT exit and security clearance (VAPT remediated)</w:t>
            </w:r>
          </w:p>
        </w:tc>
        <w:tc>
          <w:tcPr>
            <w:tcW w:type="dxa" w:w="1020"/>
            <w:vAlign w:val="top"/>
          </w:tcPr>
          <w:p>
            <w:pPr>
              <w:spacing w:after="20" w:line="252" w:lineRule="auto"/>
              <w:jc w:val="center"/>
            </w:pPr>
            <w:r>
              <w:rPr>
                <w:b w:val="0"/>
                <w:i w:val="0"/>
                <w:sz w:val="16"/>
              </w:rPr>
              <w:t>Week 19</w:t>
            </w:r>
          </w:p>
        </w:tc>
        <w:tc>
          <w:tcPr>
            <w:tcW w:type="dxa" w:w="907"/>
            <w:vAlign w:val="top"/>
          </w:tcPr>
          <w:p>
            <w:pPr>
              <w:spacing w:after="20" w:line="252" w:lineRule="auto"/>
              <w:jc w:val="center"/>
            </w:pPr>
            <w:r>
              <w:rPr>
                <w:b w:val="0"/>
                <w:i w:val="0"/>
                <w:sz w:val="16"/>
              </w:rPr>
              <w:t>25%</w:t>
            </w:r>
          </w:p>
        </w:tc>
        <w:tc>
          <w:tcPr>
            <w:tcW w:type="dxa" w:w="1701"/>
            <w:vAlign w:val="top"/>
          </w:tcPr>
          <w:p>
            <w:pPr>
              <w:spacing w:after="20" w:line="252" w:lineRule="auto"/>
              <w:jc w:val="right"/>
            </w:pPr>
            <w:r>
              <w:rPr>
                <w:b w:val="0"/>
                <w:i w:val="0"/>
                <w:sz w:val="16"/>
              </w:rPr>
              <w:t>32,500</w:t>
            </w:r>
          </w:p>
        </w:tc>
      </w:tr>
      <w:tr>
        <w:trPr>
          <w:cantSplit/>
        </w:trPr>
        <w:tc>
          <w:tcPr>
            <w:tcW w:type="dxa" w:w="1134"/>
            <w:vAlign w:val="top"/>
            <w:shd w:val="clear" w:color="auto" w:fill="FDF0F7"/>
          </w:tcPr>
          <w:p>
            <w:pPr>
              <w:spacing w:after="20" w:line="252" w:lineRule="auto"/>
              <w:jc w:val="center"/>
            </w:pPr>
            <w:r>
              <w:rPr>
                <w:b w:val="0"/>
                <w:i w:val="0"/>
                <w:sz w:val="16"/>
              </w:rPr>
              <w:t>M5</w:t>
            </w:r>
          </w:p>
        </w:tc>
        <w:tc>
          <w:tcPr>
            <w:tcW w:type="dxa" w:w="4876"/>
            <w:vAlign w:val="top"/>
            <w:shd w:val="clear" w:color="auto" w:fill="FDF0F7"/>
          </w:tcPr>
          <w:p>
            <w:pPr>
              <w:spacing w:after="20" w:line="252" w:lineRule="auto"/>
            </w:pPr>
            <w:r>
              <w:rPr>
                <w:b w:val="0"/>
                <w:i w:val="0"/>
                <w:sz w:val="16"/>
              </w:rPr>
              <w:t>UAT sign-off</w:t>
            </w:r>
          </w:p>
        </w:tc>
        <w:tc>
          <w:tcPr>
            <w:tcW w:type="dxa" w:w="1020"/>
            <w:vAlign w:val="top"/>
            <w:shd w:val="clear" w:color="auto" w:fill="FDF0F7"/>
          </w:tcPr>
          <w:p>
            <w:pPr>
              <w:spacing w:after="20" w:line="252" w:lineRule="auto"/>
              <w:jc w:val="center"/>
            </w:pPr>
            <w:r>
              <w:rPr>
                <w:b w:val="0"/>
                <w:i w:val="0"/>
                <w:sz w:val="16"/>
              </w:rPr>
              <w:t>Week 22</w:t>
            </w:r>
          </w:p>
        </w:tc>
        <w:tc>
          <w:tcPr>
            <w:tcW w:type="dxa" w:w="907"/>
            <w:vAlign w:val="top"/>
            <w:shd w:val="clear" w:color="auto" w:fill="FDF0F7"/>
          </w:tcPr>
          <w:p>
            <w:pPr>
              <w:spacing w:after="20" w:line="252" w:lineRule="auto"/>
              <w:jc w:val="center"/>
            </w:pPr>
            <w:r>
              <w:rPr>
                <w:b w:val="0"/>
                <w:i w:val="0"/>
                <w:sz w:val="16"/>
              </w:rPr>
              <w:t>25%</w:t>
            </w:r>
          </w:p>
        </w:tc>
        <w:tc>
          <w:tcPr>
            <w:tcW w:type="dxa" w:w="1701"/>
            <w:vAlign w:val="top"/>
            <w:shd w:val="clear" w:color="auto" w:fill="FDF0F7"/>
          </w:tcPr>
          <w:p>
            <w:pPr>
              <w:spacing w:after="20" w:line="252" w:lineRule="auto"/>
              <w:jc w:val="right"/>
            </w:pPr>
            <w:r>
              <w:rPr>
                <w:b w:val="0"/>
                <w:i w:val="0"/>
                <w:sz w:val="16"/>
              </w:rPr>
              <w:t>32,500</w:t>
            </w:r>
          </w:p>
        </w:tc>
      </w:tr>
      <w:tr>
        <w:trPr>
          <w:cantSplit/>
        </w:trPr>
        <w:tc>
          <w:tcPr>
            <w:tcW w:type="dxa" w:w="1134"/>
            <w:vAlign w:val="top"/>
          </w:tcPr>
          <w:p>
            <w:pPr>
              <w:spacing w:after="20" w:line="252" w:lineRule="auto"/>
              <w:jc w:val="center"/>
            </w:pPr>
            <w:r>
              <w:rPr>
                <w:b w:val="0"/>
                <w:i w:val="0"/>
                <w:sz w:val="16"/>
              </w:rPr>
              <w:t>M6</w:t>
            </w:r>
          </w:p>
        </w:tc>
        <w:tc>
          <w:tcPr>
            <w:tcW w:type="dxa" w:w="4876"/>
            <w:vAlign w:val="top"/>
          </w:tcPr>
          <w:p>
            <w:pPr>
              <w:spacing w:after="20" w:line="252" w:lineRule="auto"/>
            </w:pPr>
            <w:r>
              <w:rPr>
                <w:b w:val="0"/>
                <w:i w:val="0"/>
                <w:sz w:val="16"/>
              </w:rPr>
              <w:t>Production go-live</w:t>
            </w:r>
          </w:p>
        </w:tc>
        <w:tc>
          <w:tcPr>
            <w:tcW w:type="dxa" w:w="1020"/>
            <w:vAlign w:val="top"/>
          </w:tcPr>
          <w:p>
            <w:pPr>
              <w:spacing w:after="20" w:line="252" w:lineRule="auto"/>
              <w:jc w:val="center"/>
            </w:pPr>
            <w:r>
              <w:rPr>
                <w:b w:val="0"/>
                <w:i w:val="0"/>
                <w:sz w:val="16"/>
              </w:rPr>
              <w:t>Week 24</w:t>
            </w:r>
          </w:p>
        </w:tc>
        <w:tc>
          <w:tcPr>
            <w:tcW w:type="dxa" w:w="907"/>
            <w:vAlign w:val="top"/>
          </w:tcPr>
          <w:p>
            <w:pPr>
              <w:spacing w:after="20" w:line="252" w:lineRule="auto"/>
              <w:jc w:val="center"/>
            </w:pPr>
            <w:r>
              <w:rPr>
                <w:b w:val="0"/>
                <w:i w:val="0"/>
                <w:sz w:val="16"/>
              </w:rPr>
              <w:t>15%</w:t>
            </w:r>
          </w:p>
        </w:tc>
        <w:tc>
          <w:tcPr>
            <w:tcW w:type="dxa" w:w="1701"/>
            <w:vAlign w:val="top"/>
          </w:tcPr>
          <w:p>
            <w:pPr>
              <w:spacing w:after="20" w:line="252" w:lineRule="auto"/>
              <w:jc w:val="right"/>
            </w:pPr>
            <w:r>
              <w:rPr>
                <w:b w:val="0"/>
                <w:i w:val="0"/>
                <w:sz w:val="16"/>
              </w:rPr>
              <w:t>19,500</w:t>
            </w:r>
          </w:p>
        </w:tc>
      </w:tr>
      <w:tr>
        <w:trPr>
          <w:cantSplit/>
        </w:trPr>
        <w:tc>
          <w:tcPr>
            <w:tcW w:type="dxa" w:w="1134"/>
            <w:vAlign w:val="top"/>
            <w:shd w:val="clear" w:color="auto" w:fill="FDF0F7"/>
          </w:tcPr>
          <w:p>
            <w:pPr>
              <w:spacing w:after="20" w:line="252" w:lineRule="auto"/>
              <w:jc w:val="center"/>
            </w:pPr>
            <w:r>
              <w:rPr>
                <w:b w:val="0"/>
                <w:i w:val="0"/>
                <w:sz w:val="16"/>
              </w:rPr>
              <w:t>M7</w:t>
            </w:r>
          </w:p>
        </w:tc>
        <w:tc>
          <w:tcPr>
            <w:tcW w:type="dxa" w:w="4876"/>
            <w:vAlign w:val="top"/>
            <w:shd w:val="clear" w:color="auto" w:fill="FDF0F7"/>
          </w:tcPr>
          <w:p>
            <w:pPr>
              <w:spacing w:after="20" w:line="252" w:lineRule="auto"/>
            </w:pPr>
            <w:r>
              <w:rPr>
                <w:b w:val="0"/>
                <w:i w:val="0"/>
                <w:sz w:val="16"/>
              </w:rPr>
              <w:t>Hypercare exit and project closure</w:t>
            </w:r>
          </w:p>
        </w:tc>
        <w:tc>
          <w:tcPr>
            <w:tcW w:type="dxa" w:w="1020"/>
            <w:vAlign w:val="top"/>
            <w:shd w:val="clear" w:color="auto" w:fill="FDF0F7"/>
          </w:tcPr>
          <w:p>
            <w:pPr>
              <w:spacing w:after="20" w:line="252" w:lineRule="auto"/>
              <w:jc w:val="center"/>
            </w:pPr>
            <w:r>
              <w:rPr>
                <w:b w:val="0"/>
                <w:i w:val="0"/>
                <w:sz w:val="16"/>
              </w:rPr>
              <w:t>Week 28</w:t>
            </w:r>
          </w:p>
        </w:tc>
        <w:tc>
          <w:tcPr>
            <w:tcW w:type="dxa" w:w="907"/>
            <w:vAlign w:val="top"/>
            <w:shd w:val="clear" w:color="auto" w:fill="FDF0F7"/>
          </w:tcPr>
          <w:p>
            <w:pPr>
              <w:spacing w:after="20" w:line="252" w:lineRule="auto"/>
              <w:jc w:val="center"/>
            </w:pPr>
            <w:r>
              <w:rPr>
                <w:b w:val="0"/>
                <w:i w:val="0"/>
                <w:sz w:val="16"/>
              </w:rPr>
              <w:t>5%</w:t>
            </w:r>
          </w:p>
        </w:tc>
        <w:tc>
          <w:tcPr>
            <w:tcW w:type="dxa" w:w="1701"/>
            <w:vAlign w:val="top"/>
            <w:shd w:val="clear" w:color="auto" w:fill="FDF0F7"/>
          </w:tcPr>
          <w:p>
            <w:pPr>
              <w:spacing w:after="20" w:line="252" w:lineRule="auto"/>
              <w:jc w:val="right"/>
            </w:pPr>
            <w:r>
              <w:rPr>
                <w:b w:val="0"/>
                <w:i w:val="0"/>
                <w:sz w:val="16"/>
              </w:rPr>
              <w:t>6,500</w:t>
            </w:r>
          </w:p>
        </w:tc>
      </w:tr>
      <w:tr>
        <w:trPr>
          <w:cantSplit/>
        </w:trPr>
        <w:tc>
          <w:tcPr>
            <w:tcW w:type="dxa" w:w="1134"/>
            <w:vAlign w:val="top"/>
            <w:shd w:val="clear" w:color="auto" w:fill="FEEBDD"/>
          </w:tcPr>
          <w:p>
            <w:pPr>
              <w:spacing w:after="20" w:line="252" w:lineRule="auto"/>
              <w:jc w:val="center"/>
            </w:pPr>
          </w:p>
        </w:tc>
        <w:tc>
          <w:tcPr>
            <w:tcW w:type="dxa" w:w="4876"/>
            <w:vAlign w:val="top"/>
            <w:shd w:val="clear" w:color="auto" w:fill="FEEBDD"/>
          </w:tcPr>
          <w:p>
            <w:pPr>
              <w:spacing w:after="20" w:line="252" w:lineRule="auto"/>
            </w:pPr>
            <w:r>
              <w:rPr>
                <w:b/>
                <w:i w:val="0"/>
                <w:sz w:val="16"/>
              </w:rPr>
              <w:t>Total services fee</w:t>
            </w:r>
          </w:p>
        </w:tc>
        <w:tc>
          <w:tcPr>
            <w:tcW w:type="dxa" w:w="1020"/>
            <w:vAlign w:val="top"/>
            <w:shd w:val="clear" w:color="auto" w:fill="FEEBDD"/>
          </w:tcPr>
          <w:p>
            <w:pPr>
              <w:spacing w:after="20" w:line="252" w:lineRule="auto"/>
              <w:jc w:val="center"/>
            </w:pPr>
          </w:p>
        </w:tc>
        <w:tc>
          <w:tcPr>
            <w:tcW w:type="dxa" w:w="907"/>
            <w:vAlign w:val="top"/>
            <w:shd w:val="clear" w:color="auto" w:fill="FEEBDD"/>
          </w:tcPr>
          <w:p>
            <w:pPr>
              <w:spacing w:after="20" w:line="252" w:lineRule="auto"/>
              <w:jc w:val="center"/>
            </w:pPr>
            <w:r>
              <w:rPr>
                <w:b/>
                <w:i w:val="0"/>
                <w:sz w:val="16"/>
              </w:rPr>
              <w:t>100%</w:t>
            </w:r>
          </w:p>
        </w:tc>
        <w:tc>
          <w:tcPr>
            <w:tcW w:type="dxa" w:w="1701"/>
            <w:vAlign w:val="top"/>
            <w:shd w:val="clear" w:color="auto" w:fill="FEEBDD"/>
          </w:tcPr>
          <w:p>
            <w:pPr>
              <w:spacing w:after="20" w:line="252" w:lineRule="auto"/>
              <w:jc w:val="right"/>
            </w:pPr>
            <w:r>
              <w:rPr>
                <w:b/>
                <w:i w:val="0"/>
                <w:sz w:val="16"/>
              </w:rPr>
              <w:t>130,000</w:t>
            </w:r>
          </w:p>
        </w:tc>
      </w:tr>
    </w:tbl>
    <w:p>
      <w:pPr>
        <w:pStyle w:val="Caption"/>
        <w:jc w:val="center"/>
      </w:pPr>
      <w:r>
        <w:rPr>
          <w:b w:val="0"/>
          <w:i w:val="0"/>
        </w:rPr>
        <w:t>Table 58: Service milestones (M3, build complete, carries no payment)</w:t>
      </w:r>
    </w:p>
    <w:p>
      <w:pPr>
        <w:pStyle w:val="Heading3"/>
      </w:pPr>
      <w:r>
        <w:t>Recurring charges, OPE and Option C</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907"/>
        <w:gridCol w:w="3515"/>
        <w:gridCol w:w="2835"/>
      </w:tblGrid>
      <w:tr>
        <w:trPr>
          <w:cantSplit/>
          <w:tblHeader/>
        </w:trPr>
        <w:tc>
          <w:tcPr>
            <w:tcW w:type="dxa" w:w="2381"/>
            <w:shd w:val="clear" w:color="auto" w:fill="E1058C"/>
            <w:vAlign w:val="center"/>
          </w:tcPr>
          <w:p>
            <w:pPr>
              <w:spacing w:after="0"/>
            </w:pPr>
            <w:r>
              <w:rPr>
                <w:b/>
                <w:i w:val="0"/>
                <w:color w:val="FFFFFF"/>
                <w:sz w:val="16"/>
              </w:rPr>
              <w:t>Charge</w:t>
            </w:r>
          </w:p>
        </w:tc>
        <w:tc>
          <w:tcPr>
            <w:tcW w:type="dxa" w:w="907"/>
            <w:shd w:val="clear" w:color="auto" w:fill="E1058C"/>
            <w:vAlign w:val="center"/>
          </w:tcPr>
          <w:p>
            <w:pPr>
              <w:spacing w:after="0"/>
            </w:pPr>
            <w:r>
              <w:rPr>
                <w:b/>
                <w:i w:val="0"/>
                <w:color w:val="FFFFFF"/>
                <w:sz w:val="16"/>
              </w:rPr>
              <w:t>Option</w:t>
            </w:r>
          </w:p>
        </w:tc>
        <w:tc>
          <w:tcPr>
            <w:tcW w:type="dxa" w:w="3515"/>
            <w:shd w:val="clear" w:color="auto" w:fill="E1058C"/>
            <w:vAlign w:val="center"/>
          </w:tcPr>
          <w:p>
            <w:pPr>
              <w:spacing w:after="0"/>
            </w:pPr>
            <w:r>
              <w:rPr>
                <w:b/>
                <w:i w:val="0"/>
                <w:color w:val="FFFFFF"/>
                <w:sz w:val="16"/>
              </w:rPr>
              <w:t>Billing</w:t>
            </w:r>
          </w:p>
        </w:tc>
        <w:tc>
          <w:tcPr>
            <w:tcW w:type="dxa" w:w="2835"/>
            <w:shd w:val="clear" w:color="auto" w:fill="E1058C"/>
            <w:vAlign w:val="center"/>
          </w:tcPr>
          <w:p>
            <w:pPr>
              <w:spacing w:after="0"/>
            </w:pPr>
            <w:r>
              <w:rPr>
                <w:b/>
                <w:i w:val="0"/>
                <w:color w:val="FFFFFF"/>
                <w:sz w:val="16"/>
              </w:rPr>
              <w:t>Year 1 invoice (B$)</w:t>
            </w:r>
          </w:p>
        </w:tc>
      </w:tr>
      <w:tr>
        <w:trPr>
          <w:cantSplit/>
        </w:trPr>
        <w:tc>
          <w:tcPr>
            <w:tcW w:type="dxa" w:w="2381"/>
            <w:vAlign w:val="top"/>
          </w:tcPr>
          <w:p>
            <w:pPr>
              <w:spacing w:after="20" w:line="252" w:lineRule="auto"/>
            </w:pPr>
            <w:r>
              <w:rPr>
                <w:b/>
                <w:i w:val="0"/>
                <w:sz w:val="16"/>
              </w:rPr>
              <w:t>Annual maintenance (AMC)</w:t>
            </w:r>
          </w:p>
        </w:tc>
        <w:tc>
          <w:tcPr>
            <w:tcW w:type="dxa" w:w="907"/>
            <w:vAlign w:val="top"/>
          </w:tcPr>
          <w:p>
            <w:pPr>
              <w:spacing w:after="20" w:line="252" w:lineRule="auto"/>
            </w:pPr>
            <w:r>
              <w:rPr>
                <w:b w:val="0"/>
                <w:i w:val="0"/>
                <w:sz w:val="16"/>
              </w:rPr>
              <w:t>A</w:t>
            </w:r>
          </w:p>
        </w:tc>
        <w:tc>
          <w:tcPr>
            <w:tcW w:type="dxa" w:w="3515"/>
            <w:vAlign w:val="top"/>
          </w:tcPr>
          <w:p>
            <w:pPr>
              <w:spacing w:after="20" w:line="252" w:lineRule="auto"/>
            </w:pPr>
            <w:r>
              <w:rPr>
                <w:b w:val="0"/>
                <w:i w:val="0"/>
                <w:sz w:val="16"/>
              </w:rPr>
              <w:t>Quarterly in advance; Year 1 starts at go-live</w:t>
            </w:r>
          </w:p>
        </w:tc>
        <w:tc>
          <w:tcPr>
            <w:tcW w:type="dxa" w:w="2835"/>
            <w:vAlign w:val="top"/>
          </w:tcPr>
          <w:p>
            <w:pPr>
              <w:spacing w:after="20" w:line="252" w:lineRule="auto"/>
            </w:pPr>
            <w:r>
              <w:rPr>
                <w:b w:val="0"/>
                <w:i w:val="0"/>
                <w:sz w:val="16"/>
              </w:rPr>
              <w:t>7,837.50 per quarter</w:t>
            </w:r>
          </w:p>
        </w:tc>
      </w:tr>
      <w:tr>
        <w:trPr>
          <w:cantSplit/>
        </w:trPr>
        <w:tc>
          <w:tcPr>
            <w:tcW w:type="dxa" w:w="2381"/>
            <w:vAlign w:val="top"/>
            <w:shd w:val="clear" w:color="auto" w:fill="FDF0F7"/>
          </w:tcPr>
          <w:p>
            <w:pPr>
              <w:spacing w:after="20" w:line="252" w:lineRule="auto"/>
            </w:pPr>
            <w:r>
              <w:rPr>
                <w:b/>
                <w:i w:val="0"/>
                <w:sz w:val="16"/>
              </w:rPr>
              <w:t>Cloud set-up fee</w:t>
            </w:r>
          </w:p>
        </w:tc>
        <w:tc>
          <w:tcPr>
            <w:tcW w:type="dxa" w:w="907"/>
            <w:vAlign w:val="top"/>
            <w:shd w:val="clear" w:color="auto" w:fill="FDF0F7"/>
          </w:tcPr>
          <w:p>
            <w:pPr>
              <w:spacing w:after="20" w:line="252" w:lineRule="auto"/>
            </w:pPr>
            <w:r>
              <w:rPr>
                <w:b w:val="0"/>
                <w:i w:val="0"/>
                <w:sz w:val="16"/>
              </w:rPr>
              <w:t>B</w:t>
            </w:r>
          </w:p>
        </w:tc>
        <w:tc>
          <w:tcPr>
            <w:tcW w:type="dxa" w:w="3515"/>
            <w:vAlign w:val="top"/>
            <w:shd w:val="clear" w:color="auto" w:fill="FDF0F7"/>
          </w:tcPr>
          <w:p>
            <w:pPr>
              <w:spacing w:after="20" w:line="252" w:lineRule="auto"/>
            </w:pPr>
            <w:r>
              <w:rPr>
                <w:b w:val="0"/>
                <w:i w:val="0"/>
                <w:sz w:val="16"/>
              </w:rPr>
              <w:t>At contract signing</w:t>
            </w:r>
          </w:p>
        </w:tc>
        <w:tc>
          <w:tcPr>
            <w:tcW w:type="dxa" w:w="2835"/>
            <w:vAlign w:val="top"/>
            <w:shd w:val="clear" w:color="auto" w:fill="FDF0F7"/>
          </w:tcPr>
          <w:p>
            <w:pPr>
              <w:spacing w:after="20" w:line="252" w:lineRule="auto"/>
            </w:pPr>
            <w:r>
              <w:rPr>
                <w:b w:val="0"/>
                <w:i w:val="0"/>
                <w:sz w:val="16"/>
              </w:rPr>
              <w:t>15,000 once</w:t>
            </w:r>
          </w:p>
        </w:tc>
      </w:tr>
      <w:tr>
        <w:trPr>
          <w:cantSplit/>
        </w:trPr>
        <w:tc>
          <w:tcPr>
            <w:tcW w:type="dxa" w:w="2381"/>
            <w:vAlign w:val="top"/>
          </w:tcPr>
          <w:p>
            <w:pPr>
              <w:spacing w:after="20" w:line="252" w:lineRule="auto"/>
            </w:pPr>
            <w:r>
              <w:rPr>
                <w:b/>
                <w:i w:val="0"/>
                <w:sz w:val="16"/>
              </w:rPr>
              <w:t>Subscription</w:t>
            </w:r>
          </w:p>
        </w:tc>
        <w:tc>
          <w:tcPr>
            <w:tcW w:type="dxa" w:w="907"/>
            <w:vAlign w:val="top"/>
          </w:tcPr>
          <w:p>
            <w:pPr>
              <w:spacing w:after="20" w:line="252" w:lineRule="auto"/>
            </w:pPr>
            <w:r>
              <w:rPr>
                <w:b w:val="0"/>
                <w:i w:val="0"/>
                <w:sz w:val="16"/>
              </w:rPr>
              <w:t>B</w:t>
            </w:r>
          </w:p>
        </w:tc>
        <w:tc>
          <w:tcPr>
            <w:tcW w:type="dxa" w:w="3515"/>
            <w:vAlign w:val="top"/>
          </w:tcPr>
          <w:p>
            <w:pPr>
              <w:spacing w:after="20" w:line="252" w:lineRule="auto"/>
            </w:pPr>
            <w:r>
              <w:rPr>
                <w:b w:val="0"/>
                <w:i w:val="0"/>
                <w:sz w:val="16"/>
              </w:rPr>
              <w:t>Monthly in advance from go-live</w:t>
            </w:r>
          </w:p>
        </w:tc>
        <w:tc>
          <w:tcPr>
            <w:tcW w:type="dxa" w:w="2835"/>
            <w:vAlign w:val="top"/>
          </w:tcPr>
          <w:p>
            <w:pPr>
              <w:spacing w:after="20" w:line="252" w:lineRule="auto"/>
            </w:pPr>
            <w:r>
              <w:rPr>
                <w:b w:val="0"/>
                <w:i w:val="0"/>
                <w:sz w:val="16"/>
              </w:rPr>
              <w:t>3,400 per month</w:t>
            </w:r>
          </w:p>
        </w:tc>
      </w:tr>
      <w:tr>
        <w:trPr>
          <w:cantSplit/>
        </w:trPr>
        <w:tc>
          <w:tcPr>
            <w:tcW w:type="dxa" w:w="2381"/>
            <w:vAlign w:val="top"/>
            <w:shd w:val="clear" w:color="auto" w:fill="FDF0F7"/>
          </w:tcPr>
          <w:p>
            <w:pPr>
              <w:spacing w:after="20" w:line="252" w:lineRule="auto"/>
            </w:pPr>
            <w:r>
              <w:rPr>
                <w:b/>
                <w:i w:val="0"/>
                <w:sz w:val="16"/>
              </w:rPr>
              <w:t>Managed services</w:t>
            </w:r>
          </w:p>
        </w:tc>
        <w:tc>
          <w:tcPr>
            <w:tcW w:type="dxa" w:w="907"/>
            <w:vAlign w:val="top"/>
            <w:shd w:val="clear" w:color="auto" w:fill="FDF0F7"/>
          </w:tcPr>
          <w:p>
            <w:pPr>
              <w:spacing w:after="20" w:line="252" w:lineRule="auto"/>
            </w:pPr>
            <w:r>
              <w:rPr>
                <w:b w:val="0"/>
                <w:i w:val="0"/>
                <w:sz w:val="16"/>
              </w:rPr>
              <w:t>B</w:t>
            </w:r>
          </w:p>
        </w:tc>
        <w:tc>
          <w:tcPr>
            <w:tcW w:type="dxa" w:w="3515"/>
            <w:vAlign w:val="top"/>
            <w:shd w:val="clear" w:color="auto" w:fill="FDF0F7"/>
          </w:tcPr>
          <w:p>
            <w:pPr>
              <w:spacing w:after="20" w:line="252" w:lineRule="auto"/>
            </w:pPr>
            <w:r>
              <w:rPr>
                <w:b w:val="0"/>
                <w:i w:val="0"/>
                <w:sz w:val="16"/>
              </w:rPr>
              <w:t>Monthly in advance from go-live</w:t>
            </w:r>
          </w:p>
        </w:tc>
        <w:tc>
          <w:tcPr>
            <w:tcW w:type="dxa" w:w="2835"/>
            <w:vAlign w:val="top"/>
            <w:shd w:val="clear" w:color="auto" w:fill="FDF0F7"/>
          </w:tcPr>
          <w:p>
            <w:pPr>
              <w:spacing w:after="20" w:line="252" w:lineRule="auto"/>
            </w:pPr>
            <w:r>
              <w:rPr>
                <w:b w:val="0"/>
                <w:i w:val="0"/>
                <w:sz w:val="16"/>
              </w:rPr>
              <w:t>1,100 per month</w:t>
            </w:r>
          </w:p>
        </w:tc>
      </w:tr>
      <w:tr>
        <w:trPr>
          <w:cantSplit/>
        </w:trPr>
        <w:tc>
          <w:tcPr>
            <w:tcW w:type="dxa" w:w="2381"/>
            <w:vAlign w:val="top"/>
          </w:tcPr>
          <w:p>
            <w:pPr>
              <w:spacing w:after="20" w:line="252" w:lineRule="auto"/>
            </w:pPr>
            <w:r>
              <w:rPr>
                <w:b/>
                <w:i w:val="0"/>
                <w:sz w:val="16"/>
              </w:rPr>
              <w:t>Cloud infrastructure</w:t>
            </w:r>
          </w:p>
        </w:tc>
        <w:tc>
          <w:tcPr>
            <w:tcW w:type="dxa" w:w="907"/>
            <w:vAlign w:val="top"/>
          </w:tcPr>
          <w:p>
            <w:pPr>
              <w:spacing w:after="20" w:line="252" w:lineRule="auto"/>
            </w:pPr>
            <w:r>
              <w:rPr>
                <w:b w:val="0"/>
                <w:i w:val="0"/>
                <w:sz w:val="16"/>
              </w:rPr>
              <w:t>B</w:t>
            </w:r>
          </w:p>
        </w:tc>
        <w:tc>
          <w:tcPr>
            <w:tcW w:type="dxa" w:w="3515"/>
            <w:vAlign w:val="top"/>
          </w:tcPr>
          <w:p>
            <w:pPr>
              <w:spacing w:after="20" w:line="252" w:lineRule="auto"/>
            </w:pPr>
            <w:r>
              <w:rPr>
                <w:b w:val="0"/>
                <w:i w:val="0"/>
                <w:sz w:val="16"/>
              </w:rPr>
              <w:t>Monthly in arrears, disbursement at cost with provider invoices (or paid by IIFT directly)</w:t>
            </w:r>
          </w:p>
        </w:tc>
        <w:tc>
          <w:tcPr>
            <w:tcW w:type="dxa" w:w="2835"/>
            <w:vAlign w:val="top"/>
          </w:tcPr>
          <w:p>
            <w:pPr>
              <w:spacing w:after="20" w:line="252" w:lineRule="auto"/>
            </w:pPr>
            <w:r>
              <w:rPr>
                <w:b w:val="0"/>
                <w:i w:val="0"/>
                <w:sz w:val="16"/>
              </w:rPr>
              <w:t>≈ 1,330 per month (300 during the project)</w:t>
            </w:r>
          </w:p>
        </w:tc>
      </w:tr>
      <w:tr>
        <w:trPr>
          <w:cantSplit/>
        </w:trPr>
        <w:tc>
          <w:tcPr>
            <w:tcW w:type="dxa" w:w="2381"/>
            <w:vAlign w:val="top"/>
            <w:shd w:val="clear" w:color="auto" w:fill="FDF0F7"/>
          </w:tcPr>
          <w:p>
            <w:pPr>
              <w:spacing w:after="20" w:line="252" w:lineRule="auto"/>
            </w:pPr>
            <w:r>
              <w:rPr>
                <w:b/>
                <w:i w:val="0"/>
                <w:sz w:val="16"/>
              </w:rPr>
              <w:t>OPE</w:t>
            </w:r>
          </w:p>
        </w:tc>
        <w:tc>
          <w:tcPr>
            <w:tcW w:type="dxa" w:w="907"/>
            <w:vAlign w:val="top"/>
            <w:shd w:val="clear" w:color="auto" w:fill="FDF0F7"/>
          </w:tcPr>
          <w:p>
            <w:pPr>
              <w:spacing w:after="20" w:line="252" w:lineRule="auto"/>
            </w:pPr>
            <w:r>
              <w:rPr>
                <w:b w:val="0"/>
                <w:i w:val="0"/>
                <w:sz w:val="16"/>
              </w:rPr>
              <w:t>A and B</w:t>
            </w:r>
          </w:p>
        </w:tc>
        <w:tc>
          <w:tcPr>
            <w:tcW w:type="dxa" w:w="3515"/>
            <w:vAlign w:val="top"/>
            <w:shd w:val="clear" w:color="auto" w:fill="FDF0F7"/>
          </w:tcPr>
          <w:p>
            <w:pPr>
              <w:spacing w:after="20" w:line="252" w:lineRule="auto"/>
            </w:pPr>
            <w:r>
              <w:rPr>
                <w:b w:val="0"/>
                <w:i w:val="0"/>
                <w:sz w:val="16"/>
              </w:rPr>
              <w:t>Monthly in arrears, disbursement at cost with travel invoices</w:t>
            </w:r>
          </w:p>
        </w:tc>
        <w:tc>
          <w:tcPr>
            <w:tcW w:type="dxa" w:w="2835"/>
            <w:vAlign w:val="top"/>
            <w:shd w:val="clear" w:color="auto" w:fill="FDF0F7"/>
          </w:tcPr>
          <w:p>
            <w:pPr>
              <w:spacing w:after="20" w:line="252" w:lineRule="auto"/>
            </w:pPr>
            <w:r>
              <w:rPr>
                <w:b w:val="0"/>
                <w:i w:val="0"/>
                <w:sz w:val="16"/>
              </w:rPr>
              <w:t>As incurred</w:t>
            </w:r>
          </w:p>
        </w:tc>
      </w:tr>
      <w:tr>
        <w:trPr>
          <w:cantSplit/>
        </w:trPr>
        <w:tc>
          <w:tcPr>
            <w:tcW w:type="dxa" w:w="2381"/>
            <w:vAlign w:val="top"/>
          </w:tcPr>
          <w:p>
            <w:pPr>
              <w:spacing w:after="20" w:line="252" w:lineRule="auto"/>
            </w:pPr>
            <w:r>
              <w:rPr>
                <w:b/>
                <w:i w:val="0"/>
                <w:sz w:val="16"/>
              </w:rPr>
              <w:t>Source code handover</w:t>
            </w:r>
          </w:p>
        </w:tc>
        <w:tc>
          <w:tcPr>
            <w:tcW w:type="dxa" w:w="907"/>
            <w:vAlign w:val="top"/>
          </w:tcPr>
          <w:p>
            <w:pPr>
              <w:spacing w:after="20" w:line="252" w:lineRule="auto"/>
            </w:pPr>
            <w:r>
              <w:rPr>
                <w:b w:val="0"/>
                <w:i w:val="0"/>
                <w:sz w:val="16"/>
              </w:rPr>
              <w:t>C</w:t>
            </w:r>
          </w:p>
        </w:tc>
        <w:tc>
          <w:tcPr>
            <w:tcW w:type="dxa" w:w="3515"/>
            <w:vAlign w:val="top"/>
          </w:tcPr>
          <w:p>
            <w:pPr>
              <w:spacing w:after="20" w:line="252" w:lineRule="auto"/>
            </w:pPr>
            <w:r>
              <w:rPr>
                <w:b w:val="0"/>
                <w:i w:val="0"/>
                <w:sz w:val="16"/>
              </w:rPr>
              <w:t>Milestones C1–C3</w:t>
            </w:r>
          </w:p>
        </w:tc>
        <w:tc>
          <w:tcPr>
            <w:tcW w:type="dxa" w:w="2835"/>
            <w:vAlign w:val="top"/>
          </w:tcPr>
          <w:p>
            <w:pPr>
              <w:spacing w:after="20" w:line="252" w:lineRule="auto"/>
            </w:pPr>
            <w:r>
              <w:rPr>
                <w:b w:val="0"/>
                <w:i w:val="0"/>
                <w:sz w:val="16"/>
              </w:rPr>
              <w:t>88,000 in total</w:t>
            </w:r>
          </w:p>
        </w:tc>
      </w:tr>
      <w:tr>
        <w:trPr>
          <w:cantSplit/>
        </w:trPr>
        <w:tc>
          <w:tcPr>
            <w:tcW w:type="dxa" w:w="2381"/>
            <w:vAlign w:val="top"/>
            <w:shd w:val="clear" w:color="auto" w:fill="FDF0F7"/>
          </w:tcPr>
          <w:p>
            <w:pPr>
              <w:spacing w:after="20" w:line="252" w:lineRule="auto"/>
            </w:pPr>
            <w:r>
              <w:rPr>
                <w:b/>
                <w:i w:val="0"/>
                <w:sz w:val="16"/>
              </w:rPr>
              <w:t>Post-handover support (choice 2)</w:t>
            </w:r>
          </w:p>
        </w:tc>
        <w:tc>
          <w:tcPr>
            <w:tcW w:type="dxa" w:w="907"/>
            <w:vAlign w:val="top"/>
            <w:shd w:val="clear" w:color="auto" w:fill="FDF0F7"/>
          </w:tcPr>
          <w:p>
            <w:pPr>
              <w:spacing w:after="20" w:line="252" w:lineRule="auto"/>
            </w:pPr>
            <w:r>
              <w:rPr>
                <w:b w:val="0"/>
                <w:i w:val="0"/>
                <w:sz w:val="16"/>
              </w:rPr>
              <w:t>C</w:t>
            </w:r>
          </w:p>
        </w:tc>
        <w:tc>
          <w:tcPr>
            <w:tcW w:type="dxa" w:w="3515"/>
            <w:vAlign w:val="top"/>
            <w:shd w:val="clear" w:color="auto" w:fill="FDF0F7"/>
          </w:tcPr>
          <w:p>
            <w:pPr>
              <w:spacing w:after="20" w:line="252" w:lineRule="auto"/>
            </w:pPr>
            <w:r>
              <w:rPr>
                <w:b w:val="0"/>
                <w:i w:val="0"/>
                <w:sz w:val="16"/>
              </w:rPr>
              <w:t>Quarterly in advance</w:t>
            </w:r>
          </w:p>
        </w:tc>
        <w:tc>
          <w:tcPr>
            <w:tcW w:type="dxa" w:w="2835"/>
            <w:vAlign w:val="top"/>
            <w:shd w:val="clear" w:color="auto" w:fill="FDF0F7"/>
          </w:tcPr>
          <w:p>
            <w:pPr>
              <w:spacing w:after="20" w:line="252" w:lineRule="auto"/>
            </w:pPr>
            <w:r>
              <w:rPr>
                <w:b w:val="0"/>
                <w:i w:val="0"/>
                <w:sz w:val="16"/>
              </w:rPr>
              <w:t>3,562.50 per quarter</w:t>
            </w:r>
          </w:p>
        </w:tc>
      </w:tr>
    </w:tbl>
    <w:p>
      <w:pPr>
        <w:pStyle w:val="Caption"/>
        <w:jc w:val="center"/>
      </w:pPr>
      <w:r>
        <w:rPr>
          <w:b w:val="0"/>
          <w:i w:val="0"/>
        </w:rPr>
        <w:t>Table 59: Billing of recurring charges</w:t>
      </w:r>
    </w:p>
    <w:p>
      <w:pPr>
        <w:keepNext w:val="0"/>
      </w:pPr>
      <w:r>
        <w:rPr>
          <w:b w:val="0"/>
          <w:i w:val="0"/>
        </w:rPr>
        <w:t>All invoices are payable within 30 days of receipt.</w:t>
      </w:r>
    </w:p>
    <w:p>
      <w:pPr>
        <w:pStyle w:val="Heading2"/>
      </w:pPr>
      <w:r>
        <w:t>19.12 Commercial terms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041"/>
        <w:gridCol w:w="7597"/>
      </w:tblGrid>
      <w:tr>
        <w:trPr>
          <w:cantSplit/>
        </w:trPr>
        <w:tc>
          <w:tcPr>
            <w:tcW w:type="dxa" w:w="2041"/>
            <w:shd w:val="clear" w:color="auto" w:fill="FDF0F7"/>
          </w:tcPr>
          <w:p>
            <w:pPr>
              <w:spacing w:after="20"/>
            </w:pPr>
            <w:r>
              <w:rPr>
                <w:b/>
                <w:i w:val="0"/>
                <w:sz w:val="18"/>
              </w:rPr>
              <w:t>Payment terms</w:t>
            </w:r>
          </w:p>
        </w:tc>
        <w:tc>
          <w:tcPr>
            <w:tcW w:type="dxa" w:w="7597"/>
          </w:tcPr>
          <w:p>
            <w:pPr>
              <w:spacing w:after="20"/>
            </w:pPr>
            <w:r>
              <w:rPr>
                <w:b w:val="0"/>
                <w:i w:val="0"/>
                <w:sz w:val="18"/>
              </w:rPr>
              <w:t>30 days from invoice.</w:t>
            </w:r>
          </w:p>
        </w:tc>
      </w:tr>
      <w:tr>
        <w:trPr>
          <w:cantSplit/>
        </w:trPr>
        <w:tc>
          <w:tcPr>
            <w:tcW w:type="dxa" w:w="2041"/>
            <w:shd w:val="clear" w:color="auto" w:fill="FDF0F7"/>
          </w:tcPr>
          <w:p>
            <w:pPr>
              <w:spacing w:after="20"/>
            </w:pPr>
            <w:r>
              <w:rPr>
                <w:b/>
                <w:i w:val="0"/>
                <w:sz w:val="18"/>
              </w:rPr>
              <w:t>Currency</w:t>
            </w:r>
          </w:p>
        </w:tc>
        <w:tc>
          <w:tcPr>
            <w:tcW w:type="dxa" w:w="7597"/>
          </w:tcPr>
          <w:p>
            <w:pPr>
              <w:spacing w:after="20"/>
            </w:pPr>
            <w:r>
              <w:rPr>
                <w:b w:val="0"/>
                <w:i w:val="0"/>
                <w:sz w:val="18"/>
              </w:rPr>
              <w:t>B$. USD amounts are indicative at USD 1 = B$ 1.30. Cloud charges are converted at the rate on the provider's invoice date.</w:t>
            </w:r>
          </w:p>
        </w:tc>
      </w:tr>
      <w:tr>
        <w:trPr>
          <w:cantSplit/>
        </w:trPr>
        <w:tc>
          <w:tcPr>
            <w:tcW w:type="dxa" w:w="2041"/>
            <w:shd w:val="clear" w:color="auto" w:fill="FDF0F7"/>
          </w:tcPr>
          <w:p>
            <w:pPr>
              <w:spacing w:after="20"/>
            </w:pPr>
            <w:r>
              <w:rPr>
                <w:b/>
                <w:i w:val="0"/>
                <w:sz w:val="18"/>
              </w:rPr>
              <w:t>Taxes</w:t>
            </w:r>
          </w:p>
        </w:tc>
        <w:tc>
          <w:tcPr>
            <w:tcW w:type="dxa" w:w="7597"/>
          </w:tcPr>
          <w:p>
            <w:pPr>
              <w:spacing w:after="20"/>
            </w:pPr>
            <w:r>
              <w:rPr>
                <w:b w:val="0"/>
                <w:i w:val="0"/>
                <w:sz w:val="18"/>
              </w:rPr>
              <w:t>Fees inclusive of WHT, borne by iorta. Cloud infrastructure and OPE are recharged at cost as disbursements with the provider and travel invoices attached, outside the fees to which WHT applies. No GST or VAT applies in Brunei Darussalam at present; any indirect tax introduced by law is added at the statutory rate.</w:t>
            </w:r>
          </w:p>
        </w:tc>
      </w:tr>
      <w:tr>
        <w:trPr>
          <w:cantSplit/>
        </w:trPr>
        <w:tc>
          <w:tcPr>
            <w:tcW w:type="dxa" w:w="2041"/>
            <w:shd w:val="clear" w:color="auto" w:fill="FDF0F7"/>
          </w:tcPr>
          <w:p>
            <w:pPr>
              <w:spacing w:after="20"/>
            </w:pPr>
            <w:r>
              <w:rPr>
                <w:b/>
                <w:i w:val="0"/>
                <w:sz w:val="18"/>
              </w:rPr>
              <w:t>Quotation validity</w:t>
            </w:r>
          </w:p>
        </w:tc>
        <w:tc>
          <w:tcPr>
            <w:tcW w:type="dxa" w:w="7597"/>
          </w:tcPr>
          <w:p>
            <w:pPr>
              <w:spacing w:after="20"/>
            </w:pPr>
            <w:r>
              <w:rPr>
                <w:b w:val="0"/>
                <w:i w:val="0"/>
                <w:sz w:val="18"/>
              </w:rPr>
              <w:t>90 days from submission (Section 24).</w:t>
            </w:r>
          </w:p>
        </w:tc>
      </w:tr>
      <w:tr>
        <w:trPr>
          <w:cantSplit/>
        </w:trPr>
        <w:tc>
          <w:tcPr>
            <w:tcW w:type="dxa" w:w="2041"/>
            <w:shd w:val="clear" w:color="auto" w:fill="FDF0F7"/>
          </w:tcPr>
          <w:p>
            <w:pPr>
              <w:spacing w:after="20"/>
            </w:pPr>
            <w:r>
              <w:rPr>
                <w:b/>
                <w:i w:val="0"/>
                <w:sz w:val="18"/>
              </w:rPr>
              <w:t>Price protection</w:t>
            </w:r>
          </w:p>
        </w:tc>
        <w:tc>
          <w:tcPr>
            <w:tcW w:type="dxa" w:w="7597"/>
          </w:tcPr>
          <w:p>
            <w:pPr>
              <w:spacing w:after="20"/>
            </w:pPr>
            <w:r>
              <w:rPr>
                <w:b w:val="0"/>
                <w:i w:val="0"/>
                <w:sz w:val="18"/>
              </w:rPr>
              <w:t>One-time fees are fixed. AMC, subscription, managed services and the rate card rise by 5% a year, capped at 5% (COM-18). Cloud and third-party charges follow actual provider prices.</w:t>
            </w:r>
          </w:p>
        </w:tc>
      </w:tr>
      <w:tr>
        <w:trPr>
          <w:cantSplit/>
        </w:trPr>
        <w:tc>
          <w:tcPr>
            <w:tcW w:type="dxa" w:w="2041"/>
            <w:shd w:val="clear" w:color="auto" w:fill="FDF0F7"/>
          </w:tcPr>
          <w:p>
            <w:pPr>
              <w:spacing w:after="20"/>
            </w:pPr>
            <w:r>
              <w:rPr>
                <w:b/>
                <w:i w:val="0"/>
                <w:sz w:val="18"/>
              </w:rPr>
              <w:t>User growth</w:t>
            </w:r>
          </w:p>
        </w:tc>
        <w:tc>
          <w:tcPr>
            <w:tcW w:type="dxa" w:w="7597"/>
          </w:tcPr>
          <w:p>
            <w:pPr>
              <w:spacing w:after="20"/>
            </w:pPr>
            <w:r>
              <w:rPr>
                <w:b w:val="0"/>
                <w:i w:val="0"/>
                <w:sz w:val="18"/>
              </w:rPr>
              <w:t>Unlimited named users for IIFT under both options; more agents, banks or branches do not change the fees.</w:t>
            </w:r>
          </w:p>
        </w:tc>
      </w:tr>
      <w:tr>
        <w:trPr>
          <w:cantSplit/>
        </w:trPr>
        <w:tc>
          <w:tcPr>
            <w:tcW w:type="dxa" w:w="2041"/>
            <w:shd w:val="clear" w:color="auto" w:fill="FDF0F7"/>
          </w:tcPr>
          <w:p>
            <w:pPr>
              <w:spacing w:after="20"/>
            </w:pPr>
            <w:r>
              <w:rPr>
                <w:b/>
                <w:i w:val="0"/>
                <w:sz w:val="18"/>
              </w:rPr>
              <w:t>Additional entities</w:t>
            </w:r>
          </w:p>
        </w:tc>
        <w:tc>
          <w:tcPr>
            <w:tcW w:type="dxa" w:w="7597"/>
          </w:tcPr>
          <w:p>
            <w:pPr>
              <w:spacing w:after="20"/>
            </w:pPr>
            <w:r>
              <w:rPr>
                <w:b w:val="0"/>
                <w:i w:val="0"/>
                <w:sz w:val="18"/>
              </w:rPr>
              <w:t>Use by another IITH group company, such as IIGT, is priced separately (licence or subscription, configuration and integration).</w:t>
            </w:r>
          </w:p>
        </w:tc>
      </w:tr>
      <w:tr>
        <w:trPr>
          <w:cantSplit/>
        </w:trPr>
        <w:tc>
          <w:tcPr>
            <w:tcW w:type="dxa" w:w="2041"/>
            <w:shd w:val="clear" w:color="auto" w:fill="FDF0F7"/>
          </w:tcPr>
          <w:p>
            <w:pPr>
              <w:spacing w:after="20"/>
            </w:pPr>
            <w:r>
              <w:rPr>
                <w:b/>
                <w:i w:val="0"/>
                <w:sz w:val="18"/>
              </w:rPr>
              <w:t>Term</w:t>
            </w:r>
          </w:p>
        </w:tc>
        <w:tc>
          <w:tcPr>
            <w:tcW w:type="dxa" w:w="7597"/>
          </w:tcPr>
          <w:p>
            <w:pPr>
              <w:spacing w:after="20"/>
            </w:pPr>
            <w:r>
              <w:rPr>
                <w:b w:val="0"/>
                <w:i w:val="0"/>
                <w:sz w:val="18"/>
              </w:rPr>
              <w:t>Implementation to hypercare exit; maintenance or subscription for five years from go-live. The subscription's minimum term is 60 months from go-live.</w:t>
            </w:r>
          </w:p>
        </w:tc>
      </w:tr>
      <w:tr>
        <w:trPr>
          <w:cantSplit/>
        </w:trPr>
        <w:tc>
          <w:tcPr>
            <w:tcW w:type="dxa" w:w="2041"/>
            <w:shd w:val="clear" w:color="auto" w:fill="FDF0F7"/>
          </w:tcPr>
          <w:p>
            <w:pPr>
              <w:spacing w:after="20"/>
            </w:pPr>
            <w:r>
              <w:rPr>
                <w:b/>
                <w:i w:val="0"/>
                <w:sz w:val="18"/>
              </w:rPr>
              <w:t>Changes</w:t>
            </w:r>
          </w:p>
        </w:tc>
        <w:tc>
          <w:tcPr>
            <w:tcW w:type="dxa" w:w="7597"/>
          </w:tcPr>
          <w:p>
            <w:pPr>
              <w:spacing w:after="20"/>
            </w:pPr>
            <w:r>
              <w:rPr>
                <w:b w:val="0"/>
                <w:i w:val="0"/>
                <w:sz w:val="18"/>
              </w:rPr>
              <w:t>Through change requests at the rate card (Section 19.10).</w:t>
            </w:r>
          </w:p>
        </w:tc>
      </w:tr>
    </w:tbl>
    <w:p>
      <w:pPr>
        <w:pStyle w:val="Caption"/>
        <w:jc w:val="center"/>
      </w:pPr>
      <w:r>
        <w:rPr>
          <w:b w:val="0"/>
          <w:i w:val="0"/>
        </w:rPr>
        <w:t>Table 60: Commercial terms</w:t>
      </w:r>
    </w:p>
    <w:p>
      <w:pPr>
        <w:pStyle w:val="Heading2"/>
      </w:pPr>
      <w:r>
        <w:t>19.13 Commercial assumptions and exclusions</w:t>
      </w:r>
    </w:p>
    <w:p>
      <w:pPr>
        <w:keepNext/>
        <w:spacing w:after="40"/>
      </w:pPr>
      <w:r>
        <w:rPr>
          <w:b/>
          <w:i w:val="0"/>
        </w:rPr>
        <w:t>Assumptions</w:t>
      </w:r>
    </w:p>
    <w:p>
      <w:pPr>
        <w:pStyle w:val="ListBullet"/>
      </w:pPr>
      <w:r>
        <w:rPr>
          <w:b w:val="0"/>
          <w:i w:val="0"/>
        </w:rPr>
        <w:t>Scope is the RFP (sections 3–8, Appendices 1–4) as described in this proposal; changes follow the change request process.</w:t>
      </w:r>
    </w:p>
    <w:p>
      <w:pPr>
        <w:pStyle w:val="ListBullet"/>
      </w:pPr>
      <w:r>
        <w:rPr>
          <w:b w:val="0"/>
          <w:i w:val="0"/>
        </w:rPr>
        <w:t>The contract is signed within the quotation validity and the project starts within four weeks of signature.</w:t>
      </w:r>
    </w:p>
    <w:p>
      <w:pPr>
        <w:pStyle w:val="ListBullet"/>
      </w:pPr>
      <w:r>
        <w:rPr>
          <w:b w:val="0"/>
          <w:i w:val="0"/>
        </w:rPr>
        <w:t>IIFT meets the dependencies in Section 18. A delay of more than four weeks caused by dependencies outside iorta's control is re-planned with IIFT; extra effort is agreed as a change request.</w:t>
      </w:r>
    </w:p>
    <w:p>
      <w:pPr>
        <w:pStyle w:val="ListBullet"/>
      </w:pPr>
      <w:r>
        <w:rPr>
          <w:b w:val="0"/>
          <w:i w:val="0"/>
        </w:rPr>
        <w:t>Option A: IIFT provides SIT and UAT by week 8 and week 16 and production and DR by week 20, to the sizing in Section 15.</w:t>
      </w:r>
    </w:p>
    <w:p>
      <w:pPr>
        <w:pStyle w:val="ListBullet"/>
      </w:pPr>
      <w:r>
        <w:rPr>
          <w:b w:val="0"/>
          <w:i w:val="0"/>
        </w:rPr>
        <w:t>Option B: IIFT approves the cloud region and completes the AMBD notification before production data is loaded; the project environments run in the cloud from kick-off; the cloud set-up fee is paid at contract signing.</w:t>
      </w:r>
    </w:p>
    <w:p>
      <w:pPr>
        <w:pStyle w:val="ListBullet"/>
      </w:pPr>
      <w:r>
        <w:rPr>
          <w:b w:val="0"/>
          <w:i w:val="0"/>
        </w:rPr>
        <w:t>Cloud infrastructure and OPE are recharged at cost as disbursements with the provider and travel invoices attached, outside the fees to which withholding tax applies. IIFT may instead hold the cloud account in its own name and pay the provider directly.</w:t>
      </w:r>
    </w:p>
    <w:p>
      <w:pPr>
        <w:pStyle w:val="ListBullet"/>
      </w:pPr>
      <w:r>
        <w:rPr>
          <w:b w:val="0"/>
          <w:i w:val="0"/>
        </w:rPr>
        <w:t>Data migration covers agent, agency, bank, branch, participant and reference data: below 10,000 records from no more than three source extracts.</w:t>
      </w:r>
    </w:p>
    <w:p>
      <w:pPr>
        <w:pStyle w:val="ListBullet"/>
      </w:pPr>
      <w:r>
        <w:rPr>
          <w:b w:val="0"/>
          <w:i w:val="0"/>
        </w:rPr>
        <w:t>Onsite presence follows the OPE schedule; all other work is remote.</w:t>
      </w:r>
    </w:p>
    <w:p>
      <w:pPr>
        <w:keepNext/>
        <w:spacing w:after="40"/>
      </w:pPr>
      <w:r>
        <w:rPr>
          <w:b/>
          <w:i w:val="0"/>
        </w:rPr>
        <w:t>Exclusions</w:t>
      </w:r>
    </w:p>
    <w:p>
      <w:pPr>
        <w:pStyle w:val="ListBullet"/>
      </w:pPr>
      <w:r>
        <w:rPr>
          <w:b w:val="0"/>
          <w:i w:val="0"/>
        </w:rPr>
        <w:t>Infrastructure, operating system licences, network and data-centre services under Option A.</w:t>
      </w:r>
    </w:p>
    <w:p>
      <w:pPr>
        <w:pStyle w:val="ListBullet"/>
      </w:pPr>
      <w:r>
        <w:rPr>
          <w:b w:val="0"/>
          <w:i w:val="0"/>
        </w:rPr>
        <w:t>Cloud infrastructure under Option B (recharged at cost or paid directly) and third-party charges in the Bill of Materials.</w:t>
      </w:r>
    </w:p>
    <w:p>
      <w:pPr>
        <w:pStyle w:val="ListBullet"/>
      </w:pPr>
      <w:r>
        <w:rPr>
          <w:b w:val="0"/>
          <w:i w:val="0"/>
        </w:rPr>
        <w:t>OPE, recharged at cost as set out above.</w:t>
      </w:r>
    </w:p>
    <w:p>
      <w:pPr>
        <w:pStyle w:val="ListBullet"/>
      </w:pPr>
      <w:r>
        <w:rPr>
          <w:b w:val="0"/>
          <w:i w:val="0"/>
        </w:rPr>
        <w:t>Changes to IIFT's core system, FIN, AML service or other third-party systems.</w:t>
      </w:r>
    </w:p>
    <w:p>
      <w:pPr>
        <w:pStyle w:val="ListBullet"/>
      </w:pPr>
      <w:r>
        <w:rPr>
          <w:b w:val="0"/>
          <w:i w:val="0"/>
        </w:rPr>
        <w:t>Use by other IITH group companies; Malay translation of screens; payment gateway; native mobile apps.</w:t>
      </w:r>
    </w:p>
    <w:p>
      <w:pPr>
        <w:pStyle w:val="ListBullet"/>
      </w:pPr>
      <w:r>
        <w:rPr>
          <w:b w:val="0"/>
          <w:i w:val="0"/>
        </w:rPr>
        <w:t>Penetration tests after go-live beyond the pre-go-live VAPT and re-test (quoted on request).</w:t>
      </w:r>
    </w:p>
    <w:p>
      <w:pPr>
        <w:keepNext w:val="0"/>
      </w:pPr>
      <w:r>
        <w:rPr>
          <w:b w:val="0"/>
          <w:i w:val="0"/>
        </w:rPr>
        <w:t>General assumptions, dependencies and exclusions are in Section 22.</w:t>
      </w:r>
    </w:p>
    <w:p>
      <w:pPr>
        <w:pStyle w:val="Heading1"/>
        <w:pageBreakBefore/>
        <w:pBdr>
          <w:bottom w:val="single" w:sz="12" w:space="4" w:color="F58220"/>
        </w:pBdr>
      </w:pPr>
      <w:r>
        <w:t>20. Five-Year Maintenance &amp; Support</w:t>
      </w:r>
    </w:p>
    <w:p>
      <w:pPr>
        <w:keepNext w:val="0"/>
      </w:pPr>
      <w:r>
        <w:rPr>
          <w:b w:val="0"/>
          <w:i w:val="0"/>
        </w:rPr>
        <w:t>Maintenance and support start at go-live and run for five years. Under Option A they are charged as the AMC, B$ 31,350 in Year 1 (22% of licence and customisation) rising by 5% a year; under Option B they are part of the subscription. The service is the same under both options. In the first six months the warranty covers defect fixes; the AMC or subscription pays for the service desk, SLA, monitoring, patches, upgrades, 60 enhancement hours a year and the services below. Under Option B, iorta's managed services also cover the cloud infrastructure.</w:t>
      </w:r>
    </w:p>
    <w:p>
      <w:pPr>
        <w:pStyle w:val="Heading2"/>
      </w:pPr>
      <w:r>
        <w:t>20.1 Support model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7484"/>
      </w:tblGrid>
      <w:tr>
        <w:trPr>
          <w:cantSplit/>
          <w:tblHeader/>
        </w:trPr>
        <w:tc>
          <w:tcPr>
            <w:tcW w:type="dxa" w:w="2154"/>
            <w:shd w:val="clear" w:color="auto" w:fill="E1058C"/>
            <w:vAlign w:val="center"/>
          </w:tcPr>
          <w:p>
            <w:pPr>
              <w:spacing w:after="0"/>
            </w:pPr>
            <w:r>
              <w:rPr>
                <w:b/>
                <w:i w:val="0"/>
                <w:color w:val="FFFFFF"/>
                <w:sz w:val="17"/>
              </w:rPr>
              <w:t>Element</w:t>
            </w:r>
          </w:p>
        </w:tc>
        <w:tc>
          <w:tcPr>
            <w:tcW w:type="dxa" w:w="7483"/>
            <w:shd w:val="clear" w:color="auto" w:fill="E1058C"/>
            <w:vAlign w:val="center"/>
          </w:tcPr>
          <w:p>
            <w:pPr>
              <w:spacing w:after="0"/>
            </w:pPr>
            <w:r>
              <w:rPr>
                <w:b/>
                <w:i w:val="0"/>
                <w:color w:val="FFFFFF"/>
                <w:sz w:val="17"/>
              </w:rPr>
              <w:t>Description</w:t>
            </w:r>
          </w:p>
        </w:tc>
      </w:tr>
      <w:tr>
        <w:trPr>
          <w:cantSplit/>
        </w:trPr>
        <w:tc>
          <w:tcPr>
            <w:tcW w:type="dxa" w:w="2154"/>
            <w:vAlign w:val="top"/>
          </w:tcPr>
          <w:p>
            <w:pPr>
              <w:spacing w:after="20" w:line="252" w:lineRule="auto"/>
            </w:pPr>
            <w:r>
              <w:rPr>
                <w:b/>
                <w:i w:val="0"/>
                <w:sz w:val="17"/>
              </w:rPr>
              <w:t>Channels</w:t>
            </w:r>
          </w:p>
        </w:tc>
        <w:tc>
          <w:tcPr>
            <w:tcW w:type="dxa" w:w="7483"/>
            <w:vAlign w:val="top"/>
          </w:tcPr>
          <w:p>
            <w:pPr>
              <w:spacing w:after="20" w:line="252" w:lineRule="auto"/>
            </w:pPr>
            <w:r>
              <w:rPr>
                <w:b w:val="0"/>
                <w:i w:val="0"/>
                <w:sz w:val="17"/>
              </w:rPr>
              <w:t>Issue module in the portal/back-office (preferred), dedicated support e-mail and telephone hotline; P1 incidents must be reported by telephone in addition to the ticket.</w:t>
            </w:r>
          </w:p>
        </w:tc>
      </w:tr>
      <w:tr>
        <w:trPr>
          <w:cantSplit/>
        </w:trPr>
        <w:tc>
          <w:tcPr>
            <w:tcW w:type="dxa" w:w="2154"/>
            <w:vAlign w:val="top"/>
            <w:shd w:val="clear" w:color="auto" w:fill="FDF0F7"/>
          </w:tcPr>
          <w:p>
            <w:pPr>
              <w:spacing w:after="20" w:line="252" w:lineRule="auto"/>
            </w:pPr>
            <w:r>
              <w:rPr>
                <w:b/>
                <w:i w:val="0"/>
                <w:sz w:val="17"/>
              </w:rPr>
              <w:t>Support hours</w:t>
            </w:r>
          </w:p>
        </w:tc>
        <w:tc>
          <w:tcPr>
            <w:tcW w:type="dxa" w:w="7483"/>
            <w:vAlign w:val="top"/>
            <w:shd w:val="clear" w:color="auto" w:fill="FDF0F7"/>
          </w:tcPr>
          <w:p>
            <w:pPr>
              <w:spacing w:after="20" w:line="252" w:lineRule="auto"/>
            </w:pPr>
            <w:r>
              <w:rPr>
                <w:b w:val="0"/>
                <w:i w:val="0"/>
                <w:sz w:val="17"/>
              </w:rPr>
              <w:t>IIFT business hours as defined in the 'Insurans Islam TAIB Business Hours (Family Takaful)' schedule (COM-14); P1 incidents 24 x 7, including weekends and public holidays.</w:t>
            </w:r>
          </w:p>
        </w:tc>
      </w:tr>
      <w:tr>
        <w:trPr>
          <w:cantSplit/>
        </w:trPr>
        <w:tc>
          <w:tcPr>
            <w:tcW w:type="dxa" w:w="2154"/>
            <w:vAlign w:val="top"/>
          </w:tcPr>
          <w:p>
            <w:pPr>
              <w:spacing w:after="20" w:line="252" w:lineRule="auto"/>
            </w:pPr>
            <w:r>
              <w:rPr>
                <w:b/>
                <w:i w:val="0"/>
                <w:sz w:val="17"/>
              </w:rPr>
              <w:t>Incident management</w:t>
            </w:r>
          </w:p>
        </w:tc>
        <w:tc>
          <w:tcPr>
            <w:tcW w:type="dxa" w:w="7483"/>
            <w:vAlign w:val="top"/>
          </w:tcPr>
          <w:p>
            <w:pPr>
              <w:spacing w:after="20" w:line="252" w:lineRule="auto"/>
            </w:pPr>
            <w:r>
              <w:rPr>
                <w:b w:val="0"/>
                <w:i w:val="0"/>
                <w:sz w:val="17"/>
              </w:rPr>
              <w:t>Record, classify, prioritise, investigate, resolve and close per ITIL-aligned procedure; IIFT confirms closure (MNT-02).</w:t>
            </w:r>
          </w:p>
        </w:tc>
      </w:tr>
      <w:tr>
        <w:trPr>
          <w:cantSplit/>
        </w:trPr>
        <w:tc>
          <w:tcPr>
            <w:tcW w:type="dxa" w:w="2154"/>
            <w:vAlign w:val="top"/>
            <w:shd w:val="clear" w:color="auto" w:fill="FDF0F7"/>
          </w:tcPr>
          <w:p>
            <w:pPr>
              <w:spacing w:after="20" w:line="252" w:lineRule="auto"/>
            </w:pPr>
            <w:r>
              <w:rPr>
                <w:b/>
                <w:i w:val="0"/>
                <w:sz w:val="17"/>
              </w:rPr>
              <w:t>Problem management</w:t>
            </w:r>
          </w:p>
        </w:tc>
        <w:tc>
          <w:tcPr>
            <w:tcW w:type="dxa" w:w="7483"/>
            <w:vAlign w:val="top"/>
            <w:shd w:val="clear" w:color="auto" w:fill="FDF0F7"/>
          </w:tcPr>
          <w:p>
            <w:pPr>
              <w:spacing w:after="20" w:line="252" w:lineRule="auto"/>
            </w:pPr>
            <w:r>
              <w:rPr>
                <w:b w:val="0"/>
                <w:i w:val="0"/>
                <w:sz w:val="17"/>
              </w:rPr>
              <w:t>Root-cause analysis for every P1 and P2 and for recurring incidents, with report within five business days and tracked corrective actions (MNT-03).</w:t>
            </w:r>
          </w:p>
        </w:tc>
      </w:tr>
      <w:tr>
        <w:trPr>
          <w:cantSplit/>
        </w:trPr>
        <w:tc>
          <w:tcPr>
            <w:tcW w:type="dxa" w:w="2154"/>
            <w:vAlign w:val="top"/>
          </w:tcPr>
          <w:p>
            <w:pPr>
              <w:spacing w:after="20" w:line="252" w:lineRule="auto"/>
            </w:pPr>
            <w:r>
              <w:rPr>
                <w:b/>
                <w:i w:val="0"/>
                <w:sz w:val="17"/>
              </w:rPr>
              <w:t>Service requests</w:t>
            </w:r>
          </w:p>
        </w:tc>
        <w:tc>
          <w:tcPr>
            <w:tcW w:type="dxa" w:w="7483"/>
            <w:vAlign w:val="top"/>
          </w:tcPr>
          <w:p>
            <w:pPr>
              <w:spacing w:after="20" w:line="252" w:lineRule="auto"/>
            </w:pPr>
            <w:r>
              <w:rPr>
                <w:b w:val="0"/>
                <w:i w:val="0"/>
                <w:sz w:val="17"/>
              </w:rPr>
              <w:t>User support, configuration changes, data corrections and operational assistance (MNT-04).</w:t>
            </w:r>
          </w:p>
        </w:tc>
      </w:tr>
      <w:tr>
        <w:trPr>
          <w:cantSplit/>
        </w:trPr>
        <w:tc>
          <w:tcPr>
            <w:tcW w:type="dxa" w:w="2154"/>
            <w:vAlign w:val="top"/>
            <w:shd w:val="clear" w:color="auto" w:fill="FDF0F7"/>
          </w:tcPr>
          <w:p>
            <w:pPr>
              <w:spacing w:after="20" w:line="252" w:lineRule="auto"/>
            </w:pPr>
            <w:r>
              <w:rPr>
                <w:b/>
                <w:i w:val="0"/>
                <w:sz w:val="17"/>
              </w:rPr>
              <w:t>Preventive maintenance</w:t>
            </w:r>
          </w:p>
        </w:tc>
        <w:tc>
          <w:tcPr>
            <w:tcW w:type="dxa" w:w="7483"/>
            <w:vAlign w:val="top"/>
            <w:shd w:val="clear" w:color="auto" w:fill="FDF0F7"/>
          </w:tcPr>
          <w:p>
            <w:pPr>
              <w:spacing w:after="20" w:line="252" w:lineRule="auto"/>
            </w:pPr>
            <w:r>
              <w:rPr>
                <w:b w:val="0"/>
                <w:i w:val="0"/>
                <w:sz w:val="17"/>
              </w:rPr>
              <w:t>Monthly health check: logs, error trends, job runs, capacity, slow queries, certificate expiry, backup status (MNT-10, 16, 17).</w:t>
            </w:r>
          </w:p>
        </w:tc>
      </w:tr>
      <w:tr>
        <w:trPr>
          <w:cantSplit/>
        </w:trPr>
        <w:tc>
          <w:tcPr>
            <w:tcW w:type="dxa" w:w="2154"/>
            <w:vAlign w:val="top"/>
          </w:tcPr>
          <w:p>
            <w:pPr>
              <w:spacing w:after="20" w:line="252" w:lineRule="auto"/>
            </w:pPr>
            <w:r>
              <w:rPr>
                <w:b/>
                <w:i w:val="0"/>
                <w:sz w:val="17"/>
              </w:rPr>
              <w:t>Security maintenance</w:t>
            </w:r>
          </w:p>
        </w:tc>
        <w:tc>
          <w:tcPr>
            <w:tcW w:type="dxa" w:w="7483"/>
            <w:vAlign w:val="top"/>
          </w:tcPr>
          <w:p>
            <w:pPr>
              <w:spacing w:after="20" w:line="252" w:lineRule="auto"/>
            </w:pPr>
            <w:r>
              <w:rPr>
                <w:b w:val="0"/>
                <w:i w:val="0"/>
                <w:sz w:val="17"/>
              </w:rPr>
              <w:t>Monthly patch cycle for application dependencies and container images; emergency patches per remediation timelines; certificate management support (MNT-11 to 13).</w:t>
            </w:r>
          </w:p>
        </w:tc>
      </w:tr>
      <w:tr>
        <w:trPr>
          <w:cantSplit/>
        </w:trPr>
        <w:tc>
          <w:tcPr>
            <w:tcW w:type="dxa" w:w="2154"/>
            <w:vAlign w:val="top"/>
            <w:shd w:val="clear" w:color="auto" w:fill="FDF0F7"/>
          </w:tcPr>
          <w:p>
            <w:pPr>
              <w:spacing w:after="20" w:line="252" w:lineRule="auto"/>
            </w:pPr>
            <w:r>
              <w:rPr>
                <w:b/>
                <w:i w:val="0"/>
                <w:sz w:val="17"/>
              </w:rPr>
              <w:t>Technology currency</w:t>
            </w:r>
          </w:p>
        </w:tc>
        <w:tc>
          <w:tcPr>
            <w:tcW w:type="dxa" w:w="7483"/>
            <w:vAlign w:val="top"/>
            <w:shd w:val="clear" w:color="auto" w:fill="FDF0F7"/>
          </w:tcPr>
          <w:p>
            <w:pPr>
              <w:spacing w:after="20" w:line="252" w:lineRule="auto"/>
            </w:pPr>
            <w:r>
              <w:rPr>
                <w:b w:val="0"/>
                <w:i w:val="0"/>
                <w:sz w:val="17"/>
              </w:rPr>
              <w:t>Compatibility with supported OS, browser, Node.js and PostgreSQL versions; upgrades included (MNT-14, 15, 22).</w:t>
            </w:r>
          </w:p>
        </w:tc>
      </w:tr>
      <w:tr>
        <w:trPr>
          <w:cantSplit/>
        </w:trPr>
        <w:tc>
          <w:tcPr>
            <w:tcW w:type="dxa" w:w="2154"/>
            <w:vAlign w:val="top"/>
          </w:tcPr>
          <w:p>
            <w:pPr>
              <w:spacing w:after="20" w:line="252" w:lineRule="auto"/>
            </w:pPr>
            <w:r>
              <w:rPr>
                <w:b/>
                <w:i w:val="0"/>
                <w:sz w:val="17"/>
              </w:rPr>
              <w:t>Minor enhancements</w:t>
            </w:r>
          </w:p>
        </w:tc>
        <w:tc>
          <w:tcPr>
            <w:tcW w:type="dxa" w:w="7483"/>
            <w:vAlign w:val="top"/>
          </w:tcPr>
          <w:p>
            <w:pPr>
              <w:spacing w:after="20" w:line="252" w:lineRule="auto"/>
            </w:pPr>
            <w:r>
              <w:rPr>
                <w:b w:val="0"/>
                <w:i w:val="0"/>
                <w:sz w:val="17"/>
              </w:rPr>
              <w:t>60 hours per year included; further changes via change request at the rate card (MNT-23, 24).</w:t>
            </w:r>
          </w:p>
        </w:tc>
      </w:tr>
      <w:tr>
        <w:trPr>
          <w:cantSplit/>
        </w:trPr>
        <w:tc>
          <w:tcPr>
            <w:tcW w:type="dxa" w:w="2154"/>
            <w:vAlign w:val="top"/>
            <w:shd w:val="clear" w:color="auto" w:fill="FDF0F7"/>
          </w:tcPr>
          <w:p>
            <w:pPr>
              <w:spacing w:after="20" w:line="252" w:lineRule="auto"/>
            </w:pPr>
            <w:r>
              <w:rPr>
                <w:b/>
                <w:i w:val="0"/>
                <w:sz w:val="17"/>
              </w:rPr>
              <w:t>Onsite support</w:t>
            </w:r>
          </w:p>
        </w:tc>
        <w:tc>
          <w:tcPr>
            <w:tcW w:type="dxa" w:w="7483"/>
            <w:vAlign w:val="top"/>
            <w:shd w:val="clear" w:color="auto" w:fill="FDF0F7"/>
          </w:tcPr>
          <w:p>
            <w:pPr>
              <w:spacing w:after="20" w:line="252" w:lineRule="auto"/>
            </w:pPr>
            <w:r>
              <w:rPr>
                <w:b w:val="0"/>
                <w:i w:val="0"/>
                <w:sz w:val="17"/>
              </w:rPr>
              <w:t>Remote by default; onsite for major incidents, upgrades or critical activities at the rate card day rate plus OPE at actuals (MNT-29).</w:t>
            </w:r>
          </w:p>
        </w:tc>
      </w:tr>
    </w:tbl>
    <w:p>
      <w:pPr>
        <w:spacing w:after="0" w:before="0"/>
      </w:pPr>
      <w:r>
        <w:rPr>
          <w:sz w:val="8"/>
        </w:rPr>
      </w:r>
    </w:p>
    <w:p>
      <w:pPr>
        <w:pStyle w:val="Heading2"/>
      </w:pPr>
      <w:r>
        <w:t>20.2 Service levels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3628"/>
        <w:gridCol w:w="1360"/>
        <w:gridCol w:w="1814"/>
        <w:gridCol w:w="1360"/>
      </w:tblGrid>
      <w:tr>
        <w:trPr>
          <w:cantSplit/>
          <w:tblHeader/>
        </w:trPr>
        <w:tc>
          <w:tcPr>
            <w:tcW w:type="dxa" w:w="1474"/>
            <w:shd w:val="clear" w:color="auto" w:fill="E1058C"/>
            <w:vAlign w:val="center"/>
          </w:tcPr>
          <w:p>
            <w:pPr>
              <w:spacing w:after="0"/>
            </w:pPr>
            <w:r>
              <w:rPr>
                <w:b/>
                <w:i w:val="0"/>
                <w:color w:val="FFFFFF"/>
                <w:sz w:val="16"/>
              </w:rPr>
              <w:t>Priority</w:t>
            </w:r>
          </w:p>
        </w:tc>
        <w:tc>
          <w:tcPr>
            <w:tcW w:type="dxa" w:w="3628"/>
            <w:shd w:val="clear" w:color="auto" w:fill="E1058C"/>
            <w:vAlign w:val="center"/>
          </w:tcPr>
          <w:p>
            <w:pPr>
              <w:spacing w:after="0"/>
            </w:pPr>
            <w:r>
              <w:rPr>
                <w:b/>
                <w:i w:val="0"/>
                <w:color w:val="FFFFFF"/>
                <w:sz w:val="16"/>
              </w:rPr>
              <w:t>Definition</w:t>
            </w:r>
          </w:p>
        </w:tc>
        <w:tc>
          <w:tcPr>
            <w:tcW w:type="dxa" w:w="1361"/>
            <w:shd w:val="clear" w:color="auto" w:fill="E1058C"/>
            <w:vAlign w:val="center"/>
          </w:tcPr>
          <w:p>
            <w:pPr>
              <w:spacing w:after="0"/>
            </w:pPr>
            <w:r>
              <w:rPr>
                <w:b/>
                <w:i w:val="0"/>
                <w:color w:val="FFFFFF"/>
                <w:sz w:val="16"/>
              </w:rPr>
              <w:t>Response</w:t>
            </w:r>
          </w:p>
        </w:tc>
        <w:tc>
          <w:tcPr>
            <w:tcW w:type="dxa" w:w="1814"/>
            <w:shd w:val="clear" w:color="auto" w:fill="E1058C"/>
            <w:vAlign w:val="center"/>
          </w:tcPr>
          <w:p>
            <w:pPr>
              <w:spacing w:after="0"/>
            </w:pPr>
            <w:r>
              <w:rPr>
                <w:b/>
                <w:i w:val="0"/>
                <w:color w:val="FFFFFF"/>
                <w:sz w:val="16"/>
              </w:rPr>
              <w:t>Resolution / restoration</w:t>
            </w:r>
          </w:p>
        </w:tc>
        <w:tc>
          <w:tcPr>
            <w:tcW w:type="dxa" w:w="1361"/>
            <w:shd w:val="clear" w:color="auto" w:fill="E1058C"/>
            <w:vAlign w:val="center"/>
          </w:tcPr>
          <w:p>
            <w:pPr>
              <w:spacing w:after="0"/>
            </w:pPr>
            <w:r>
              <w:rPr>
                <w:b/>
                <w:i w:val="0"/>
                <w:color w:val="FFFFFF"/>
                <w:sz w:val="16"/>
              </w:rPr>
              <w:t>Coverage</w:t>
            </w:r>
          </w:p>
        </w:tc>
      </w:tr>
      <w:tr>
        <w:trPr>
          <w:cantSplit/>
        </w:trPr>
        <w:tc>
          <w:tcPr>
            <w:tcW w:type="dxa" w:w="1474"/>
            <w:vAlign w:val="top"/>
          </w:tcPr>
          <w:p>
            <w:pPr>
              <w:spacing w:after="20" w:line="252" w:lineRule="auto"/>
            </w:pPr>
            <w:r>
              <w:rPr>
                <w:b/>
                <w:i w:val="0"/>
                <w:sz w:val="16"/>
              </w:rPr>
              <w:t>P1 Critical</w:t>
            </w:r>
          </w:p>
        </w:tc>
        <w:tc>
          <w:tcPr>
            <w:tcW w:type="dxa" w:w="3628"/>
            <w:vAlign w:val="top"/>
          </w:tcPr>
          <w:p>
            <w:pPr>
              <w:spacing w:after="20" w:line="252" w:lineRule="auto"/>
            </w:pPr>
            <w:r>
              <w:rPr>
                <w:b w:val="0"/>
                <w:i w:val="0"/>
                <w:sz w:val="16"/>
              </w:rPr>
              <w:t>Production down or critical function unavailable for all users; data integrity or security breach</w:t>
            </w:r>
          </w:p>
        </w:tc>
        <w:tc>
          <w:tcPr>
            <w:tcW w:type="dxa" w:w="1361"/>
            <w:vAlign w:val="top"/>
          </w:tcPr>
          <w:p>
            <w:pPr>
              <w:spacing w:after="20" w:line="252" w:lineRule="auto"/>
            </w:pPr>
            <w:r>
              <w:rPr>
                <w:b w:val="0"/>
                <w:i w:val="0"/>
                <w:sz w:val="16"/>
              </w:rPr>
              <w:t>30 minutes</w:t>
            </w:r>
          </w:p>
        </w:tc>
        <w:tc>
          <w:tcPr>
            <w:tcW w:type="dxa" w:w="1814"/>
            <w:vAlign w:val="top"/>
          </w:tcPr>
          <w:p>
            <w:pPr>
              <w:spacing w:after="20" w:line="252" w:lineRule="auto"/>
            </w:pPr>
            <w:r>
              <w:rPr>
                <w:b w:val="0"/>
                <w:i w:val="0"/>
                <w:sz w:val="16"/>
              </w:rPr>
              <w:t>4 hours (restore / workaround)</w:t>
            </w:r>
          </w:p>
        </w:tc>
        <w:tc>
          <w:tcPr>
            <w:tcW w:type="dxa" w:w="1361"/>
            <w:vAlign w:val="top"/>
          </w:tcPr>
          <w:p>
            <w:pPr>
              <w:spacing w:after="20" w:line="252" w:lineRule="auto"/>
            </w:pPr>
            <w:r>
              <w:rPr>
                <w:b w:val="0"/>
                <w:i w:val="0"/>
                <w:sz w:val="16"/>
              </w:rPr>
              <w:t>24 x 7</w:t>
            </w:r>
          </w:p>
        </w:tc>
      </w:tr>
      <w:tr>
        <w:trPr>
          <w:cantSplit/>
        </w:trPr>
        <w:tc>
          <w:tcPr>
            <w:tcW w:type="dxa" w:w="1474"/>
            <w:vAlign w:val="top"/>
            <w:shd w:val="clear" w:color="auto" w:fill="FDF0F7"/>
          </w:tcPr>
          <w:p>
            <w:pPr>
              <w:spacing w:after="20" w:line="252" w:lineRule="auto"/>
            </w:pPr>
            <w:r>
              <w:rPr>
                <w:b/>
                <w:i w:val="0"/>
                <w:sz w:val="16"/>
              </w:rPr>
              <w:t>P2 High</w:t>
            </w:r>
          </w:p>
        </w:tc>
        <w:tc>
          <w:tcPr>
            <w:tcW w:type="dxa" w:w="3628"/>
            <w:vAlign w:val="top"/>
            <w:shd w:val="clear" w:color="auto" w:fill="FDF0F7"/>
          </w:tcPr>
          <w:p>
            <w:pPr>
              <w:spacing w:after="20" w:line="252" w:lineRule="auto"/>
            </w:pPr>
            <w:r>
              <w:rPr>
                <w:b w:val="0"/>
                <w:i w:val="0"/>
                <w:sz w:val="16"/>
              </w:rPr>
              <w:t>Major function impaired for many users; no reasonable workaround</w:t>
            </w:r>
          </w:p>
        </w:tc>
        <w:tc>
          <w:tcPr>
            <w:tcW w:type="dxa" w:w="1361"/>
            <w:vAlign w:val="top"/>
            <w:shd w:val="clear" w:color="auto" w:fill="FDF0F7"/>
          </w:tcPr>
          <w:p>
            <w:pPr>
              <w:spacing w:after="20" w:line="252" w:lineRule="auto"/>
            </w:pPr>
            <w:r>
              <w:rPr>
                <w:b w:val="0"/>
                <w:i w:val="0"/>
                <w:sz w:val="16"/>
              </w:rPr>
              <w:t>2 hours</w:t>
            </w:r>
          </w:p>
        </w:tc>
        <w:tc>
          <w:tcPr>
            <w:tcW w:type="dxa" w:w="1814"/>
            <w:vAlign w:val="top"/>
            <w:shd w:val="clear" w:color="auto" w:fill="FDF0F7"/>
          </w:tcPr>
          <w:p>
            <w:pPr>
              <w:spacing w:after="20" w:line="252" w:lineRule="auto"/>
            </w:pPr>
            <w:r>
              <w:rPr>
                <w:b w:val="0"/>
                <w:i w:val="0"/>
                <w:sz w:val="16"/>
              </w:rPr>
              <w:t>1 business day</w:t>
            </w:r>
          </w:p>
        </w:tc>
        <w:tc>
          <w:tcPr>
            <w:tcW w:type="dxa" w:w="1361"/>
            <w:vAlign w:val="top"/>
            <w:shd w:val="clear" w:color="auto" w:fill="FDF0F7"/>
          </w:tcPr>
          <w:p>
            <w:pPr>
              <w:spacing w:after="20" w:line="252" w:lineRule="auto"/>
            </w:pPr>
            <w:r>
              <w:rPr>
                <w:b w:val="0"/>
                <w:i w:val="0"/>
                <w:sz w:val="16"/>
              </w:rPr>
              <w:t>IIFT business hours</w:t>
            </w:r>
          </w:p>
        </w:tc>
      </w:tr>
      <w:tr>
        <w:trPr>
          <w:cantSplit/>
        </w:trPr>
        <w:tc>
          <w:tcPr>
            <w:tcW w:type="dxa" w:w="1474"/>
            <w:vAlign w:val="top"/>
          </w:tcPr>
          <w:p>
            <w:pPr>
              <w:spacing w:after="20" w:line="252" w:lineRule="auto"/>
            </w:pPr>
            <w:r>
              <w:rPr>
                <w:b/>
                <w:i w:val="0"/>
                <w:sz w:val="16"/>
              </w:rPr>
              <w:t>P3 Medium</w:t>
            </w:r>
          </w:p>
        </w:tc>
        <w:tc>
          <w:tcPr>
            <w:tcW w:type="dxa" w:w="3628"/>
            <w:vAlign w:val="top"/>
          </w:tcPr>
          <w:p>
            <w:pPr>
              <w:spacing w:after="20" w:line="252" w:lineRule="auto"/>
            </w:pPr>
            <w:r>
              <w:rPr>
                <w:b w:val="0"/>
                <w:i w:val="0"/>
                <w:sz w:val="16"/>
              </w:rPr>
              <w:t>Function impaired with workaround; limited users affected</w:t>
            </w:r>
          </w:p>
        </w:tc>
        <w:tc>
          <w:tcPr>
            <w:tcW w:type="dxa" w:w="1361"/>
            <w:vAlign w:val="top"/>
          </w:tcPr>
          <w:p>
            <w:pPr>
              <w:spacing w:after="20" w:line="252" w:lineRule="auto"/>
            </w:pPr>
            <w:r>
              <w:rPr>
                <w:b w:val="0"/>
                <w:i w:val="0"/>
                <w:sz w:val="16"/>
              </w:rPr>
              <w:t>4 business hours</w:t>
            </w:r>
          </w:p>
        </w:tc>
        <w:tc>
          <w:tcPr>
            <w:tcW w:type="dxa" w:w="1814"/>
            <w:vAlign w:val="top"/>
          </w:tcPr>
          <w:p>
            <w:pPr>
              <w:spacing w:after="20" w:line="252" w:lineRule="auto"/>
            </w:pPr>
            <w:r>
              <w:rPr>
                <w:b w:val="0"/>
                <w:i w:val="0"/>
                <w:sz w:val="16"/>
              </w:rPr>
              <w:t>3 business days</w:t>
            </w:r>
          </w:p>
        </w:tc>
        <w:tc>
          <w:tcPr>
            <w:tcW w:type="dxa" w:w="1361"/>
            <w:vAlign w:val="top"/>
          </w:tcPr>
          <w:p>
            <w:pPr>
              <w:spacing w:after="20" w:line="252" w:lineRule="auto"/>
            </w:pPr>
            <w:r>
              <w:rPr>
                <w:b w:val="0"/>
                <w:i w:val="0"/>
                <w:sz w:val="16"/>
              </w:rPr>
              <w:t>IIFT business hours</w:t>
            </w:r>
          </w:p>
        </w:tc>
      </w:tr>
      <w:tr>
        <w:trPr>
          <w:cantSplit/>
        </w:trPr>
        <w:tc>
          <w:tcPr>
            <w:tcW w:type="dxa" w:w="1474"/>
            <w:vAlign w:val="top"/>
            <w:shd w:val="clear" w:color="auto" w:fill="FDF0F7"/>
          </w:tcPr>
          <w:p>
            <w:pPr>
              <w:spacing w:after="20" w:line="252" w:lineRule="auto"/>
            </w:pPr>
            <w:r>
              <w:rPr>
                <w:b/>
                <w:i w:val="0"/>
                <w:sz w:val="16"/>
              </w:rPr>
              <w:t>P4 Low / Cosmetic</w:t>
            </w:r>
          </w:p>
        </w:tc>
        <w:tc>
          <w:tcPr>
            <w:tcW w:type="dxa" w:w="3628"/>
            <w:vAlign w:val="top"/>
            <w:shd w:val="clear" w:color="auto" w:fill="FDF0F7"/>
          </w:tcPr>
          <w:p>
            <w:pPr>
              <w:spacing w:after="20" w:line="252" w:lineRule="auto"/>
            </w:pPr>
            <w:r>
              <w:rPr>
                <w:b w:val="0"/>
                <w:i w:val="0"/>
                <w:sz w:val="16"/>
              </w:rPr>
              <w:t>Cosmetic issue, question or minor defect</w:t>
            </w:r>
          </w:p>
        </w:tc>
        <w:tc>
          <w:tcPr>
            <w:tcW w:type="dxa" w:w="1361"/>
            <w:vAlign w:val="top"/>
            <w:shd w:val="clear" w:color="auto" w:fill="FDF0F7"/>
          </w:tcPr>
          <w:p>
            <w:pPr>
              <w:spacing w:after="20" w:line="252" w:lineRule="auto"/>
            </w:pPr>
            <w:r>
              <w:rPr>
                <w:b w:val="0"/>
                <w:i w:val="0"/>
                <w:sz w:val="16"/>
              </w:rPr>
              <w:t>1 business day</w:t>
            </w:r>
          </w:p>
        </w:tc>
        <w:tc>
          <w:tcPr>
            <w:tcW w:type="dxa" w:w="1814"/>
            <w:vAlign w:val="top"/>
            <w:shd w:val="clear" w:color="auto" w:fill="FDF0F7"/>
          </w:tcPr>
          <w:p>
            <w:pPr>
              <w:spacing w:after="20" w:line="252" w:lineRule="auto"/>
            </w:pPr>
            <w:r>
              <w:rPr>
                <w:b w:val="0"/>
                <w:i w:val="0"/>
                <w:sz w:val="16"/>
              </w:rPr>
              <w:t>Next scheduled release</w:t>
            </w:r>
          </w:p>
        </w:tc>
        <w:tc>
          <w:tcPr>
            <w:tcW w:type="dxa" w:w="1361"/>
            <w:vAlign w:val="top"/>
            <w:shd w:val="clear" w:color="auto" w:fill="FDF0F7"/>
          </w:tcPr>
          <w:p>
            <w:pPr>
              <w:spacing w:after="20" w:line="252" w:lineRule="auto"/>
            </w:pPr>
            <w:r>
              <w:rPr>
                <w:b w:val="0"/>
                <w:i w:val="0"/>
                <w:sz w:val="16"/>
              </w:rPr>
              <w:t>IIFT business hours</w:t>
            </w:r>
          </w:p>
        </w:tc>
      </w:tr>
    </w:tbl>
    <w:p>
      <w:pPr>
        <w:pStyle w:val="Caption"/>
        <w:jc w:val="center"/>
      </w:pPr>
      <w:r>
        <w:rPr>
          <w:b w:val="0"/>
          <w:i w:val="0"/>
        </w:rPr>
        <w:t>Table 61: Incident service levels (MNT-05 to MNT-07, COM-13)</w:t>
      </w:r>
    </w:p>
    <w:p>
      <w:pPr>
        <w:keepNext w:val="0"/>
      </w:pPr>
      <w:r>
        <w:rPr>
          <w:b w:val="0"/>
          <w:i w:val="0"/>
        </w:rPr>
        <w:t>Availability target: 99.5% per month overall and 99.9% during IIFT business hours, excluding approved maintenance windows and infrastructure outside iorta's responsibility. Response is measured from ticket logging; resolution may be a workaround with a permanent fix scheduled. Service credits for repeated breaches are set out in Section 26.</w:t>
      </w:r>
    </w:p>
    <w:p>
      <w:pPr>
        <w:pStyle w:val="Heading2"/>
      </w:pPr>
      <w:r>
        <w:t>20.3 Escalation matrix</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907"/>
        <w:gridCol w:w="2608"/>
        <w:gridCol w:w="2608"/>
        <w:gridCol w:w="3515"/>
      </w:tblGrid>
      <w:tr>
        <w:trPr>
          <w:cantSplit/>
          <w:tblHeader/>
        </w:trPr>
        <w:tc>
          <w:tcPr>
            <w:tcW w:type="dxa" w:w="907"/>
            <w:shd w:val="clear" w:color="auto" w:fill="E1058C"/>
            <w:vAlign w:val="center"/>
          </w:tcPr>
          <w:p>
            <w:pPr>
              <w:spacing w:after="0"/>
            </w:pPr>
            <w:r>
              <w:rPr>
                <w:b/>
                <w:i w:val="0"/>
                <w:color w:val="FFFFFF"/>
                <w:sz w:val="17"/>
              </w:rPr>
              <w:t>Level</w:t>
            </w:r>
          </w:p>
        </w:tc>
        <w:tc>
          <w:tcPr>
            <w:tcW w:type="dxa" w:w="2608"/>
            <w:shd w:val="clear" w:color="auto" w:fill="E1058C"/>
            <w:vAlign w:val="center"/>
          </w:tcPr>
          <w:p>
            <w:pPr>
              <w:spacing w:after="0"/>
            </w:pPr>
            <w:r>
              <w:rPr>
                <w:b/>
                <w:i w:val="0"/>
                <w:color w:val="FFFFFF"/>
                <w:sz w:val="17"/>
              </w:rPr>
              <w:t>Role</w:t>
            </w:r>
          </w:p>
        </w:tc>
        <w:tc>
          <w:tcPr>
            <w:tcW w:type="dxa" w:w="2608"/>
            <w:shd w:val="clear" w:color="auto" w:fill="E1058C"/>
            <w:vAlign w:val="center"/>
          </w:tcPr>
          <w:p>
            <w:pPr>
              <w:spacing w:after="0"/>
            </w:pPr>
            <w:r>
              <w:rPr>
                <w:b/>
                <w:i w:val="0"/>
                <w:color w:val="FFFFFF"/>
                <w:sz w:val="17"/>
              </w:rPr>
              <w:t>Contact</w:t>
            </w:r>
          </w:p>
        </w:tc>
        <w:tc>
          <w:tcPr>
            <w:tcW w:type="dxa" w:w="3515"/>
            <w:shd w:val="clear" w:color="auto" w:fill="E1058C"/>
            <w:vAlign w:val="center"/>
          </w:tcPr>
          <w:p>
            <w:pPr>
              <w:spacing w:after="0"/>
            </w:pPr>
            <w:r>
              <w:rPr>
                <w:b/>
                <w:i w:val="0"/>
                <w:color w:val="FFFFFF"/>
                <w:sz w:val="17"/>
              </w:rPr>
              <w:t>Escalation trigger</w:t>
            </w:r>
          </w:p>
        </w:tc>
      </w:tr>
      <w:tr>
        <w:trPr>
          <w:cantSplit/>
        </w:trPr>
        <w:tc>
          <w:tcPr>
            <w:tcW w:type="dxa" w:w="907"/>
            <w:vAlign w:val="top"/>
          </w:tcPr>
          <w:p>
            <w:pPr>
              <w:spacing w:after="20" w:line="252" w:lineRule="auto"/>
            </w:pPr>
            <w:r>
              <w:rPr>
                <w:b/>
                <w:i w:val="0"/>
                <w:sz w:val="17"/>
              </w:rPr>
              <w:t>Level 1</w:t>
            </w:r>
          </w:p>
        </w:tc>
        <w:tc>
          <w:tcPr>
            <w:tcW w:type="dxa" w:w="2608"/>
            <w:vAlign w:val="top"/>
          </w:tcPr>
          <w:p>
            <w:pPr>
              <w:spacing w:after="20" w:line="252" w:lineRule="auto"/>
            </w:pPr>
            <w:r>
              <w:rPr>
                <w:b w:val="0"/>
                <w:i w:val="0"/>
                <w:sz w:val="17"/>
              </w:rPr>
              <w:t>Service Desk / Support Engineer</w:t>
            </w:r>
          </w:p>
        </w:tc>
        <w:tc>
          <w:tcPr>
            <w:tcW w:type="dxa" w:w="2608"/>
            <w:vAlign w:val="top"/>
          </w:tcPr>
          <w:p>
            <w:pPr>
              <w:spacing w:after="20" w:line="252" w:lineRule="auto"/>
            </w:pPr>
            <w:r>
              <w:rPr>
                <w:b w:val="0"/>
                <w:i w:val="0"/>
                <w:sz w:val="17"/>
                <w:highlight w:val="yellow"/>
              </w:rPr>
              <w:t>[Name, phone, e-mail]</w:t>
            </w:r>
          </w:p>
        </w:tc>
        <w:tc>
          <w:tcPr>
            <w:tcW w:type="dxa" w:w="3515"/>
            <w:vAlign w:val="top"/>
          </w:tcPr>
          <w:p>
            <w:pPr>
              <w:spacing w:after="20" w:line="252" w:lineRule="auto"/>
            </w:pPr>
            <w:r>
              <w:rPr>
                <w:b w:val="0"/>
                <w:i w:val="0"/>
                <w:sz w:val="17"/>
              </w:rPr>
              <w:t>Immediately on logging</w:t>
            </w:r>
          </w:p>
        </w:tc>
      </w:tr>
      <w:tr>
        <w:trPr>
          <w:cantSplit/>
        </w:trPr>
        <w:tc>
          <w:tcPr>
            <w:tcW w:type="dxa" w:w="907"/>
            <w:vAlign w:val="top"/>
            <w:shd w:val="clear" w:color="auto" w:fill="FDF0F7"/>
          </w:tcPr>
          <w:p>
            <w:pPr>
              <w:spacing w:after="20" w:line="252" w:lineRule="auto"/>
            </w:pPr>
            <w:r>
              <w:rPr>
                <w:b/>
                <w:i w:val="0"/>
                <w:sz w:val="17"/>
              </w:rPr>
              <w:t>Level 2</w:t>
            </w:r>
          </w:p>
        </w:tc>
        <w:tc>
          <w:tcPr>
            <w:tcW w:type="dxa" w:w="2608"/>
            <w:vAlign w:val="top"/>
            <w:shd w:val="clear" w:color="auto" w:fill="FDF0F7"/>
          </w:tcPr>
          <w:p>
            <w:pPr>
              <w:spacing w:after="20" w:line="252" w:lineRule="auto"/>
            </w:pPr>
            <w:r>
              <w:rPr>
                <w:b w:val="0"/>
                <w:i w:val="0"/>
                <w:sz w:val="17"/>
              </w:rPr>
              <w:t>Support Lead / Senior Engineer</w:t>
            </w:r>
          </w:p>
        </w:tc>
        <w:tc>
          <w:tcPr>
            <w:tcW w:type="dxa" w:w="2608"/>
            <w:vAlign w:val="top"/>
            <w:shd w:val="clear" w:color="auto" w:fill="FDF0F7"/>
          </w:tcPr>
          <w:p>
            <w:pPr>
              <w:spacing w:after="20" w:line="252" w:lineRule="auto"/>
            </w:pPr>
            <w:r>
              <w:rPr>
                <w:b w:val="0"/>
                <w:i w:val="0"/>
                <w:sz w:val="17"/>
                <w:highlight w:val="yellow"/>
              </w:rPr>
              <w:t>[Name, phone, e-mail]</w:t>
            </w:r>
          </w:p>
        </w:tc>
        <w:tc>
          <w:tcPr>
            <w:tcW w:type="dxa" w:w="3515"/>
            <w:vAlign w:val="top"/>
            <w:shd w:val="clear" w:color="auto" w:fill="FDF0F7"/>
          </w:tcPr>
          <w:p>
            <w:pPr>
              <w:spacing w:after="20" w:line="252" w:lineRule="auto"/>
            </w:pPr>
            <w:r>
              <w:rPr>
                <w:b w:val="0"/>
                <w:i w:val="0"/>
                <w:sz w:val="17"/>
              </w:rPr>
              <w:t>P1 not restored in 1 h; P2 not responded in 2 h</w:t>
            </w:r>
          </w:p>
        </w:tc>
      </w:tr>
      <w:tr>
        <w:trPr>
          <w:cantSplit/>
        </w:trPr>
        <w:tc>
          <w:tcPr>
            <w:tcW w:type="dxa" w:w="907"/>
            <w:vAlign w:val="top"/>
          </w:tcPr>
          <w:p>
            <w:pPr>
              <w:spacing w:after="20" w:line="252" w:lineRule="auto"/>
            </w:pPr>
            <w:r>
              <w:rPr>
                <w:b/>
                <w:i w:val="0"/>
                <w:sz w:val="17"/>
              </w:rPr>
              <w:t>Level 3</w:t>
            </w:r>
          </w:p>
        </w:tc>
        <w:tc>
          <w:tcPr>
            <w:tcW w:type="dxa" w:w="2608"/>
            <w:vAlign w:val="top"/>
          </w:tcPr>
          <w:p>
            <w:pPr>
              <w:spacing w:after="20" w:line="252" w:lineRule="auto"/>
            </w:pPr>
            <w:r>
              <w:rPr>
                <w:b w:val="0"/>
                <w:i w:val="0"/>
                <w:sz w:val="17"/>
              </w:rPr>
              <w:t>Account / Project Manager</w:t>
            </w:r>
          </w:p>
        </w:tc>
        <w:tc>
          <w:tcPr>
            <w:tcW w:type="dxa" w:w="2608"/>
            <w:vAlign w:val="top"/>
          </w:tcPr>
          <w:p>
            <w:pPr>
              <w:spacing w:after="20" w:line="252" w:lineRule="auto"/>
            </w:pPr>
            <w:r>
              <w:rPr>
                <w:b w:val="0"/>
                <w:i w:val="0"/>
                <w:sz w:val="17"/>
                <w:highlight w:val="yellow"/>
              </w:rPr>
              <w:t>[Name, phone, e-mail]</w:t>
            </w:r>
          </w:p>
        </w:tc>
        <w:tc>
          <w:tcPr>
            <w:tcW w:type="dxa" w:w="3515"/>
            <w:vAlign w:val="top"/>
          </w:tcPr>
          <w:p>
            <w:pPr>
              <w:spacing w:after="20" w:line="252" w:lineRule="auto"/>
            </w:pPr>
            <w:r>
              <w:rPr>
                <w:b w:val="0"/>
                <w:i w:val="0"/>
                <w:sz w:val="17"/>
              </w:rPr>
              <w:t>P1 not restored in 2 h; P2 not resolved in 1 business day</w:t>
            </w:r>
          </w:p>
        </w:tc>
      </w:tr>
      <w:tr>
        <w:trPr>
          <w:cantSplit/>
        </w:trPr>
        <w:tc>
          <w:tcPr>
            <w:tcW w:type="dxa" w:w="907"/>
            <w:vAlign w:val="top"/>
            <w:shd w:val="clear" w:color="auto" w:fill="FDF0F7"/>
          </w:tcPr>
          <w:p>
            <w:pPr>
              <w:spacing w:after="20" w:line="252" w:lineRule="auto"/>
            </w:pPr>
            <w:r>
              <w:rPr>
                <w:b/>
                <w:i w:val="0"/>
                <w:sz w:val="17"/>
              </w:rPr>
              <w:t>Level 4</w:t>
            </w:r>
          </w:p>
        </w:tc>
        <w:tc>
          <w:tcPr>
            <w:tcW w:type="dxa" w:w="2608"/>
            <w:vAlign w:val="top"/>
            <w:shd w:val="clear" w:color="auto" w:fill="FDF0F7"/>
          </w:tcPr>
          <w:p>
            <w:pPr>
              <w:spacing w:after="20" w:line="252" w:lineRule="auto"/>
            </w:pPr>
            <w:r>
              <w:rPr>
                <w:b w:val="0"/>
                <w:i w:val="0"/>
                <w:sz w:val="17"/>
              </w:rPr>
              <w:t>Engagement Director</w:t>
            </w:r>
          </w:p>
        </w:tc>
        <w:tc>
          <w:tcPr>
            <w:tcW w:type="dxa" w:w="2608"/>
            <w:vAlign w:val="top"/>
            <w:shd w:val="clear" w:color="auto" w:fill="FDF0F7"/>
          </w:tcPr>
          <w:p>
            <w:pPr>
              <w:spacing w:after="20" w:line="252" w:lineRule="auto"/>
            </w:pPr>
            <w:r>
              <w:rPr>
                <w:b w:val="0"/>
                <w:i w:val="0"/>
                <w:sz w:val="17"/>
                <w:highlight w:val="yellow"/>
              </w:rPr>
              <w:t>[Name, phone, e-mail]</w:t>
            </w:r>
          </w:p>
        </w:tc>
        <w:tc>
          <w:tcPr>
            <w:tcW w:type="dxa" w:w="3515"/>
            <w:vAlign w:val="top"/>
            <w:shd w:val="clear" w:color="auto" w:fill="FDF0F7"/>
          </w:tcPr>
          <w:p>
            <w:pPr>
              <w:spacing w:after="20" w:line="252" w:lineRule="auto"/>
            </w:pPr>
            <w:r>
              <w:rPr>
                <w:b w:val="0"/>
                <w:i w:val="0"/>
                <w:sz w:val="17"/>
              </w:rPr>
              <w:t>P1 not restored in 4 h; repeated SLA breach</w:t>
            </w:r>
          </w:p>
        </w:tc>
      </w:tr>
    </w:tbl>
    <w:p>
      <w:pPr>
        <w:pStyle w:val="Caption"/>
        <w:jc w:val="center"/>
      </w:pPr>
      <w:r>
        <w:rPr>
          <w:b w:val="0"/>
          <w:i w:val="0"/>
        </w:rPr>
        <w:t>Table 62: Critical incident escalation (COM-15)</w:t>
      </w:r>
    </w:p>
    <w:p>
      <w:pPr>
        <w:pStyle w:val="Heading2"/>
      </w:pPr>
      <w:r>
        <w:t>20.4 Year-by-year focus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020"/>
        <w:gridCol w:w="2268"/>
        <w:gridCol w:w="6350"/>
      </w:tblGrid>
      <w:tr>
        <w:trPr>
          <w:cantSplit/>
          <w:tblHeader/>
        </w:trPr>
        <w:tc>
          <w:tcPr>
            <w:tcW w:type="dxa" w:w="1020"/>
            <w:shd w:val="clear" w:color="auto" w:fill="E1058C"/>
            <w:vAlign w:val="center"/>
          </w:tcPr>
          <w:p>
            <w:pPr>
              <w:spacing w:after="0"/>
            </w:pPr>
            <w:r>
              <w:rPr>
                <w:b/>
                <w:i w:val="0"/>
                <w:color w:val="FFFFFF"/>
                <w:sz w:val="17"/>
              </w:rPr>
              <w:t>Year</w:t>
            </w:r>
          </w:p>
        </w:tc>
        <w:tc>
          <w:tcPr>
            <w:tcW w:type="dxa" w:w="2268"/>
            <w:shd w:val="clear" w:color="auto" w:fill="E1058C"/>
            <w:vAlign w:val="center"/>
          </w:tcPr>
          <w:p>
            <w:pPr>
              <w:spacing w:after="0"/>
            </w:pPr>
            <w:r>
              <w:rPr>
                <w:b/>
                <w:i w:val="0"/>
                <w:color w:val="FFFFFF"/>
                <w:sz w:val="17"/>
              </w:rPr>
              <w:t>Focus</w:t>
            </w:r>
          </w:p>
        </w:tc>
        <w:tc>
          <w:tcPr>
            <w:tcW w:type="dxa" w:w="6350"/>
            <w:shd w:val="clear" w:color="auto" w:fill="E1058C"/>
            <w:vAlign w:val="center"/>
          </w:tcPr>
          <w:p>
            <w:pPr>
              <w:spacing w:after="0"/>
            </w:pPr>
            <w:r>
              <w:rPr>
                <w:b/>
                <w:i w:val="0"/>
                <w:color w:val="FFFFFF"/>
                <w:sz w:val="17"/>
              </w:rPr>
              <w:t>Activities</w:t>
            </w:r>
          </w:p>
        </w:tc>
      </w:tr>
      <w:tr>
        <w:trPr>
          <w:cantSplit/>
        </w:trPr>
        <w:tc>
          <w:tcPr>
            <w:tcW w:type="dxa" w:w="1020"/>
            <w:vAlign w:val="top"/>
          </w:tcPr>
          <w:p>
            <w:pPr>
              <w:spacing w:after="20" w:line="252" w:lineRule="auto"/>
            </w:pPr>
            <w:r>
              <w:rPr>
                <w:b/>
                <w:i w:val="0"/>
                <w:sz w:val="17"/>
              </w:rPr>
              <w:t>Year 1</w:t>
            </w:r>
          </w:p>
        </w:tc>
        <w:tc>
          <w:tcPr>
            <w:tcW w:type="dxa" w:w="2268"/>
            <w:vAlign w:val="top"/>
          </w:tcPr>
          <w:p>
            <w:pPr>
              <w:spacing w:after="20" w:line="252" w:lineRule="auto"/>
            </w:pPr>
            <w:r>
              <w:rPr>
                <w:b w:val="0"/>
                <w:i w:val="0"/>
                <w:sz w:val="17"/>
              </w:rPr>
              <w:t>Stabilisation &amp; Hypercare</w:t>
            </w:r>
          </w:p>
        </w:tc>
        <w:tc>
          <w:tcPr>
            <w:tcW w:type="dxa" w:w="6350"/>
            <w:vAlign w:val="top"/>
          </w:tcPr>
          <w:p>
            <w:pPr>
              <w:spacing w:after="20" w:line="252" w:lineRule="auto"/>
            </w:pPr>
            <w:r>
              <w:rPr>
                <w:b w:val="0"/>
                <w:i w:val="0"/>
                <w:sz w:val="17"/>
              </w:rPr>
              <w:t>Intensive post-go-live support, defect resolution, performance tuning, monitoring and stabilisation of integrations. Includes the 6-month defect warranty.</w:t>
            </w:r>
          </w:p>
        </w:tc>
      </w:tr>
      <w:tr>
        <w:trPr>
          <w:cantSplit/>
        </w:trPr>
        <w:tc>
          <w:tcPr>
            <w:tcW w:type="dxa" w:w="1020"/>
            <w:vAlign w:val="top"/>
            <w:shd w:val="clear" w:color="auto" w:fill="FDF0F7"/>
          </w:tcPr>
          <w:p>
            <w:pPr>
              <w:spacing w:after="20" w:line="252" w:lineRule="auto"/>
            </w:pPr>
            <w:r>
              <w:rPr>
                <w:b/>
                <w:i w:val="0"/>
                <w:sz w:val="17"/>
              </w:rPr>
              <w:t>Year 2</w:t>
            </w:r>
          </w:p>
        </w:tc>
        <w:tc>
          <w:tcPr>
            <w:tcW w:type="dxa" w:w="2268"/>
            <w:vAlign w:val="top"/>
            <w:shd w:val="clear" w:color="auto" w:fill="FDF0F7"/>
          </w:tcPr>
          <w:p>
            <w:pPr>
              <w:spacing w:after="20" w:line="252" w:lineRule="auto"/>
            </w:pPr>
            <w:r>
              <w:rPr>
                <w:b w:val="0"/>
                <w:i w:val="0"/>
                <w:sz w:val="17"/>
              </w:rPr>
              <w:t>Operational Support</w:t>
            </w:r>
          </w:p>
        </w:tc>
        <w:tc>
          <w:tcPr>
            <w:tcW w:type="dxa" w:w="6350"/>
            <w:vAlign w:val="top"/>
            <w:shd w:val="clear" w:color="auto" w:fill="FDF0F7"/>
          </w:tcPr>
          <w:p>
            <w:pPr>
              <w:spacing w:after="20" w:line="252" w:lineRule="auto"/>
            </w:pPr>
            <w:r>
              <w:rPr>
                <w:b w:val="0"/>
                <w:i w:val="0"/>
                <w:sz w:val="17"/>
              </w:rPr>
              <w:t>BAU incident management, preventive maintenance, security patches, performance monitoring and minor enhancements.</w:t>
            </w:r>
          </w:p>
        </w:tc>
      </w:tr>
      <w:tr>
        <w:trPr>
          <w:cantSplit/>
        </w:trPr>
        <w:tc>
          <w:tcPr>
            <w:tcW w:type="dxa" w:w="1020"/>
            <w:vAlign w:val="top"/>
          </w:tcPr>
          <w:p>
            <w:pPr>
              <w:spacing w:after="20" w:line="252" w:lineRule="auto"/>
            </w:pPr>
            <w:r>
              <w:rPr>
                <w:b/>
                <w:i w:val="0"/>
                <w:sz w:val="17"/>
              </w:rPr>
              <w:t>Year 3</w:t>
            </w:r>
          </w:p>
        </w:tc>
        <w:tc>
          <w:tcPr>
            <w:tcW w:type="dxa" w:w="2268"/>
            <w:vAlign w:val="top"/>
          </w:tcPr>
          <w:p>
            <w:pPr>
              <w:spacing w:after="20" w:line="252" w:lineRule="auto"/>
            </w:pPr>
            <w:r>
              <w:rPr>
                <w:b w:val="0"/>
                <w:i w:val="0"/>
                <w:sz w:val="17"/>
              </w:rPr>
              <w:t>Optimisation</w:t>
            </w:r>
          </w:p>
        </w:tc>
        <w:tc>
          <w:tcPr>
            <w:tcW w:type="dxa" w:w="6350"/>
            <w:vAlign w:val="top"/>
          </w:tcPr>
          <w:p>
            <w:pPr>
              <w:spacing w:after="20" w:line="252" w:lineRule="auto"/>
            </w:pPr>
            <w:r>
              <w:rPr>
                <w:b w:val="0"/>
                <w:i w:val="0"/>
                <w:sz w:val="17"/>
              </w:rPr>
              <w:t>System optimisation, reporting improvements, integration improvements and technology review.</w:t>
            </w:r>
          </w:p>
        </w:tc>
      </w:tr>
      <w:tr>
        <w:trPr>
          <w:cantSplit/>
        </w:trPr>
        <w:tc>
          <w:tcPr>
            <w:tcW w:type="dxa" w:w="1020"/>
            <w:vAlign w:val="top"/>
            <w:shd w:val="clear" w:color="auto" w:fill="FDF0F7"/>
          </w:tcPr>
          <w:p>
            <w:pPr>
              <w:spacing w:after="20" w:line="252" w:lineRule="auto"/>
            </w:pPr>
            <w:r>
              <w:rPr>
                <w:b/>
                <w:i w:val="0"/>
                <w:sz w:val="17"/>
              </w:rPr>
              <w:t>Year 4</w:t>
            </w:r>
          </w:p>
        </w:tc>
        <w:tc>
          <w:tcPr>
            <w:tcW w:type="dxa" w:w="2268"/>
            <w:vAlign w:val="top"/>
            <w:shd w:val="clear" w:color="auto" w:fill="FDF0F7"/>
          </w:tcPr>
          <w:p>
            <w:pPr>
              <w:spacing w:after="20" w:line="252" w:lineRule="auto"/>
            </w:pPr>
            <w:r>
              <w:rPr>
                <w:b w:val="0"/>
                <w:i w:val="0"/>
                <w:sz w:val="17"/>
              </w:rPr>
              <w:t>Technology Refresh</w:t>
            </w:r>
          </w:p>
        </w:tc>
        <w:tc>
          <w:tcPr>
            <w:tcW w:type="dxa" w:w="6350"/>
            <w:vAlign w:val="top"/>
            <w:shd w:val="clear" w:color="auto" w:fill="FDF0F7"/>
          </w:tcPr>
          <w:p>
            <w:pPr>
              <w:spacing w:after="20" w:line="252" w:lineRule="auto"/>
            </w:pPr>
            <w:r>
              <w:rPr>
                <w:b w:val="0"/>
                <w:i w:val="0"/>
                <w:sz w:val="17"/>
              </w:rPr>
              <w:t>Platform compatibility review, security hardening, version upgrades and capacity assessment.</w:t>
            </w:r>
          </w:p>
        </w:tc>
      </w:tr>
      <w:tr>
        <w:trPr>
          <w:cantSplit/>
        </w:trPr>
        <w:tc>
          <w:tcPr>
            <w:tcW w:type="dxa" w:w="1020"/>
            <w:vAlign w:val="top"/>
          </w:tcPr>
          <w:p>
            <w:pPr>
              <w:spacing w:after="20" w:line="252" w:lineRule="auto"/>
            </w:pPr>
            <w:r>
              <w:rPr>
                <w:b/>
                <w:i w:val="0"/>
                <w:sz w:val="17"/>
              </w:rPr>
              <w:t>Year 5</w:t>
            </w:r>
          </w:p>
        </w:tc>
        <w:tc>
          <w:tcPr>
            <w:tcW w:type="dxa" w:w="2268"/>
            <w:vAlign w:val="top"/>
          </w:tcPr>
          <w:p>
            <w:pPr>
              <w:spacing w:after="20" w:line="252" w:lineRule="auto"/>
            </w:pPr>
            <w:r>
              <w:rPr>
                <w:b w:val="0"/>
                <w:i w:val="0"/>
                <w:sz w:val="17"/>
              </w:rPr>
              <w:t>Sustainability &amp; Transition</w:t>
            </w:r>
          </w:p>
        </w:tc>
        <w:tc>
          <w:tcPr>
            <w:tcW w:type="dxa" w:w="6350"/>
            <w:vAlign w:val="top"/>
          </w:tcPr>
          <w:p>
            <w:pPr>
              <w:spacing w:after="20" w:line="252" w:lineRule="auto"/>
            </w:pPr>
            <w:r>
              <w:rPr>
                <w:b w:val="0"/>
                <w:i w:val="0"/>
                <w:sz w:val="17"/>
              </w:rPr>
              <w:t>Comprehensive health assessment, documentation refresh, knowledge transfer, technology roadmap and exit/renewal preparation.</w:t>
            </w:r>
          </w:p>
        </w:tc>
      </w:tr>
    </w:tbl>
    <w:p>
      <w:pPr>
        <w:pStyle w:val="Caption"/>
        <w:jc w:val="center"/>
      </w:pPr>
      <w:r>
        <w:rPr>
          <w:b w:val="0"/>
          <w:i w:val="0"/>
        </w:rPr>
        <w:t>Table 63: Five-year maintenance structure (RFP section 9)</w:t>
      </w:r>
    </w:p>
    <w:p>
      <w:pPr>
        <w:pStyle w:val="Heading2"/>
      </w:pPr>
      <w:r>
        <w:t>20.5 Service reporting and reviews</w:t>
      </w:r>
    </w:p>
    <w:p>
      <w:pPr>
        <w:pStyle w:val="ListBullet"/>
      </w:pPr>
      <w:r>
        <w:rPr>
          <w:b w:val="0"/>
          <w:i w:val="0"/>
        </w:rPr>
        <w:t>Monthly service report (MNT-25): incidents and service requests by priority, SLA performance, availability, changes and releases, security patches and vulnerabilities, capacity trends, outstanding issues.</w:t>
      </w:r>
    </w:p>
    <w:p>
      <w:pPr>
        <w:pStyle w:val="ListBullet"/>
      </w:pPr>
      <w:r>
        <w:rPr>
          <w:b w:val="0"/>
          <w:i w:val="0"/>
        </w:rPr>
        <w:t>Quarterly service review (MNT-26): service performance, improvement plan, roadmap, upcoming platform changes.</w:t>
      </w:r>
    </w:p>
    <w:p>
      <w:pPr>
        <w:pStyle w:val="ListBullet"/>
      </w:pPr>
      <w:r>
        <w:rPr>
          <w:b w:val="0"/>
          <w:i w:val="0"/>
        </w:rPr>
        <w:t>Annual DR test participation (MNT-20) and quarterly backup restore verification (MNT-19) with written results.</w:t>
      </w:r>
    </w:p>
    <w:p>
      <w:pPr>
        <w:pStyle w:val="ListBullet"/>
      </w:pPr>
      <w:r>
        <w:rPr>
          <w:b w:val="0"/>
          <w:i w:val="0"/>
        </w:rPr>
        <w:t>Documentation updated after every material change (MNT-27) and ongoing knowledge-transfer sessions for IIFT/IITH support staff (MNT-28).</w:t>
      </w:r>
    </w:p>
    <w:p>
      <w:pPr>
        <w:pStyle w:val="Heading2"/>
      </w:pPr>
      <w:r>
        <w:t>20.6 Exit and transition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154"/>
        <w:gridCol w:w="7484"/>
      </w:tblGrid>
      <w:tr>
        <w:trPr>
          <w:cantSplit/>
          <w:tblHeader/>
        </w:trPr>
        <w:tc>
          <w:tcPr>
            <w:tcW w:type="dxa" w:w="2154"/>
            <w:shd w:val="clear" w:color="auto" w:fill="E1058C"/>
            <w:vAlign w:val="center"/>
          </w:tcPr>
          <w:p>
            <w:pPr>
              <w:spacing w:after="0"/>
            </w:pPr>
            <w:r>
              <w:rPr>
                <w:b/>
                <w:i w:val="0"/>
                <w:color w:val="FFFFFF"/>
                <w:sz w:val="17"/>
              </w:rPr>
              <w:t>Activity</w:t>
            </w:r>
          </w:p>
        </w:tc>
        <w:tc>
          <w:tcPr>
            <w:tcW w:type="dxa" w:w="7483"/>
            <w:shd w:val="clear" w:color="auto" w:fill="E1058C"/>
            <w:vAlign w:val="center"/>
          </w:tcPr>
          <w:p>
            <w:pPr>
              <w:spacing w:after="0"/>
            </w:pPr>
            <w:r>
              <w:rPr>
                <w:b/>
                <w:i w:val="0"/>
                <w:color w:val="FFFFFF"/>
                <w:sz w:val="17"/>
              </w:rPr>
              <w:t>Description</w:t>
            </w:r>
          </w:p>
        </w:tc>
      </w:tr>
      <w:tr>
        <w:trPr>
          <w:cantSplit/>
        </w:trPr>
        <w:tc>
          <w:tcPr>
            <w:tcW w:type="dxa" w:w="2154"/>
            <w:vAlign w:val="top"/>
          </w:tcPr>
          <w:p>
            <w:pPr>
              <w:spacing w:after="20" w:line="252" w:lineRule="auto"/>
            </w:pPr>
            <w:r>
              <w:rPr>
                <w:b/>
                <w:i w:val="0"/>
                <w:sz w:val="17"/>
              </w:rPr>
              <w:t>Transition planning</w:t>
            </w:r>
          </w:p>
        </w:tc>
        <w:tc>
          <w:tcPr>
            <w:tcW w:type="dxa" w:w="7483"/>
            <w:vAlign w:val="top"/>
          </w:tcPr>
          <w:p>
            <w:pPr>
              <w:spacing w:after="20" w:line="252" w:lineRule="auto"/>
            </w:pPr>
            <w:r>
              <w:rPr>
                <w:b w:val="0"/>
                <w:i w:val="0"/>
                <w:sz w:val="17"/>
              </w:rPr>
              <w:t>Exit plan agreed in Year 5 (or within 30 days of a termination notice): scope, timeline, receiving party.</w:t>
            </w:r>
          </w:p>
        </w:tc>
      </w:tr>
      <w:tr>
        <w:trPr>
          <w:cantSplit/>
        </w:trPr>
        <w:tc>
          <w:tcPr>
            <w:tcW w:type="dxa" w:w="2154"/>
            <w:vAlign w:val="top"/>
            <w:shd w:val="clear" w:color="auto" w:fill="FDF0F7"/>
          </w:tcPr>
          <w:p>
            <w:pPr>
              <w:spacing w:after="20" w:line="252" w:lineRule="auto"/>
            </w:pPr>
            <w:r>
              <w:rPr>
                <w:b/>
                <w:i w:val="0"/>
                <w:sz w:val="17"/>
              </w:rPr>
              <w:t>Knowledge transfer</w:t>
            </w:r>
          </w:p>
        </w:tc>
        <w:tc>
          <w:tcPr>
            <w:tcW w:type="dxa" w:w="7483"/>
            <w:vAlign w:val="top"/>
            <w:shd w:val="clear" w:color="auto" w:fill="FDF0F7"/>
          </w:tcPr>
          <w:p>
            <w:pPr>
              <w:spacing w:after="20" w:line="252" w:lineRule="auto"/>
            </w:pPr>
            <w:r>
              <w:rPr>
                <w:b w:val="0"/>
                <w:i w:val="0"/>
                <w:sz w:val="17"/>
              </w:rPr>
              <w:t>Structured sessions on architecture, code, configuration, operations and known issues.</w:t>
            </w:r>
          </w:p>
        </w:tc>
      </w:tr>
      <w:tr>
        <w:trPr>
          <w:cantSplit/>
        </w:trPr>
        <w:tc>
          <w:tcPr>
            <w:tcW w:type="dxa" w:w="2154"/>
            <w:vAlign w:val="top"/>
          </w:tcPr>
          <w:p>
            <w:pPr>
              <w:spacing w:after="20" w:line="252" w:lineRule="auto"/>
            </w:pPr>
            <w:r>
              <w:rPr>
                <w:b/>
                <w:i w:val="0"/>
                <w:sz w:val="17"/>
              </w:rPr>
              <w:t>Documentation</w:t>
            </w:r>
          </w:p>
        </w:tc>
        <w:tc>
          <w:tcPr>
            <w:tcW w:type="dxa" w:w="7483"/>
            <w:vAlign w:val="top"/>
          </w:tcPr>
          <w:p>
            <w:pPr>
              <w:spacing w:after="20" w:line="252" w:lineRule="auto"/>
            </w:pPr>
            <w:r>
              <w:rPr>
                <w:b w:val="0"/>
                <w:i w:val="0"/>
                <w:sz w:val="17"/>
              </w:rPr>
              <w:t>Final refresh of technical, operations, administrator and user manuals; runbooks.</w:t>
            </w:r>
          </w:p>
        </w:tc>
      </w:tr>
      <w:tr>
        <w:trPr>
          <w:cantSplit/>
        </w:trPr>
        <w:tc>
          <w:tcPr>
            <w:tcW w:type="dxa" w:w="2154"/>
            <w:vAlign w:val="top"/>
            <w:shd w:val="clear" w:color="auto" w:fill="FDF0F7"/>
          </w:tcPr>
          <w:p>
            <w:pPr>
              <w:spacing w:after="20" w:line="252" w:lineRule="auto"/>
            </w:pPr>
            <w:r>
              <w:rPr>
                <w:b/>
                <w:i w:val="0"/>
                <w:sz w:val="17"/>
              </w:rPr>
              <w:t>Source code &amp; tooling</w:t>
            </w:r>
          </w:p>
        </w:tc>
        <w:tc>
          <w:tcPr>
            <w:tcW w:type="dxa" w:w="7483"/>
            <w:vAlign w:val="top"/>
            <w:shd w:val="clear" w:color="auto" w:fill="FDF0F7"/>
          </w:tcPr>
          <w:p>
            <w:pPr>
              <w:spacing w:after="20" w:line="252" w:lineRule="auto"/>
            </w:pPr>
            <w:r>
              <w:rPr>
                <w:b w:val="0"/>
                <w:i w:val="0"/>
                <w:sz w:val="17"/>
              </w:rPr>
              <w:t>Final source code of IIFT-specific components (and of the core platform if Option C or escrow applies), pipelines, infrastructure scripts and credentials handed over.</w:t>
            </w:r>
          </w:p>
        </w:tc>
      </w:tr>
      <w:tr>
        <w:trPr>
          <w:cantSplit/>
        </w:trPr>
        <w:tc>
          <w:tcPr>
            <w:tcW w:type="dxa" w:w="2154"/>
            <w:vAlign w:val="top"/>
          </w:tcPr>
          <w:p>
            <w:pPr>
              <w:spacing w:after="20" w:line="252" w:lineRule="auto"/>
            </w:pPr>
            <w:r>
              <w:rPr>
                <w:b/>
                <w:i w:val="0"/>
                <w:sz w:val="17"/>
              </w:rPr>
              <w:t>Data extraction</w:t>
            </w:r>
          </w:p>
        </w:tc>
        <w:tc>
          <w:tcPr>
            <w:tcW w:type="dxa" w:w="7483"/>
            <w:vAlign w:val="top"/>
          </w:tcPr>
          <w:p>
            <w:pPr>
              <w:spacing w:after="20" w:line="252" w:lineRule="auto"/>
            </w:pPr>
            <w:r>
              <w:rPr>
                <w:b w:val="0"/>
                <w:i w:val="0"/>
                <w:sz w:val="17"/>
              </w:rPr>
              <w:t>Full export of business data, documents and audit records in open formats (SQL dump, CSV, original files).</w:t>
            </w:r>
          </w:p>
        </w:tc>
      </w:tr>
      <w:tr>
        <w:trPr>
          <w:cantSplit/>
        </w:trPr>
        <w:tc>
          <w:tcPr>
            <w:tcW w:type="dxa" w:w="2154"/>
            <w:vAlign w:val="top"/>
            <w:shd w:val="clear" w:color="auto" w:fill="FDF0F7"/>
          </w:tcPr>
          <w:p>
            <w:pPr>
              <w:spacing w:after="20" w:line="252" w:lineRule="auto"/>
            </w:pPr>
            <w:r>
              <w:rPr>
                <w:b/>
                <w:i w:val="0"/>
                <w:sz w:val="17"/>
              </w:rPr>
              <w:t>Parallel support</w:t>
            </w:r>
          </w:p>
        </w:tc>
        <w:tc>
          <w:tcPr>
            <w:tcW w:type="dxa" w:w="7483"/>
            <w:vAlign w:val="top"/>
            <w:shd w:val="clear" w:color="auto" w:fill="FDF0F7"/>
          </w:tcPr>
          <w:p>
            <w:pPr>
              <w:spacing w:after="20" w:line="252" w:lineRule="auto"/>
            </w:pPr>
            <w:r>
              <w:rPr>
                <w:b w:val="0"/>
                <w:i w:val="0"/>
                <w:sz w:val="17"/>
              </w:rPr>
              <w:t>Shadow support to the new provider or IIFT team for up to 30 days.</w:t>
            </w:r>
          </w:p>
        </w:tc>
      </w:tr>
      <w:tr>
        <w:trPr>
          <w:cantSplit/>
        </w:trPr>
        <w:tc>
          <w:tcPr>
            <w:tcW w:type="dxa" w:w="2154"/>
            <w:vAlign w:val="top"/>
          </w:tcPr>
          <w:p>
            <w:pPr>
              <w:spacing w:after="20" w:line="252" w:lineRule="auto"/>
            </w:pPr>
            <w:r>
              <w:rPr>
                <w:b/>
                <w:i w:val="0"/>
                <w:sz w:val="17"/>
              </w:rPr>
              <w:t>Confirmation</w:t>
            </w:r>
          </w:p>
        </w:tc>
        <w:tc>
          <w:tcPr>
            <w:tcW w:type="dxa" w:w="7483"/>
            <w:vAlign w:val="top"/>
          </w:tcPr>
          <w:p>
            <w:pPr>
              <w:spacing w:after="20" w:line="252" w:lineRule="auto"/>
            </w:pPr>
            <w:r>
              <w:rPr>
                <w:b w:val="0"/>
                <w:i w:val="0"/>
                <w:sz w:val="17"/>
              </w:rPr>
              <w:t>Signed transition acceptance; secure deletion of IIFT data held by iorta, with certificate.</w:t>
            </w:r>
          </w:p>
        </w:tc>
      </w:tr>
    </w:tbl>
    <w:p>
      <w:pPr>
        <w:spacing w:after="0" w:before="0"/>
      </w:pPr>
      <w:r>
        <w:rPr>
          <w:sz w:val="8"/>
        </w:rPr>
      </w:r>
    </w:p>
    <w:p>
      <w:pPr>
        <w:pStyle w:val="Heading2"/>
      </w:pPr>
      <w:r>
        <w:t>20.7 iorta business continuity</w:t>
      </w:r>
    </w:p>
    <w:p>
      <w:pPr>
        <w:keepNext w:val="0"/>
      </w:pPr>
      <w:r>
        <w:rPr>
          <w:b w:val="0"/>
          <w:i w:val="0"/>
        </w:rPr>
        <w:t xml:space="preserve">Source code, documentation and infrastructure scripts are kept in version-controlled repositories with off-site backup. At least two engineers know each module, support can run from more than one location, and every support role has a named backup (COM-24). </w:t>
      </w:r>
      <w:r>
        <w:rPr>
          <w:b w:val="0"/>
          <w:i w:val="0"/>
          <w:highlight w:val="yellow"/>
        </w:rPr>
        <w:t>[Confirm or extend with iorta's corporate BCP details.]</w:t>
      </w:r>
    </w:p>
    <w:p>
      <w:pPr>
        <w:pStyle w:val="Heading1"/>
        <w:pageBreakBefore/>
        <w:pBdr>
          <w:bottom w:val="single" w:sz="12" w:space="4" w:color="F58220"/>
        </w:pBdr>
      </w:pPr>
      <w:r>
        <w:t>21. Project Team &amp; Organisation</w:t>
      </w:r>
    </w:p>
    <w:p>
      <w:pPr>
        <w:keepNext w:val="0"/>
      </w:pPr>
      <w:r>
        <w:rPr>
          <w:b w:val="0"/>
          <w:i w:val="0"/>
        </w:rPr>
        <w:t>The team pairs Takaful business analysts with engineers who know the platform. CVs are in Annex B. Key personnel are not replaced without IIFT's consent, and any replacement has equivalent experience.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381"/>
        <w:gridCol w:w="1701"/>
        <w:gridCol w:w="5556"/>
      </w:tblGrid>
      <w:tr>
        <w:trPr>
          <w:cantSplit/>
          <w:tblHeader/>
        </w:trPr>
        <w:tc>
          <w:tcPr>
            <w:tcW w:type="dxa" w:w="2381"/>
            <w:shd w:val="clear" w:color="auto" w:fill="E1058C"/>
            <w:vAlign w:val="center"/>
          </w:tcPr>
          <w:p>
            <w:pPr>
              <w:spacing w:after="0"/>
            </w:pPr>
            <w:r>
              <w:rPr>
                <w:b/>
                <w:i w:val="0"/>
                <w:color w:val="FFFFFF"/>
                <w:sz w:val="17"/>
              </w:rPr>
              <w:t>Role</w:t>
            </w:r>
          </w:p>
        </w:tc>
        <w:tc>
          <w:tcPr>
            <w:tcW w:type="dxa" w:w="1701"/>
            <w:shd w:val="clear" w:color="auto" w:fill="E1058C"/>
            <w:vAlign w:val="center"/>
          </w:tcPr>
          <w:p>
            <w:pPr>
              <w:spacing w:after="0"/>
            </w:pPr>
            <w:r>
              <w:rPr>
                <w:b/>
                <w:i w:val="0"/>
                <w:color w:val="FFFFFF"/>
                <w:sz w:val="17"/>
              </w:rPr>
              <w:t>Name</w:t>
            </w:r>
          </w:p>
        </w:tc>
        <w:tc>
          <w:tcPr>
            <w:tcW w:type="dxa" w:w="5556"/>
            <w:shd w:val="clear" w:color="auto" w:fill="E1058C"/>
            <w:vAlign w:val="center"/>
          </w:tcPr>
          <w:p>
            <w:pPr>
              <w:spacing w:after="0"/>
            </w:pPr>
            <w:r>
              <w:rPr>
                <w:b/>
                <w:i w:val="0"/>
                <w:color w:val="FFFFFF"/>
                <w:sz w:val="17"/>
              </w:rPr>
              <w:t>Responsibilities</w:t>
            </w:r>
          </w:p>
        </w:tc>
      </w:tr>
      <w:tr>
        <w:trPr>
          <w:cantSplit/>
        </w:trPr>
        <w:tc>
          <w:tcPr>
            <w:tcW w:type="dxa" w:w="2381"/>
            <w:vAlign w:val="top"/>
          </w:tcPr>
          <w:p>
            <w:pPr>
              <w:spacing w:after="20" w:line="252" w:lineRule="auto"/>
            </w:pPr>
            <w:r>
              <w:rPr>
                <w:b/>
                <w:i w:val="0"/>
                <w:sz w:val="17"/>
              </w:rPr>
              <w:t>Engagement Director</w:t>
            </w:r>
          </w:p>
        </w:tc>
        <w:tc>
          <w:tcPr>
            <w:tcW w:type="dxa" w:w="1701"/>
            <w:vAlign w:val="top"/>
          </w:tcPr>
          <w:p>
            <w:pPr>
              <w:spacing w:after="20" w:line="252" w:lineRule="auto"/>
            </w:pPr>
            <w:r>
              <w:rPr>
                <w:b w:val="0"/>
                <w:i w:val="0"/>
                <w:sz w:val="17"/>
                <w:highlight w:val="yellow"/>
              </w:rPr>
              <w:t>[Name]</w:t>
            </w:r>
          </w:p>
        </w:tc>
        <w:tc>
          <w:tcPr>
            <w:tcW w:type="dxa" w:w="5556"/>
            <w:vAlign w:val="top"/>
          </w:tcPr>
          <w:p>
            <w:pPr>
              <w:spacing w:after="20" w:line="252" w:lineRule="auto"/>
            </w:pPr>
            <w:r>
              <w:rPr>
                <w:b w:val="0"/>
                <w:i w:val="0"/>
                <w:sz w:val="17"/>
              </w:rPr>
              <w:t>Executive sponsor; Steering Committee member; commercial and escalation owner</w:t>
            </w:r>
          </w:p>
        </w:tc>
      </w:tr>
      <w:tr>
        <w:trPr>
          <w:cantSplit/>
        </w:trPr>
        <w:tc>
          <w:tcPr>
            <w:tcW w:type="dxa" w:w="2381"/>
            <w:vAlign w:val="top"/>
            <w:shd w:val="clear" w:color="auto" w:fill="FDF0F7"/>
          </w:tcPr>
          <w:p>
            <w:pPr>
              <w:spacing w:after="20" w:line="252" w:lineRule="auto"/>
            </w:pPr>
            <w:r>
              <w:rPr>
                <w:b/>
                <w:i w:val="0"/>
                <w:sz w:val="17"/>
              </w:rPr>
              <w:t>Project Manager</w:t>
            </w:r>
          </w:p>
        </w:tc>
        <w:tc>
          <w:tcPr>
            <w:tcW w:type="dxa" w:w="1701"/>
            <w:vAlign w:val="top"/>
            <w:shd w:val="clear" w:color="auto" w:fill="FDF0F7"/>
          </w:tcPr>
          <w:p>
            <w:pPr>
              <w:spacing w:after="20" w:line="252" w:lineRule="auto"/>
            </w:pPr>
            <w:r>
              <w:rPr>
                <w:b w:val="0"/>
                <w:i w:val="0"/>
                <w:sz w:val="17"/>
                <w:highlight w:val="yellow"/>
              </w:rPr>
              <w:t>[Name]</w:t>
            </w:r>
          </w:p>
        </w:tc>
        <w:tc>
          <w:tcPr>
            <w:tcW w:type="dxa" w:w="5556"/>
            <w:vAlign w:val="top"/>
            <w:shd w:val="clear" w:color="auto" w:fill="FDF0F7"/>
          </w:tcPr>
          <w:p>
            <w:pPr>
              <w:spacing w:after="20" w:line="252" w:lineRule="auto"/>
            </w:pPr>
            <w:r>
              <w:rPr>
                <w:b w:val="0"/>
                <w:i w:val="0"/>
                <w:sz w:val="17"/>
              </w:rPr>
              <w:t>Plan, governance, RAID, reporting, change control; single point of contact</w:t>
            </w:r>
          </w:p>
        </w:tc>
      </w:tr>
      <w:tr>
        <w:trPr>
          <w:cantSplit/>
        </w:trPr>
        <w:tc>
          <w:tcPr>
            <w:tcW w:type="dxa" w:w="2381"/>
            <w:vAlign w:val="top"/>
          </w:tcPr>
          <w:p>
            <w:pPr>
              <w:spacing w:after="20" w:line="252" w:lineRule="auto"/>
            </w:pPr>
            <w:r>
              <w:rPr>
                <w:b/>
                <w:i w:val="0"/>
                <w:sz w:val="17"/>
              </w:rPr>
              <w:t>Solution Architect</w:t>
            </w:r>
          </w:p>
        </w:tc>
        <w:tc>
          <w:tcPr>
            <w:tcW w:type="dxa" w:w="1701"/>
            <w:vAlign w:val="top"/>
          </w:tcPr>
          <w:p>
            <w:pPr>
              <w:spacing w:after="20" w:line="252" w:lineRule="auto"/>
            </w:pPr>
            <w:r>
              <w:rPr>
                <w:b w:val="0"/>
                <w:i w:val="0"/>
                <w:sz w:val="17"/>
                <w:highlight w:val="yellow"/>
              </w:rPr>
              <w:t>[Name]</w:t>
            </w:r>
          </w:p>
        </w:tc>
        <w:tc>
          <w:tcPr>
            <w:tcW w:type="dxa" w:w="5556"/>
            <w:vAlign w:val="top"/>
          </w:tcPr>
          <w:p>
            <w:pPr>
              <w:spacing w:after="20" w:line="252" w:lineRule="auto"/>
            </w:pPr>
            <w:r>
              <w:rPr>
                <w:b w:val="0"/>
                <w:i w:val="0"/>
                <w:sz w:val="17"/>
              </w:rPr>
              <w:t>Architecture, security and integration design; Design Authority member</w:t>
            </w:r>
          </w:p>
        </w:tc>
      </w:tr>
      <w:tr>
        <w:trPr>
          <w:cantSplit/>
        </w:trPr>
        <w:tc>
          <w:tcPr>
            <w:tcW w:type="dxa" w:w="2381"/>
            <w:vAlign w:val="top"/>
            <w:shd w:val="clear" w:color="auto" w:fill="FDF0F7"/>
          </w:tcPr>
          <w:p>
            <w:pPr>
              <w:spacing w:after="20" w:line="252" w:lineRule="auto"/>
            </w:pPr>
            <w:r>
              <w:rPr>
                <w:b/>
                <w:i w:val="0"/>
                <w:sz w:val="17"/>
              </w:rPr>
              <w:t>Business Analyst (Takaful)</w:t>
            </w:r>
          </w:p>
        </w:tc>
        <w:tc>
          <w:tcPr>
            <w:tcW w:type="dxa" w:w="1701"/>
            <w:vAlign w:val="top"/>
            <w:shd w:val="clear" w:color="auto" w:fill="FDF0F7"/>
          </w:tcPr>
          <w:p>
            <w:pPr>
              <w:spacing w:after="20" w:line="252" w:lineRule="auto"/>
            </w:pPr>
            <w:r>
              <w:rPr>
                <w:b w:val="0"/>
                <w:i w:val="0"/>
                <w:sz w:val="17"/>
                <w:highlight w:val="yellow"/>
              </w:rPr>
              <w:t>[Name]</w:t>
            </w:r>
          </w:p>
        </w:tc>
        <w:tc>
          <w:tcPr>
            <w:tcW w:type="dxa" w:w="5556"/>
            <w:vAlign w:val="top"/>
            <w:shd w:val="clear" w:color="auto" w:fill="FDF0F7"/>
          </w:tcPr>
          <w:p>
            <w:pPr>
              <w:spacing w:after="20" w:line="252" w:lineRule="auto"/>
            </w:pPr>
            <w:r>
              <w:rPr>
                <w:b w:val="0"/>
                <w:i w:val="0"/>
                <w:sz w:val="17"/>
              </w:rPr>
              <w:t>Workshops, BRS/FRS, product rules, RTM, UAT preparation, training</w:t>
            </w:r>
          </w:p>
        </w:tc>
      </w:tr>
      <w:tr>
        <w:trPr>
          <w:cantSplit/>
        </w:trPr>
        <w:tc>
          <w:tcPr>
            <w:tcW w:type="dxa" w:w="2381"/>
            <w:vAlign w:val="top"/>
          </w:tcPr>
          <w:p>
            <w:pPr>
              <w:spacing w:after="20" w:line="252" w:lineRule="auto"/>
            </w:pPr>
            <w:r>
              <w:rPr>
                <w:b/>
                <w:i w:val="0"/>
                <w:sz w:val="17"/>
              </w:rPr>
              <w:t>UI/UX Designer</w:t>
            </w:r>
          </w:p>
        </w:tc>
        <w:tc>
          <w:tcPr>
            <w:tcW w:type="dxa" w:w="1701"/>
            <w:vAlign w:val="top"/>
          </w:tcPr>
          <w:p>
            <w:pPr>
              <w:spacing w:after="20" w:line="252" w:lineRule="auto"/>
            </w:pPr>
            <w:r>
              <w:rPr>
                <w:b w:val="0"/>
                <w:i w:val="0"/>
                <w:sz w:val="17"/>
                <w:highlight w:val="yellow"/>
              </w:rPr>
              <w:t>[Name]</w:t>
            </w:r>
          </w:p>
        </w:tc>
        <w:tc>
          <w:tcPr>
            <w:tcW w:type="dxa" w:w="5556"/>
            <w:vAlign w:val="top"/>
          </w:tcPr>
          <w:p>
            <w:pPr>
              <w:spacing w:after="20" w:line="252" w:lineRule="auto"/>
            </w:pPr>
            <w:r>
              <w:rPr>
                <w:b w:val="0"/>
                <w:i w:val="0"/>
                <w:sz w:val="17"/>
              </w:rPr>
              <w:t>Screen designs, user journeys, accessibility</w:t>
            </w:r>
          </w:p>
        </w:tc>
      </w:tr>
      <w:tr>
        <w:trPr>
          <w:cantSplit/>
        </w:trPr>
        <w:tc>
          <w:tcPr>
            <w:tcW w:type="dxa" w:w="2381"/>
            <w:vAlign w:val="top"/>
            <w:shd w:val="clear" w:color="auto" w:fill="FDF0F7"/>
          </w:tcPr>
          <w:p>
            <w:pPr>
              <w:spacing w:after="20" w:line="252" w:lineRule="auto"/>
            </w:pPr>
            <w:r>
              <w:rPr>
                <w:b/>
                <w:i w:val="0"/>
                <w:sz w:val="17"/>
              </w:rPr>
              <w:t>Technical Lead</w:t>
            </w:r>
          </w:p>
        </w:tc>
        <w:tc>
          <w:tcPr>
            <w:tcW w:type="dxa" w:w="1701"/>
            <w:vAlign w:val="top"/>
            <w:shd w:val="clear" w:color="auto" w:fill="FDF0F7"/>
          </w:tcPr>
          <w:p>
            <w:pPr>
              <w:spacing w:after="20" w:line="252" w:lineRule="auto"/>
            </w:pPr>
            <w:r>
              <w:rPr>
                <w:b w:val="0"/>
                <w:i w:val="0"/>
                <w:sz w:val="17"/>
                <w:highlight w:val="yellow"/>
              </w:rPr>
              <w:t>[Name]</w:t>
            </w:r>
          </w:p>
        </w:tc>
        <w:tc>
          <w:tcPr>
            <w:tcW w:type="dxa" w:w="5556"/>
            <w:vAlign w:val="top"/>
            <w:shd w:val="clear" w:color="auto" w:fill="FDF0F7"/>
          </w:tcPr>
          <w:p>
            <w:pPr>
              <w:spacing w:after="20" w:line="252" w:lineRule="auto"/>
            </w:pPr>
            <w:r>
              <w:rPr>
                <w:b w:val="0"/>
                <w:i w:val="0"/>
                <w:sz w:val="17"/>
              </w:rPr>
              <w:t>Code quality, technical design, reviews, deployment</w:t>
            </w:r>
          </w:p>
        </w:tc>
      </w:tr>
      <w:tr>
        <w:trPr>
          <w:cantSplit/>
        </w:trPr>
        <w:tc>
          <w:tcPr>
            <w:tcW w:type="dxa" w:w="2381"/>
            <w:vAlign w:val="top"/>
          </w:tcPr>
          <w:p>
            <w:pPr>
              <w:spacing w:after="20" w:line="252" w:lineRule="auto"/>
            </w:pPr>
            <w:r>
              <w:rPr>
                <w:b/>
                <w:i w:val="0"/>
                <w:sz w:val="17"/>
              </w:rPr>
              <w:t>Software Engineers</w:t>
            </w:r>
          </w:p>
        </w:tc>
        <w:tc>
          <w:tcPr>
            <w:tcW w:type="dxa" w:w="1701"/>
            <w:vAlign w:val="top"/>
          </w:tcPr>
          <w:p>
            <w:pPr>
              <w:spacing w:after="20" w:line="252" w:lineRule="auto"/>
            </w:pPr>
            <w:r>
              <w:rPr>
                <w:b w:val="0"/>
                <w:i w:val="0"/>
                <w:sz w:val="17"/>
                <w:highlight w:val="yellow"/>
              </w:rPr>
              <w:t>[Names]</w:t>
            </w:r>
          </w:p>
        </w:tc>
        <w:tc>
          <w:tcPr>
            <w:tcW w:type="dxa" w:w="5556"/>
            <w:vAlign w:val="top"/>
          </w:tcPr>
          <w:p>
            <w:pPr>
              <w:spacing w:after="20" w:line="252" w:lineRule="auto"/>
            </w:pPr>
            <w:r>
              <w:rPr>
                <w:b w:val="0"/>
                <w:i w:val="0"/>
                <w:sz w:val="17"/>
              </w:rPr>
              <w:t>Portal, back-office and API development</w:t>
            </w:r>
          </w:p>
        </w:tc>
      </w:tr>
      <w:tr>
        <w:trPr>
          <w:cantSplit/>
        </w:trPr>
        <w:tc>
          <w:tcPr>
            <w:tcW w:type="dxa" w:w="2381"/>
            <w:vAlign w:val="top"/>
            <w:shd w:val="clear" w:color="auto" w:fill="FDF0F7"/>
          </w:tcPr>
          <w:p>
            <w:pPr>
              <w:spacing w:after="20" w:line="252" w:lineRule="auto"/>
            </w:pPr>
            <w:r>
              <w:rPr>
                <w:b/>
                <w:i w:val="0"/>
                <w:sz w:val="17"/>
              </w:rPr>
              <w:t>Integration Engineer</w:t>
            </w:r>
          </w:p>
        </w:tc>
        <w:tc>
          <w:tcPr>
            <w:tcW w:type="dxa" w:w="1701"/>
            <w:vAlign w:val="top"/>
            <w:shd w:val="clear" w:color="auto" w:fill="FDF0F7"/>
          </w:tcPr>
          <w:p>
            <w:pPr>
              <w:spacing w:after="20" w:line="252" w:lineRule="auto"/>
            </w:pPr>
            <w:r>
              <w:rPr>
                <w:b w:val="0"/>
                <w:i w:val="0"/>
                <w:sz w:val="17"/>
                <w:highlight w:val="yellow"/>
              </w:rPr>
              <w:t>[Name]</w:t>
            </w:r>
          </w:p>
        </w:tc>
        <w:tc>
          <w:tcPr>
            <w:tcW w:type="dxa" w:w="5556"/>
            <w:vAlign w:val="top"/>
            <w:shd w:val="clear" w:color="auto" w:fill="FDF0F7"/>
          </w:tcPr>
          <w:p>
            <w:pPr>
              <w:spacing w:after="20" w:line="252" w:lineRule="auto"/>
            </w:pPr>
            <w:r>
              <w:rPr>
                <w:b w:val="0"/>
                <w:i w:val="0"/>
                <w:sz w:val="17"/>
              </w:rPr>
              <w:t>Core, FIN, AML, AD, SMS and e-mail adapters; interface testing</w:t>
            </w:r>
          </w:p>
        </w:tc>
      </w:tr>
      <w:tr>
        <w:trPr>
          <w:cantSplit/>
        </w:trPr>
        <w:tc>
          <w:tcPr>
            <w:tcW w:type="dxa" w:w="2381"/>
            <w:vAlign w:val="top"/>
          </w:tcPr>
          <w:p>
            <w:pPr>
              <w:spacing w:after="20" w:line="252" w:lineRule="auto"/>
            </w:pPr>
            <w:r>
              <w:rPr>
                <w:b/>
                <w:i w:val="0"/>
                <w:sz w:val="17"/>
              </w:rPr>
              <w:t>QA Lead / Test Engineer</w:t>
            </w:r>
          </w:p>
        </w:tc>
        <w:tc>
          <w:tcPr>
            <w:tcW w:type="dxa" w:w="1701"/>
            <w:vAlign w:val="top"/>
          </w:tcPr>
          <w:p>
            <w:pPr>
              <w:spacing w:after="20" w:line="252" w:lineRule="auto"/>
            </w:pPr>
            <w:r>
              <w:rPr>
                <w:b w:val="0"/>
                <w:i w:val="0"/>
                <w:sz w:val="17"/>
                <w:highlight w:val="yellow"/>
              </w:rPr>
              <w:t>[Name]</w:t>
            </w:r>
          </w:p>
        </w:tc>
        <w:tc>
          <w:tcPr>
            <w:tcW w:type="dxa" w:w="5556"/>
            <w:vAlign w:val="top"/>
          </w:tcPr>
          <w:p>
            <w:pPr>
              <w:spacing w:after="20" w:line="252" w:lineRule="auto"/>
            </w:pPr>
            <w:r>
              <w:rPr>
                <w:b w:val="0"/>
                <w:i w:val="0"/>
                <w:sz w:val="17"/>
              </w:rPr>
              <w:t>Test strategy, SIT, regression automation, performance testing</w:t>
            </w:r>
          </w:p>
        </w:tc>
      </w:tr>
      <w:tr>
        <w:trPr>
          <w:cantSplit/>
        </w:trPr>
        <w:tc>
          <w:tcPr>
            <w:tcW w:type="dxa" w:w="2381"/>
            <w:vAlign w:val="top"/>
            <w:shd w:val="clear" w:color="auto" w:fill="FDF0F7"/>
          </w:tcPr>
          <w:p>
            <w:pPr>
              <w:spacing w:after="20" w:line="252" w:lineRule="auto"/>
            </w:pPr>
            <w:r>
              <w:rPr>
                <w:b/>
                <w:i w:val="0"/>
                <w:sz w:val="17"/>
              </w:rPr>
              <w:t>DevOps &amp; Security Engineer</w:t>
            </w:r>
          </w:p>
        </w:tc>
        <w:tc>
          <w:tcPr>
            <w:tcW w:type="dxa" w:w="1701"/>
            <w:vAlign w:val="top"/>
            <w:shd w:val="clear" w:color="auto" w:fill="FDF0F7"/>
          </w:tcPr>
          <w:p>
            <w:pPr>
              <w:spacing w:after="20" w:line="252" w:lineRule="auto"/>
            </w:pPr>
            <w:r>
              <w:rPr>
                <w:b w:val="0"/>
                <w:i w:val="0"/>
                <w:sz w:val="17"/>
                <w:highlight w:val="yellow"/>
              </w:rPr>
              <w:t>[Name]</w:t>
            </w:r>
          </w:p>
        </w:tc>
        <w:tc>
          <w:tcPr>
            <w:tcW w:type="dxa" w:w="5556"/>
            <w:vAlign w:val="top"/>
            <w:shd w:val="clear" w:color="auto" w:fill="FDF0F7"/>
          </w:tcPr>
          <w:p>
            <w:pPr>
              <w:spacing w:after="20" w:line="252" w:lineRule="auto"/>
            </w:pPr>
            <w:r>
              <w:rPr>
                <w:b w:val="0"/>
                <w:i w:val="0"/>
                <w:sz w:val="17"/>
              </w:rPr>
              <w:t>Environments, CI/CD, monitoring, hardening, VAPT coordination</w:t>
            </w:r>
          </w:p>
        </w:tc>
      </w:tr>
      <w:tr>
        <w:trPr>
          <w:cantSplit/>
        </w:trPr>
        <w:tc>
          <w:tcPr>
            <w:tcW w:type="dxa" w:w="2381"/>
            <w:vAlign w:val="top"/>
          </w:tcPr>
          <w:p>
            <w:pPr>
              <w:spacing w:after="20" w:line="252" w:lineRule="auto"/>
            </w:pPr>
            <w:r>
              <w:rPr>
                <w:b/>
                <w:i w:val="0"/>
                <w:sz w:val="17"/>
              </w:rPr>
              <w:t>Support Manager</w:t>
            </w:r>
          </w:p>
        </w:tc>
        <w:tc>
          <w:tcPr>
            <w:tcW w:type="dxa" w:w="1701"/>
            <w:vAlign w:val="top"/>
          </w:tcPr>
          <w:p>
            <w:pPr>
              <w:spacing w:after="20" w:line="252" w:lineRule="auto"/>
            </w:pPr>
            <w:r>
              <w:rPr>
                <w:b w:val="0"/>
                <w:i w:val="0"/>
                <w:sz w:val="17"/>
                <w:highlight w:val="yellow"/>
              </w:rPr>
              <w:t>[Name]</w:t>
            </w:r>
          </w:p>
        </w:tc>
        <w:tc>
          <w:tcPr>
            <w:tcW w:type="dxa" w:w="5556"/>
            <w:vAlign w:val="top"/>
          </w:tcPr>
          <w:p>
            <w:pPr>
              <w:spacing w:after="20" w:line="252" w:lineRule="auto"/>
            </w:pPr>
            <w:r>
              <w:rPr>
                <w:b w:val="0"/>
                <w:i w:val="0"/>
                <w:sz w:val="17"/>
              </w:rPr>
              <w:t>Hypercare, maintenance service, SLA reporting</w:t>
            </w:r>
          </w:p>
        </w:tc>
      </w:tr>
    </w:tbl>
    <w:p>
      <w:pPr>
        <w:pStyle w:val="Caption"/>
        <w:jc w:val="center"/>
      </w:pPr>
      <w:r>
        <w:rPr>
          <w:b w:val="0"/>
          <w:i w:val="0"/>
        </w:rPr>
        <w:t>Table 64: Proposed team</w:t>
      </w:r>
    </w:p>
    <w:p>
      <w:pPr>
        <w:pStyle w:val="Heading2"/>
      </w:pPr>
      <w:r>
        <w:t>21.1 Involvement by phase</w:t>
      </w:r>
    </w:p>
    <w:p>
      <w:pPr>
        <w:keepNext w:val="0"/>
      </w:pPr>
      <w:r>
        <w:rPr>
          <w:b w:val="0"/>
          <w:i w:val="0"/>
        </w:rPr>
        <w:t>● = lead / high involvement, ○ = supporting / part-time, – = not involved.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494"/>
        <w:gridCol w:w="850"/>
        <w:gridCol w:w="907"/>
        <w:gridCol w:w="907"/>
        <w:gridCol w:w="963"/>
        <w:gridCol w:w="850"/>
        <w:gridCol w:w="1417"/>
        <w:gridCol w:w="1247"/>
      </w:tblGrid>
      <w:tr>
        <w:trPr>
          <w:cantSplit/>
          <w:tblHeader/>
        </w:trPr>
        <w:tc>
          <w:tcPr>
            <w:tcW w:type="dxa" w:w="2494"/>
            <w:shd w:val="clear" w:color="auto" w:fill="E1058C"/>
            <w:vAlign w:val="center"/>
          </w:tcPr>
          <w:p>
            <w:pPr>
              <w:spacing w:after="0"/>
            </w:pPr>
            <w:r>
              <w:rPr>
                <w:b/>
                <w:i w:val="0"/>
                <w:color w:val="FFFFFF"/>
                <w:sz w:val="16"/>
              </w:rPr>
              <w:t>Role</w:t>
            </w:r>
          </w:p>
        </w:tc>
        <w:tc>
          <w:tcPr>
            <w:tcW w:type="dxa" w:w="850"/>
            <w:shd w:val="clear" w:color="auto" w:fill="E1058C"/>
            <w:vAlign w:val="center"/>
          </w:tcPr>
          <w:p>
            <w:pPr>
              <w:spacing w:after="0"/>
            </w:pPr>
            <w:r>
              <w:rPr>
                <w:b/>
                <w:i w:val="0"/>
                <w:color w:val="FFFFFF"/>
                <w:sz w:val="16"/>
              </w:rPr>
              <w:t>0 Mob.</w:t>
            </w:r>
          </w:p>
        </w:tc>
        <w:tc>
          <w:tcPr>
            <w:tcW w:type="dxa" w:w="907"/>
            <w:shd w:val="clear" w:color="auto" w:fill="E1058C"/>
            <w:vAlign w:val="center"/>
          </w:tcPr>
          <w:p>
            <w:pPr>
              <w:spacing w:after="0"/>
            </w:pPr>
            <w:r>
              <w:rPr>
                <w:b/>
                <w:i w:val="0"/>
                <w:color w:val="FFFFFF"/>
                <w:sz w:val="16"/>
              </w:rPr>
              <w:t>1 Design</w:t>
            </w:r>
          </w:p>
        </w:tc>
        <w:tc>
          <w:tcPr>
            <w:tcW w:type="dxa" w:w="907"/>
            <w:shd w:val="clear" w:color="auto" w:fill="E1058C"/>
            <w:vAlign w:val="center"/>
          </w:tcPr>
          <w:p>
            <w:pPr>
              <w:spacing w:after="0"/>
            </w:pPr>
            <w:r>
              <w:rPr>
                <w:b/>
                <w:i w:val="0"/>
                <w:color w:val="FFFFFF"/>
                <w:sz w:val="16"/>
              </w:rPr>
              <w:t>2 Build</w:t>
            </w:r>
          </w:p>
        </w:tc>
        <w:tc>
          <w:tcPr>
            <w:tcW w:type="dxa" w:w="964"/>
            <w:shd w:val="clear" w:color="auto" w:fill="E1058C"/>
            <w:vAlign w:val="center"/>
          </w:tcPr>
          <w:p>
            <w:pPr>
              <w:spacing w:after="0"/>
            </w:pPr>
            <w:r>
              <w:rPr>
                <w:b/>
                <w:i w:val="0"/>
                <w:color w:val="FFFFFF"/>
                <w:sz w:val="16"/>
              </w:rPr>
              <w:t>3 Integr.</w:t>
            </w:r>
          </w:p>
        </w:tc>
        <w:tc>
          <w:tcPr>
            <w:tcW w:type="dxa" w:w="850"/>
            <w:shd w:val="clear" w:color="auto" w:fill="E1058C"/>
            <w:vAlign w:val="center"/>
          </w:tcPr>
          <w:p>
            <w:pPr>
              <w:spacing w:after="0"/>
            </w:pPr>
            <w:r>
              <w:rPr>
                <w:b/>
                <w:i w:val="0"/>
                <w:color w:val="FFFFFF"/>
                <w:sz w:val="16"/>
              </w:rPr>
              <w:t>4 SIT</w:t>
            </w:r>
          </w:p>
        </w:tc>
        <w:tc>
          <w:tcPr>
            <w:tcW w:type="dxa" w:w="1417"/>
            <w:shd w:val="clear" w:color="auto" w:fill="E1058C"/>
            <w:vAlign w:val="center"/>
          </w:tcPr>
          <w:p>
            <w:pPr>
              <w:spacing w:after="0"/>
            </w:pPr>
            <w:r>
              <w:rPr>
                <w:b/>
                <w:i w:val="0"/>
                <w:color w:val="FFFFFF"/>
                <w:sz w:val="16"/>
              </w:rPr>
              <w:t>5–6 UAT &amp; go-live</w:t>
            </w:r>
          </w:p>
        </w:tc>
        <w:tc>
          <w:tcPr>
            <w:tcW w:type="dxa" w:w="1247"/>
            <w:shd w:val="clear" w:color="auto" w:fill="E1058C"/>
            <w:vAlign w:val="center"/>
          </w:tcPr>
          <w:p>
            <w:pPr>
              <w:spacing w:after="0"/>
            </w:pPr>
            <w:r>
              <w:rPr>
                <w:b/>
                <w:i w:val="0"/>
                <w:color w:val="FFFFFF"/>
                <w:sz w:val="16"/>
              </w:rPr>
              <w:t>7 Hypercare</w:t>
            </w:r>
          </w:p>
        </w:tc>
      </w:tr>
      <w:tr>
        <w:trPr>
          <w:cantSplit/>
        </w:trPr>
        <w:tc>
          <w:tcPr>
            <w:tcW w:type="dxa" w:w="2494"/>
            <w:vAlign w:val="top"/>
          </w:tcPr>
          <w:p>
            <w:pPr>
              <w:spacing w:after="20" w:line="252" w:lineRule="auto"/>
            </w:pPr>
            <w:r>
              <w:rPr>
                <w:b w:val="0"/>
                <w:i w:val="0"/>
                <w:sz w:val="16"/>
              </w:rPr>
              <w:t>Engagement Director</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r>
        <w:trPr>
          <w:cantSplit/>
        </w:trPr>
        <w:tc>
          <w:tcPr>
            <w:tcW w:type="dxa" w:w="2494"/>
            <w:vAlign w:val="top"/>
            <w:shd w:val="clear" w:color="auto" w:fill="FDF0F7"/>
          </w:tcPr>
          <w:p>
            <w:pPr>
              <w:spacing w:after="20" w:line="252" w:lineRule="auto"/>
            </w:pPr>
            <w:r>
              <w:rPr>
                <w:b w:val="0"/>
                <w:i w:val="0"/>
                <w:sz w:val="16"/>
              </w:rPr>
              <w:t>Project Manager</w:t>
            </w:r>
          </w:p>
        </w:tc>
        <w:tc>
          <w:tcPr>
            <w:tcW w:type="dxa" w:w="850"/>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64"/>
            <w:vAlign w:val="top"/>
            <w:shd w:val="clear" w:color="auto" w:fill="FDF0F7"/>
          </w:tcPr>
          <w:p>
            <w:pPr>
              <w:spacing w:after="20" w:line="252" w:lineRule="auto"/>
              <w:jc w:val="center"/>
            </w:pPr>
            <w:r>
              <w:rPr>
                <w:b w:val="0"/>
                <w:i w:val="0"/>
                <w:sz w:val="16"/>
              </w:rPr>
              <w:t>●</w:t>
            </w:r>
          </w:p>
        </w:tc>
        <w:tc>
          <w:tcPr>
            <w:tcW w:type="dxa" w:w="850"/>
            <w:vAlign w:val="top"/>
            <w:shd w:val="clear" w:color="auto" w:fill="FDF0F7"/>
          </w:tcPr>
          <w:p>
            <w:pPr>
              <w:spacing w:after="20" w:line="252" w:lineRule="auto"/>
              <w:jc w:val="center"/>
            </w:pPr>
            <w:r>
              <w:rPr>
                <w:b w:val="0"/>
                <w:i w:val="0"/>
                <w:sz w:val="16"/>
              </w:rPr>
              <w:t>●</w:t>
            </w:r>
          </w:p>
        </w:tc>
        <w:tc>
          <w:tcPr>
            <w:tcW w:type="dxa" w:w="1417"/>
            <w:vAlign w:val="top"/>
            <w:shd w:val="clear" w:color="auto" w:fill="FDF0F7"/>
          </w:tcPr>
          <w:p>
            <w:pPr>
              <w:spacing w:after="20" w:line="252" w:lineRule="auto"/>
              <w:jc w:val="center"/>
            </w:pPr>
            <w:r>
              <w:rPr>
                <w:b w:val="0"/>
                <w:i w:val="0"/>
                <w:sz w:val="16"/>
              </w:rPr>
              <w:t>●</w:t>
            </w:r>
          </w:p>
        </w:tc>
        <w:tc>
          <w:tcPr>
            <w:tcW w:type="dxa" w:w="1247"/>
            <w:vAlign w:val="top"/>
            <w:shd w:val="clear" w:color="auto" w:fill="FDF0F7"/>
          </w:tcPr>
          <w:p>
            <w:pPr>
              <w:spacing w:after="20" w:line="252" w:lineRule="auto"/>
              <w:jc w:val="center"/>
            </w:pPr>
            <w:r>
              <w:rPr>
                <w:b w:val="0"/>
                <w:i w:val="0"/>
                <w:sz w:val="16"/>
              </w:rPr>
              <w:t>●</w:t>
            </w:r>
          </w:p>
        </w:tc>
      </w:tr>
      <w:tr>
        <w:trPr>
          <w:cantSplit/>
        </w:trPr>
        <w:tc>
          <w:tcPr>
            <w:tcW w:type="dxa" w:w="2494"/>
            <w:vAlign w:val="top"/>
          </w:tcPr>
          <w:p>
            <w:pPr>
              <w:spacing w:after="20" w:line="252" w:lineRule="auto"/>
            </w:pPr>
            <w:r>
              <w:rPr>
                <w:b w:val="0"/>
                <w:i w:val="0"/>
                <w:sz w:val="16"/>
              </w:rPr>
              <w:t>Solution Architect</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r>
        <w:trPr>
          <w:cantSplit/>
        </w:trPr>
        <w:tc>
          <w:tcPr>
            <w:tcW w:type="dxa" w:w="2494"/>
            <w:vAlign w:val="top"/>
            <w:shd w:val="clear" w:color="auto" w:fill="FDF0F7"/>
          </w:tcPr>
          <w:p>
            <w:pPr>
              <w:spacing w:after="20" w:line="252" w:lineRule="auto"/>
            </w:pPr>
            <w:r>
              <w:rPr>
                <w:b w:val="0"/>
                <w:i w:val="0"/>
                <w:sz w:val="16"/>
              </w:rPr>
              <w:t>Business Analyst</w:t>
            </w:r>
          </w:p>
        </w:tc>
        <w:tc>
          <w:tcPr>
            <w:tcW w:type="dxa" w:w="850"/>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64"/>
            <w:vAlign w:val="top"/>
            <w:shd w:val="clear" w:color="auto" w:fill="FDF0F7"/>
          </w:tcPr>
          <w:p>
            <w:pPr>
              <w:spacing w:after="20" w:line="252" w:lineRule="auto"/>
              <w:jc w:val="center"/>
            </w:pPr>
            <w:r>
              <w:rPr>
                <w:b w:val="0"/>
                <w:i w:val="0"/>
                <w:sz w:val="16"/>
              </w:rPr>
              <w:t>○</w:t>
            </w:r>
          </w:p>
        </w:tc>
        <w:tc>
          <w:tcPr>
            <w:tcW w:type="dxa" w:w="850"/>
            <w:vAlign w:val="top"/>
            <w:shd w:val="clear" w:color="auto" w:fill="FDF0F7"/>
          </w:tcPr>
          <w:p>
            <w:pPr>
              <w:spacing w:after="20" w:line="252" w:lineRule="auto"/>
              <w:jc w:val="center"/>
            </w:pPr>
            <w:r>
              <w:rPr>
                <w:b w:val="0"/>
                <w:i w:val="0"/>
                <w:sz w:val="16"/>
              </w:rPr>
              <w:t>●</w:t>
            </w:r>
          </w:p>
        </w:tc>
        <w:tc>
          <w:tcPr>
            <w:tcW w:type="dxa" w:w="1417"/>
            <w:vAlign w:val="top"/>
            <w:shd w:val="clear" w:color="auto" w:fill="FDF0F7"/>
          </w:tcPr>
          <w:p>
            <w:pPr>
              <w:spacing w:after="20" w:line="252" w:lineRule="auto"/>
              <w:jc w:val="center"/>
            </w:pPr>
            <w:r>
              <w:rPr>
                <w:b w:val="0"/>
                <w:i w:val="0"/>
                <w:sz w:val="16"/>
              </w:rPr>
              <w:t>○</w:t>
            </w:r>
          </w:p>
        </w:tc>
        <w:tc>
          <w:tcPr>
            <w:tcW w:type="dxa" w:w="1247"/>
            <w:vAlign w:val="top"/>
            <w:shd w:val="clear" w:color="auto" w:fill="FDF0F7"/>
          </w:tcPr>
          <w:p>
            <w:pPr>
              <w:spacing w:after="20" w:line="252" w:lineRule="auto"/>
              <w:jc w:val="center"/>
            </w:pPr>
            <w:r>
              <w:rPr>
                <w:b w:val="0"/>
                <w:i w:val="0"/>
                <w:sz w:val="16"/>
              </w:rPr>
              <w:t>○</w:t>
            </w:r>
          </w:p>
        </w:tc>
      </w:tr>
      <w:tr>
        <w:trPr>
          <w:cantSplit/>
        </w:trPr>
        <w:tc>
          <w:tcPr>
            <w:tcW w:type="dxa" w:w="2494"/>
            <w:vAlign w:val="top"/>
          </w:tcPr>
          <w:p>
            <w:pPr>
              <w:spacing w:after="20" w:line="252" w:lineRule="auto"/>
            </w:pPr>
            <w:r>
              <w:rPr>
                <w:b w:val="0"/>
                <w:i w:val="0"/>
                <w:sz w:val="16"/>
              </w:rPr>
              <w:t>UI/UX Designer</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r>
        <w:trPr>
          <w:cantSplit/>
        </w:trPr>
        <w:tc>
          <w:tcPr>
            <w:tcW w:type="dxa" w:w="2494"/>
            <w:vAlign w:val="top"/>
            <w:shd w:val="clear" w:color="auto" w:fill="FDF0F7"/>
          </w:tcPr>
          <w:p>
            <w:pPr>
              <w:spacing w:after="20" w:line="252" w:lineRule="auto"/>
            </w:pPr>
            <w:r>
              <w:rPr>
                <w:b w:val="0"/>
                <w:i w:val="0"/>
                <w:sz w:val="16"/>
              </w:rPr>
              <w:t>Technical Lead</w:t>
            </w:r>
          </w:p>
        </w:tc>
        <w:tc>
          <w:tcPr>
            <w:tcW w:type="dxa" w:w="850"/>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64"/>
            <w:vAlign w:val="top"/>
            <w:shd w:val="clear" w:color="auto" w:fill="FDF0F7"/>
          </w:tcPr>
          <w:p>
            <w:pPr>
              <w:spacing w:after="20" w:line="252" w:lineRule="auto"/>
              <w:jc w:val="center"/>
            </w:pPr>
            <w:r>
              <w:rPr>
                <w:b w:val="0"/>
                <w:i w:val="0"/>
                <w:sz w:val="16"/>
              </w:rPr>
              <w:t>●</w:t>
            </w:r>
          </w:p>
        </w:tc>
        <w:tc>
          <w:tcPr>
            <w:tcW w:type="dxa" w:w="850"/>
            <w:vAlign w:val="top"/>
            <w:shd w:val="clear" w:color="auto" w:fill="FDF0F7"/>
          </w:tcPr>
          <w:p>
            <w:pPr>
              <w:spacing w:after="20" w:line="252" w:lineRule="auto"/>
              <w:jc w:val="center"/>
            </w:pPr>
            <w:r>
              <w:rPr>
                <w:b w:val="0"/>
                <w:i w:val="0"/>
                <w:sz w:val="16"/>
              </w:rPr>
              <w:t>●</w:t>
            </w:r>
          </w:p>
        </w:tc>
        <w:tc>
          <w:tcPr>
            <w:tcW w:type="dxa" w:w="1417"/>
            <w:vAlign w:val="top"/>
            <w:shd w:val="clear" w:color="auto" w:fill="FDF0F7"/>
          </w:tcPr>
          <w:p>
            <w:pPr>
              <w:spacing w:after="20" w:line="252" w:lineRule="auto"/>
              <w:jc w:val="center"/>
            </w:pPr>
            <w:r>
              <w:rPr>
                <w:b w:val="0"/>
                <w:i w:val="0"/>
                <w:sz w:val="16"/>
              </w:rPr>
              <w:t>●</w:t>
            </w:r>
          </w:p>
        </w:tc>
        <w:tc>
          <w:tcPr>
            <w:tcW w:type="dxa" w:w="1247"/>
            <w:vAlign w:val="top"/>
            <w:shd w:val="clear" w:color="auto" w:fill="FDF0F7"/>
          </w:tcPr>
          <w:p>
            <w:pPr>
              <w:spacing w:after="20" w:line="252" w:lineRule="auto"/>
              <w:jc w:val="center"/>
            </w:pPr>
            <w:r>
              <w:rPr>
                <w:b w:val="0"/>
                <w:i w:val="0"/>
                <w:sz w:val="16"/>
              </w:rPr>
              <w:t>●</w:t>
            </w:r>
          </w:p>
        </w:tc>
      </w:tr>
      <w:tr>
        <w:trPr>
          <w:cantSplit/>
        </w:trPr>
        <w:tc>
          <w:tcPr>
            <w:tcW w:type="dxa" w:w="2494"/>
            <w:vAlign w:val="top"/>
          </w:tcPr>
          <w:p>
            <w:pPr>
              <w:spacing w:after="20" w:line="252" w:lineRule="auto"/>
            </w:pPr>
            <w:r>
              <w:rPr>
                <w:b w:val="0"/>
                <w:i w:val="0"/>
                <w:sz w:val="16"/>
              </w:rPr>
              <w:t>Software Engineers</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r>
        <w:trPr>
          <w:cantSplit/>
        </w:trPr>
        <w:tc>
          <w:tcPr>
            <w:tcW w:type="dxa" w:w="2494"/>
            <w:vAlign w:val="top"/>
            <w:shd w:val="clear" w:color="auto" w:fill="FDF0F7"/>
          </w:tcPr>
          <w:p>
            <w:pPr>
              <w:spacing w:after="20" w:line="252" w:lineRule="auto"/>
            </w:pPr>
            <w:r>
              <w:rPr>
                <w:b w:val="0"/>
                <w:i w:val="0"/>
                <w:sz w:val="16"/>
              </w:rPr>
              <w:t>Integration Engineer</w:t>
            </w:r>
          </w:p>
        </w:tc>
        <w:tc>
          <w:tcPr>
            <w:tcW w:type="dxa" w:w="850"/>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64"/>
            <w:vAlign w:val="top"/>
            <w:shd w:val="clear" w:color="auto" w:fill="FDF0F7"/>
          </w:tcPr>
          <w:p>
            <w:pPr>
              <w:spacing w:after="20" w:line="252" w:lineRule="auto"/>
              <w:jc w:val="center"/>
            </w:pPr>
            <w:r>
              <w:rPr>
                <w:b w:val="0"/>
                <w:i w:val="0"/>
                <w:sz w:val="16"/>
              </w:rPr>
              <w:t>●</w:t>
            </w:r>
          </w:p>
        </w:tc>
        <w:tc>
          <w:tcPr>
            <w:tcW w:type="dxa" w:w="850"/>
            <w:vAlign w:val="top"/>
            <w:shd w:val="clear" w:color="auto" w:fill="FDF0F7"/>
          </w:tcPr>
          <w:p>
            <w:pPr>
              <w:spacing w:after="20" w:line="252" w:lineRule="auto"/>
              <w:jc w:val="center"/>
            </w:pPr>
            <w:r>
              <w:rPr>
                <w:b w:val="0"/>
                <w:i w:val="0"/>
                <w:sz w:val="16"/>
              </w:rPr>
              <w:t>○</w:t>
            </w:r>
          </w:p>
        </w:tc>
        <w:tc>
          <w:tcPr>
            <w:tcW w:type="dxa" w:w="1417"/>
            <w:vAlign w:val="top"/>
            <w:shd w:val="clear" w:color="auto" w:fill="FDF0F7"/>
          </w:tcPr>
          <w:p>
            <w:pPr>
              <w:spacing w:after="20" w:line="252" w:lineRule="auto"/>
              <w:jc w:val="center"/>
            </w:pPr>
            <w:r>
              <w:rPr>
                <w:b w:val="0"/>
                <w:i w:val="0"/>
                <w:sz w:val="16"/>
              </w:rPr>
              <w:t>○</w:t>
            </w:r>
          </w:p>
        </w:tc>
        <w:tc>
          <w:tcPr>
            <w:tcW w:type="dxa" w:w="1247"/>
            <w:vAlign w:val="top"/>
            <w:shd w:val="clear" w:color="auto" w:fill="FDF0F7"/>
          </w:tcPr>
          <w:p>
            <w:pPr>
              <w:spacing w:after="20" w:line="252" w:lineRule="auto"/>
              <w:jc w:val="center"/>
            </w:pPr>
            <w:r>
              <w:rPr>
                <w:b w:val="0"/>
                <w:i w:val="0"/>
                <w:sz w:val="16"/>
              </w:rPr>
              <w:t>○</w:t>
            </w:r>
          </w:p>
        </w:tc>
      </w:tr>
      <w:tr>
        <w:trPr>
          <w:cantSplit/>
        </w:trPr>
        <w:tc>
          <w:tcPr>
            <w:tcW w:type="dxa" w:w="2494"/>
            <w:vAlign w:val="top"/>
          </w:tcPr>
          <w:p>
            <w:pPr>
              <w:spacing w:after="20" w:line="252" w:lineRule="auto"/>
            </w:pPr>
            <w:r>
              <w:rPr>
                <w:b w:val="0"/>
                <w:i w:val="0"/>
                <w:sz w:val="16"/>
              </w:rPr>
              <w:t>QA Lead / Test Engineer</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r>
        <w:trPr>
          <w:cantSplit/>
        </w:trPr>
        <w:tc>
          <w:tcPr>
            <w:tcW w:type="dxa" w:w="2494"/>
            <w:vAlign w:val="top"/>
            <w:shd w:val="clear" w:color="auto" w:fill="FDF0F7"/>
          </w:tcPr>
          <w:p>
            <w:pPr>
              <w:spacing w:after="20" w:line="252" w:lineRule="auto"/>
            </w:pPr>
            <w:r>
              <w:rPr>
                <w:b w:val="0"/>
                <w:i w:val="0"/>
                <w:sz w:val="16"/>
              </w:rPr>
              <w:t>DevOps &amp; Security Engineer</w:t>
            </w:r>
          </w:p>
        </w:tc>
        <w:tc>
          <w:tcPr>
            <w:tcW w:type="dxa" w:w="850"/>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964"/>
            <w:vAlign w:val="top"/>
            <w:shd w:val="clear" w:color="auto" w:fill="FDF0F7"/>
          </w:tcPr>
          <w:p>
            <w:pPr>
              <w:spacing w:after="20" w:line="252" w:lineRule="auto"/>
              <w:jc w:val="center"/>
            </w:pPr>
            <w:r>
              <w:rPr>
                <w:b w:val="0"/>
                <w:i w:val="0"/>
                <w:sz w:val="16"/>
              </w:rPr>
              <w:t>●</w:t>
            </w:r>
          </w:p>
        </w:tc>
        <w:tc>
          <w:tcPr>
            <w:tcW w:type="dxa" w:w="850"/>
            <w:vAlign w:val="top"/>
            <w:shd w:val="clear" w:color="auto" w:fill="FDF0F7"/>
          </w:tcPr>
          <w:p>
            <w:pPr>
              <w:spacing w:after="20" w:line="252" w:lineRule="auto"/>
              <w:jc w:val="center"/>
            </w:pPr>
            <w:r>
              <w:rPr>
                <w:b w:val="0"/>
                <w:i w:val="0"/>
                <w:sz w:val="16"/>
              </w:rPr>
              <w:t>○</w:t>
            </w:r>
          </w:p>
        </w:tc>
        <w:tc>
          <w:tcPr>
            <w:tcW w:type="dxa" w:w="1417"/>
            <w:vAlign w:val="top"/>
            <w:shd w:val="clear" w:color="auto" w:fill="FDF0F7"/>
          </w:tcPr>
          <w:p>
            <w:pPr>
              <w:spacing w:after="20" w:line="252" w:lineRule="auto"/>
              <w:jc w:val="center"/>
            </w:pPr>
            <w:r>
              <w:rPr>
                <w:b w:val="0"/>
                <w:i w:val="0"/>
                <w:sz w:val="16"/>
              </w:rPr>
              <w:t>●</w:t>
            </w:r>
          </w:p>
        </w:tc>
        <w:tc>
          <w:tcPr>
            <w:tcW w:type="dxa" w:w="1247"/>
            <w:vAlign w:val="top"/>
            <w:shd w:val="clear" w:color="auto" w:fill="FDF0F7"/>
          </w:tcPr>
          <w:p>
            <w:pPr>
              <w:spacing w:after="20" w:line="252" w:lineRule="auto"/>
              <w:jc w:val="center"/>
            </w:pPr>
            <w:r>
              <w:rPr>
                <w:b w:val="0"/>
                <w:i w:val="0"/>
                <w:sz w:val="16"/>
              </w:rPr>
              <w:t>○</w:t>
            </w:r>
          </w:p>
        </w:tc>
      </w:tr>
      <w:tr>
        <w:trPr>
          <w:cantSplit/>
        </w:trPr>
        <w:tc>
          <w:tcPr>
            <w:tcW w:type="dxa" w:w="2494"/>
            <w:vAlign w:val="top"/>
          </w:tcPr>
          <w:p>
            <w:pPr>
              <w:spacing w:after="20" w:line="252" w:lineRule="auto"/>
            </w:pPr>
            <w:r>
              <w:rPr>
                <w:b w:val="0"/>
                <w:i w:val="0"/>
                <w:sz w:val="16"/>
              </w:rPr>
              <w:t>Support Manager</w:t>
            </w:r>
          </w:p>
        </w:tc>
        <w:tc>
          <w:tcPr>
            <w:tcW w:type="dxa" w:w="850"/>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964"/>
            <w:vAlign w:val="top"/>
          </w:tcPr>
          <w:p>
            <w:pPr>
              <w:spacing w:after="20" w:line="252" w:lineRule="auto"/>
              <w:jc w:val="center"/>
            </w:pPr>
            <w:r>
              <w:rPr>
                <w:b w:val="0"/>
                <w:i w:val="0"/>
                <w:sz w:val="16"/>
              </w:rPr>
              <w:t>○</w:t>
            </w:r>
          </w:p>
        </w:tc>
        <w:tc>
          <w:tcPr>
            <w:tcW w:type="dxa" w:w="850"/>
            <w:vAlign w:val="top"/>
          </w:tcPr>
          <w:p>
            <w:pPr>
              <w:spacing w:after="20" w:line="252" w:lineRule="auto"/>
              <w:jc w:val="center"/>
            </w:pPr>
            <w:r>
              <w:rPr>
                <w:b w:val="0"/>
                <w:i w:val="0"/>
                <w:sz w:val="16"/>
              </w:rPr>
              <w:t>○</w:t>
            </w:r>
          </w:p>
        </w:tc>
        <w:tc>
          <w:tcPr>
            <w:tcW w:type="dxa" w:w="1417"/>
            <w:vAlign w:val="top"/>
          </w:tcPr>
          <w:p>
            <w:pPr>
              <w:spacing w:after="20" w:line="252" w:lineRule="auto"/>
              <w:jc w:val="center"/>
            </w:pPr>
            <w:r>
              <w:rPr>
                <w:b w:val="0"/>
                <w:i w:val="0"/>
                <w:sz w:val="16"/>
              </w:rPr>
              <w:t>●</w:t>
            </w:r>
          </w:p>
        </w:tc>
        <w:tc>
          <w:tcPr>
            <w:tcW w:type="dxa" w:w="1247"/>
            <w:vAlign w:val="top"/>
          </w:tcPr>
          <w:p>
            <w:pPr>
              <w:spacing w:after="20" w:line="252" w:lineRule="auto"/>
              <w:jc w:val="center"/>
            </w:pPr>
            <w:r>
              <w:rPr>
                <w:b w:val="0"/>
                <w:i w:val="0"/>
                <w:sz w:val="16"/>
              </w:rPr>
              <w:t>●</w:t>
            </w:r>
          </w:p>
        </w:tc>
      </w:tr>
    </w:tbl>
    <w:p>
      <w:pPr>
        <w:spacing w:after="0" w:before="0"/>
      </w:pPr>
      <w:r>
        <w:rPr>
          <w:sz w:val="8"/>
        </w:rPr>
      </w:r>
    </w:p>
    <w:p>
      <w:pPr>
        <w:pStyle w:val="Heading2"/>
      </w:pPr>
      <w:r>
        <w:t>21.2 Onsite and remote delivery</w:t>
      </w:r>
    </w:p>
    <w:p>
      <w:pPr>
        <w:keepNext w:val="0"/>
      </w:pPr>
      <w:r>
        <w:rPr>
          <w:b w:val="0"/>
          <w:i w:val="0"/>
        </w:rPr>
        <w:t>The team works from Malaysia and India. Onsite presence in Bandar Seri Begawan is planned for the phases where it matters most; everything else is remote, with video conferencing and shared tools.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2835"/>
        <w:gridCol w:w="1360"/>
        <w:gridCol w:w="1474"/>
      </w:tblGrid>
      <w:tr>
        <w:trPr>
          <w:cantSplit/>
          <w:tblHeader/>
        </w:trPr>
        <w:tc>
          <w:tcPr>
            <w:tcW w:type="dxa" w:w="3969"/>
            <w:shd w:val="clear" w:color="auto" w:fill="E1058C"/>
            <w:vAlign w:val="center"/>
          </w:tcPr>
          <w:p>
            <w:pPr>
              <w:spacing w:after="0"/>
            </w:pPr>
            <w:r>
              <w:rPr>
                <w:b/>
                <w:i w:val="0"/>
                <w:color w:val="FFFFFF"/>
                <w:sz w:val="16"/>
              </w:rPr>
              <w:t>Phase</w:t>
            </w:r>
          </w:p>
        </w:tc>
        <w:tc>
          <w:tcPr>
            <w:tcW w:type="dxa" w:w="2835"/>
            <w:shd w:val="clear" w:color="auto" w:fill="E1058C"/>
            <w:vAlign w:val="center"/>
          </w:tcPr>
          <w:p>
            <w:pPr>
              <w:spacing w:after="0"/>
            </w:pPr>
            <w:r>
              <w:rPr>
                <w:b/>
                <w:i w:val="0"/>
                <w:color w:val="FFFFFF"/>
                <w:sz w:val="16"/>
              </w:rPr>
              <w:t>Role</w:t>
            </w:r>
          </w:p>
        </w:tc>
        <w:tc>
          <w:tcPr>
            <w:tcW w:type="dxa" w:w="1361"/>
            <w:shd w:val="clear" w:color="auto" w:fill="E1058C"/>
            <w:vAlign w:val="center"/>
          </w:tcPr>
          <w:p>
            <w:pPr>
              <w:spacing w:after="0"/>
            </w:pPr>
            <w:r>
              <w:rPr>
                <w:b/>
                <w:i w:val="0"/>
                <w:color w:val="FFFFFF"/>
                <w:sz w:val="16"/>
              </w:rPr>
              <w:t>From</w:t>
            </w:r>
          </w:p>
        </w:tc>
        <w:tc>
          <w:tcPr>
            <w:tcW w:type="dxa" w:w="1474"/>
            <w:shd w:val="clear" w:color="auto" w:fill="E1058C"/>
            <w:vAlign w:val="center"/>
          </w:tcPr>
          <w:p>
            <w:pPr>
              <w:spacing w:after="0"/>
            </w:pPr>
            <w:r>
              <w:rPr>
                <w:b/>
                <w:i w:val="0"/>
                <w:color w:val="FFFFFF"/>
                <w:sz w:val="16"/>
              </w:rPr>
              <w:t>Nights onsite</w:t>
            </w:r>
          </w:p>
        </w:tc>
      </w:tr>
      <w:tr>
        <w:trPr>
          <w:cantSplit/>
        </w:trPr>
        <w:tc>
          <w:tcPr>
            <w:tcW w:type="dxa" w:w="3969"/>
            <w:vAlign w:val="top"/>
          </w:tcPr>
          <w:p>
            <w:pPr>
              <w:spacing w:after="20" w:line="252" w:lineRule="auto"/>
            </w:pPr>
            <w:r>
              <w:rPr>
                <w:b w:val="0"/>
                <w:i w:val="0"/>
                <w:sz w:val="16"/>
              </w:rPr>
              <w:t>Requirements gathering and fit-gap (weeks 1–4)</w:t>
            </w:r>
          </w:p>
        </w:tc>
        <w:tc>
          <w:tcPr>
            <w:tcW w:type="dxa" w:w="2835"/>
            <w:vAlign w:val="top"/>
          </w:tcPr>
          <w:p>
            <w:pPr>
              <w:spacing w:after="20" w:line="252" w:lineRule="auto"/>
            </w:pPr>
            <w:r>
              <w:rPr>
                <w:b w:val="0"/>
                <w:i w:val="0"/>
                <w:sz w:val="16"/>
              </w:rPr>
              <w:t>Project Manager</w:t>
            </w:r>
          </w:p>
        </w:tc>
        <w:tc>
          <w:tcPr>
            <w:tcW w:type="dxa" w:w="1361"/>
            <w:vAlign w:val="top"/>
          </w:tcPr>
          <w:p>
            <w:pPr>
              <w:spacing w:after="20" w:line="252" w:lineRule="auto"/>
            </w:pPr>
            <w:r>
              <w:rPr>
                <w:b w:val="0"/>
                <w:i w:val="0"/>
                <w:sz w:val="16"/>
              </w:rPr>
              <w:t>Malaysia</w:t>
            </w:r>
          </w:p>
        </w:tc>
        <w:tc>
          <w:tcPr>
            <w:tcW w:type="dxa" w:w="1474"/>
            <w:vAlign w:val="top"/>
          </w:tcPr>
          <w:p>
            <w:pPr>
              <w:spacing w:after="20" w:line="252" w:lineRule="auto"/>
              <w:jc w:val="center"/>
            </w:pPr>
            <w:r>
              <w:rPr>
                <w:b w:val="0"/>
                <w:i w:val="0"/>
                <w:sz w:val="16"/>
              </w:rPr>
              <w:t>12</w:t>
            </w:r>
          </w:p>
        </w:tc>
      </w:tr>
      <w:tr>
        <w:trPr>
          <w:cantSplit/>
        </w:trPr>
        <w:tc>
          <w:tcPr>
            <w:tcW w:type="dxa" w:w="3969"/>
            <w:vAlign w:val="top"/>
            <w:shd w:val="clear" w:color="auto" w:fill="FDF0F7"/>
          </w:tcPr>
          <w:p>
            <w:pPr>
              <w:spacing w:after="20" w:line="252" w:lineRule="auto"/>
            </w:pPr>
            <w:r>
              <w:rPr>
                <w:b w:val="0"/>
                <w:i w:val="0"/>
                <w:sz w:val="16"/>
              </w:rPr>
              <w:t>Requirements gathering and fit-gap (weeks 1–4)</w:t>
            </w:r>
          </w:p>
        </w:tc>
        <w:tc>
          <w:tcPr>
            <w:tcW w:type="dxa" w:w="2835"/>
            <w:vAlign w:val="top"/>
            <w:shd w:val="clear" w:color="auto" w:fill="FDF0F7"/>
          </w:tcPr>
          <w:p>
            <w:pPr>
              <w:spacing w:after="20" w:line="252" w:lineRule="auto"/>
            </w:pPr>
            <w:r>
              <w:rPr>
                <w:b w:val="0"/>
                <w:i w:val="0"/>
                <w:sz w:val="16"/>
              </w:rPr>
              <w:t>Business Analyst</w:t>
            </w:r>
          </w:p>
        </w:tc>
        <w:tc>
          <w:tcPr>
            <w:tcW w:type="dxa" w:w="1361"/>
            <w:vAlign w:val="top"/>
            <w:shd w:val="clear" w:color="auto" w:fill="FDF0F7"/>
          </w:tcPr>
          <w:p>
            <w:pPr>
              <w:spacing w:after="20" w:line="252" w:lineRule="auto"/>
            </w:pPr>
            <w:r>
              <w:rPr>
                <w:b w:val="0"/>
                <w:i w:val="0"/>
                <w:sz w:val="16"/>
              </w:rPr>
              <w:t>Malaysia</w:t>
            </w:r>
          </w:p>
        </w:tc>
        <w:tc>
          <w:tcPr>
            <w:tcW w:type="dxa" w:w="1474"/>
            <w:vAlign w:val="top"/>
            <w:shd w:val="clear" w:color="auto" w:fill="FDF0F7"/>
          </w:tcPr>
          <w:p>
            <w:pPr>
              <w:spacing w:after="20" w:line="252" w:lineRule="auto"/>
              <w:jc w:val="center"/>
            </w:pPr>
            <w:r>
              <w:rPr>
                <w:b w:val="0"/>
                <w:i w:val="0"/>
                <w:sz w:val="16"/>
              </w:rPr>
              <w:t>19</w:t>
            </w:r>
          </w:p>
        </w:tc>
      </w:tr>
      <w:tr>
        <w:trPr>
          <w:cantSplit/>
        </w:trPr>
        <w:tc>
          <w:tcPr>
            <w:tcW w:type="dxa" w:w="3969"/>
            <w:vAlign w:val="top"/>
          </w:tcPr>
          <w:p>
            <w:pPr>
              <w:spacing w:after="20" w:line="252" w:lineRule="auto"/>
            </w:pPr>
            <w:r>
              <w:rPr>
                <w:b w:val="0"/>
                <w:i w:val="0"/>
                <w:sz w:val="16"/>
              </w:rPr>
              <w:t>Requirements gathering and fit-gap (weeks 1–4)</w:t>
            </w:r>
          </w:p>
        </w:tc>
        <w:tc>
          <w:tcPr>
            <w:tcW w:type="dxa" w:w="2835"/>
            <w:vAlign w:val="top"/>
          </w:tcPr>
          <w:p>
            <w:pPr>
              <w:spacing w:after="20" w:line="252" w:lineRule="auto"/>
            </w:pPr>
            <w:r>
              <w:rPr>
                <w:b w:val="0"/>
                <w:i w:val="0"/>
                <w:sz w:val="16"/>
              </w:rPr>
              <w:t>Solution Architect</w:t>
            </w:r>
          </w:p>
        </w:tc>
        <w:tc>
          <w:tcPr>
            <w:tcW w:type="dxa" w:w="1361"/>
            <w:vAlign w:val="top"/>
          </w:tcPr>
          <w:p>
            <w:pPr>
              <w:spacing w:after="20" w:line="252" w:lineRule="auto"/>
            </w:pPr>
            <w:r>
              <w:rPr>
                <w:b w:val="0"/>
                <w:i w:val="0"/>
                <w:sz w:val="16"/>
              </w:rPr>
              <w:t>India</w:t>
            </w:r>
          </w:p>
        </w:tc>
        <w:tc>
          <w:tcPr>
            <w:tcW w:type="dxa" w:w="1474"/>
            <w:vAlign w:val="top"/>
          </w:tcPr>
          <w:p>
            <w:pPr>
              <w:spacing w:after="20" w:line="252" w:lineRule="auto"/>
              <w:jc w:val="center"/>
            </w:pPr>
            <w:r>
              <w:rPr>
                <w:b w:val="0"/>
                <w:i w:val="0"/>
                <w:sz w:val="16"/>
              </w:rPr>
              <w:t>12</w:t>
            </w:r>
          </w:p>
        </w:tc>
      </w:tr>
      <w:tr>
        <w:trPr>
          <w:cantSplit/>
        </w:trPr>
        <w:tc>
          <w:tcPr>
            <w:tcW w:type="dxa" w:w="3969"/>
            <w:vAlign w:val="top"/>
            <w:shd w:val="clear" w:color="auto" w:fill="FDF0F7"/>
          </w:tcPr>
          <w:p>
            <w:pPr>
              <w:spacing w:after="20" w:line="252" w:lineRule="auto"/>
            </w:pPr>
            <w:r>
              <w:rPr>
                <w:b w:val="0"/>
                <w:i w:val="0"/>
                <w:sz w:val="16"/>
              </w:rPr>
              <w:t>User training and UAT support (weeks 19–23)</w:t>
            </w:r>
          </w:p>
        </w:tc>
        <w:tc>
          <w:tcPr>
            <w:tcW w:type="dxa" w:w="2835"/>
            <w:vAlign w:val="top"/>
            <w:shd w:val="clear" w:color="auto" w:fill="FDF0F7"/>
          </w:tcPr>
          <w:p>
            <w:pPr>
              <w:spacing w:after="20" w:line="252" w:lineRule="auto"/>
            </w:pPr>
            <w:r>
              <w:rPr>
                <w:b w:val="0"/>
                <w:i w:val="0"/>
                <w:sz w:val="16"/>
              </w:rPr>
              <w:t>Business Analyst / Trainer</w:t>
            </w:r>
          </w:p>
        </w:tc>
        <w:tc>
          <w:tcPr>
            <w:tcW w:type="dxa" w:w="1361"/>
            <w:vAlign w:val="top"/>
            <w:shd w:val="clear" w:color="auto" w:fill="FDF0F7"/>
          </w:tcPr>
          <w:p>
            <w:pPr>
              <w:spacing w:after="20" w:line="252" w:lineRule="auto"/>
            </w:pPr>
            <w:r>
              <w:rPr>
                <w:b w:val="0"/>
                <w:i w:val="0"/>
                <w:sz w:val="16"/>
              </w:rPr>
              <w:t>Malaysia</w:t>
            </w:r>
          </w:p>
        </w:tc>
        <w:tc>
          <w:tcPr>
            <w:tcW w:type="dxa" w:w="1474"/>
            <w:vAlign w:val="top"/>
            <w:shd w:val="clear" w:color="auto" w:fill="FDF0F7"/>
          </w:tcPr>
          <w:p>
            <w:pPr>
              <w:spacing w:after="20" w:line="252" w:lineRule="auto"/>
              <w:jc w:val="center"/>
            </w:pPr>
            <w:r>
              <w:rPr>
                <w:b w:val="0"/>
                <w:i w:val="0"/>
                <w:sz w:val="16"/>
              </w:rPr>
              <w:t>19</w:t>
            </w:r>
          </w:p>
        </w:tc>
      </w:tr>
      <w:tr>
        <w:trPr>
          <w:cantSplit/>
        </w:trPr>
        <w:tc>
          <w:tcPr>
            <w:tcW w:type="dxa" w:w="3969"/>
            <w:vAlign w:val="top"/>
          </w:tcPr>
          <w:p>
            <w:pPr>
              <w:spacing w:after="20" w:line="252" w:lineRule="auto"/>
            </w:pPr>
            <w:r>
              <w:rPr>
                <w:b w:val="0"/>
                <w:i w:val="0"/>
                <w:sz w:val="16"/>
              </w:rPr>
              <w:t>User training and UAT support (weeks 19–23)</w:t>
            </w:r>
          </w:p>
        </w:tc>
        <w:tc>
          <w:tcPr>
            <w:tcW w:type="dxa" w:w="2835"/>
            <w:vAlign w:val="top"/>
          </w:tcPr>
          <w:p>
            <w:pPr>
              <w:spacing w:after="20" w:line="252" w:lineRule="auto"/>
            </w:pPr>
            <w:r>
              <w:rPr>
                <w:b w:val="0"/>
                <w:i w:val="0"/>
                <w:sz w:val="16"/>
              </w:rPr>
              <w:t>QA Lead</w:t>
            </w:r>
          </w:p>
        </w:tc>
        <w:tc>
          <w:tcPr>
            <w:tcW w:type="dxa" w:w="1361"/>
            <w:vAlign w:val="top"/>
          </w:tcPr>
          <w:p>
            <w:pPr>
              <w:spacing w:after="20" w:line="252" w:lineRule="auto"/>
            </w:pPr>
            <w:r>
              <w:rPr>
                <w:b w:val="0"/>
                <w:i w:val="0"/>
                <w:sz w:val="16"/>
              </w:rPr>
              <w:t>India</w:t>
            </w:r>
          </w:p>
        </w:tc>
        <w:tc>
          <w:tcPr>
            <w:tcW w:type="dxa" w:w="1474"/>
            <w:vAlign w:val="top"/>
          </w:tcPr>
          <w:p>
            <w:pPr>
              <w:spacing w:after="20" w:line="252" w:lineRule="auto"/>
              <w:jc w:val="center"/>
            </w:pPr>
            <w:r>
              <w:rPr>
                <w:b w:val="0"/>
                <w:i w:val="0"/>
                <w:sz w:val="16"/>
              </w:rPr>
              <w:t>12</w:t>
            </w:r>
          </w:p>
        </w:tc>
      </w:tr>
      <w:tr>
        <w:trPr>
          <w:cantSplit/>
        </w:trPr>
        <w:tc>
          <w:tcPr>
            <w:tcW w:type="dxa" w:w="3969"/>
            <w:vAlign w:val="top"/>
            <w:shd w:val="clear" w:color="auto" w:fill="FDF0F7"/>
          </w:tcPr>
          <w:p>
            <w:pPr>
              <w:spacing w:after="20" w:line="252" w:lineRule="auto"/>
            </w:pPr>
            <w:r>
              <w:rPr>
                <w:b w:val="0"/>
                <w:i w:val="0"/>
                <w:sz w:val="16"/>
              </w:rPr>
              <w:t>Go-live and one month of support (weeks 24–28)</w:t>
            </w:r>
          </w:p>
        </w:tc>
        <w:tc>
          <w:tcPr>
            <w:tcW w:type="dxa" w:w="2835"/>
            <w:vAlign w:val="top"/>
            <w:shd w:val="clear" w:color="auto" w:fill="FDF0F7"/>
          </w:tcPr>
          <w:p>
            <w:pPr>
              <w:spacing w:after="20" w:line="252" w:lineRule="auto"/>
            </w:pPr>
            <w:r>
              <w:rPr>
                <w:b w:val="0"/>
                <w:i w:val="0"/>
                <w:sz w:val="16"/>
              </w:rPr>
              <w:t>Senior Developer</w:t>
            </w:r>
          </w:p>
        </w:tc>
        <w:tc>
          <w:tcPr>
            <w:tcW w:type="dxa" w:w="1361"/>
            <w:vAlign w:val="top"/>
            <w:shd w:val="clear" w:color="auto" w:fill="FDF0F7"/>
          </w:tcPr>
          <w:p>
            <w:pPr>
              <w:spacing w:after="20" w:line="252" w:lineRule="auto"/>
            </w:pPr>
            <w:r>
              <w:rPr>
                <w:b w:val="0"/>
                <w:i w:val="0"/>
                <w:sz w:val="16"/>
              </w:rPr>
              <w:t>India</w:t>
            </w:r>
          </w:p>
        </w:tc>
        <w:tc>
          <w:tcPr>
            <w:tcW w:type="dxa" w:w="1474"/>
            <w:vAlign w:val="top"/>
            <w:shd w:val="clear" w:color="auto" w:fill="FDF0F7"/>
          </w:tcPr>
          <w:p>
            <w:pPr>
              <w:spacing w:after="20" w:line="252" w:lineRule="auto"/>
              <w:jc w:val="center"/>
            </w:pPr>
            <w:r>
              <w:rPr>
                <w:b w:val="0"/>
                <w:i w:val="0"/>
                <w:sz w:val="16"/>
              </w:rPr>
              <w:t>33</w:t>
            </w:r>
          </w:p>
        </w:tc>
      </w:tr>
      <w:tr>
        <w:trPr>
          <w:cantSplit/>
        </w:trPr>
        <w:tc>
          <w:tcPr>
            <w:tcW w:type="dxa" w:w="3969"/>
            <w:vAlign w:val="top"/>
          </w:tcPr>
          <w:p>
            <w:pPr>
              <w:spacing w:after="20" w:line="252" w:lineRule="auto"/>
            </w:pPr>
            <w:r>
              <w:rPr>
                <w:b w:val="0"/>
                <w:i w:val="0"/>
                <w:sz w:val="16"/>
              </w:rPr>
              <w:t>Go-live and one month of support (weeks 24–28)</w:t>
            </w:r>
          </w:p>
        </w:tc>
        <w:tc>
          <w:tcPr>
            <w:tcW w:type="dxa" w:w="2835"/>
            <w:vAlign w:val="top"/>
          </w:tcPr>
          <w:p>
            <w:pPr>
              <w:spacing w:after="20" w:line="252" w:lineRule="auto"/>
            </w:pPr>
            <w:r>
              <w:rPr>
                <w:b w:val="0"/>
                <w:i w:val="0"/>
                <w:sz w:val="16"/>
              </w:rPr>
              <w:t>Project Manager</w:t>
            </w:r>
          </w:p>
        </w:tc>
        <w:tc>
          <w:tcPr>
            <w:tcW w:type="dxa" w:w="1361"/>
            <w:vAlign w:val="top"/>
          </w:tcPr>
          <w:p>
            <w:pPr>
              <w:spacing w:after="20" w:line="252" w:lineRule="auto"/>
            </w:pPr>
            <w:r>
              <w:rPr>
                <w:b w:val="0"/>
                <w:i w:val="0"/>
                <w:sz w:val="16"/>
              </w:rPr>
              <w:t>Malaysia</w:t>
            </w:r>
          </w:p>
        </w:tc>
        <w:tc>
          <w:tcPr>
            <w:tcW w:type="dxa" w:w="1474"/>
            <w:vAlign w:val="top"/>
          </w:tcPr>
          <w:p>
            <w:pPr>
              <w:spacing w:after="20" w:line="252" w:lineRule="auto"/>
              <w:jc w:val="center"/>
            </w:pPr>
            <w:r>
              <w:rPr>
                <w:b w:val="0"/>
                <w:i w:val="0"/>
                <w:sz w:val="16"/>
              </w:rPr>
              <w:t>6</w:t>
            </w:r>
          </w:p>
        </w:tc>
      </w:tr>
      <w:tr>
        <w:trPr>
          <w:cantSplit/>
        </w:trPr>
        <w:tc>
          <w:tcPr>
            <w:tcW w:type="dxa" w:w="3969"/>
            <w:vAlign w:val="top"/>
            <w:shd w:val="clear" w:color="auto" w:fill="FDF0F7"/>
          </w:tcPr>
          <w:p>
            <w:pPr>
              <w:spacing w:after="20" w:line="252" w:lineRule="auto"/>
            </w:pPr>
            <w:r>
              <w:rPr>
                <w:b w:val="0"/>
                <w:i w:val="0"/>
                <w:sz w:val="16"/>
              </w:rPr>
              <w:t>Knowledge transfer and source code handover (Option C)</w:t>
            </w:r>
          </w:p>
        </w:tc>
        <w:tc>
          <w:tcPr>
            <w:tcW w:type="dxa" w:w="2835"/>
            <w:vAlign w:val="top"/>
            <w:shd w:val="clear" w:color="auto" w:fill="FDF0F7"/>
          </w:tcPr>
          <w:p>
            <w:pPr>
              <w:spacing w:after="20" w:line="252" w:lineRule="auto"/>
            </w:pPr>
            <w:r>
              <w:rPr>
                <w:b w:val="0"/>
                <w:i w:val="0"/>
                <w:sz w:val="16"/>
              </w:rPr>
              <w:t>Solution Architect</w:t>
            </w:r>
          </w:p>
        </w:tc>
        <w:tc>
          <w:tcPr>
            <w:tcW w:type="dxa" w:w="1361"/>
            <w:vAlign w:val="top"/>
            <w:shd w:val="clear" w:color="auto" w:fill="FDF0F7"/>
          </w:tcPr>
          <w:p>
            <w:pPr>
              <w:spacing w:after="20" w:line="252" w:lineRule="auto"/>
            </w:pPr>
            <w:r>
              <w:rPr>
                <w:b w:val="0"/>
                <w:i w:val="0"/>
                <w:sz w:val="16"/>
              </w:rPr>
              <w:t>India</w:t>
            </w:r>
          </w:p>
        </w:tc>
        <w:tc>
          <w:tcPr>
            <w:tcW w:type="dxa" w:w="1474"/>
            <w:vAlign w:val="top"/>
            <w:shd w:val="clear" w:color="auto" w:fill="FDF0F7"/>
          </w:tcPr>
          <w:p>
            <w:pPr>
              <w:spacing w:after="20" w:line="252" w:lineRule="auto"/>
              <w:jc w:val="center"/>
            </w:pPr>
            <w:r>
              <w:rPr>
                <w:b w:val="0"/>
                <w:i w:val="0"/>
                <w:sz w:val="16"/>
              </w:rPr>
              <w:t>12</w:t>
            </w:r>
          </w:p>
        </w:tc>
      </w:tr>
      <w:tr>
        <w:trPr>
          <w:cantSplit/>
        </w:trPr>
        <w:tc>
          <w:tcPr>
            <w:tcW w:type="dxa" w:w="3969"/>
            <w:vAlign w:val="top"/>
          </w:tcPr>
          <w:p>
            <w:pPr>
              <w:spacing w:after="20" w:line="252" w:lineRule="auto"/>
            </w:pPr>
            <w:r>
              <w:rPr>
                <w:b w:val="0"/>
                <w:i w:val="0"/>
                <w:sz w:val="16"/>
              </w:rPr>
              <w:t>Knowledge transfer and source code handover (Option C)</w:t>
            </w:r>
          </w:p>
        </w:tc>
        <w:tc>
          <w:tcPr>
            <w:tcW w:type="dxa" w:w="2835"/>
            <w:vAlign w:val="top"/>
          </w:tcPr>
          <w:p>
            <w:pPr>
              <w:spacing w:after="20" w:line="252" w:lineRule="auto"/>
            </w:pPr>
            <w:r>
              <w:rPr>
                <w:b w:val="0"/>
                <w:i w:val="0"/>
                <w:sz w:val="16"/>
              </w:rPr>
              <w:t>Senior Developer</w:t>
            </w:r>
          </w:p>
        </w:tc>
        <w:tc>
          <w:tcPr>
            <w:tcW w:type="dxa" w:w="1361"/>
            <w:vAlign w:val="top"/>
          </w:tcPr>
          <w:p>
            <w:pPr>
              <w:spacing w:after="20" w:line="252" w:lineRule="auto"/>
            </w:pPr>
            <w:r>
              <w:rPr>
                <w:b w:val="0"/>
                <w:i w:val="0"/>
                <w:sz w:val="16"/>
              </w:rPr>
              <w:t>India</w:t>
            </w:r>
          </w:p>
        </w:tc>
        <w:tc>
          <w:tcPr>
            <w:tcW w:type="dxa" w:w="1474"/>
            <w:vAlign w:val="top"/>
          </w:tcPr>
          <w:p>
            <w:pPr>
              <w:spacing w:after="20" w:line="252" w:lineRule="auto"/>
              <w:jc w:val="center"/>
            </w:pPr>
            <w:r>
              <w:rPr>
                <w:b w:val="0"/>
                <w:i w:val="0"/>
                <w:sz w:val="16"/>
              </w:rPr>
              <w:t>12</w:t>
            </w:r>
          </w:p>
        </w:tc>
      </w:tr>
    </w:tbl>
    <w:p>
      <w:pPr>
        <w:pStyle w:val="Caption"/>
        <w:jc w:val="center"/>
      </w:pPr>
      <w:r>
        <w:rPr>
          <w:b w:val="0"/>
          <w:i w:val="0"/>
        </w:rPr>
        <w:t>Table 65: Planned onsite presence (OPE in the Commercial Proposal)</w:t>
      </w:r>
    </w:p>
    <w:p>
      <w:pPr>
        <w:pStyle w:val="Heading2"/>
      </w:pPr>
      <w:r>
        <w:t>21.3 Expected IIFT roles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7030"/>
      </w:tblGrid>
      <w:tr>
        <w:trPr>
          <w:cantSplit/>
          <w:tblHeader/>
        </w:trPr>
        <w:tc>
          <w:tcPr>
            <w:tcW w:type="dxa" w:w="2608"/>
            <w:shd w:val="clear" w:color="auto" w:fill="E1058C"/>
            <w:vAlign w:val="center"/>
          </w:tcPr>
          <w:p>
            <w:pPr>
              <w:spacing w:after="0"/>
            </w:pPr>
            <w:r>
              <w:rPr>
                <w:b/>
                <w:i w:val="0"/>
                <w:color w:val="FFFFFF"/>
                <w:sz w:val="17"/>
              </w:rPr>
              <w:t>IIFT role</w:t>
            </w:r>
          </w:p>
        </w:tc>
        <w:tc>
          <w:tcPr>
            <w:tcW w:type="dxa" w:w="7030"/>
            <w:shd w:val="clear" w:color="auto" w:fill="E1058C"/>
            <w:vAlign w:val="center"/>
          </w:tcPr>
          <w:p>
            <w:pPr>
              <w:spacing w:after="0"/>
            </w:pPr>
            <w:r>
              <w:rPr>
                <w:b/>
                <w:i w:val="0"/>
                <w:color w:val="FFFFFF"/>
                <w:sz w:val="17"/>
              </w:rPr>
              <w:t>Responsibility</w:t>
            </w:r>
          </w:p>
        </w:tc>
      </w:tr>
      <w:tr>
        <w:trPr>
          <w:cantSplit/>
        </w:trPr>
        <w:tc>
          <w:tcPr>
            <w:tcW w:type="dxa" w:w="2608"/>
            <w:vAlign w:val="top"/>
          </w:tcPr>
          <w:p>
            <w:pPr>
              <w:spacing w:after="20" w:line="252" w:lineRule="auto"/>
            </w:pPr>
            <w:r>
              <w:rPr>
                <w:b/>
                <w:i w:val="0"/>
                <w:sz w:val="17"/>
              </w:rPr>
              <w:t>Project Sponsor</w:t>
            </w:r>
          </w:p>
        </w:tc>
        <w:tc>
          <w:tcPr>
            <w:tcW w:type="dxa" w:w="7030"/>
            <w:vAlign w:val="top"/>
          </w:tcPr>
          <w:p>
            <w:pPr>
              <w:spacing w:after="20" w:line="252" w:lineRule="auto"/>
            </w:pPr>
            <w:r>
              <w:rPr>
                <w:b w:val="0"/>
                <w:i w:val="0"/>
                <w:sz w:val="17"/>
              </w:rPr>
              <w:t>Chairs Steering Committee; final decisions</w:t>
            </w:r>
          </w:p>
        </w:tc>
      </w:tr>
      <w:tr>
        <w:trPr>
          <w:cantSplit/>
        </w:trPr>
        <w:tc>
          <w:tcPr>
            <w:tcW w:type="dxa" w:w="2608"/>
            <w:vAlign w:val="top"/>
            <w:shd w:val="clear" w:color="auto" w:fill="FDF0F7"/>
          </w:tcPr>
          <w:p>
            <w:pPr>
              <w:spacing w:after="20" w:line="252" w:lineRule="auto"/>
            </w:pPr>
            <w:r>
              <w:rPr>
                <w:b/>
                <w:i w:val="0"/>
                <w:sz w:val="17"/>
              </w:rPr>
              <w:t>Project Manager</w:t>
            </w:r>
          </w:p>
        </w:tc>
        <w:tc>
          <w:tcPr>
            <w:tcW w:type="dxa" w:w="7030"/>
            <w:vAlign w:val="top"/>
            <w:shd w:val="clear" w:color="auto" w:fill="FDF0F7"/>
          </w:tcPr>
          <w:p>
            <w:pPr>
              <w:spacing w:after="20" w:line="252" w:lineRule="auto"/>
            </w:pPr>
            <w:r>
              <w:rPr>
                <w:b w:val="0"/>
                <w:i w:val="0"/>
                <w:sz w:val="17"/>
              </w:rPr>
              <w:t>Coordinates IIFT resources, approvals and logistics</w:t>
            </w:r>
          </w:p>
        </w:tc>
      </w:tr>
      <w:tr>
        <w:trPr>
          <w:cantSplit/>
        </w:trPr>
        <w:tc>
          <w:tcPr>
            <w:tcW w:type="dxa" w:w="2608"/>
            <w:vAlign w:val="top"/>
          </w:tcPr>
          <w:p>
            <w:pPr>
              <w:spacing w:after="20" w:line="252" w:lineRule="auto"/>
            </w:pPr>
            <w:r>
              <w:rPr>
                <w:b/>
                <w:i w:val="0"/>
                <w:sz w:val="17"/>
              </w:rPr>
              <w:t>Business owners / SMEs</w:t>
            </w:r>
          </w:p>
        </w:tc>
        <w:tc>
          <w:tcPr>
            <w:tcW w:type="dxa" w:w="7030"/>
            <w:vAlign w:val="top"/>
          </w:tcPr>
          <w:p>
            <w:pPr>
              <w:spacing w:after="20" w:line="252" w:lineRule="auto"/>
            </w:pPr>
            <w:r>
              <w:rPr>
                <w:b w:val="0"/>
                <w:i w:val="0"/>
                <w:sz w:val="17"/>
              </w:rPr>
              <w:t>Banca, Underwriting, Finance and Compliance: requirements, rules, UAT</w:t>
            </w:r>
          </w:p>
        </w:tc>
      </w:tr>
      <w:tr>
        <w:trPr>
          <w:cantSplit/>
        </w:trPr>
        <w:tc>
          <w:tcPr>
            <w:tcW w:type="dxa" w:w="2608"/>
            <w:vAlign w:val="top"/>
            <w:shd w:val="clear" w:color="auto" w:fill="FDF0F7"/>
          </w:tcPr>
          <w:p>
            <w:pPr>
              <w:spacing w:after="20" w:line="252" w:lineRule="auto"/>
            </w:pPr>
            <w:r>
              <w:rPr>
                <w:b/>
                <w:i w:val="0"/>
                <w:sz w:val="17"/>
              </w:rPr>
              <w:t>IITH IT</w:t>
            </w:r>
          </w:p>
        </w:tc>
        <w:tc>
          <w:tcPr>
            <w:tcW w:type="dxa" w:w="7030"/>
            <w:vAlign w:val="top"/>
            <w:shd w:val="clear" w:color="auto" w:fill="FDF0F7"/>
          </w:tcPr>
          <w:p>
            <w:pPr>
              <w:spacing w:after="20" w:line="252" w:lineRule="auto"/>
            </w:pPr>
            <w:r>
              <w:rPr>
                <w:b w:val="0"/>
                <w:i w:val="0"/>
                <w:sz w:val="17"/>
              </w:rPr>
              <w:t>Infrastructure, network, security, interfaces, environments</w:t>
            </w:r>
          </w:p>
        </w:tc>
      </w:tr>
      <w:tr>
        <w:trPr>
          <w:cantSplit/>
        </w:trPr>
        <w:tc>
          <w:tcPr>
            <w:tcW w:type="dxa" w:w="2608"/>
            <w:vAlign w:val="top"/>
          </w:tcPr>
          <w:p>
            <w:pPr>
              <w:spacing w:after="20" w:line="252" w:lineRule="auto"/>
            </w:pPr>
            <w:r>
              <w:rPr>
                <w:b/>
                <w:i w:val="0"/>
                <w:sz w:val="17"/>
              </w:rPr>
              <w:t>UAT testers / super-users</w:t>
            </w:r>
          </w:p>
        </w:tc>
        <w:tc>
          <w:tcPr>
            <w:tcW w:type="dxa" w:w="7030"/>
            <w:vAlign w:val="top"/>
          </w:tcPr>
          <w:p>
            <w:pPr>
              <w:spacing w:after="20" w:line="252" w:lineRule="auto"/>
            </w:pPr>
            <w:r>
              <w:rPr>
                <w:b w:val="0"/>
                <w:i w:val="0"/>
                <w:sz w:val="17"/>
              </w:rPr>
              <w:t>Execute UAT; support colleagues after go-live</w:t>
            </w:r>
          </w:p>
        </w:tc>
      </w:tr>
    </w:tbl>
    <w:p>
      <w:pPr>
        <w:spacing w:after="0" w:before="0"/>
      </w:pPr>
      <w:r>
        <w:rPr>
          <w:sz w:val="8"/>
        </w:rPr>
      </w:r>
    </w:p>
    <w:p>
      <w:pPr>
        <w:pStyle w:val="Heading1"/>
        <w:pageBreakBefore w:val="0"/>
        <w:pBdr>
          <w:bottom w:val="single" w:sz="12" w:space="4" w:color="F58220"/>
        </w:pBdr>
      </w:pPr>
      <w:r>
        <w:t>22. Assumptions, Dependencies &amp; Exclusions</w:t>
      </w:r>
    </w:p>
    <w:p>
      <w:pPr>
        <w:pStyle w:val="Heading2"/>
      </w:pPr>
      <w:r>
        <w:t>22.1 Assumptions</w:t>
      </w:r>
    </w:p>
    <w:p>
      <w:pPr>
        <w:pStyle w:val="ListBullet"/>
      </w:pPr>
      <w:r>
        <w:rPr>
          <w:b w:val="0"/>
          <w:i w:val="0"/>
        </w:rPr>
        <w:t>Scope is as described in the RFP (sections 3–8 and Appendices 1–4) and this proposal; changes follow the change request process.</w:t>
      </w:r>
    </w:p>
    <w:p>
      <w:pPr>
        <w:pStyle w:val="ListBullet"/>
      </w:pPr>
      <w:r>
        <w:rPr>
          <w:b w:val="0"/>
          <w:i w:val="0"/>
        </w:rPr>
        <w:t>IIFT provides timely access to business owners and decisions; document reviews are completed within five business days.</w:t>
      </w:r>
    </w:p>
    <w:p>
      <w:pPr>
        <w:pStyle w:val="ListBullet"/>
      </w:pPr>
      <w:r>
        <w:rPr>
          <w:b w:val="0"/>
          <w:i w:val="0"/>
        </w:rPr>
        <w:t>Each external system (Core, FIN, AML, AD, SMS gateway, SMTP) offers a usable interface (API, file or protocol) with test environments; iorta does not modify those systems.</w:t>
      </w:r>
    </w:p>
    <w:p>
      <w:pPr>
        <w:pStyle w:val="ListBullet"/>
      </w:pPr>
      <w:r>
        <w:rPr>
          <w:b w:val="0"/>
          <w:i w:val="0"/>
        </w:rPr>
        <w:t>Rate tables, product rules, document templates and questionnaires are provided by IIFT and signed off by week 6.</w:t>
      </w:r>
    </w:p>
    <w:p>
      <w:pPr>
        <w:pStyle w:val="ListBullet"/>
      </w:pPr>
      <w:r>
        <w:rPr>
          <w:b w:val="0"/>
          <w:i w:val="0"/>
        </w:rPr>
        <w:t>Data migration covers agent, agency, bank, branch, participant and reference data, estimated below 10,000 records from no more than three source extracts; legacy data cleansing at source is IIFT's responsibility.</w:t>
      </w:r>
    </w:p>
    <w:p>
      <w:pPr>
        <w:pStyle w:val="ListBullet"/>
      </w:pPr>
      <w:r>
        <w:rPr>
          <w:b w:val="0"/>
          <w:i w:val="0"/>
        </w:rPr>
        <w:t>Under Option A, hardware, OS licences, network, firewall, load balancer, backup infrastructure and DR site are provided by IIFT/IITH to the sizing in Section 15 and the Bill of Materials.</w:t>
      </w:r>
    </w:p>
    <w:p>
      <w:pPr>
        <w:pStyle w:val="ListBullet"/>
      </w:pPr>
      <w:r>
        <w:rPr>
          <w:b w:val="0"/>
          <w:i w:val="0"/>
        </w:rPr>
        <w:t>Under Option B, IIFT approves the cloud region and makes the AMBD outsourcing and cloud notification before production data is loaded.</w:t>
      </w:r>
    </w:p>
    <w:p>
      <w:pPr>
        <w:pStyle w:val="ListBullet"/>
      </w:pPr>
      <w:r>
        <w:rPr>
          <w:b w:val="0"/>
          <w:i w:val="0"/>
        </w:rPr>
        <w:t>The user interface and documents are in English; Malay translation of screens can be added as a change request.</w:t>
      </w:r>
    </w:p>
    <w:p>
      <w:pPr>
        <w:pStyle w:val="ListBullet"/>
      </w:pPr>
      <w:r>
        <w:rPr>
          <w:b w:val="0"/>
          <w:i w:val="0"/>
        </w:rPr>
        <w:t>Delivery is remote from Malaysia and India, with onsite presence for requirements gathering, user training and UAT support, and go-live with one month of support (and knowledge transfer if Option C is taken). Travel and subsistence for these phases are recharged as OPE at cost (Section 19).</w:t>
      </w:r>
    </w:p>
    <w:p>
      <w:pPr>
        <w:pStyle w:val="ListBullet"/>
      </w:pPr>
      <w:r>
        <w:rPr>
          <w:b w:val="0"/>
          <w:i w:val="0"/>
        </w:rPr>
        <w:t>IIFT business hours are as published in the 'Insurans Islam TAIB Business Hours (Family Takaful)' schedule.</w:t>
      </w:r>
    </w:p>
    <w:p>
      <w:pPr>
        <w:pStyle w:val="Heading2"/>
      </w:pPr>
      <w:r>
        <w:t>22.2 Dependencies</w:t>
      </w:r>
    </w:p>
    <w:p>
      <w:pPr>
        <w:pStyle w:val="ListBullet"/>
      </w:pPr>
      <w:r>
        <w:rPr>
          <w:b w:val="0"/>
          <w:i w:val="0"/>
        </w:rPr>
        <w:t>Contract signature and kick-off date; project timeline counts from kick-off.</w:t>
      </w:r>
    </w:p>
    <w:p>
      <w:pPr>
        <w:pStyle w:val="ListBullet"/>
      </w:pPr>
      <w:r>
        <w:rPr>
          <w:b w:val="0"/>
          <w:i w:val="0"/>
        </w:rPr>
        <w:t>SIT and UAT environments by weeks 8 and 16; production and DR environments by week 20.</w:t>
      </w:r>
    </w:p>
    <w:p>
      <w:pPr>
        <w:pStyle w:val="ListBullet"/>
      </w:pPr>
      <w:r>
        <w:rPr>
          <w:b w:val="0"/>
          <w:i w:val="0"/>
        </w:rPr>
        <w:t>Interface specifications, endpoints and credentials by week 8.</w:t>
      </w:r>
    </w:p>
    <w:p>
      <w:pPr>
        <w:pStyle w:val="ListBullet"/>
      </w:pPr>
      <w:r>
        <w:rPr>
          <w:b w:val="0"/>
          <w:i w:val="0"/>
        </w:rPr>
        <w:t>Legacy data extracts by week 12; UAT testers available weeks 19–22.</w:t>
      </w:r>
    </w:p>
    <w:p>
      <w:pPr>
        <w:pStyle w:val="ListBullet"/>
      </w:pPr>
      <w:r>
        <w:rPr>
          <w:b w:val="0"/>
          <w:i w:val="0"/>
        </w:rPr>
        <w:t>Independent VAPT provider access to the SIT/pre-production environment in weeks 17–19.</w:t>
      </w:r>
    </w:p>
    <w:p>
      <w:pPr>
        <w:pStyle w:val="Heading2"/>
      </w:pPr>
      <w:r>
        <w:t>22.3 Exclusions</w:t>
      </w:r>
    </w:p>
    <w:p>
      <w:pPr>
        <w:pStyle w:val="ListBullet"/>
      </w:pPr>
      <w:r>
        <w:rPr>
          <w:b w:val="0"/>
          <w:i w:val="0"/>
        </w:rPr>
        <w:t>Hardware, operating system licences, network equipment and data-centre services (Option A).</w:t>
      </w:r>
    </w:p>
    <w:p>
      <w:pPr>
        <w:pStyle w:val="ListBullet"/>
      </w:pPr>
      <w:r>
        <w:rPr>
          <w:b w:val="0"/>
          <w:i w:val="0"/>
        </w:rPr>
        <w:t>Cloud infrastructure charges (Option B), recharged at cost without mark-up or paid by IIFT directly.</w:t>
      </w:r>
    </w:p>
    <w:p>
      <w:pPr>
        <w:pStyle w:val="ListBullet"/>
      </w:pPr>
      <w:r>
        <w:rPr>
          <w:b w:val="0"/>
          <w:i w:val="0"/>
        </w:rPr>
        <w:t>Third-party charges listed in the Bill of Materials: SMS messages, AML data service, SSL certificates, e-mail relay services and optional items such as commercial PostgreSQL support or RHEL subscriptions.</w:t>
      </w:r>
    </w:p>
    <w:p>
      <w:pPr>
        <w:pStyle w:val="ListBullet"/>
      </w:pPr>
      <w:r>
        <w:rPr>
          <w:b w:val="0"/>
          <w:i w:val="0"/>
        </w:rPr>
        <w:t>Out-of-pocket expenses, recharged at cost.</w:t>
      </w:r>
    </w:p>
    <w:p>
      <w:pPr>
        <w:pStyle w:val="ListBullet"/>
      </w:pPr>
      <w:r>
        <w:rPr>
          <w:b w:val="0"/>
          <w:i w:val="0"/>
        </w:rPr>
        <w:t>Changes to the Core system, FIN, AML service or other third-party systems.</w:t>
      </w:r>
    </w:p>
    <w:p>
      <w:pPr>
        <w:pStyle w:val="ListBullet"/>
      </w:pPr>
      <w:r>
        <w:rPr>
          <w:b w:val="0"/>
          <w:i w:val="0"/>
        </w:rPr>
        <w:t>Native mobile applications (the portal is responsive and works on tablets and mobile browsers).</w:t>
      </w:r>
    </w:p>
    <w:p>
      <w:pPr>
        <w:pStyle w:val="ListBullet"/>
      </w:pPr>
      <w:r>
        <w:rPr>
          <w:b w:val="0"/>
          <w:i w:val="0"/>
        </w:rPr>
        <w:t>Payment gateway / online card payments (can be added later as a change request).</w:t>
      </w:r>
    </w:p>
    <w:p>
      <w:pPr>
        <w:pStyle w:val="ListBullet"/>
      </w:pPr>
      <w:r>
        <w:rPr>
          <w:b w:val="0"/>
          <w:i w:val="0"/>
        </w:rPr>
        <w:t>Full claims administration and policy administration in the core system beyond claim notification and the portal/back-office functions described.</w:t>
      </w:r>
    </w:p>
    <w:p>
      <w:pPr>
        <w:pStyle w:val="ListBullet"/>
      </w:pPr>
      <w:r>
        <w:rPr>
          <w:b w:val="0"/>
          <w:i w:val="0"/>
        </w:rPr>
        <w:t>Onsite visits outside the planned phases (rate card plus OPE) and work outside IIFT business hours other than P1 incidents (rate card).</w:t>
      </w:r>
    </w:p>
    <w:p>
      <w:pPr>
        <w:pStyle w:val="Heading1"/>
        <w:pageBreakBefore/>
        <w:pBdr>
          <w:bottom w:val="single" w:sz="12" w:space="4" w:color="F58220"/>
        </w:pBdr>
      </w:pPr>
      <w:r>
        <w:t>23. Risk Register</w:t>
      </w:r>
    </w:p>
    <w:p>
      <w:pPr>
        <w:keepNext w:val="0"/>
      </w:pPr>
      <w:r>
        <w:rPr>
          <w:b w:val="0"/>
          <w:i w:val="0"/>
        </w:rPr>
        <w:t>The initial risk register is below. It is maintained by the project managers, reviewed weekly by the Working Committee and monthly by the Steering Committee.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67"/>
        <w:gridCol w:w="2835"/>
        <w:gridCol w:w="907"/>
        <w:gridCol w:w="1077"/>
        <w:gridCol w:w="4252"/>
      </w:tblGrid>
      <w:tr>
        <w:trPr>
          <w:cantSplit/>
          <w:tblHeader/>
        </w:trPr>
        <w:tc>
          <w:tcPr>
            <w:tcW w:type="dxa" w:w="567"/>
            <w:shd w:val="clear" w:color="auto" w:fill="E1058C"/>
            <w:vAlign w:val="center"/>
          </w:tcPr>
          <w:p>
            <w:pPr>
              <w:spacing w:after="0"/>
            </w:pPr>
            <w:r>
              <w:rPr>
                <w:b/>
                <w:i w:val="0"/>
                <w:color w:val="FFFFFF"/>
                <w:sz w:val="16"/>
              </w:rPr>
              <w:t>ID</w:t>
            </w:r>
          </w:p>
        </w:tc>
        <w:tc>
          <w:tcPr>
            <w:tcW w:type="dxa" w:w="2835"/>
            <w:shd w:val="clear" w:color="auto" w:fill="E1058C"/>
            <w:vAlign w:val="center"/>
          </w:tcPr>
          <w:p>
            <w:pPr>
              <w:spacing w:after="0"/>
            </w:pPr>
            <w:r>
              <w:rPr>
                <w:b/>
                <w:i w:val="0"/>
                <w:color w:val="FFFFFF"/>
                <w:sz w:val="16"/>
              </w:rPr>
              <w:t>Risk</w:t>
            </w:r>
          </w:p>
        </w:tc>
        <w:tc>
          <w:tcPr>
            <w:tcW w:type="dxa" w:w="907"/>
            <w:shd w:val="clear" w:color="auto" w:fill="E1058C"/>
            <w:vAlign w:val="center"/>
          </w:tcPr>
          <w:p>
            <w:pPr>
              <w:spacing w:after="0"/>
            </w:pPr>
            <w:r>
              <w:rPr>
                <w:b/>
                <w:i w:val="0"/>
                <w:color w:val="FFFFFF"/>
                <w:sz w:val="16"/>
              </w:rPr>
              <w:t>Impact</w:t>
            </w:r>
          </w:p>
        </w:tc>
        <w:tc>
          <w:tcPr>
            <w:tcW w:type="dxa" w:w="1077"/>
            <w:shd w:val="clear" w:color="auto" w:fill="E1058C"/>
            <w:vAlign w:val="center"/>
          </w:tcPr>
          <w:p>
            <w:pPr>
              <w:spacing w:after="0"/>
            </w:pPr>
            <w:r>
              <w:rPr>
                <w:b/>
                <w:i w:val="0"/>
                <w:color w:val="FFFFFF"/>
                <w:sz w:val="16"/>
              </w:rPr>
              <w:t>Likelihood</w:t>
            </w:r>
          </w:p>
        </w:tc>
        <w:tc>
          <w:tcPr>
            <w:tcW w:type="dxa" w:w="4252"/>
            <w:shd w:val="clear" w:color="auto" w:fill="E1058C"/>
            <w:vAlign w:val="center"/>
          </w:tcPr>
          <w:p>
            <w:pPr>
              <w:spacing w:after="0"/>
            </w:pPr>
            <w:r>
              <w:rPr>
                <w:b/>
                <w:i w:val="0"/>
                <w:color w:val="FFFFFF"/>
                <w:sz w:val="16"/>
              </w:rPr>
              <w:t>Mitigation</w:t>
            </w:r>
          </w:p>
        </w:tc>
      </w:tr>
      <w:tr>
        <w:trPr>
          <w:cantSplit/>
        </w:trPr>
        <w:tc>
          <w:tcPr>
            <w:tcW w:type="dxa" w:w="567"/>
            <w:vAlign w:val="top"/>
          </w:tcPr>
          <w:p>
            <w:pPr>
              <w:spacing w:after="20" w:line="252" w:lineRule="auto"/>
              <w:jc w:val="center"/>
            </w:pPr>
            <w:r>
              <w:rPr>
                <w:b w:val="0"/>
                <w:i w:val="0"/>
                <w:sz w:val="16"/>
              </w:rPr>
              <w:t>R1</w:t>
            </w:r>
          </w:p>
        </w:tc>
        <w:tc>
          <w:tcPr>
            <w:tcW w:type="dxa" w:w="2835"/>
            <w:vAlign w:val="top"/>
          </w:tcPr>
          <w:p>
            <w:pPr>
              <w:spacing w:after="20" w:line="252" w:lineRule="auto"/>
            </w:pPr>
            <w:r>
              <w:rPr>
                <w:b w:val="0"/>
                <w:i w:val="0"/>
                <w:sz w:val="16"/>
              </w:rPr>
              <w:t>Delayed availability or incomplete specification of Core/FIN interfaces</w:t>
            </w:r>
          </w:p>
        </w:tc>
        <w:tc>
          <w:tcPr>
            <w:tcW w:type="dxa" w:w="907"/>
            <w:vAlign w:val="top"/>
          </w:tcPr>
          <w:p>
            <w:pPr>
              <w:spacing w:after="20" w:line="252" w:lineRule="auto"/>
              <w:jc w:val="center"/>
            </w:pPr>
            <w:r>
              <w:rPr>
                <w:b w:val="0"/>
                <w:i w:val="0"/>
                <w:sz w:val="16"/>
              </w:rPr>
              <w:t>High</w:t>
            </w:r>
          </w:p>
        </w:tc>
        <w:tc>
          <w:tcPr>
            <w:tcW w:type="dxa" w:w="1077"/>
            <w:vAlign w:val="top"/>
          </w:tcPr>
          <w:p>
            <w:pPr>
              <w:spacing w:after="20" w:line="252" w:lineRule="auto"/>
              <w:jc w:val="center"/>
            </w:pPr>
            <w:r>
              <w:rPr>
                <w:b w:val="0"/>
                <w:i w:val="0"/>
                <w:sz w:val="16"/>
              </w:rPr>
              <w:t>Medium</w:t>
            </w:r>
          </w:p>
        </w:tc>
        <w:tc>
          <w:tcPr>
            <w:tcW w:type="dxa" w:w="4252"/>
            <w:vAlign w:val="top"/>
          </w:tcPr>
          <w:p>
            <w:pPr>
              <w:spacing w:after="20" w:line="252" w:lineRule="auto"/>
            </w:pPr>
            <w:r>
              <w:rPr>
                <w:b w:val="0"/>
                <w:i w:val="0"/>
                <w:sz w:val="16"/>
              </w:rPr>
              <w:t>Early interface workshops (week 3); mock services so build continues; interface specification sign-off by week 6</w:t>
            </w:r>
          </w:p>
        </w:tc>
      </w:tr>
      <w:tr>
        <w:trPr>
          <w:cantSplit/>
        </w:trPr>
        <w:tc>
          <w:tcPr>
            <w:tcW w:type="dxa" w:w="567"/>
            <w:vAlign w:val="top"/>
            <w:shd w:val="clear" w:color="auto" w:fill="FDF0F7"/>
          </w:tcPr>
          <w:p>
            <w:pPr>
              <w:spacing w:after="20" w:line="252" w:lineRule="auto"/>
              <w:jc w:val="center"/>
            </w:pPr>
            <w:r>
              <w:rPr>
                <w:b w:val="0"/>
                <w:i w:val="0"/>
                <w:sz w:val="16"/>
              </w:rPr>
              <w:t>R2</w:t>
            </w:r>
          </w:p>
        </w:tc>
        <w:tc>
          <w:tcPr>
            <w:tcW w:type="dxa" w:w="2835"/>
            <w:vAlign w:val="top"/>
            <w:shd w:val="clear" w:color="auto" w:fill="FDF0F7"/>
          </w:tcPr>
          <w:p>
            <w:pPr>
              <w:spacing w:after="20" w:line="252" w:lineRule="auto"/>
            </w:pPr>
            <w:r>
              <w:rPr>
                <w:b w:val="0"/>
                <w:i w:val="0"/>
                <w:sz w:val="16"/>
              </w:rPr>
              <w:t>Late provision of SIT/UAT/production environments</w:t>
            </w:r>
          </w:p>
        </w:tc>
        <w:tc>
          <w:tcPr>
            <w:tcW w:type="dxa" w:w="907"/>
            <w:vAlign w:val="top"/>
            <w:shd w:val="clear" w:color="auto" w:fill="FDF0F7"/>
          </w:tcPr>
          <w:p>
            <w:pPr>
              <w:spacing w:after="20" w:line="252" w:lineRule="auto"/>
              <w:jc w:val="center"/>
            </w:pPr>
            <w:r>
              <w:rPr>
                <w:b w:val="0"/>
                <w:i w:val="0"/>
                <w:sz w:val="16"/>
              </w:rPr>
              <w:t>High</w:t>
            </w:r>
          </w:p>
        </w:tc>
        <w:tc>
          <w:tcPr>
            <w:tcW w:type="dxa" w:w="1077"/>
            <w:vAlign w:val="top"/>
            <w:shd w:val="clear" w:color="auto" w:fill="FDF0F7"/>
          </w:tcPr>
          <w:p>
            <w:pPr>
              <w:spacing w:after="20" w:line="252" w:lineRule="auto"/>
              <w:jc w:val="center"/>
            </w:pPr>
            <w:r>
              <w:rPr>
                <w:b w:val="0"/>
                <w:i w:val="0"/>
                <w:sz w:val="16"/>
              </w:rPr>
              <w:t>Medium</w:t>
            </w:r>
          </w:p>
        </w:tc>
        <w:tc>
          <w:tcPr>
            <w:tcW w:type="dxa" w:w="4252"/>
            <w:vAlign w:val="top"/>
            <w:shd w:val="clear" w:color="auto" w:fill="FDF0F7"/>
          </w:tcPr>
          <w:p>
            <w:pPr>
              <w:spacing w:after="20" w:line="252" w:lineRule="auto"/>
            </w:pPr>
            <w:r>
              <w:rPr>
                <w:b w:val="0"/>
                <w:i w:val="0"/>
                <w:sz w:val="16"/>
              </w:rPr>
              <w:t>Environment request at kick-off; iorta-hosted SIT as interim; containerised deployment reduces set-up time</w:t>
            </w:r>
          </w:p>
        </w:tc>
      </w:tr>
      <w:tr>
        <w:trPr>
          <w:cantSplit/>
        </w:trPr>
        <w:tc>
          <w:tcPr>
            <w:tcW w:type="dxa" w:w="567"/>
            <w:vAlign w:val="top"/>
          </w:tcPr>
          <w:p>
            <w:pPr>
              <w:spacing w:after="20" w:line="252" w:lineRule="auto"/>
              <w:jc w:val="center"/>
            </w:pPr>
            <w:r>
              <w:rPr>
                <w:b w:val="0"/>
                <w:i w:val="0"/>
                <w:sz w:val="16"/>
              </w:rPr>
              <w:t>R3</w:t>
            </w:r>
          </w:p>
        </w:tc>
        <w:tc>
          <w:tcPr>
            <w:tcW w:type="dxa" w:w="2835"/>
            <w:vAlign w:val="top"/>
          </w:tcPr>
          <w:p>
            <w:pPr>
              <w:spacing w:after="20" w:line="252" w:lineRule="auto"/>
            </w:pPr>
            <w:r>
              <w:rPr>
                <w:b w:val="0"/>
                <w:i w:val="0"/>
                <w:sz w:val="16"/>
              </w:rPr>
              <w:t>Rate tables or product rules not finalised in time</w:t>
            </w:r>
          </w:p>
        </w:tc>
        <w:tc>
          <w:tcPr>
            <w:tcW w:type="dxa" w:w="907"/>
            <w:vAlign w:val="top"/>
          </w:tcPr>
          <w:p>
            <w:pPr>
              <w:spacing w:after="20" w:line="252" w:lineRule="auto"/>
              <w:jc w:val="center"/>
            </w:pPr>
            <w:r>
              <w:rPr>
                <w:b w:val="0"/>
                <w:i w:val="0"/>
                <w:sz w:val="16"/>
              </w:rPr>
              <w:t>High</w:t>
            </w:r>
          </w:p>
        </w:tc>
        <w:tc>
          <w:tcPr>
            <w:tcW w:type="dxa" w:w="1077"/>
            <w:vAlign w:val="top"/>
          </w:tcPr>
          <w:p>
            <w:pPr>
              <w:spacing w:after="20" w:line="252" w:lineRule="auto"/>
              <w:jc w:val="center"/>
            </w:pPr>
            <w:r>
              <w:rPr>
                <w:b w:val="0"/>
                <w:i w:val="0"/>
                <w:sz w:val="16"/>
              </w:rPr>
              <w:t>Medium</w:t>
            </w:r>
          </w:p>
        </w:tc>
        <w:tc>
          <w:tcPr>
            <w:tcW w:type="dxa" w:w="4252"/>
            <w:vAlign w:val="top"/>
          </w:tcPr>
          <w:p>
            <w:pPr>
              <w:spacing w:after="20" w:line="252" w:lineRule="auto"/>
            </w:pPr>
            <w:r>
              <w:rPr>
                <w:b w:val="0"/>
                <w:i w:val="0"/>
                <w:sz w:val="16"/>
              </w:rPr>
              <w:t>Configurable rating with placeholder rates; rate validation as an SIT exit criterion</w:t>
            </w:r>
          </w:p>
        </w:tc>
      </w:tr>
      <w:tr>
        <w:trPr>
          <w:cantSplit/>
        </w:trPr>
        <w:tc>
          <w:tcPr>
            <w:tcW w:type="dxa" w:w="567"/>
            <w:vAlign w:val="top"/>
            <w:shd w:val="clear" w:color="auto" w:fill="FDF0F7"/>
          </w:tcPr>
          <w:p>
            <w:pPr>
              <w:spacing w:after="20" w:line="252" w:lineRule="auto"/>
              <w:jc w:val="center"/>
            </w:pPr>
            <w:r>
              <w:rPr>
                <w:b w:val="0"/>
                <w:i w:val="0"/>
                <w:sz w:val="16"/>
              </w:rPr>
              <w:t>R4</w:t>
            </w:r>
          </w:p>
        </w:tc>
        <w:tc>
          <w:tcPr>
            <w:tcW w:type="dxa" w:w="2835"/>
            <w:vAlign w:val="top"/>
            <w:shd w:val="clear" w:color="auto" w:fill="FDF0F7"/>
          </w:tcPr>
          <w:p>
            <w:pPr>
              <w:spacing w:after="20" w:line="252" w:lineRule="auto"/>
            </w:pPr>
            <w:r>
              <w:rPr>
                <w:b w:val="0"/>
                <w:i w:val="0"/>
                <w:sz w:val="16"/>
              </w:rPr>
              <w:t>Scope growth during design</w:t>
            </w:r>
          </w:p>
        </w:tc>
        <w:tc>
          <w:tcPr>
            <w:tcW w:type="dxa" w:w="907"/>
            <w:vAlign w:val="top"/>
            <w:shd w:val="clear" w:color="auto" w:fill="FDF0F7"/>
          </w:tcPr>
          <w:p>
            <w:pPr>
              <w:spacing w:after="20" w:line="252" w:lineRule="auto"/>
              <w:jc w:val="center"/>
            </w:pPr>
            <w:r>
              <w:rPr>
                <w:b w:val="0"/>
                <w:i w:val="0"/>
                <w:sz w:val="16"/>
              </w:rPr>
              <w:t>Medium</w:t>
            </w:r>
          </w:p>
        </w:tc>
        <w:tc>
          <w:tcPr>
            <w:tcW w:type="dxa" w:w="1077"/>
            <w:vAlign w:val="top"/>
            <w:shd w:val="clear" w:color="auto" w:fill="FDF0F7"/>
          </w:tcPr>
          <w:p>
            <w:pPr>
              <w:spacing w:after="20" w:line="252" w:lineRule="auto"/>
              <w:jc w:val="center"/>
            </w:pPr>
            <w:r>
              <w:rPr>
                <w:b w:val="0"/>
                <w:i w:val="0"/>
                <w:sz w:val="16"/>
              </w:rPr>
              <w:t>Medium</w:t>
            </w:r>
          </w:p>
        </w:tc>
        <w:tc>
          <w:tcPr>
            <w:tcW w:type="dxa" w:w="4252"/>
            <w:vAlign w:val="top"/>
            <w:shd w:val="clear" w:color="auto" w:fill="FDF0F7"/>
          </w:tcPr>
          <w:p>
            <w:pPr>
              <w:spacing w:after="20" w:line="252" w:lineRule="auto"/>
            </w:pPr>
            <w:r>
              <w:rPr>
                <w:b w:val="0"/>
                <w:i w:val="0"/>
                <w:sz w:val="16"/>
              </w:rPr>
              <w:t>Workshops on working screens; scope baseline at M2; formal change control</w:t>
            </w:r>
          </w:p>
        </w:tc>
      </w:tr>
      <w:tr>
        <w:trPr>
          <w:cantSplit/>
        </w:trPr>
        <w:tc>
          <w:tcPr>
            <w:tcW w:type="dxa" w:w="567"/>
            <w:vAlign w:val="top"/>
          </w:tcPr>
          <w:p>
            <w:pPr>
              <w:spacing w:after="20" w:line="252" w:lineRule="auto"/>
              <w:jc w:val="center"/>
            </w:pPr>
            <w:r>
              <w:rPr>
                <w:b w:val="0"/>
                <w:i w:val="0"/>
                <w:sz w:val="16"/>
              </w:rPr>
              <w:t>R5</w:t>
            </w:r>
          </w:p>
        </w:tc>
        <w:tc>
          <w:tcPr>
            <w:tcW w:type="dxa" w:w="2835"/>
            <w:vAlign w:val="top"/>
          </w:tcPr>
          <w:p>
            <w:pPr>
              <w:spacing w:after="20" w:line="252" w:lineRule="auto"/>
            </w:pPr>
            <w:r>
              <w:rPr>
                <w:b w:val="0"/>
                <w:i w:val="0"/>
                <w:sz w:val="16"/>
              </w:rPr>
              <w:t>Legacy data quality lower than expected</w:t>
            </w:r>
          </w:p>
        </w:tc>
        <w:tc>
          <w:tcPr>
            <w:tcW w:type="dxa" w:w="907"/>
            <w:vAlign w:val="top"/>
          </w:tcPr>
          <w:p>
            <w:pPr>
              <w:spacing w:after="20" w:line="252" w:lineRule="auto"/>
              <w:jc w:val="center"/>
            </w:pPr>
            <w:r>
              <w:rPr>
                <w:b w:val="0"/>
                <w:i w:val="0"/>
                <w:sz w:val="16"/>
              </w:rPr>
              <w:t>Medium</w:t>
            </w:r>
          </w:p>
        </w:tc>
        <w:tc>
          <w:tcPr>
            <w:tcW w:type="dxa" w:w="1077"/>
            <w:vAlign w:val="top"/>
          </w:tcPr>
          <w:p>
            <w:pPr>
              <w:spacing w:after="20" w:line="252" w:lineRule="auto"/>
              <w:jc w:val="center"/>
            </w:pPr>
            <w:r>
              <w:rPr>
                <w:b w:val="0"/>
                <w:i w:val="0"/>
                <w:sz w:val="16"/>
              </w:rPr>
              <w:t>Medium</w:t>
            </w:r>
          </w:p>
        </w:tc>
        <w:tc>
          <w:tcPr>
            <w:tcW w:type="dxa" w:w="4252"/>
            <w:vAlign w:val="top"/>
          </w:tcPr>
          <w:p>
            <w:pPr>
              <w:spacing w:after="20" w:line="252" w:lineRule="auto"/>
            </w:pPr>
            <w:r>
              <w:rPr>
                <w:b w:val="0"/>
                <w:i w:val="0"/>
                <w:sz w:val="16"/>
              </w:rPr>
              <w:t>Early profiling; two dry-runs; cleansing rules owned by IIFT data owners</w:t>
            </w:r>
          </w:p>
        </w:tc>
      </w:tr>
      <w:tr>
        <w:trPr>
          <w:cantSplit/>
        </w:trPr>
        <w:tc>
          <w:tcPr>
            <w:tcW w:type="dxa" w:w="567"/>
            <w:vAlign w:val="top"/>
            <w:shd w:val="clear" w:color="auto" w:fill="FDF0F7"/>
          </w:tcPr>
          <w:p>
            <w:pPr>
              <w:spacing w:after="20" w:line="252" w:lineRule="auto"/>
              <w:jc w:val="center"/>
            </w:pPr>
            <w:r>
              <w:rPr>
                <w:b w:val="0"/>
                <w:i w:val="0"/>
                <w:sz w:val="16"/>
              </w:rPr>
              <w:t>R6</w:t>
            </w:r>
          </w:p>
        </w:tc>
        <w:tc>
          <w:tcPr>
            <w:tcW w:type="dxa" w:w="2835"/>
            <w:vAlign w:val="top"/>
            <w:shd w:val="clear" w:color="auto" w:fill="FDF0F7"/>
          </w:tcPr>
          <w:p>
            <w:pPr>
              <w:spacing w:after="20" w:line="252" w:lineRule="auto"/>
            </w:pPr>
            <w:r>
              <w:rPr>
                <w:b w:val="0"/>
                <w:i w:val="0"/>
                <w:sz w:val="16"/>
              </w:rPr>
              <w:t>Limited availability of IIFT users for UAT</w:t>
            </w:r>
          </w:p>
        </w:tc>
        <w:tc>
          <w:tcPr>
            <w:tcW w:type="dxa" w:w="907"/>
            <w:vAlign w:val="top"/>
            <w:shd w:val="clear" w:color="auto" w:fill="FDF0F7"/>
          </w:tcPr>
          <w:p>
            <w:pPr>
              <w:spacing w:after="20" w:line="252" w:lineRule="auto"/>
              <w:jc w:val="center"/>
            </w:pPr>
            <w:r>
              <w:rPr>
                <w:b w:val="0"/>
                <w:i w:val="0"/>
                <w:sz w:val="16"/>
              </w:rPr>
              <w:t>Medium</w:t>
            </w:r>
          </w:p>
        </w:tc>
        <w:tc>
          <w:tcPr>
            <w:tcW w:type="dxa" w:w="1077"/>
            <w:vAlign w:val="top"/>
            <w:shd w:val="clear" w:color="auto" w:fill="FDF0F7"/>
          </w:tcPr>
          <w:p>
            <w:pPr>
              <w:spacing w:after="20" w:line="252" w:lineRule="auto"/>
              <w:jc w:val="center"/>
            </w:pPr>
            <w:r>
              <w:rPr>
                <w:b w:val="0"/>
                <w:i w:val="0"/>
                <w:sz w:val="16"/>
              </w:rPr>
              <w:t>Low</w:t>
            </w:r>
          </w:p>
        </w:tc>
        <w:tc>
          <w:tcPr>
            <w:tcW w:type="dxa" w:w="4252"/>
            <w:vAlign w:val="top"/>
            <w:shd w:val="clear" w:color="auto" w:fill="FDF0F7"/>
          </w:tcPr>
          <w:p>
            <w:pPr>
              <w:spacing w:after="20" w:line="252" w:lineRule="auto"/>
            </w:pPr>
            <w:r>
              <w:rPr>
                <w:b w:val="0"/>
                <w:i w:val="0"/>
                <w:sz w:val="16"/>
              </w:rPr>
              <w:t>UAT plan agreed at M2; scenario scripts prepared by iorta; super-user model</w:t>
            </w:r>
          </w:p>
        </w:tc>
      </w:tr>
      <w:tr>
        <w:trPr>
          <w:cantSplit/>
        </w:trPr>
        <w:tc>
          <w:tcPr>
            <w:tcW w:type="dxa" w:w="567"/>
            <w:vAlign w:val="top"/>
          </w:tcPr>
          <w:p>
            <w:pPr>
              <w:spacing w:after="20" w:line="252" w:lineRule="auto"/>
              <w:jc w:val="center"/>
            </w:pPr>
            <w:r>
              <w:rPr>
                <w:b w:val="0"/>
                <w:i w:val="0"/>
                <w:sz w:val="16"/>
              </w:rPr>
              <w:t>R7</w:t>
            </w:r>
          </w:p>
        </w:tc>
        <w:tc>
          <w:tcPr>
            <w:tcW w:type="dxa" w:w="2835"/>
            <w:vAlign w:val="top"/>
          </w:tcPr>
          <w:p>
            <w:pPr>
              <w:spacing w:after="20" w:line="252" w:lineRule="auto"/>
            </w:pPr>
            <w:r>
              <w:rPr>
                <w:b w:val="0"/>
                <w:i w:val="0"/>
                <w:sz w:val="16"/>
              </w:rPr>
              <w:t>VAPT reveals significant findings close to go-live</w:t>
            </w:r>
          </w:p>
        </w:tc>
        <w:tc>
          <w:tcPr>
            <w:tcW w:type="dxa" w:w="907"/>
            <w:vAlign w:val="top"/>
          </w:tcPr>
          <w:p>
            <w:pPr>
              <w:spacing w:after="20" w:line="252" w:lineRule="auto"/>
              <w:jc w:val="center"/>
            </w:pPr>
            <w:r>
              <w:rPr>
                <w:b w:val="0"/>
                <w:i w:val="0"/>
                <w:sz w:val="16"/>
              </w:rPr>
              <w:t>High</w:t>
            </w:r>
          </w:p>
        </w:tc>
        <w:tc>
          <w:tcPr>
            <w:tcW w:type="dxa" w:w="1077"/>
            <w:vAlign w:val="top"/>
          </w:tcPr>
          <w:p>
            <w:pPr>
              <w:spacing w:after="20" w:line="252" w:lineRule="auto"/>
              <w:jc w:val="center"/>
            </w:pPr>
            <w:r>
              <w:rPr>
                <w:b w:val="0"/>
                <w:i w:val="0"/>
                <w:sz w:val="16"/>
              </w:rPr>
              <w:t>Low</w:t>
            </w:r>
          </w:p>
        </w:tc>
        <w:tc>
          <w:tcPr>
            <w:tcW w:type="dxa" w:w="4252"/>
            <w:vAlign w:val="top"/>
          </w:tcPr>
          <w:p>
            <w:pPr>
              <w:spacing w:after="20" w:line="252" w:lineRule="auto"/>
            </w:pPr>
            <w:r>
              <w:rPr>
                <w:b w:val="0"/>
                <w:i w:val="0"/>
                <w:sz w:val="16"/>
              </w:rPr>
              <w:t>Secure SDLC with SAST/SCA/DAST from sprint 1; VAPT in weeks 17–19 leaves time for remediation</w:t>
            </w:r>
          </w:p>
        </w:tc>
      </w:tr>
      <w:tr>
        <w:trPr>
          <w:cantSplit/>
        </w:trPr>
        <w:tc>
          <w:tcPr>
            <w:tcW w:type="dxa" w:w="567"/>
            <w:vAlign w:val="top"/>
            <w:shd w:val="clear" w:color="auto" w:fill="FDF0F7"/>
          </w:tcPr>
          <w:p>
            <w:pPr>
              <w:spacing w:after="20" w:line="252" w:lineRule="auto"/>
              <w:jc w:val="center"/>
            </w:pPr>
            <w:r>
              <w:rPr>
                <w:b w:val="0"/>
                <w:i w:val="0"/>
                <w:sz w:val="16"/>
              </w:rPr>
              <w:t>R8</w:t>
            </w:r>
          </w:p>
        </w:tc>
        <w:tc>
          <w:tcPr>
            <w:tcW w:type="dxa" w:w="2835"/>
            <w:vAlign w:val="top"/>
            <w:shd w:val="clear" w:color="auto" w:fill="FDF0F7"/>
          </w:tcPr>
          <w:p>
            <w:pPr>
              <w:spacing w:after="20" w:line="252" w:lineRule="auto"/>
            </w:pPr>
            <w:r>
              <w:rPr>
                <w:b w:val="0"/>
                <w:i w:val="0"/>
                <w:sz w:val="16"/>
              </w:rPr>
              <w:t>AML provider integration constraints (rate limits, formats)</w:t>
            </w:r>
          </w:p>
        </w:tc>
        <w:tc>
          <w:tcPr>
            <w:tcW w:type="dxa" w:w="907"/>
            <w:vAlign w:val="top"/>
            <w:shd w:val="clear" w:color="auto" w:fill="FDF0F7"/>
          </w:tcPr>
          <w:p>
            <w:pPr>
              <w:spacing w:after="20" w:line="252" w:lineRule="auto"/>
              <w:jc w:val="center"/>
            </w:pPr>
            <w:r>
              <w:rPr>
                <w:b w:val="0"/>
                <w:i w:val="0"/>
                <w:sz w:val="16"/>
              </w:rPr>
              <w:t>Medium</w:t>
            </w:r>
          </w:p>
        </w:tc>
        <w:tc>
          <w:tcPr>
            <w:tcW w:type="dxa" w:w="1077"/>
            <w:vAlign w:val="top"/>
            <w:shd w:val="clear" w:color="auto" w:fill="FDF0F7"/>
          </w:tcPr>
          <w:p>
            <w:pPr>
              <w:spacing w:after="20" w:line="252" w:lineRule="auto"/>
              <w:jc w:val="center"/>
            </w:pPr>
            <w:r>
              <w:rPr>
                <w:b w:val="0"/>
                <w:i w:val="0"/>
                <w:sz w:val="16"/>
              </w:rPr>
              <w:t>Low</w:t>
            </w:r>
          </w:p>
        </w:tc>
        <w:tc>
          <w:tcPr>
            <w:tcW w:type="dxa" w:w="4252"/>
            <w:vAlign w:val="top"/>
            <w:shd w:val="clear" w:color="auto" w:fill="FDF0F7"/>
          </w:tcPr>
          <w:p>
            <w:pPr>
              <w:spacing w:after="20" w:line="252" w:lineRule="auto"/>
            </w:pPr>
            <w:r>
              <w:rPr>
                <w:b w:val="0"/>
                <w:i w:val="0"/>
                <w:sz w:val="16"/>
              </w:rPr>
              <w:t>Adapter with queueing and retry; manual screening fallback with audit</w:t>
            </w:r>
          </w:p>
        </w:tc>
      </w:tr>
      <w:tr>
        <w:trPr>
          <w:cantSplit/>
        </w:trPr>
        <w:tc>
          <w:tcPr>
            <w:tcW w:type="dxa" w:w="567"/>
            <w:vAlign w:val="top"/>
          </w:tcPr>
          <w:p>
            <w:pPr>
              <w:spacing w:after="20" w:line="252" w:lineRule="auto"/>
              <w:jc w:val="center"/>
            </w:pPr>
            <w:r>
              <w:rPr>
                <w:b w:val="0"/>
                <w:i w:val="0"/>
                <w:sz w:val="16"/>
              </w:rPr>
              <w:t>R9</w:t>
            </w:r>
          </w:p>
        </w:tc>
        <w:tc>
          <w:tcPr>
            <w:tcW w:type="dxa" w:w="2835"/>
            <w:vAlign w:val="top"/>
          </w:tcPr>
          <w:p>
            <w:pPr>
              <w:spacing w:after="20" w:line="252" w:lineRule="auto"/>
            </w:pPr>
            <w:r>
              <w:rPr>
                <w:b w:val="0"/>
                <w:i w:val="0"/>
                <w:sz w:val="16"/>
              </w:rPr>
              <w:t>Low adoption by bank officers and agents</w:t>
            </w:r>
          </w:p>
        </w:tc>
        <w:tc>
          <w:tcPr>
            <w:tcW w:type="dxa" w:w="907"/>
            <w:vAlign w:val="top"/>
          </w:tcPr>
          <w:p>
            <w:pPr>
              <w:spacing w:after="20" w:line="252" w:lineRule="auto"/>
              <w:jc w:val="center"/>
            </w:pPr>
            <w:r>
              <w:rPr>
                <w:b w:val="0"/>
                <w:i w:val="0"/>
                <w:sz w:val="16"/>
              </w:rPr>
              <w:t>Medium</w:t>
            </w:r>
          </w:p>
        </w:tc>
        <w:tc>
          <w:tcPr>
            <w:tcW w:type="dxa" w:w="1077"/>
            <w:vAlign w:val="top"/>
          </w:tcPr>
          <w:p>
            <w:pPr>
              <w:spacing w:after="20" w:line="252" w:lineRule="auto"/>
              <w:jc w:val="center"/>
            </w:pPr>
            <w:r>
              <w:rPr>
                <w:b w:val="0"/>
                <w:i w:val="0"/>
                <w:sz w:val="16"/>
              </w:rPr>
              <w:t>Low</w:t>
            </w:r>
          </w:p>
        </w:tc>
        <w:tc>
          <w:tcPr>
            <w:tcW w:type="dxa" w:w="4252"/>
            <w:vAlign w:val="top"/>
          </w:tcPr>
          <w:p>
            <w:pPr>
              <w:spacing w:after="20" w:line="252" w:lineRule="auto"/>
            </w:pPr>
            <w:r>
              <w:rPr>
                <w:b w:val="0"/>
                <w:i w:val="0"/>
                <w:sz w:val="16"/>
              </w:rPr>
              <w:t>Change management, train-the-trainer, simple UX, onboarding pack, adoption KPIs</w:t>
            </w:r>
          </w:p>
        </w:tc>
      </w:tr>
      <w:tr>
        <w:trPr>
          <w:cantSplit/>
        </w:trPr>
        <w:tc>
          <w:tcPr>
            <w:tcW w:type="dxa" w:w="567"/>
            <w:vAlign w:val="top"/>
            <w:shd w:val="clear" w:color="auto" w:fill="FDF0F7"/>
          </w:tcPr>
          <w:p>
            <w:pPr>
              <w:spacing w:after="20" w:line="252" w:lineRule="auto"/>
              <w:jc w:val="center"/>
            </w:pPr>
            <w:r>
              <w:rPr>
                <w:b w:val="0"/>
                <w:i w:val="0"/>
                <w:sz w:val="16"/>
              </w:rPr>
              <w:t>R10</w:t>
            </w:r>
          </w:p>
        </w:tc>
        <w:tc>
          <w:tcPr>
            <w:tcW w:type="dxa" w:w="2835"/>
            <w:vAlign w:val="top"/>
            <w:shd w:val="clear" w:color="auto" w:fill="FDF0F7"/>
          </w:tcPr>
          <w:p>
            <w:pPr>
              <w:spacing w:after="20" w:line="252" w:lineRule="auto"/>
            </w:pPr>
            <w:r>
              <w:rPr>
                <w:b w:val="0"/>
                <w:i w:val="0"/>
                <w:sz w:val="16"/>
              </w:rPr>
              <w:t>Regulatory feedback on cloud hosting (Option B)</w:t>
            </w:r>
          </w:p>
        </w:tc>
        <w:tc>
          <w:tcPr>
            <w:tcW w:type="dxa" w:w="907"/>
            <w:vAlign w:val="top"/>
            <w:shd w:val="clear" w:color="auto" w:fill="FDF0F7"/>
          </w:tcPr>
          <w:p>
            <w:pPr>
              <w:spacing w:after="20" w:line="252" w:lineRule="auto"/>
              <w:jc w:val="center"/>
            </w:pPr>
            <w:r>
              <w:rPr>
                <w:b w:val="0"/>
                <w:i w:val="0"/>
                <w:sz w:val="16"/>
              </w:rPr>
              <w:t>Medium</w:t>
            </w:r>
          </w:p>
        </w:tc>
        <w:tc>
          <w:tcPr>
            <w:tcW w:type="dxa" w:w="1077"/>
            <w:vAlign w:val="top"/>
            <w:shd w:val="clear" w:color="auto" w:fill="FDF0F7"/>
          </w:tcPr>
          <w:p>
            <w:pPr>
              <w:spacing w:after="20" w:line="252" w:lineRule="auto"/>
              <w:jc w:val="center"/>
            </w:pPr>
            <w:r>
              <w:rPr>
                <w:b w:val="0"/>
                <w:i w:val="0"/>
                <w:sz w:val="16"/>
              </w:rPr>
              <w:t>Low</w:t>
            </w:r>
          </w:p>
        </w:tc>
        <w:tc>
          <w:tcPr>
            <w:tcW w:type="dxa" w:w="4252"/>
            <w:vAlign w:val="top"/>
            <w:shd w:val="clear" w:color="auto" w:fill="FDF0F7"/>
          </w:tcPr>
          <w:p>
            <w:pPr>
              <w:spacing w:after="20" w:line="252" w:lineRule="auto"/>
            </w:pPr>
            <w:r>
              <w:rPr>
                <w:b w:val="0"/>
                <w:i w:val="0"/>
                <w:sz w:val="16"/>
              </w:rPr>
              <w:t>Recommend Option A; early AMBD engagement if Option B is chosen</w:t>
            </w:r>
          </w:p>
        </w:tc>
      </w:tr>
      <w:tr>
        <w:trPr>
          <w:cantSplit/>
        </w:trPr>
        <w:tc>
          <w:tcPr>
            <w:tcW w:type="dxa" w:w="567"/>
            <w:vAlign w:val="top"/>
          </w:tcPr>
          <w:p>
            <w:pPr>
              <w:spacing w:after="20" w:line="252" w:lineRule="auto"/>
              <w:jc w:val="center"/>
            </w:pPr>
            <w:r>
              <w:rPr>
                <w:b w:val="0"/>
                <w:i w:val="0"/>
                <w:sz w:val="16"/>
              </w:rPr>
              <w:t>R11</w:t>
            </w:r>
          </w:p>
        </w:tc>
        <w:tc>
          <w:tcPr>
            <w:tcW w:type="dxa" w:w="2835"/>
            <w:vAlign w:val="top"/>
          </w:tcPr>
          <w:p>
            <w:pPr>
              <w:spacing w:after="20" w:line="252" w:lineRule="auto"/>
            </w:pPr>
            <w:r>
              <w:rPr>
                <w:b w:val="0"/>
                <w:i w:val="0"/>
                <w:sz w:val="16"/>
              </w:rPr>
              <w:t>Key personnel unavailability</w:t>
            </w:r>
          </w:p>
        </w:tc>
        <w:tc>
          <w:tcPr>
            <w:tcW w:type="dxa" w:w="907"/>
            <w:vAlign w:val="top"/>
          </w:tcPr>
          <w:p>
            <w:pPr>
              <w:spacing w:after="20" w:line="252" w:lineRule="auto"/>
              <w:jc w:val="center"/>
            </w:pPr>
            <w:r>
              <w:rPr>
                <w:b w:val="0"/>
                <w:i w:val="0"/>
                <w:sz w:val="16"/>
              </w:rPr>
              <w:t>Medium</w:t>
            </w:r>
          </w:p>
        </w:tc>
        <w:tc>
          <w:tcPr>
            <w:tcW w:type="dxa" w:w="1077"/>
            <w:vAlign w:val="top"/>
          </w:tcPr>
          <w:p>
            <w:pPr>
              <w:spacing w:after="20" w:line="252" w:lineRule="auto"/>
              <w:jc w:val="center"/>
            </w:pPr>
            <w:r>
              <w:rPr>
                <w:b w:val="0"/>
                <w:i w:val="0"/>
                <w:sz w:val="16"/>
              </w:rPr>
              <w:t>Low</w:t>
            </w:r>
          </w:p>
        </w:tc>
        <w:tc>
          <w:tcPr>
            <w:tcW w:type="dxa" w:w="4252"/>
            <w:vAlign w:val="top"/>
          </w:tcPr>
          <w:p>
            <w:pPr>
              <w:spacing w:after="20" w:line="252" w:lineRule="auto"/>
            </w:pPr>
            <w:r>
              <w:rPr>
                <w:b w:val="0"/>
                <w:i w:val="0"/>
                <w:sz w:val="16"/>
              </w:rPr>
              <w:t>Named backups; shared code ownership; documentation as we go</w:t>
            </w:r>
          </w:p>
        </w:tc>
      </w:tr>
      <w:tr>
        <w:trPr>
          <w:cantSplit/>
        </w:trPr>
        <w:tc>
          <w:tcPr>
            <w:tcW w:type="dxa" w:w="567"/>
            <w:vAlign w:val="top"/>
            <w:shd w:val="clear" w:color="auto" w:fill="FDF0F7"/>
          </w:tcPr>
          <w:p>
            <w:pPr>
              <w:spacing w:after="20" w:line="252" w:lineRule="auto"/>
              <w:jc w:val="center"/>
            </w:pPr>
            <w:r>
              <w:rPr>
                <w:b w:val="0"/>
                <w:i w:val="0"/>
                <w:sz w:val="16"/>
              </w:rPr>
              <w:t>R12</w:t>
            </w:r>
          </w:p>
        </w:tc>
        <w:tc>
          <w:tcPr>
            <w:tcW w:type="dxa" w:w="2835"/>
            <w:vAlign w:val="top"/>
            <w:shd w:val="clear" w:color="auto" w:fill="FDF0F7"/>
          </w:tcPr>
          <w:p>
            <w:pPr>
              <w:spacing w:after="20" w:line="252" w:lineRule="auto"/>
            </w:pPr>
            <w:r>
              <w:rPr>
                <w:b w:val="0"/>
                <w:i w:val="0"/>
                <w:sz w:val="16"/>
              </w:rPr>
              <w:t>Performance issues with document-heavy transactions</w:t>
            </w:r>
          </w:p>
        </w:tc>
        <w:tc>
          <w:tcPr>
            <w:tcW w:type="dxa" w:w="907"/>
            <w:vAlign w:val="top"/>
            <w:shd w:val="clear" w:color="auto" w:fill="FDF0F7"/>
          </w:tcPr>
          <w:p>
            <w:pPr>
              <w:spacing w:after="20" w:line="252" w:lineRule="auto"/>
              <w:jc w:val="center"/>
            </w:pPr>
            <w:r>
              <w:rPr>
                <w:b w:val="0"/>
                <w:i w:val="0"/>
                <w:sz w:val="16"/>
              </w:rPr>
              <w:t>Low</w:t>
            </w:r>
          </w:p>
        </w:tc>
        <w:tc>
          <w:tcPr>
            <w:tcW w:type="dxa" w:w="1077"/>
            <w:vAlign w:val="top"/>
            <w:shd w:val="clear" w:color="auto" w:fill="FDF0F7"/>
          </w:tcPr>
          <w:p>
            <w:pPr>
              <w:spacing w:after="20" w:line="252" w:lineRule="auto"/>
              <w:jc w:val="center"/>
            </w:pPr>
            <w:r>
              <w:rPr>
                <w:b w:val="0"/>
                <w:i w:val="0"/>
                <w:sz w:val="16"/>
              </w:rPr>
              <w:t>Low</w:t>
            </w:r>
          </w:p>
        </w:tc>
        <w:tc>
          <w:tcPr>
            <w:tcW w:type="dxa" w:w="4252"/>
            <w:vAlign w:val="top"/>
            <w:shd w:val="clear" w:color="auto" w:fill="FDF0F7"/>
          </w:tcPr>
          <w:p>
            <w:pPr>
              <w:spacing w:after="20" w:line="252" w:lineRule="auto"/>
            </w:pPr>
            <w:r>
              <w:rPr>
                <w:b w:val="0"/>
                <w:i w:val="0"/>
                <w:sz w:val="16"/>
              </w:rPr>
              <w:t>Streaming uploads, object storage, performance tests on production-like data</w:t>
            </w:r>
          </w:p>
        </w:tc>
      </w:tr>
      <w:tr>
        <w:trPr>
          <w:cantSplit/>
        </w:trPr>
        <w:tc>
          <w:tcPr>
            <w:tcW w:type="dxa" w:w="567"/>
            <w:vAlign w:val="top"/>
          </w:tcPr>
          <w:p>
            <w:pPr>
              <w:spacing w:after="20" w:line="252" w:lineRule="auto"/>
              <w:jc w:val="center"/>
            </w:pPr>
            <w:r>
              <w:rPr>
                <w:b w:val="0"/>
                <w:i w:val="0"/>
                <w:sz w:val="16"/>
              </w:rPr>
              <w:t>R13</w:t>
            </w:r>
          </w:p>
        </w:tc>
        <w:tc>
          <w:tcPr>
            <w:tcW w:type="dxa" w:w="2835"/>
            <w:vAlign w:val="top"/>
          </w:tcPr>
          <w:p>
            <w:pPr>
              <w:spacing w:after="20" w:line="252" w:lineRule="auto"/>
            </w:pPr>
            <w:r>
              <w:rPr>
                <w:b w:val="0"/>
                <w:i w:val="0"/>
                <w:sz w:val="16"/>
              </w:rPr>
              <w:t>Cloud charges above the estimate (Option B)</w:t>
            </w:r>
          </w:p>
        </w:tc>
        <w:tc>
          <w:tcPr>
            <w:tcW w:type="dxa" w:w="907"/>
            <w:vAlign w:val="top"/>
          </w:tcPr>
          <w:p>
            <w:pPr>
              <w:spacing w:after="20" w:line="252" w:lineRule="auto"/>
              <w:jc w:val="center"/>
            </w:pPr>
            <w:r>
              <w:rPr>
                <w:b w:val="0"/>
                <w:i w:val="0"/>
                <w:sz w:val="16"/>
              </w:rPr>
              <w:t>Low</w:t>
            </w:r>
          </w:p>
        </w:tc>
        <w:tc>
          <w:tcPr>
            <w:tcW w:type="dxa" w:w="1077"/>
            <w:vAlign w:val="top"/>
          </w:tcPr>
          <w:p>
            <w:pPr>
              <w:spacing w:after="20" w:line="252" w:lineRule="auto"/>
              <w:jc w:val="center"/>
            </w:pPr>
            <w:r>
              <w:rPr>
                <w:b w:val="0"/>
                <w:i w:val="0"/>
                <w:sz w:val="16"/>
              </w:rPr>
              <w:t>Medium</w:t>
            </w:r>
          </w:p>
        </w:tc>
        <w:tc>
          <w:tcPr>
            <w:tcW w:type="dxa" w:w="4252"/>
            <w:vAlign w:val="top"/>
          </w:tcPr>
          <w:p>
            <w:pPr>
              <w:spacing w:after="20" w:line="252" w:lineRule="auto"/>
            </w:pPr>
            <w:r>
              <w:rPr>
                <w:b w:val="0"/>
                <w:i w:val="0"/>
                <w:sz w:val="16"/>
              </w:rPr>
              <w:t>Recharged at cost with budget alerts, monthly cost report, quarterly right-sizing; reserved capacity only with IIFT approval</w:t>
            </w:r>
          </w:p>
        </w:tc>
      </w:tr>
      <w:tr>
        <w:trPr>
          <w:cantSplit/>
        </w:trPr>
        <w:tc>
          <w:tcPr>
            <w:tcW w:type="dxa" w:w="567"/>
            <w:vAlign w:val="top"/>
            <w:shd w:val="clear" w:color="auto" w:fill="FDF0F7"/>
          </w:tcPr>
          <w:p>
            <w:pPr>
              <w:spacing w:after="20" w:line="252" w:lineRule="auto"/>
              <w:jc w:val="center"/>
            </w:pPr>
            <w:r>
              <w:rPr>
                <w:b w:val="0"/>
                <w:i w:val="0"/>
                <w:sz w:val="16"/>
              </w:rPr>
              <w:t>R14</w:t>
            </w:r>
          </w:p>
        </w:tc>
        <w:tc>
          <w:tcPr>
            <w:tcW w:type="dxa" w:w="2835"/>
            <w:vAlign w:val="top"/>
            <w:shd w:val="clear" w:color="auto" w:fill="FDF0F7"/>
          </w:tcPr>
          <w:p>
            <w:pPr>
              <w:spacing w:after="20" w:line="252" w:lineRule="auto"/>
            </w:pPr>
            <w:r>
              <w:rPr>
                <w:b w:val="0"/>
                <w:i w:val="0"/>
                <w:sz w:val="16"/>
              </w:rPr>
              <w:t>Exchange-rate movement on USD-billed cloud and third-party services</w:t>
            </w:r>
          </w:p>
        </w:tc>
        <w:tc>
          <w:tcPr>
            <w:tcW w:type="dxa" w:w="907"/>
            <w:vAlign w:val="top"/>
            <w:shd w:val="clear" w:color="auto" w:fill="FDF0F7"/>
          </w:tcPr>
          <w:p>
            <w:pPr>
              <w:spacing w:after="20" w:line="252" w:lineRule="auto"/>
              <w:jc w:val="center"/>
            </w:pPr>
            <w:r>
              <w:rPr>
                <w:b w:val="0"/>
                <w:i w:val="0"/>
                <w:sz w:val="16"/>
              </w:rPr>
              <w:t>Low</w:t>
            </w:r>
          </w:p>
        </w:tc>
        <w:tc>
          <w:tcPr>
            <w:tcW w:type="dxa" w:w="1077"/>
            <w:vAlign w:val="top"/>
            <w:shd w:val="clear" w:color="auto" w:fill="FDF0F7"/>
          </w:tcPr>
          <w:p>
            <w:pPr>
              <w:spacing w:after="20" w:line="252" w:lineRule="auto"/>
              <w:jc w:val="center"/>
            </w:pPr>
            <w:r>
              <w:rPr>
                <w:b w:val="0"/>
                <w:i w:val="0"/>
                <w:sz w:val="16"/>
              </w:rPr>
              <w:t>Medium</w:t>
            </w:r>
          </w:p>
        </w:tc>
        <w:tc>
          <w:tcPr>
            <w:tcW w:type="dxa" w:w="4252"/>
            <w:vAlign w:val="top"/>
            <w:shd w:val="clear" w:color="auto" w:fill="FDF0F7"/>
          </w:tcPr>
          <w:p>
            <w:pPr>
              <w:spacing w:after="20" w:line="252" w:lineRule="auto"/>
            </w:pPr>
            <w:r>
              <w:rPr>
                <w:b w:val="0"/>
                <w:i w:val="0"/>
                <w:sz w:val="16"/>
              </w:rPr>
              <w:t>B$ fees for iorta services; pass-through items converted at invoice-date rates and reported monthly</w:t>
            </w:r>
          </w:p>
        </w:tc>
      </w:tr>
      <w:tr>
        <w:trPr>
          <w:cantSplit/>
        </w:trPr>
        <w:tc>
          <w:tcPr>
            <w:tcW w:type="dxa" w:w="567"/>
            <w:vAlign w:val="top"/>
          </w:tcPr>
          <w:p>
            <w:pPr>
              <w:spacing w:after="20" w:line="252" w:lineRule="auto"/>
              <w:jc w:val="center"/>
            </w:pPr>
            <w:r>
              <w:rPr>
                <w:b w:val="0"/>
                <w:i w:val="0"/>
                <w:sz w:val="16"/>
              </w:rPr>
              <w:t>R15</w:t>
            </w:r>
          </w:p>
        </w:tc>
        <w:tc>
          <w:tcPr>
            <w:tcW w:type="dxa" w:w="2835"/>
            <w:vAlign w:val="top"/>
          </w:tcPr>
          <w:p>
            <w:pPr>
              <w:spacing w:after="20" w:line="252" w:lineRule="auto"/>
            </w:pPr>
            <w:r>
              <w:rPr>
                <w:b w:val="0"/>
                <w:i w:val="0"/>
                <w:sz w:val="16"/>
              </w:rPr>
              <w:t>Knowledge transfer (Option C) without enough IIFT/IITH developers</w:t>
            </w:r>
          </w:p>
        </w:tc>
        <w:tc>
          <w:tcPr>
            <w:tcW w:type="dxa" w:w="907"/>
            <w:vAlign w:val="top"/>
          </w:tcPr>
          <w:p>
            <w:pPr>
              <w:spacing w:after="20" w:line="252" w:lineRule="auto"/>
              <w:jc w:val="center"/>
            </w:pPr>
            <w:r>
              <w:rPr>
                <w:b w:val="0"/>
                <w:i w:val="0"/>
                <w:sz w:val="16"/>
              </w:rPr>
              <w:t>Medium</w:t>
            </w:r>
          </w:p>
        </w:tc>
        <w:tc>
          <w:tcPr>
            <w:tcW w:type="dxa" w:w="1077"/>
            <w:vAlign w:val="top"/>
          </w:tcPr>
          <w:p>
            <w:pPr>
              <w:spacing w:after="20" w:line="252" w:lineRule="auto"/>
              <w:jc w:val="center"/>
            </w:pPr>
            <w:r>
              <w:rPr>
                <w:b w:val="0"/>
                <w:i w:val="0"/>
                <w:sz w:val="16"/>
              </w:rPr>
              <w:t>Low</w:t>
            </w:r>
          </w:p>
        </w:tc>
        <w:tc>
          <w:tcPr>
            <w:tcW w:type="dxa" w:w="4252"/>
            <w:vAlign w:val="top"/>
          </w:tcPr>
          <w:p>
            <w:pPr>
              <w:spacing w:after="20" w:line="252" w:lineRule="auto"/>
            </w:pPr>
            <w:r>
              <w:rPr>
                <w:b w:val="0"/>
                <w:i w:val="0"/>
                <w:sz w:val="16"/>
              </w:rPr>
              <w:t>Skills profile agreed in week 1 of the transition; competency assessment; support choice 2 as a safety net</w:t>
            </w:r>
          </w:p>
        </w:tc>
      </w:tr>
    </w:tbl>
    <w:p>
      <w:pPr>
        <w:pStyle w:val="Caption"/>
        <w:jc w:val="center"/>
      </w:pPr>
      <w:r>
        <w:rPr>
          <w:b w:val="0"/>
          <w:i w:val="0"/>
        </w:rPr>
        <w:t>Table 66: Risk register</w:t>
      </w:r>
    </w:p>
    <w:p>
      <w:pPr>
        <w:pStyle w:val="Heading1"/>
        <w:pageBreakBefore w:val="0"/>
        <w:pBdr>
          <w:bottom w:val="single" w:sz="12" w:space="4" w:color="F58220"/>
        </w:pBdr>
      </w:pPr>
      <w:r>
        <w:t>24. Quotation Validity</w:t>
      </w:r>
    </w:p>
    <w:p>
      <w:pPr>
        <w:keepNext w:val="0"/>
      </w:pPr>
      <w:r>
        <w:rPr>
          <w:b w:val="0"/>
          <w:i w:val="0"/>
        </w:rPr>
        <w:t xml:space="preserve">This proposal and the prices quoted are valid for </w:t>
      </w:r>
      <w:r>
        <w:rPr>
          <w:b/>
          <w:i w:val="0"/>
        </w:rPr>
        <w:t>90 days from the date of submission</w:t>
      </w:r>
      <w:r>
        <w:rPr>
          <w:b w:val="0"/>
          <w:i w:val="0"/>
        </w:rPr>
        <w:t xml:space="preserve"> (</w:t>
      </w:r>
      <w:r>
        <w:rPr>
          <w:b w:val="0"/>
          <w:i w:val="0"/>
          <w:highlight w:val="yellow"/>
        </w:rPr>
        <w:t>[submission date]</w:t>
      </w:r>
      <w:r>
        <w:rPr>
          <w:b w:val="0"/>
          <w:i w:val="0"/>
        </w:rPr>
        <w:t xml:space="preserve"> to </w:t>
      </w:r>
      <w:r>
        <w:rPr>
          <w:b w:val="0"/>
          <w:i w:val="0"/>
          <w:highlight w:val="yellow"/>
        </w:rPr>
        <w:t>[expiry date]</w:t>
      </w:r>
      <w:r>
        <w:rPr>
          <w:b w:val="0"/>
          <w:i w:val="0"/>
        </w:rPr>
        <w:t>).</w:t>
      </w:r>
    </w:p>
    <w:p>
      <w:pPr>
        <w:keepNext w:val="0"/>
      </w:pPr>
      <w:r>
        <w:rPr>
          <w:b w:val="0"/>
          <w:i w:val="0"/>
        </w:rPr>
        <w:t>On award, the one-time fees are fixed for the implementation. The AMC, subscription, managed services and rate card follow the yearly schedule in the Commercial Proposal, with increases capped at 5% a year. Cloud infrastructure and third-party charges follow the providers' prices at the time they are incurred, and OPE is recharged at cost within the stated ceiling.</w:t>
      </w:r>
    </w:p>
    <w:p>
      <w:pPr>
        <w:pStyle w:val="Heading1"/>
        <w:pageBreakBefore/>
        <w:pBdr>
          <w:bottom w:val="single" w:sz="12" w:space="4" w:color="F58220"/>
        </w:pBdr>
      </w:pPr>
      <w:r>
        <w:t>25. Supporting Information</w:t>
      </w:r>
    </w:p>
    <w:p>
      <w:pPr>
        <w:pStyle w:val="Heading2"/>
      </w:pPr>
      <w:r>
        <w:t>25.1 Value-added items beyond the RFP</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061"/>
        <w:gridCol w:w="6577"/>
      </w:tblGrid>
      <w:tr>
        <w:trPr>
          <w:cantSplit/>
          <w:tblHeader/>
        </w:trPr>
        <w:tc>
          <w:tcPr>
            <w:tcW w:type="dxa" w:w="3061"/>
            <w:shd w:val="clear" w:color="auto" w:fill="E1058C"/>
            <w:vAlign w:val="center"/>
          </w:tcPr>
          <w:p>
            <w:pPr>
              <w:spacing w:after="0"/>
            </w:pPr>
            <w:r>
              <w:rPr>
                <w:b/>
                <w:i w:val="0"/>
                <w:color w:val="FFFFFF"/>
                <w:sz w:val="16"/>
              </w:rPr>
              <w:t>Item</w:t>
            </w:r>
          </w:p>
        </w:tc>
        <w:tc>
          <w:tcPr>
            <w:tcW w:type="dxa" w:w="6576"/>
            <w:shd w:val="clear" w:color="auto" w:fill="E1058C"/>
            <w:vAlign w:val="center"/>
          </w:tcPr>
          <w:p>
            <w:pPr>
              <w:spacing w:after="0"/>
            </w:pPr>
            <w:r>
              <w:rPr>
                <w:b/>
                <w:i w:val="0"/>
                <w:color w:val="FFFFFF"/>
                <w:sz w:val="16"/>
              </w:rPr>
              <w:t>Benefit to IIFT</w:t>
            </w:r>
          </w:p>
        </w:tc>
      </w:tr>
      <w:tr>
        <w:trPr>
          <w:cantSplit/>
        </w:trPr>
        <w:tc>
          <w:tcPr>
            <w:tcW w:type="dxa" w:w="3061"/>
            <w:vAlign w:val="top"/>
          </w:tcPr>
          <w:p>
            <w:pPr>
              <w:spacing w:after="20" w:line="252" w:lineRule="auto"/>
            </w:pPr>
            <w:r>
              <w:rPr>
                <w:b/>
                <w:i w:val="0"/>
                <w:sz w:val="16"/>
              </w:rPr>
              <w:t>Requirements compliance matrix</w:t>
            </w:r>
          </w:p>
        </w:tc>
        <w:tc>
          <w:tcPr>
            <w:tcW w:type="dxa" w:w="6576"/>
            <w:vAlign w:val="top"/>
          </w:tcPr>
          <w:p>
            <w:pPr>
              <w:spacing w:after="20" w:line="252" w:lineRule="auto"/>
            </w:pPr>
            <w:r>
              <w:rPr>
                <w:b w:val="0"/>
                <w:i w:val="0"/>
                <w:sz w:val="16"/>
              </w:rPr>
              <w:t>All 234 requirement IDs answered line by line, with fitment (Annex A).</w:t>
            </w:r>
          </w:p>
        </w:tc>
      </w:tr>
      <w:tr>
        <w:trPr>
          <w:cantSplit/>
        </w:trPr>
        <w:tc>
          <w:tcPr>
            <w:tcW w:type="dxa" w:w="3061"/>
            <w:vAlign w:val="top"/>
            <w:shd w:val="clear" w:color="auto" w:fill="FDF0F7"/>
          </w:tcPr>
          <w:p>
            <w:pPr>
              <w:spacing w:after="20" w:line="252" w:lineRule="auto"/>
            </w:pPr>
            <w:r>
              <w:rPr>
                <w:b/>
                <w:i w:val="0"/>
                <w:sz w:val="16"/>
              </w:rPr>
              <w:t>Working application before contract</w:t>
            </w:r>
          </w:p>
        </w:tc>
        <w:tc>
          <w:tcPr>
            <w:tcW w:type="dxa" w:w="6576"/>
            <w:vAlign w:val="top"/>
            <w:shd w:val="clear" w:color="auto" w:fill="FDF0F7"/>
          </w:tcPr>
          <w:p>
            <w:pPr>
              <w:spacing w:after="20" w:line="252" w:lineRule="auto"/>
            </w:pPr>
            <w:r>
              <w:rPr>
                <w:b w:val="0"/>
                <w:i w:val="0"/>
                <w:sz w:val="16"/>
              </w:rPr>
              <w:t>IIFT can test SalesVerse 2.0 with its own products before signing.</w:t>
            </w:r>
          </w:p>
        </w:tc>
      </w:tr>
      <w:tr>
        <w:trPr>
          <w:cantSplit/>
        </w:trPr>
        <w:tc>
          <w:tcPr>
            <w:tcW w:type="dxa" w:w="3061"/>
            <w:vAlign w:val="top"/>
          </w:tcPr>
          <w:p>
            <w:pPr>
              <w:spacing w:after="20" w:line="252" w:lineRule="auto"/>
            </w:pPr>
            <w:r>
              <w:rPr>
                <w:b/>
                <w:i w:val="0"/>
                <w:sz w:val="16"/>
              </w:rPr>
              <w:t>Choice of commercial model</w:t>
            </w:r>
          </w:p>
        </w:tc>
        <w:tc>
          <w:tcPr>
            <w:tcW w:type="dxa" w:w="6576"/>
            <w:vAlign w:val="top"/>
          </w:tcPr>
          <w:p>
            <w:pPr>
              <w:spacing w:after="20" w:line="252" w:lineRule="auto"/>
            </w:pPr>
            <w:r>
              <w:rPr>
                <w:b w:val="0"/>
                <w:i w:val="0"/>
                <w:sz w:val="16"/>
              </w:rPr>
              <w:t>Perpetual licence on-premise or subscription on iorta-managed cloud, priced on the same scope, with conversion from subscription to licence.</w:t>
            </w:r>
          </w:p>
        </w:tc>
      </w:tr>
      <w:tr>
        <w:trPr>
          <w:cantSplit/>
        </w:trPr>
        <w:tc>
          <w:tcPr>
            <w:tcW w:type="dxa" w:w="3061"/>
            <w:vAlign w:val="top"/>
            <w:shd w:val="clear" w:color="auto" w:fill="FDF0F7"/>
          </w:tcPr>
          <w:p>
            <w:pPr>
              <w:spacing w:after="20" w:line="252" w:lineRule="auto"/>
            </w:pPr>
            <w:r>
              <w:rPr>
                <w:b/>
                <w:i w:val="0"/>
                <w:sz w:val="16"/>
              </w:rPr>
              <w:t>Source code handover option</w:t>
            </w:r>
          </w:p>
        </w:tc>
        <w:tc>
          <w:tcPr>
            <w:tcW w:type="dxa" w:w="6576"/>
            <w:vAlign w:val="top"/>
            <w:shd w:val="clear" w:color="auto" w:fill="FDF0F7"/>
          </w:tcPr>
          <w:p>
            <w:pPr>
              <w:spacing w:after="20" w:line="252" w:lineRule="auto"/>
            </w:pPr>
            <w:r>
              <w:rPr>
                <w:b w:val="0"/>
                <w:i w:val="0"/>
                <w:sz w:val="16"/>
              </w:rPr>
              <w:t>Core platform source code with an eight-week knowledge transfer (Option C), or escrow; IIFT-specific source code under every option.</w:t>
            </w:r>
          </w:p>
        </w:tc>
      </w:tr>
      <w:tr>
        <w:trPr>
          <w:cantSplit/>
        </w:trPr>
        <w:tc>
          <w:tcPr>
            <w:tcW w:type="dxa" w:w="3061"/>
            <w:vAlign w:val="top"/>
          </w:tcPr>
          <w:p>
            <w:pPr>
              <w:spacing w:after="20" w:line="252" w:lineRule="auto"/>
            </w:pPr>
            <w:r>
              <w:rPr>
                <w:b/>
                <w:i w:val="0"/>
                <w:sz w:val="16"/>
              </w:rPr>
              <w:t>Bill of Materials</w:t>
            </w:r>
          </w:p>
        </w:tc>
        <w:tc>
          <w:tcPr>
            <w:tcW w:type="dxa" w:w="6576"/>
            <w:vAlign w:val="top"/>
          </w:tcPr>
          <w:p>
            <w:pPr>
              <w:spacing w:after="20" w:line="252" w:lineRule="auto"/>
            </w:pPr>
            <w:r>
              <w:rPr>
                <w:b w:val="0"/>
                <w:i w:val="0"/>
                <w:sz w:val="16"/>
              </w:rPr>
              <w:t>Every infrastructure item, licence and third-party service with indicative cost and who pays, in a separate workbook.</w:t>
            </w:r>
          </w:p>
        </w:tc>
      </w:tr>
      <w:tr>
        <w:trPr>
          <w:cantSplit/>
        </w:trPr>
        <w:tc>
          <w:tcPr>
            <w:tcW w:type="dxa" w:w="3061"/>
            <w:vAlign w:val="top"/>
            <w:shd w:val="clear" w:color="auto" w:fill="FDF0F7"/>
          </w:tcPr>
          <w:p>
            <w:pPr>
              <w:spacing w:after="20" w:line="252" w:lineRule="auto"/>
            </w:pPr>
            <w:r>
              <w:rPr>
                <w:b/>
                <w:i w:val="0"/>
                <w:sz w:val="16"/>
              </w:rPr>
              <w:t>Multi-factor authentication</w:t>
            </w:r>
          </w:p>
        </w:tc>
        <w:tc>
          <w:tcPr>
            <w:tcW w:type="dxa" w:w="6576"/>
            <w:vAlign w:val="top"/>
            <w:shd w:val="clear" w:color="auto" w:fill="FDF0F7"/>
          </w:tcPr>
          <w:p>
            <w:pPr>
              <w:spacing w:after="20" w:line="252" w:lineRule="auto"/>
            </w:pPr>
            <w:r>
              <w:rPr>
                <w:b w:val="0"/>
                <w:i w:val="0"/>
                <w:sz w:val="16"/>
              </w:rPr>
              <w:t>E-mail OTP or authenticator app for back-office users, delivered during implementation.</w:t>
            </w:r>
          </w:p>
        </w:tc>
      </w:tr>
      <w:tr>
        <w:trPr>
          <w:cantSplit/>
        </w:trPr>
        <w:tc>
          <w:tcPr>
            <w:tcW w:type="dxa" w:w="3061"/>
            <w:vAlign w:val="top"/>
          </w:tcPr>
          <w:p>
            <w:pPr>
              <w:spacing w:after="20" w:line="252" w:lineRule="auto"/>
            </w:pPr>
            <w:r>
              <w:rPr>
                <w:b/>
                <w:i w:val="0"/>
                <w:sz w:val="16"/>
              </w:rPr>
              <w:t>Remote participant e-signature</w:t>
            </w:r>
          </w:p>
        </w:tc>
        <w:tc>
          <w:tcPr>
            <w:tcW w:type="dxa" w:w="6576"/>
            <w:vAlign w:val="top"/>
          </w:tcPr>
          <w:p>
            <w:pPr>
              <w:spacing w:after="20" w:line="252" w:lineRule="auto"/>
            </w:pPr>
            <w:r>
              <w:rPr>
                <w:b w:val="0"/>
                <w:i w:val="0"/>
                <w:sz w:val="16"/>
              </w:rPr>
              <w:t>Single-use e-mail link, so participants can sign without visiting a branch.</w:t>
            </w:r>
          </w:p>
        </w:tc>
      </w:tr>
      <w:tr>
        <w:trPr>
          <w:cantSplit/>
        </w:trPr>
        <w:tc>
          <w:tcPr>
            <w:tcW w:type="dxa" w:w="3061"/>
            <w:vAlign w:val="top"/>
            <w:shd w:val="clear" w:color="auto" w:fill="FDF0F7"/>
          </w:tcPr>
          <w:p>
            <w:pPr>
              <w:spacing w:after="20" w:line="252" w:lineRule="auto"/>
            </w:pPr>
            <w:r>
              <w:rPr>
                <w:b/>
                <w:i w:val="0"/>
                <w:sz w:val="16"/>
              </w:rPr>
              <w:t>Integration monitor</w:t>
            </w:r>
          </w:p>
        </w:tc>
        <w:tc>
          <w:tcPr>
            <w:tcW w:type="dxa" w:w="6576"/>
            <w:vAlign w:val="top"/>
            <w:shd w:val="clear" w:color="auto" w:fill="FDF0F7"/>
          </w:tcPr>
          <w:p>
            <w:pPr>
              <w:spacing w:after="20" w:line="252" w:lineRule="auto"/>
            </w:pPr>
            <w:r>
              <w:rPr>
                <w:b w:val="0"/>
                <w:i w:val="0"/>
                <w:sz w:val="16"/>
              </w:rPr>
              <w:t>One screen for outbox messages, retries, dead-letters and reconciliation results.</w:t>
            </w:r>
          </w:p>
        </w:tc>
      </w:tr>
      <w:tr>
        <w:trPr>
          <w:cantSplit/>
        </w:trPr>
        <w:tc>
          <w:tcPr>
            <w:tcW w:type="dxa" w:w="3061"/>
            <w:vAlign w:val="top"/>
          </w:tcPr>
          <w:p>
            <w:pPr>
              <w:spacing w:after="20" w:line="252" w:lineRule="auto"/>
            </w:pPr>
            <w:r>
              <w:rPr>
                <w:b/>
                <w:i w:val="0"/>
                <w:sz w:val="16"/>
              </w:rPr>
              <w:t>End-of-day run screen</w:t>
            </w:r>
          </w:p>
        </w:tc>
        <w:tc>
          <w:tcPr>
            <w:tcW w:type="dxa" w:w="6576"/>
            <w:vAlign w:val="top"/>
          </w:tcPr>
          <w:p>
            <w:pPr>
              <w:spacing w:after="20" w:line="252" w:lineRule="auto"/>
            </w:pPr>
            <w:r>
              <w:rPr>
                <w:b w:val="0"/>
                <w:i w:val="0"/>
                <w:sz w:val="16"/>
              </w:rPr>
              <w:t>Run, check and sign off EOD, the FIN file and reconciliation, with run history.</w:t>
            </w:r>
          </w:p>
        </w:tc>
      </w:tr>
      <w:tr>
        <w:trPr>
          <w:cantSplit/>
        </w:trPr>
        <w:tc>
          <w:tcPr>
            <w:tcW w:type="dxa" w:w="3061"/>
            <w:vAlign w:val="top"/>
            <w:shd w:val="clear" w:color="auto" w:fill="FDF0F7"/>
          </w:tcPr>
          <w:p>
            <w:pPr>
              <w:spacing w:after="20" w:line="252" w:lineRule="auto"/>
            </w:pPr>
            <w:r>
              <w:rPr>
                <w:b/>
                <w:i w:val="0"/>
                <w:sz w:val="16"/>
              </w:rPr>
              <w:t>Retention and archival policy</w:t>
            </w:r>
          </w:p>
        </w:tc>
        <w:tc>
          <w:tcPr>
            <w:tcW w:type="dxa" w:w="6576"/>
            <w:vAlign w:val="top"/>
            <w:shd w:val="clear" w:color="auto" w:fill="FDF0F7"/>
          </w:tcPr>
          <w:p>
            <w:pPr>
              <w:spacing w:after="20" w:line="252" w:lineRule="auto"/>
            </w:pPr>
            <w:r>
              <w:rPr>
                <w:b w:val="0"/>
                <w:i w:val="0"/>
                <w:sz w:val="16"/>
              </w:rPr>
              <w:t>Retention period per data class, with archival of audit records and documents.</w:t>
            </w:r>
          </w:p>
        </w:tc>
      </w:tr>
      <w:tr>
        <w:trPr>
          <w:cantSplit/>
        </w:trPr>
        <w:tc>
          <w:tcPr>
            <w:tcW w:type="dxa" w:w="3061"/>
            <w:vAlign w:val="top"/>
          </w:tcPr>
          <w:p>
            <w:pPr>
              <w:spacing w:after="20" w:line="252" w:lineRule="auto"/>
            </w:pPr>
            <w:r>
              <w:rPr>
                <w:b/>
                <w:i w:val="0"/>
                <w:sz w:val="16"/>
              </w:rPr>
              <w:t>PDPO 2025 and AMBD alignment</w:t>
            </w:r>
          </w:p>
        </w:tc>
        <w:tc>
          <w:tcPr>
            <w:tcW w:type="dxa" w:w="6576"/>
            <w:vAlign w:val="top"/>
          </w:tcPr>
          <w:p>
            <w:pPr>
              <w:spacing w:after="20" w:line="252" w:lineRule="auto"/>
            </w:pPr>
            <w:r>
              <w:rPr>
                <w:b w:val="0"/>
                <w:i w:val="0"/>
                <w:sz w:val="16"/>
              </w:rPr>
              <w:t>Controls mapped to Brunei data protection law and AMBD expectations (Section 13).</w:t>
            </w:r>
          </w:p>
        </w:tc>
      </w:tr>
      <w:tr>
        <w:trPr>
          <w:cantSplit/>
        </w:trPr>
        <w:tc>
          <w:tcPr>
            <w:tcW w:type="dxa" w:w="3061"/>
            <w:vAlign w:val="top"/>
            <w:shd w:val="clear" w:color="auto" w:fill="FDF0F7"/>
          </w:tcPr>
          <w:p>
            <w:pPr>
              <w:spacing w:after="20" w:line="252" w:lineRule="auto"/>
            </w:pPr>
            <w:r>
              <w:rPr>
                <w:b/>
                <w:i w:val="0"/>
                <w:sz w:val="16"/>
              </w:rPr>
              <w:t>Shariah-appropriate terminology</w:t>
            </w:r>
          </w:p>
        </w:tc>
        <w:tc>
          <w:tcPr>
            <w:tcW w:type="dxa" w:w="6576"/>
            <w:vAlign w:val="top"/>
            <w:shd w:val="clear" w:color="auto" w:fill="FDF0F7"/>
          </w:tcPr>
          <w:p>
            <w:pPr>
              <w:spacing w:after="20" w:line="252" w:lineRule="auto"/>
            </w:pPr>
            <w:r>
              <w:rPr>
                <w:b w:val="0"/>
                <w:i w:val="0"/>
                <w:sz w:val="16"/>
              </w:rPr>
              <w:t>Contribution, participant, Takaful operator, wakalah and tabarru' throughout.</w:t>
            </w:r>
          </w:p>
        </w:tc>
      </w:tr>
      <w:tr>
        <w:trPr>
          <w:cantSplit/>
        </w:trPr>
        <w:tc>
          <w:tcPr>
            <w:tcW w:type="dxa" w:w="3061"/>
            <w:vAlign w:val="top"/>
          </w:tcPr>
          <w:p>
            <w:pPr>
              <w:spacing w:after="20" w:line="252" w:lineRule="auto"/>
            </w:pPr>
            <w:r>
              <w:rPr>
                <w:b/>
                <w:i w:val="0"/>
                <w:sz w:val="16"/>
              </w:rPr>
              <w:t>Accessibility</w:t>
            </w:r>
          </w:p>
        </w:tc>
        <w:tc>
          <w:tcPr>
            <w:tcW w:type="dxa" w:w="6576"/>
            <w:vAlign w:val="top"/>
          </w:tcPr>
          <w:p>
            <w:pPr>
              <w:spacing w:after="20" w:line="252" w:lineRule="auto"/>
            </w:pPr>
            <w:r>
              <w:rPr>
                <w:b w:val="0"/>
                <w:i w:val="0"/>
                <w:sz w:val="16"/>
              </w:rPr>
              <w:t>WCAG 2.1 AA target.</w:t>
            </w:r>
          </w:p>
        </w:tc>
      </w:tr>
      <w:tr>
        <w:trPr>
          <w:cantSplit/>
        </w:trPr>
        <w:tc>
          <w:tcPr>
            <w:tcW w:type="dxa" w:w="3061"/>
            <w:vAlign w:val="top"/>
            <w:shd w:val="clear" w:color="auto" w:fill="FDF0F7"/>
          </w:tcPr>
          <w:p>
            <w:pPr>
              <w:spacing w:after="20" w:line="252" w:lineRule="auto"/>
            </w:pPr>
            <w:r>
              <w:rPr>
                <w:b/>
                <w:i w:val="0"/>
                <w:sz w:val="16"/>
              </w:rPr>
              <w:t>Exit plan</w:t>
            </w:r>
          </w:p>
        </w:tc>
        <w:tc>
          <w:tcPr>
            <w:tcW w:type="dxa" w:w="6576"/>
            <w:vAlign w:val="top"/>
            <w:shd w:val="clear" w:color="auto" w:fill="FDF0F7"/>
          </w:tcPr>
          <w:p>
            <w:pPr>
              <w:spacing w:after="20" w:line="252" w:lineRule="auto"/>
            </w:pPr>
            <w:r>
              <w:rPr>
                <w:b w:val="0"/>
                <w:i w:val="0"/>
                <w:sz w:val="16"/>
              </w:rPr>
              <w:t>Transition, data extraction and knowledge transfer defined now (Section 20).</w:t>
            </w:r>
          </w:p>
        </w:tc>
      </w:tr>
      <w:tr>
        <w:trPr>
          <w:cantSplit/>
        </w:trPr>
        <w:tc>
          <w:tcPr>
            <w:tcW w:type="dxa" w:w="3061"/>
            <w:vAlign w:val="top"/>
          </w:tcPr>
          <w:p>
            <w:pPr>
              <w:spacing w:after="20" w:line="252" w:lineRule="auto"/>
            </w:pPr>
            <w:r>
              <w:rPr>
                <w:b/>
                <w:i w:val="0"/>
                <w:sz w:val="16"/>
              </w:rPr>
              <w:t>Hardware sizing</w:t>
            </w:r>
          </w:p>
        </w:tc>
        <w:tc>
          <w:tcPr>
            <w:tcW w:type="dxa" w:w="6576"/>
            <w:vAlign w:val="top"/>
          </w:tcPr>
          <w:p>
            <w:pPr>
              <w:spacing w:after="20" w:line="252" w:lineRule="auto"/>
            </w:pPr>
            <w:r>
              <w:rPr>
                <w:b w:val="0"/>
                <w:i w:val="0"/>
                <w:sz w:val="16"/>
              </w:rPr>
              <w:t>Sizing for every environment for the on-premise option (Section 15).</w:t>
            </w:r>
          </w:p>
        </w:tc>
      </w:tr>
      <w:tr>
        <w:trPr>
          <w:cantSplit/>
        </w:trPr>
        <w:tc>
          <w:tcPr>
            <w:tcW w:type="dxa" w:w="3061"/>
            <w:vAlign w:val="top"/>
            <w:shd w:val="clear" w:color="auto" w:fill="FDF0F7"/>
          </w:tcPr>
          <w:p>
            <w:pPr>
              <w:spacing w:after="20" w:line="252" w:lineRule="auto"/>
            </w:pPr>
            <w:r>
              <w:rPr>
                <w:b/>
                <w:i w:val="0"/>
                <w:sz w:val="16"/>
              </w:rPr>
              <w:t>Unlimited users</w:t>
            </w:r>
          </w:p>
        </w:tc>
        <w:tc>
          <w:tcPr>
            <w:tcW w:type="dxa" w:w="6576"/>
            <w:vAlign w:val="top"/>
            <w:shd w:val="clear" w:color="auto" w:fill="FDF0F7"/>
          </w:tcPr>
          <w:p>
            <w:pPr>
              <w:spacing w:after="20" w:line="252" w:lineRule="auto"/>
            </w:pPr>
            <w:r>
              <w:rPr>
                <w:b w:val="0"/>
                <w:i w:val="0"/>
                <w:sz w:val="16"/>
              </w:rPr>
              <w:t>More banks, branches and agents at no extra licence or subscription cost.</w:t>
            </w:r>
          </w:p>
        </w:tc>
      </w:tr>
    </w:tbl>
    <w:p>
      <w:pPr>
        <w:pStyle w:val="Caption"/>
        <w:jc w:val="center"/>
      </w:pPr>
      <w:r>
        <w:rPr>
          <w:b w:val="0"/>
          <w:i w:val="0"/>
        </w:rPr>
        <w:t>Table 67: Value-added items included at no extra cost</w:t>
      </w:r>
    </w:p>
    <w:p>
      <w:pPr>
        <w:keepNext w:val="0"/>
      </w:pPr>
      <w:r>
        <w:rPr>
          <w:b w:val="0"/>
          <w:i w:val="0"/>
        </w:rPr>
        <w:t>Further supporting material: the technical document pack (Section 16), the screen catalogue with sample screens (Section 11), the pricing workbook and the Bill of Materials workbook.</w:t>
      </w:r>
    </w:p>
    <w:p>
      <w:pPr>
        <w:pStyle w:val="Heading1"/>
        <w:pageBreakBefore/>
        <w:pBdr>
          <w:bottom w:val="single" w:sz="12" w:space="4" w:color="F58220"/>
        </w:pBdr>
      </w:pPr>
      <w:r>
        <w:t>26. Terms &amp; Conditions</w:t>
      </w:r>
    </w:p>
    <w:p>
      <w:pPr>
        <w:keepNext w:val="0"/>
      </w:pPr>
      <w:r>
        <w:rPr>
          <w:b w:val="0"/>
          <w:i w:val="0"/>
        </w:rPr>
        <w:t>We propose the key terms below and are willing to work from IIFT's standard contract in negotiation.</w:t>
      </w:r>
    </w:p>
    <w:p>
      <w:pPr>
        <w:keepNext w:val="0"/>
        <w:jc w:val="both"/>
      </w:pPr>
      <w:r>
        <w:rPr>
          <w:b/>
          <w:i w:val="0"/>
        </w:rPr>
        <w:t>26.1 Basis of contract.</w:t>
      </w:r>
      <w:r>
        <w:rPr>
          <w:b w:val="0"/>
          <w:i w:val="0"/>
        </w:rPr>
        <w:t xml:space="preserve"> This proposal, the RFP and agreed clarifications form the basis for a definitive agreement to be negotiated in good faith. In case of conflict, the signed agreement prevails.</w:t>
      </w:r>
    </w:p>
    <w:p>
      <w:pPr>
        <w:keepNext w:val="0"/>
        <w:jc w:val="both"/>
      </w:pPr>
      <w:r>
        <w:rPr>
          <w:b/>
          <w:i w:val="0"/>
        </w:rPr>
        <w:t>26.2 Commercial model.</w:t>
      </w:r>
      <w:r>
        <w:rPr>
          <w:b w:val="0"/>
          <w:i w:val="0"/>
        </w:rPr>
        <w:t xml:space="preserve"> IIFT selects Option A (perpetual licence) or Option B (subscription) at award; Option C may be exercised later on the terms in Section 19.6.</w:t>
      </w:r>
    </w:p>
    <w:p>
      <w:pPr>
        <w:keepNext w:val="0"/>
        <w:jc w:val="both"/>
      </w:pPr>
      <w:r>
        <w:rPr>
          <w:b/>
          <w:i w:val="0"/>
        </w:rPr>
        <w:t>26.3 Prices and taxes.</w:t>
      </w:r>
      <w:r>
        <w:rPr>
          <w:b w:val="0"/>
          <w:i w:val="0"/>
        </w:rPr>
        <w:t xml:space="preserve"> Prices are in Brunei Dollars as set out in Section 19. Fees are inclusive of withholding tax, which is borne by iorta TechNXT. Out-of-pocket expenses and cloud infrastructure (Option B) are recharged at cost as disbursements with the provider and travel invoices attached, outside the fees to which withholding tax applies; IIFT may instead hold the cloud account and pay the provider directly. Third-party charges are excluded and payable at cost. Any indirect tax introduced by law after submission is added at the statutory rate.</w:t>
      </w:r>
    </w:p>
    <w:p>
      <w:pPr>
        <w:keepNext w:val="0"/>
        <w:jc w:val="both"/>
      </w:pPr>
      <w:r>
        <w:rPr>
          <w:b/>
          <w:i w:val="0"/>
        </w:rPr>
        <w:t>26.4 Payment terms.</w:t>
      </w:r>
      <w:r>
        <w:rPr>
          <w:b w:val="0"/>
          <w:i w:val="0"/>
        </w:rPr>
        <w:t xml:space="preserve"> One-time fees are invoiced on the milestones in Section 19.11. Recurring fees are invoiced as stated there. Invoices are payable within 30 days.</w:t>
      </w:r>
    </w:p>
    <w:p>
      <w:pPr>
        <w:keepNext w:val="0"/>
        <w:jc w:val="both"/>
      </w:pPr>
      <w:r>
        <w:rPr>
          <w:b/>
          <w:i w:val="0"/>
        </w:rPr>
        <w:t>26.5 Acceptance.</w:t>
      </w:r>
      <w:r>
        <w:rPr>
          <w:b w:val="0"/>
          <w:i w:val="0"/>
        </w:rPr>
        <w:t xml:space="preserve"> Deliverables and milestones are accepted by written sign-off against agreed acceptance criteria. IIFT will review within ten business days; a deliverable is deemed accepted if no material non-conformity is notified within that period or if it is used in production.</w:t>
      </w:r>
    </w:p>
    <w:p>
      <w:pPr>
        <w:keepNext w:val="0"/>
        <w:jc w:val="both"/>
      </w:pPr>
      <w:r>
        <w:rPr>
          <w:b/>
          <w:i w:val="0"/>
        </w:rPr>
        <w:t>26.6 Intellectual property.</w:t>
      </w:r>
      <w:r>
        <w:rPr>
          <w:b w:val="0"/>
          <w:i w:val="0"/>
        </w:rPr>
        <w:t xml:space="preserve"> The SalesVerse 2.0 core platform remains the intellectual property of iorta TechNXT. Under Option A IIFT receives the perpetual licence in Section 19.4; under Option B a right to use for the subscription term. Configurations, reports, documentation and other work products produced specifically for IIFT belong to IIFT. Open-source components remain under their own licences.</w:t>
      </w:r>
    </w:p>
    <w:p>
      <w:pPr>
        <w:keepNext w:val="0"/>
        <w:jc w:val="both"/>
      </w:pPr>
      <w:r>
        <w:rPr>
          <w:b/>
          <w:i w:val="0"/>
        </w:rPr>
        <w:t>26.7 Source code and escrow.</w:t>
      </w:r>
      <w:r>
        <w:rPr>
          <w:b w:val="0"/>
          <w:i w:val="0"/>
        </w:rPr>
        <w:t xml:space="preserve"> Source code of IIFT-specific components (configuration, integration adapters, reports, templates, migration and build scripts) is delivered at go-live and with every release under both options. Source code of the core platform is delivered under Option C, or deposited in escrow at IIFT's cost on the release conditions in Section 19.6.</w:t>
      </w:r>
    </w:p>
    <w:p>
      <w:pPr>
        <w:keepNext w:val="0"/>
        <w:jc w:val="both"/>
      </w:pPr>
      <w:r>
        <w:rPr>
          <w:b/>
          <w:i w:val="0"/>
        </w:rPr>
        <w:t>26.8 Data ownership and protection.</w:t>
      </w:r>
      <w:r>
        <w:rPr>
          <w:b w:val="0"/>
          <w:i w:val="0"/>
        </w:rPr>
        <w:t xml:space="preserve"> All business data, including participant, agent and transaction data and documents, remains the property of IITH/IIGT/IIFT. iorta TechNXT processes personal data only on IIFT's instructions and for the purpose of the contract, applies the security controls in Section 13, supports IIFT's obligations under the Personal Data Protection Order 2025 and returns or securely deletes data at contract end.</w:t>
      </w:r>
    </w:p>
    <w:p>
      <w:pPr>
        <w:keepNext w:val="0"/>
        <w:jc w:val="both"/>
      </w:pPr>
      <w:r>
        <w:rPr>
          <w:b/>
          <w:i w:val="0"/>
        </w:rPr>
        <w:t>26.9 Confidentiality.</w:t>
      </w:r>
      <w:r>
        <w:rPr>
          <w:b w:val="0"/>
          <w:i w:val="0"/>
        </w:rPr>
        <w:t xml:space="preserve"> Each party keeps the other's confidential information confidential, uses it only for the contract and discloses it only to personnel and approved subcontractors bound by equivalent obligations. These obligations survive termination for </w:t>
      </w:r>
      <w:r>
        <w:rPr>
          <w:b w:val="0"/>
          <w:i w:val="0"/>
          <w:highlight w:val="yellow"/>
        </w:rPr>
        <w:t>[five]</w:t>
      </w:r>
      <w:r>
        <w:rPr>
          <w:b w:val="0"/>
          <w:i w:val="0"/>
        </w:rPr>
        <w:t xml:space="preserve"> years, and indefinitely for personal data and source code.</w:t>
      </w:r>
    </w:p>
    <w:p>
      <w:pPr>
        <w:keepNext w:val="0"/>
        <w:jc w:val="both"/>
      </w:pPr>
      <w:r>
        <w:rPr>
          <w:b/>
          <w:i w:val="0"/>
        </w:rPr>
        <w:t>26.10 Warranty.</w:t>
      </w:r>
      <w:r>
        <w:rPr>
          <w:b w:val="0"/>
          <w:i w:val="0"/>
        </w:rPr>
        <w:t xml:space="preserve"> iorta TechNXT warrants that the solution will perform materially in accordance with the approved specifications for 6 months from production go-live and will correct reported defects at no charge within the SLA. The warranty does not cover issues caused by changes made by others, misuse, infrastructure or third-party products outside iorta's scope.</w:t>
      </w:r>
    </w:p>
    <w:p>
      <w:pPr>
        <w:keepNext w:val="0"/>
        <w:jc w:val="both"/>
      </w:pPr>
      <w:r>
        <w:rPr>
          <w:b/>
          <w:i w:val="0"/>
        </w:rPr>
        <w:t>26.11 Service levels and service credits.</w:t>
      </w:r>
      <w:r>
        <w:rPr>
          <w:b w:val="0"/>
          <w:i w:val="0"/>
        </w:rPr>
        <w:t xml:space="preserve"> Service levels are as defined in Section 20. Where a P1 restoration target is missed, service credits apply: </w:t>
      </w:r>
      <w:r>
        <w:rPr>
          <w:b w:val="0"/>
          <w:i w:val="0"/>
          <w:highlight w:val="yellow"/>
        </w:rPr>
        <w:t>[e.g. 5% of the quarterly AMC or of the quarterly subscription per breach, capped at 20% of that quarter's fee]</w:t>
      </w:r>
      <w:r>
        <w:rPr>
          <w:b w:val="0"/>
          <w:i w:val="0"/>
        </w:rPr>
        <w:t>. Service credits are IIFT's financial remedy for SLA failure without prejudice to termination rights for persistent failure.</w:t>
      </w:r>
    </w:p>
    <w:p>
      <w:pPr>
        <w:keepNext w:val="0"/>
        <w:jc w:val="both"/>
      </w:pPr>
      <w:r>
        <w:rPr>
          <w:b/>
          <w:i w:val="0"/>
        </w:rPr>
        <w:t>26.12 Limitation of liability.</w:t>
      </w:r>
      <w:r>
        <w:rPr>
          <w:b w:val="0"/>
          <w:i w:val="0"/>
        </w:rPr>
        <w:t xml:space="preserve"> Each party's total aggregate liability under the contract is limited to </w:t>
      </w:r>
      <w:r>
        <w:rPr>
          <w:b w:val="0"/>
          <w:i w:val="0"/>
          <w:highlight w:val="yellow"/>
        </w:rPr>
        <w:t>[the total fees paid and payable in the twelve months before the claim, or the one-time fees if higher]</w:t>
      </w:r>
      <w:r>
        <w:rPr>
          <w:b w:val="0"/>
          <w:i w:val="0"/>
        </w:rPr>
        <w:t>. Neither party is liable for indirect or consequential loss. The limitation does not apply to liability for fraud, wilful misconduct, breach of confidentiality or infringement of intellectual property.</w:t>
      </w:r>
    </w:p>
    <w:p>
      <w:pPr>
        <w:keepNext w:val="0"/>
        <w:jc w:val="both"/>
      </w:pPr>
      <w:r>
        <w:rPr>
          <w:b/>
          <w:i w:val="0"/>
        </w:rPr>
        <w:t>26.13 Change requests.</w:t>
      </w:r>
      <w:r>
        <w:rPr>
          <w:b w:val="0"/>
          <w:i w:val="0"/>
        </w:rPr>
        <w:t xml:space="preserve"> Changes to scope follow the change request process: written request, impact assessment (scope, cost, schedule, risk) within five business days, quotation using the rate card, written approval before work starts.</w:t>
      </w:r>
    </w:p>
    <w:p>
      <w:pPr>
        <w:keepNext w:val="0"/>
        <w:jc w:val="both"/>
      </w:pPr>
      <w:r>
        <w:rPr>
          <w:b/>
          <w:i w:val="0"/>
        </w:rPr>
        <w:t>26.14 Price protection.</w:t>
      </w:r>
      <w:r>
        <w:rPr>
          <w:b w:val="0"/>
          <w:i w:val="0"/>
        </w:rPr>
        <w:t xml:space="preserve"> The AMC, subscription, managed services fee and rate card increase by 5% a year and by no more than 5% a year (COM-18). One-time fees are fixed.</w:t>
      </w:r>
    </w:p>
    <w:p>
      <w:pPr>
        <w:keepNext w:val="0"/>
        <w:jc w:val="both"/>
      </w:pPr>
      <w:r>
        <w:rPr>
          <w:b/>
          <w:i w:val="0"/>
        </w:rPr>
        <w:t>26.15 Personnel and subcontracting.</w:t>
      </w:r>
      <w:r>
        <w:rPr>
          <w:b w:val="0"/>
          <w:i w:val="0"/>
        </w:rPr>
        <w:t xml:space="preserve"> Key personnel are not replaced without IIFT's consent. The independent VAPT is performed by a qualified third-party tester engaged by iorta with IIFT's approval; iorta remains responsible for its subcontractors.</w:t>
      </w:r>
    </w:p>
    <w:p>
      <w:pPr>
        <w:keepNext w:val="0"/>
        <w:jc w:val="both"/>
      </w:pPr>
      <w:r>
        <w:rPr>
          <w:b/>
          <w:i w:val="0"/>
        </w:rPr>
        <w:t>26.16 Term and termination.</w:t>
      </w:r>
      <w:r>
        <w:rPr>
          <w:b w:val="0"/>
          <w:i w:val="0"/>
        </w:rPr>
        <w:t xml:space="preserve"> Either party may terminate for material breach not remedied within 30 days of notice. IIFT may terminate for convenience on </w:t>
      </w:r>
      <w:r>
        <w:rPr>
          <w:b w:val="0"/>
          <w:i w:val="0"/>
          <w:highlight w:val="yellow"/>
        </w:rPr>
        <w:t>[90]</w:t>
      </w:r>
      <w:r>
        <w:rPr>
          <w:b w:val="0"/>
          <w:i w:val="0"/>
        </w:rPr>
        <w:t xml:space="preserve"> days' notice, paying for work performed and accepted up to the termination date and, under Option B, the subscription for any remaining part of the 60-month minimum term. On any termination iorta provides the exit assistance in Section 20, hands over work in progress and the source code of IIFT-specific components, and returns IIFT's data.</w:t>
      </w:r>
    </w:p>
    <w:p>
      <w:pPr>
        <w:keepNext w:val="0"/>
        <w:jc w:val="both"/>
      </w:pPr>
      <w:r>
        <w:rPr>
          <w:b/>
          <w:i w:val="0"/>
        </w:rPr>
        <w:t>26.17 Force majeure.</w:t>
      </w:r>
      <w:r>
        <w:rPr>
          <w:b w:val="0"/>
          <w:i w:val="0"/>
        </w:rPr>
        <w:t xml:space="preserve"> Neither party is liable for delay or failure caused by events beyond its reasonable control (including natural disasters, pandemics, war, government action or widespread utility or network failure), provided it notifies the other party promptly and uses reasonable efforts to mitigate. If force majeure continues for more than 60 days, either party may terminate the affected services.</w:t>
      </w:r>
    </w:p>
    <w:p>
      <w:pPr>
        <w:keepNext w:val="0"/>
        <w:jc w:val="both"/>
      </w:pPr>
      <w:r>
        <w:rPr>
          <w:b/>
          <w:i w:val="0"/>
        </w:rPr>
        <w:t>26.18 Governing law and disputes.</w:t>
      </w:r>
      <w:r>
        <w:rPr>
          <w:b w:val="0"/>
          <w:i w:val="0"/>
        </w:rPr>
        <w:t xml:space="preserve"> The contract is governed by the laws of Brunei Darussalam. Disputes are first escalated through the governance structure; unresolved disputes are referred to </w:t>
      </w:r>
      <w:r>
        <w:rPr>
          <w:b w:val="0"/>
          <w:i w:val="0"/>
          <w:highlight w:val="yellow"/>
        </w:rPr>
        <w:t>[mediation / arbitration in Brunei Darussalam]</w:t>
      </w:r>
      <w:r>
        <w:rPr>
          <w:b w:val="0"/>
          <w:i w:val="0"/>
        </w:rPr>
        <w:t xml:space="preserve"> and, failing that, to the courts of Brunei Darussalam.</w:t>
      </w:r>
    </w:p>
    <w:p>
      <w:pPr>
        <w:keepNext w:val="0"/>
        <w:jc w:val="both"/>
      </w:pPr>
      <w:r>
        <w:rPr>
          <w:b/>
          <w:i w:val="0"/>
        </w:rPr>
        <w:t>26.19 Validity.</w:t>
      </w:r>
      <w:r>
        <w:rPr>
          <w:b w:val="0"/>
          <w:i w:val="0"/>
        </w:rPr>
        <w:t xml:space="preserve"> This proposal is valid for 90 days from the submission date.</w:t>
      </w:r>
    </w:p>
    <w:p>
      <w:pPr>
        <w:sectPr>
          <w:headerReference w:type="default" r:id="rId9"/>
          <w:footerReference w:type="default" r:id="rId10"/>
          <w:pgSz w:w="11906" w:h="16838"/>
          <w:pgMar w:top="1247" w:right="1134" w:bottom="1134" w:left="1134" w:header="567" w:footer="567" w:gutter="0"/>
          <w:cols w:space="720"/>
          <w:titlePg/>
          <w:docGrid w:linePitch="360"/>
        </w:sectPr>
      </w:pPr>
    </w:p>
    <w:p>
      <w:pPr>
        <w:pStyle w:val="Heading1"/>
        <w:pageBreakBefore w:val="0"/>
        <w:pBdr>
          <w:bottom w:val="single" w:sz="12" w:space="4" w:color="F58220"/>
        </w:pBdr>
      </w:pPr>
      <w:r>
        <w:t>Annex A – Requirements Compliance and Fitment Matrix</w:t>
      </w:r>
    </w:p>
    <w:p>
      <w:pPr>
        <w:keepNext w:val="0"/>
      </w:pPr>
      <w:r>
        <w:rPr>
          <w:b w:val="0"/>
          <w:i w:val="0"/>
        </w:rPr>
        <w:t xml:space="preserve">Every requirement ID in the RFP is listed. </w:t>
      </w:r>
      <w:r>
        <w:rPr>
          <w:b/>
          <w:i w:val="0"/>
        </w:rPr>
        <w:t>Compliance</w:t>
      </w:r>
      <w:r>
        <w:rPr>
          <w:b w:val="0"/>
          <w:i w:val="0"/>
        </w:rPr>
        <w:t xml:space="preserve">: Fully Compliant is a standard capability of the delivered solution; Compliant – configuration is met by setting rules, parameters or master data; Compliant – custom is met by IIFT-specific work inside the fixed price. </w:t>
      </w:r>
      <w:r>
        <w:rPr>
          <w:b/>
          <w:i w:val="0"/>
        </w:rPr>
        <w:t>Fitment</w:t>
      </w:r>
      <w:r>
        <w:rPr>
          <w:b w:val="0"/>
          <w:i w:val="0"/>
        </w:rPr>
        <w:t xml:space="preserve"> uses the four categories in Section 6. Priority follows RFP Appendix 4. The RFP uses the prefix COM for both shared platform (section 4.4) and commercial (section 6) requirements; each set is listed under its section, and commercial items carry no fitment.</w:t>
      </w:r>
    </w:p>
    <w:tbl>
      <w:tblPr>
        <w:tblW w:type="dxa" w:w="14571"/>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907"/>
        <w:gridCol w:w="2721"/>
        <w:gridCol w:w="793"/>
        <w:gridCol w:w="1757"/>
        <w:gridCol w:w="1927"/>
        <w:gridCol w:w="6463"/>
      </w:tblGrid>
      <w:tr>
        <w:trPr>
          <w:cantSplit/>
          <w:tblHeader/>
        </w:trPr>
        <w:tc>
          <w:tcPr>
            <w:tcW w:type="dxa" w:w="907"/>
            <w:shd w:val="clear" w:color="auto" w:fill="E1058C"/>
            <w:vAlign w:val="center"/>
          </w:tcPr>
          <w:p>
            <w:pPr>
              <w:spacing w:after="0"/>
            </w:pPr>
            <w:r>
              <w:rPr>
                <w:b/>
                <w:i w:val="0"/>
                <w:color w:val="FFFFFF"/>
                <w:sz w:val="15"/>
              </w:rPr>
              <w:t>ID</w:t>
            </w:r>
          </w:p>
        </w:tc>
        <w:tc>
          <w:tcPr>
            <w:tcW w:type="dxa" w:w="2721"/>
            <w:shd w:val="clear" w:color="auto" w:fill="E1058C"/>
            <w:vAlign w:val="center"/>
          </w:tcPr>
          <w:p>
            <w:pPr>
              <w:spacing w:after="0"/>
            </w:pPr>
            <w:r>
              <w:rPr>
                <w:b/>
                <w:i w:val="0"/>
                <w:color w:val="FFFFFF"/>
                <w:sz w:val="15"/>
              </w:rPr>
              <w:t>Requirement</w:t>
            </w:r>
          </w:p>
        </w:tc>
        <w:tc>
          <w:tcPr>
            <w:tcW w:type="dxa" w:w="794"/>
            <w:shd w:val="clear" w:color="auto" w:fill="E1058C"/>
            <w:vAlign w:val="center"/>
          </w:tcPr>
          <w:p>
            <w:pPr>
              <w:spacing w:after="0"/>
            </w:pPr>
            <w:r>
              <w:rPr>
                <w:b/>
                <w:i w:val="0"/>
                <w:color w:val="FFFFFF"/>
                <w:sz w:val="15"/>
              </w:rPr>
              <w:t>Priority</w:t>
            </w:r>
          </w:p>
        </w:tc>
        <w:tc>
          <w:tcPr>
            <w:tcW w:type="dxa" w:w="1757"/>
            <w:shd w:val="clear" w:color="auto" w:fill="E1058C"/>
            <w:vAlign w:val="center"/>
          </w:tcPr>
          <w:p>
            <w:pPr>
              <w:spacing w:after="0"/>
            </w:pPr>
            <w:r>
              <w:rPr>
                <w:b/>
                <w:i w:val="0"/>
                <w:color w:val="FFFFFF"/>
                <w:sz w:val="15"/>
              </w:rPr>
              <w:t>Compliance</w:t>
            </w:r>
          </w:p>
        </w:tc>
        <w:tc>
          <w:tcPr>
            <w:tcW w:type="dxa" w:w="1928"/>
            <w:shd w:val="clear" w:color="auto" w:fill="E1058C"/>
            <w:vAlign w:val="center"/>
          </w:tcPr>
          <w:p>
            <w:pPr>
              <w:spacing w:after="0"/>
            </w:pPr>
            <w:r>
              <w:rPr>
                <w:b/>
                <w:i w:val="0"/>
                <w:color w:val="FFFFFF"/>
                <w:sz w:val="15"/>
              </w:rPr>
              <w:t>Fitment</w:t>
            </w:r>
          </w:p>
        </w:tc>
        <w:tc>
          <w:tcPr>
            <w:tcW w:type="dxa" w:w="6463"/>
            <w:shd w:val="clear" w:color="auto" w:fill="E1058C"/>
            <w:vAlign w:val="center"/>
          </w:tcPr>
          <w:p>
            <w:pPr>
              <w:spacing w:after="0"/>
            </w:pPr>
            <w:r>
              <w:rPr>
                <w:b/>
                <w:i w:val="0"/>
                <w:color w:val="FFFFFF"/>
                <w:sz w:val="15"/>
              </w:rPr>
              <w:t>How addressed</w:t>
            </w:r>
          </w:p>
        </w:tc>
      </w:tr>
      <w:tr>
        <w:trPr>
          <w:cantSplit/>
        </w:trPr>
        <w:tc>
          <w:tcPr>
            <w:tcW w:type="dxa" w:w="6463"/>
            <w:gridSpan w:val="6"/>
            <w:shd w:val="clear" w:color="auto" w:fill="FEEBDD"/>
          </w:tcPr>
          <w:p>
            <w:pPr>
              <w:spacing w:after="0"/>
            </w:pPr>
            <w:r>
              <w:rPr>
                <w:b/>
                <w:i w:val="0"/>
                <w:color w:val="333333"/>
                <w:sz w:val="15"/>
              </w:rPr>
              <w:t>RFP 4.1 – Agent/Banca Portal functional requirements</w:t>
            </w:r>
          </w:p>
        </w:tc>
      </w:tr>
      <w:tr>
        <w:trPr>
          <w:cantSplit/>
        </w:trPr>
        <w:tc>
          <w:tcPr>
            <w:tcW w:type="dxa" w:w="907"/>
            <w:vAlign w:val="top"/>
          </w:tcPr>
          <w:p>
            <w:pPr>
              <w:spacing w:after="20" w:line="252" w:lineRule="auto"/>
            </w:pPr>
            <w:r>
              <w:rPr>
                <w:b/>
                <w:i w:val="0"/>
                <w:sz w:val="15"/>
              </w:rPr>
              <w:t>AP-01</w:t>
            </w:r>
          </w:p>
        </w:tc>
        <w:tc>
          <w:tcPr>
            <w:tcW w:type="dxa" w:w="2721"/>
            <w:vAlign w:val="top"/>
          </w:tcPr>
          <w:p>
            <w:pPr>
              <w:spacing w:after="20" w:line="252" w:lineRule="auto"/>
            </w:pPr>
            <w:r>
              <w:rPr>
                <w:b w:val="0"/>
                <w:i w:val="0"/>
                <w:sz w:val="15"/>
              </w:rPr>
              <w:t>Secure login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Username/password with Argon2id hashing, rate-limited login, optional MFA, server-side sessions.</w:t>
            </w:r>
          </w:p>
        </w:tc>
      </w:tr>
      <w:tr>
        <w:trPr>
          <w:cantSplit/>
        </w:trPr>
        <w:tc>
          <w:tcPr>
            <w:tcW w:type="dxa" w:w="907"/>
            <w:vAlign w:val="top"/>
            <w:shd w:val="clear" w:color="auto" w:fill="FDF0F7"/>
          </w:tcPr>
          <w:p>
            <w:pPr>
              <w:spacing w:after="20" w:line="252" w:lineRule="auto"/>
            </w:pPr>
            <w:r>
              <w:rPr>
                <w:b/>
                <w:i w:val="0"/>
                <w:sz w:val="15"/>
              </w:rPr>
              <w:t>AP-02</w:t>
            </w:r>
          </w:p>
        </w:tc>
        <w:tc>
          <w:tcPr>
            <w:tcW w:type="dxa" w:w="2721"/>
            <w:vAlign w:val="top"/>
            <w:shd w:val="clear" w:color="auto" w:fill="FDF0F7"/>
          </w:tcPr>
          <w:p>
            <w:pPr>
              <w:spacing w:after="20" w:line="252" w:lineRule="auto"/>
            </w:pPr>
            <w:r>
              <w:rPr>
                <w:b w:val="0"/>
                <w:i w:val="0"/>
                <w:sz w:val="15"/>
              </w:rPr>
              <w:t>Password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Self-service change and reset; length, complexity, history (last 5) and 90-day expiry are parameters.</w:t>
            </w:r>
          </w:p>
        </w:tc>
      </w:tr>
      <w:tr>
        <w:trPr>
          <w:cantSplit/>
        </w:trPr>
        <w:tc>
          <w:tcPr>
            <w:tcW w:type="dxa" w:w="907"/>
            <w:vAlign w:val="top"/>
          </w:tcPr>
          <w:p>
            <w:pPr>
              <w:spacing w:after="20" w:line="252" w:lineRule="auto"/>
            </w:pPr>
            <w:r>
              <w:rPr>
                <w:b/>
                <w:i w:val="0"/>
                <w:sz w:val="15"/>
              </w:rPr>
              <w:t>AP-03</w:t>
            </w:r>
          </w:p>
        </w:tc>
        <w:tc>
          <w:tcPr>
            <w:tcW w:type="dxa" w:w="2721"/>
            <w:vAlign w:val="top"/>
          </w:tcPr>
          <w:p>
            <w:pPr>
              <w:spacing w:after="20" w:line="252" w:lineRule="auto"/>
            </w:pPr>
            <w:r>
              <w:rPr>
                <w:b w:val="0"/>
                <w:i w:val="0"/>
                <w:sz w:val="15"/>
              </w:rPr>
              <w:t>Session management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15-min idle and 8-h absolute timeout, logout revokes server session, ID regenerated at login, single-session option.</w:t>
            </w:r>
          </w:p>
        </w:tc>
      </w:tr>
      <w:tr>
        <w:trPr>
          <w:cantSplit/>
        </w:trPr>
        <w:tc>
          <w:tcPr>
            <w:tcW w:type="dxa" w:w="907"/>
            <w:vAlign w:val="top"/>
            <w:shd w:val="clear" w:color="auto" w:fill="FDF0F7"/>
          </w:tcPr>
          <w:p>
            <w:pPr>
              <w:spacing w:after="20" w:line="252" w:lineRule="auto"/>
            </w:pPr>
            <w:r>
              <w:rPr>
                <w:b/>
                <w:i w:val="0"/>
                <w:sz w:val="15"/>
              </w:rPr>
              <w:t>AP-04</w:t>
            </w:r>
          </w:p>
        </w:tc>
        <w:tc>
          <w:tcPr>
            <w:tcW w:type="dxa" w:w="2721"/>
            <w:vAlign w:val="top"/>
            <w:shd w:val="clear" w:color="auto" w:fill="FDF0F7"/>
          </w:tcPr>
          <w:p>
            <w:pPr>
              <w:spacing w:after="20" w:line="252" w:lineRule="auto"/>
            </w:pPr>
            <w:r>
              <w:rPr>
                <w:b w:val="0"/>
                <w:i w:val="0"/>
                <w:sz w:val="15"/>
              </w:rPr>
              <w:t>Account lockout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Lock after 5 failed attempts for 30 min (configurable); manual release by an administrator is audited.</w:t>
            </w:r>
          </w:p>
        </w:tc>
      </w:tr>
      <w:tr>
        <w:trPr>
          <w:cantSplit/>
        </w:trPr>
        <w:tc>
          <w:tcPr>
            <w:tcW w:type="dxa" w:w="907"/>
            <w:vAlign w:val="top"/>
          </w:tcPr>
          <w:p>
            <w:pPr>
              <w:spacing w:after="20" w:line="252" w:lineRule="auto"/>
            </w:pPr>
            <w:r>
              <w:rPr>
                <w:b/>
                <w:i w:val="0"/>
                <w:sz w:val="15"/>
              </w:rPr>
              <w:t>AP-05</w:t>
            </w:r>
          </w:p>
        </w:tc>
        <w:tc>
          <w:tcPr>
            <w:tcW w:type="dxa" w:w="2721"/>
            <w:vAlign w:val="top"/>
          </w:tcPr>
          <w:p>
            <w:pPr>
              <w:spacing w:after="20" w:line="252" w:lineRule="auto"/>
            </w:pPr>
            <w:r>
              <w:rPr>
                <w:b w:val="0"/>
                <w:i w:val="0"/>
                <w:sz w:val="15"/>
              </w:rPr>
              <w:t>View agent/banca profile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My Profile page: personal, contact, agency/bank, licence, hierarchy and document status.</w:t>
            </w:r>
          </w:p>
        </w:tc>
      </w:tr>
      <w:tr>
        <w:trPr>
          <w:cantSplit/>
        </w:trPr>
        <w:tc>
          <w:tcPr>
            <w:tcW w:type="dxa" w:w="907"/>
            <w:vAlign w:val="top"/>
            <w:shd w:val="clear" w:color="auto" w:fill="FDF0F7"/>
          </w:tcPr>
          <w:p>
            <w:pPr>
              <w:spacing w:after="20" w:line="252" w:lineRule="auto"/>
            </w:pPr>
            <w:r>
              <w:rPr>
                <w:b/>
                <w:i w:val="0"/>
                <w:sz w:val="15"/>
              </w:rPr>
              <w:t>AP-06</w:t>
            </w:r>
          </w:p>
        </w:tc>
        <w:tc>
          <w:tcPr>
            <w:tcW w:type="dxa" w:w="2721"/>
            <w:vAlign w:val="top"/>
            <w:shd w:val="clear" w:color="auto" w:fill="FDF0F7"/>
          </w:tcPr>
          <w:p>
            <w:pPr>
              <w:spacing w:after="20" w:line="252" w:lineRule="auto"/>
            </w:pPr>
            <w:r>
              <w:rPr>
                <w:b w:val="0"/>
                <w:i w:val="0"/>
                <w:sz w:val="15"/>
              </w:rPr>
              <w:t>Maintain profile (approval)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Profile change request with before/after values routed through maker-checker workflow.</w:t>
            </w:r>
          </w:p>
        </w:tc>
      </w:tr>
      <w:tr>
        <w:trPr>
          <w:cantSplit/>
        </w:trPr>
        <w:tc>
          <w:tcPr>
            <w:tcW w:type="dxa" w:w="907"/>
            <w:vAlign w:val="top"/>
          </w:tcPr>
          <w:p>
            <w:pPr>
              <w:spacing w:after="20" w:line="252" w:lineRule="auto"/>
            </w:pPr>
            <w:r>
              <w:rPr>
                <w:b/>
                <w:i w:val="0"/>
                <w:sz w:val="15"/>
              </w:rPr>
              <w:t>AP-07</w:t>
            </w:r>
          </w:p>
        </w:tc>
        <w:tc>
          <w:tcPr>
            <w:tcW w:type="dxa" w:w="2721"/>
            <w:vAlign w:val="top"/>
          </w:tcPr>
          <w:p>
            <w:pPr>
              <w:spacing w:after="20" w:line="252" w:lineRule="auto"/>
            </w:pPr>
            <w:r>
              <w:rPr>
                <w:b w:val="0"/>
                <w:i w:val="0"/>
                <w:sz w:val="15"/>
              </w:rPr>
              <w:t>Agent/banca registration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Online registration wizard with AML/KYC data, document upload (IC copy, or passport copy for passport holders) and back-office approval.</w:t>
            </w:r>
          </w:p>
        </w:tc>
      </w:tr>
      <w:tr>
        <w:trPr>
          <w:cantSplit/>
        </w:trPr>
        <w:tc>
          <w:tcPr>
            <w:tcW w:type="dxa" w:w="907"/>
            <w:vAlign w:val="top"/>
            <w:shd w:val="clear" w:color="auto" w:fill="FDF0F7"/>
          </w:tcPr>
          <w:p>
            <w:pPr>
              <w:spacing w:after="20" w:line="252" w:lineRule="auto"/>
            </w:pPr>
            <w:r>
              <w:rPr>
                <w:b/>
                <w:i w:val="0"/>
                <w:sz w:val="15"/>
              </w:rPr>
              <w:t>AP-08</w:t>
            </w:r>
          </w:p>
        </w:tc>
        <w:tc>
          <w:tcPr>
            <w:tcW w:type="dxa" w:w="2721"/>
            <w:vAlign w:val="top"/>
            <w:shd w:val="clear" w:color="auto" w:fill="FDF0F7"/>
          </w:tcPr>
          <w:p>
            <w:pPr>
              <w:spacing w:after="20" w:line="252" w:lineRule="auto"/>
            </w:pPr>
            <w:r>
              <w:rPr>
                <w:b w:val="0"/>
                <w:i w:val="0"/>
                <w:sz w:val="15"/>
              </w:rPr>
              <w:t>Agent ID</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Unique agent/banca code produced on approval from a configurable numbering pattern.</w:t>
            </w:r>
          </w:p>
        </w:tc>
      </w:tr>
      <w:tr>
        <w:trPr>
          <w:cantSplit/>
        </w:trPr>
        <w:tc>
          <w:tcPr>
            <w:tcW w:type="dxa" w:w="907"/>
            <w:vAlign w:val="top"/>
          </w:tcPr>
          <w:p>
            <w:pPr>
              <w:spacing w:after="20" w:line="252" w:lineRule="auto"/>
            </w:pPr>
            <w:r>
              <w:rPr>
                <w:b/>
                <w:i w:val="0"/>
                <w:sz w:val="15"/>
              </w:rPr>
              <w:t>AP-09</w:t>
            </w:r>
          </w:p>
        </w:tc>
        <w:tc>
          <w:tcPr>
            <w:tcW w:type="dxa" w:w="2721"/>
            <w:vAlign w:val="top"/>
          </w:tcPr>
          <w:p>
            <w:pPr>
              <w:spacing w:after="20" w:line="252" w:lineRule="auto"/>
            </w:pPr>
            <w:r>
              <w:rPr>
                <w:b w:val="0"/>
                <w:i w:val="0"/>
                <w:sz w:val="15"/>
              </w:rPr>
              <w:t>Main/sub-agent relationships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Hierarchy view of main agent, sub-agents and bank officers scoped to the user's position.</w:t>
            </w:r>
          </w:p>
        </w:tc>
      </w:tr>
      <w:tr>
        <w:trPr>
          <w:cantSplit/>
        </w:trPr>
        <w:tc>
          <w:tcPr>
            <w:tcW w:type="dxa" w:w="907"/>
            <w:vAlign w:val="top"/>
            <w:shd w:val="clear" w:color="auto" w:fill="FDF0F7"/>
          </w:tcPr>
          <w:p>
            <w:pPr>
              <w:spacing w:after="20" w:line="252" w:lineRule="auto"/>
            </w:pPr>
            <w:r>
              <w:rPr>
                <w:b/>
                <w:i w:val="0"/>
                <w:sz w:val="15"/>
              </w:rPr>
              <w:t>AP-10</w:t>
            </w:r>
          </w:p>
        </w:tc>
        <w:tc>
          <w:tcPr>
            <w:tcW w:type="dxa" w:w="2721"/>
            <w:vAlign w:val="top"/>
            <w:shd w:val="clear" w:color="auto" w:fill="FDF0F7"/>
          </w:tcPr>
          <w:p>
            <w:pPr>
              <w:spacing w:after="20" w:line="252" w:lineRule="auto"/>
            </w:pPr>
            <w:r>
              <w:rPr>
                <w:b w:val="0"/>
                <w:i w:val="0"/>
                <w:sz w:val="15"/>
              </w:rPr>
              <w:t>Agency/banca information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Agency/bank details, branches, contacts and status shown on dashboard and profile.</w:t>
            </w:r>
          </w:p>
        </w:tc>
      </w:tr>
      <w:tr>
        <w:trPr>
          <w:cantSplit/>
        </w:trPr>
        <w:tc>
          <w:tcPr>
            <w:tcW w:type="dxa" w:w="907"/>
            <w:vAlign w:val="top"/>
          </w:tcPr>
          <w:p>
            <w:pPr>
              <w:spacing w:after="20" w:line="252" w:lineRule="auto"/>
            </w:pPr>
            <w:r>
              <w:rPr>
                <w:b/>
                <w:i w:val="0"/>
                <w:sz w:val="15"/>
              </w:rPr>
              <w:t>AP-11</w:t>
            </w:r>
          </w:p>
        </w:tc>
        <w:tc>
          <w:tcPr>
            <w:tcW w:type="dxa" w:w="2721"/>
            <w:vAlign w:val="top"/>
          </w:tcPr>
          <w:p>
            <w:pPr>
              <w:spacing w:after="20" w:line="252" w:lineRule="auto"/>
            </w:pPr>
            <w:r>
              <w:rPr>
                <w:b w:val="0"/>
                <w:i w:val="0"/>
                <w:sz w:val="15"/>
              </w:rPr>
              <w:t>Cross-agency participant sharing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Single participant master with de-duplication by IC/registration no.; sharing governed by RBAC and policy rules.</w:t>
            </w:r>
          </w:p>
        </w:tc>
      </w:tr>
      <w:tr>
        <w:trPr>
          <w:cantSplit/>
        </w:trPr>
        <w:tc>
          <w:tcPr>
            <w:tcW w:type="dxa" w:w="907"/>
            <w:vAlign w:val="top"/>
            <w:shd w:val="clear" w:color="auto" w:fill="FDF0F7"/>
          </w:tcPr>
          <w:p>
            <w:pPr>
              <w:spacing w:after="20" w:line="252" w:lineRule="auto"/>
            </w:pPr>
            <w:r>
              <w:rPr>
                <w:b/>
                <w:i w:val="0"/>
                <w:sz w:val="15"/>
              </w:rPr>
              <w:t>AP-12</w:t>
            </w:r>
          </w:p>
        </w:tc>
        <w:tc>
          <w:tcPr>
            <w:tcW w:type="dxa" w:w="2721"/>
            <w:vAlign w:val="top"/>
            <w:shd w:val="clear" w:color="auto" w:fill="FDF0F7"/>
          </w:tcPr>
          <w:p>
            <w:pPr>
              <w:spacing w:after="20" w:line="252" w:lineRule="auto"/>
            </w:pPr>
            <w:r>
              <w:rPr>
                <w:b w:val="0"/>
                <w:i w:val="0"/>
                <w:sz w:val="15"/>
              </w:rPr>
              <w:t>Agency-wide participant visibility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Consolidated participant 360 view (policies, payments, claims, interactions) for authorised roles.</w:t>
            </w:r>
          </w:p>
        </w:tc>
      </w:tr>
      <w:tr>
        <w:trPr>
          <w:cantSplit/>
        </w:trPr>
        <w:tc>
          <w:tcPr>
            <w:tcW w:type="dxa" w:w="907"/>
            <w:vAlign w:val="top"/>
          </w:tcPr>
          <w:p>
            <w:pPr>
              <w:spacing w:after="20" w:line="252" w:lineRule="auto"/>
            </w:pPr>
            <w:r>
              <w:rPr>
                <w:b/>
                <w:i w:val="0"/>
                <w:sz w:val="15"/>
              </w:rPr>
              <w:t>AP-13</w:t>
            </w:r>
          </w:p>
        </w:tc>
        <w:tc>
          <w:tcPr>
            <w:tcW w:type="dxa" w:w="2721"/>
            <w:vAlign w:val="top"/>
          </w:tcPr>
          <w:p>
            <w:pPr>
              <w:spacing w:after="20" w:line="252" w:lineRule="auto"/>
            </w:pPr>
            <w:r>
              <w:rPr>
                <w:b w:val="0"/>
                <w:i w:val="0"/>
                <w:sz w:val="15"/>
              </w:rPr>
              <w:t>Participant registration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Individual and corporate participant forms with validation and duplicate check.</w:t>
            </w:r>
          </w:p>
        </w:tc>
      </w:tr>
      <w:tr>
        <w:trPr>
          <w:cantSplit/>
        </w:trPr>
        <w:tc>
          <w:tcPr>
            <w:tcW w:type="dxa" w:w="907"/>
            <w:vAlign w:val="top"/>
            <w:shd w:val="clear" w:color="auto" w:fill="FDF0F7"/>
          </w:tcPr>
          <w:p>
            <w:pPr>
              <w:spacing w:after="20" w:line="252" w:lineRule="auto"/>
            </w:pPr>
            <w:r>
              <w:rPr>
                <w:b/>
                <w:i w:val="0"/>
                <w:sz w:val="15"/>
              </w:rPr>
              <w:t>AP-14</w:t>
            </w:r>
          </w:p>
        </w:tc>
        <w:tc>
          <w:tcPr>
            <w:tcW w:type="dxa" w:w="2721"/>
            <w:vAlign w:val="top"/>
            <w:shd w:val="clear" w:color="auto" w:fill="FDF0F7"/>
          </w:tcPr>
          <w:p>
            <w:pPr>
              <w:spacing w:after="20" w:line="252" w:lineRule="auto"/>
            </w:pPr>
            <w:r>
              <w:rPr>
                <w:b w:val="0"/>
                <w:i w:val="0"/>
                <w:sz w:val="15"/>
              </w:rPr>
              <w:t>Participant search</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Search by name, IC/passport (blind index), phone, policy no.; criteria configurable.</w:t>
            </w:r>
          </w:p>
        </w:tc>
      </w:tr>
      <w:tr>
        <w:trPr>
          <w:cantSplit/>
        </w:trPr>
        <w:tc>
          <w:tcPr>
            <w:tcW w:type="dxa" w:w="907"/>
            <w:vAlign w:val="top"/>
          </w:tcPr>
          <w:p>
            <w:pPr>
              <w:spacing w:after="20" w:line="252" w:lineRule="auto"/>
            </w:pPr>
            <w:r>
              <w:rPr>
                <w:b/>
                <w:i w:val="0"/>
                <w:sz w:val="15"/>
              </w:rPr>
              <w:t>AP-15</w:t>
            </w:r>
          </w:p>
        </w:tc>
        <w:tc>
          <w:tcPr>
            <w:tcW w:type="dxa" w:w="2721"/>
            <w:vAlign w:val="top"/>
          </w:tcPr>
          <w:p>
            <w:pPr>
              <w:spacing w:after="20" w:line="252" w:lineRule="auto"/>
            </w:pPr>
            <w:r>
              <w:rPr>
                <w:b w:val="0"/>
                <w:i w:val="0"/>
                <w:sz w:val="15"/>
              </w:rPr>
              <w:t>Participant maintenance (approval)</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Update requests go through maker-checker; approved values applied with audit history.</w:t>
            </w:r>
          </w:p>
        </w:tc>
      </w:tr>
      <w:tr>
        <w:trPr>
          <w:cantSplit/>
        </w:trPr>
        <w:tc>
          <w:tcPr>
            <w:tcW w:type="dxa" w:w="907"/>
            <w:vAlign w:val="top"/>
            <w:shd w:val="clear" w:color="auto" w:fill="FDF0F7"/>
          </w:tcPr>
          <w:p>
            <w:pPr>
              <w:spacing w:after="20" w:line="252" w:lineRule="auto"/>
            </w:pPr>
            <w:r>
              <w:rPr>
                <w:b/>
                <w:i w:val="0"/>
                <w:sz w:val="15"/>
              </w:rPr>
              <w:t>AP-16</w:t>
            </w:r>
          </w:p>
        </w:tc>
        <w:tc>
          <w:tcPr>
            <w:tcW w:type="dxa" w:w="2721"/>
            <w:vAlign w:val="top"/>
            <w:shd w:val="clear" w:color="auto" w:fill="FDF0F7"/>
          </w:tcPr>
          <w:p>
            <w:pPr>
              <w:spacing w:after="20" w:line="252" w:lineRule="auto"/>
            </w:pPr>
            <w:r>
              <w:rPr>
                <w:b w:val="0"/>
                <w:i w:val="0"/>
                <w:sz w:val="15"/>
              </w:rPr>
              <w:t>AML screening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Screening on registration and update via AML adapter; hits routed to compliance review queue.</w:t>
            </w:r>
          </w:p>
        </w:tc>
      </w:tr>
      <w:tr>
        <w:trPr>
          <w:cantSplit/>
        </w:trPr>
        <w:tc>
          <w:tcPr>
            <w:tcW w:type="dxa" w:w="907"/>
            <w:vAlign w:val="top"/>
          </w:tcPr>
          <w:p>
            <w:pPr>
              <w:spacing w:after="20" w:line="252" w:lineRule="auto"/>
            </w:pPr>
            <w:r>
              <w:rPr>
                <w:b/>
                <w:i w:val="0"/>
                <w:sz w:val="15"/>
              </w:rPr>
              <w:t>AP-17</w:t>
            </w:r>
          </w:p>
        </w:tc>
        <w:tc>
          <w:tcPr>
            <w:tcW w:type="dxa" w:w="2721"/>
            <w:vAlign w:val="top"/>
          </w:tcPr>
          <w:p>
            <w:pPr>
              <w:spacing w:after="20" w:line="252" w:lineRule="auto"/>
            </w:pPr>
            <w:r>
              <w:rPr>
                <w:b w:val="0"/>
                <w:i w:val="0"/>
                <w:sz w:val="15"/>
              </w:rPr>
              <w:t>Product selection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Product catalogue from configuration showing products the agent/bank is authorised to sell.</w:t>
            </w:r>
          </w:p>
        </w:tc>
      </w:tr>
      <w:tr>
        <w:trPr>
          <w:cantSplit/>
        </w:trPr>
        <w:tc>
          <w:tcPr>
            <w:tcW w:type="dxa" w:w="907"/>
            <w:vAlign w:val="top"/>
            <w:shd w:val="clear" w:color="auto" w:fill="FDF0F7"/>
          </w:tcPr>
          <w:p>
            <w:pPr>
              <w:spacing w:after="20" w:line="252" w:lineRule="auto"/>
            </w:pPr>
            <w:r>
              <w:rPr>
                <w:b/>
                <w:i w:val="0"/>
                <w:sz w:val="15"/>
              </w:rPr>
              <w:t>AP-18</w:t>
            </w:r>
          </w:p>
        </w:tc>
        <w:tc>
          <w:tcPr>
            <w:tcW w:type="dxa" w:w="2721"/>
            <w:vAlign w:val="top"/>
            <w:shd w:val="clear" w:color="auto" w:fill="FDF0F7"/>
          </w:tcPr>
          <w:p>
            <w:pPr>
              <w:spacing w:after="20" w:line="252" w:lineRule="auto"/>
            </w:pPr>
            <w:r>
              <w:rPr>
                <w:b w:val="0"/>
                <w:i w:val="0"/>
                <w:sz w:val="15"/>
              </w:rPr>
              <w:t>New quotation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Product-specific quotation wizard for all seven Appendix 3 products.</w:t>
            </w:r>
          </w:p>
        </w:tc>
      </w:tr>
      <w:tr>
        <w:trPr>
          <w:cantSplit/>
        </w:trPr>
        <w:tc>
          <w:tcPr>
            <w:tcW w:type="dxa" w:w="907"/>
            <w:vAlign w:val="top"/>
          </w:tcPr>
          <w:p>
            <w:pPr>
              <w:spacing w:after="20" w:line="252" w:lineRule="auto"/>
            </w:pPr>
            <w:r>
              <w:rPr>
                <w:b/>
                <w:i w:val="0"/>
                <w:sz w:val="15"/>
              </w:rPr>
              <w:t>AP-19</w:t>
            </w:r>
          </w:p>
        </w:tc>
        <w:tc>
          <w:tcPr>
            <w:tcW w:type="dxa" w:w="2721"/>
            <w:vAlign w:val="top"/>
          </w:tcPr>
          <w:p>
            <w:pPr>
              <w:spacing w:after="20" w:line="252" w:lineRule="auto"/>
            </w:pPr>
            <w:r>
              <w:rPr>
                <w:b w:val="0"/>
                <w:i w:val="0"/>
                <w:sz w:val="15"/>
              </w:rPr>
              <w:t>Automatic contribution calculation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Rating engines per product using configurable rate tables supplied by IIFT actuarial.</w:t>
            </w:r>
          </w:p>
        </w:tc>
      </w:tr>
      <w:tr>
        <w:trPr>
          <w:cantSplit/>
        </w:trPr>
        <w:tc>
          <w:tcPr>
            <w:tcW w:type="dxa" w:w="907"/>
            <w:vAlign w:val="top"/>
            <w:shd w:val="clear" w:color="auto" w:fill="FDF0F7"/>
          </w:tcPr>
          <w:p>
            <w:pPr>
              <w:spacing w:after="20" w:line="252" w:lineRule="auto"/>
            </w:pPr>
            <w:r>
              <w:rPr>
                <w:b/>
                <w:i w:val="0"/>
                <w:sz w:val="15"/>
              </w:rPr>
              <w:t>AP-20</w:t>
            </w:r>
          </w:p>
        </w:tc>
        <w:tc>
          <w:tcPr>
            <w:tcW w:type="dxa" w:w="2721"/>
            <w:vAlign w:val="top"/>
            <w:shd w:val="clear" w:color="auto" w:fill="FDF0F7"/>
          </w:tcPr>
          <w:p>
            <w:pPr>
              <w:spacing w:after="20" w:line="252" w:lineRule="auto"/>
            </w:pPr>
            <w:r>
              <w:rPr>
                <w:b w:val="0"/>
                <w:i w:val="0"/>
                <w:sz w:val="15"/>
              </w:rPr>
              <w:t>Draft quotation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Quotations saved as DRAFT at any step and resumed later.</w:t>
            </w:r>
          </w:p>
        </w:tc>
      </w:tr>
      <w:tr>
        <w:trPr>
          <w:cantSplit/>
        </w:trPr>
        <w:tc>
          <w:tcPr>
            <w:tcW w:type="dxa" w:w="907"/>
            <w:vAlign w:val="top"/>
          </w:tcPr>
          <w:p>
            <w:pPr>
              <w:spacing w:after="20" w:line="252" w:lineRule="auto"/>
            </w:pPr>
            <w:r>
              <w:rPr>
                <w:b/>
                <w:i w:val="0"/>
                <w:sz w:val="15"/>
              </w:rPr>
              <w:t>AP-21</w:t>
            </w:r>
          </w:p>
        </w:tc>
        <w:tc>
          <w:tcPr>
            <w:tcW w:type="dxa" w:w="2721"/>
            <w:vAlign w:val="top"/>
          </w:tcPr>
          <w:p>
            <w:pPr>
              <w:spacing w:after="20" w:line="252" w:lineRule="auto"/>
            </w:pPr>
            <w:r>
              <w:rPr>
                <w:b w:val="0"/>
                <w:i w:val="0"/>
                <w:sz w:val="15"/>
              </w:rPr>
              <w:t>Policy status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Draft, Pending Approval, Pending Payment, Active, Rejected, Expired and Cancelled statuses.</w:t>
            </w:r>
          </w:p>
        </w:tc>
      </w:tr>
      <w:tr>
        <w:trPr>
          <w:cantSplit/>
        </w:trPr>
        <w:tc>
          <w:tcPr>
            <w:tcW w:type="dxa" w:w="907"/>
            <w:vAlign w:val="top"/>
            <w:shd w:val="clear" w:color="auto" w:fill="FDF0F7"/>
          </w:tcPr>
          <w:p>
            <w:pPr>
              <w:spacing w:after="20" w:line="252" w:lineRule="auto"/>
            </w:pPr>
            <w:r>
              <w:rPr>
                <w:b/>
                <w:i w:val="0"/>
                <w:sz w:val="15"/>
              </w:rPr>
              <w:t>AP-22</w:t>
            </w:r>
          </w:p>
        </w:tc>
        <w:tc>
          <w:tcPr>
            <w:tcW w:type="dxa" w:w="2721"/>
            <w:vAlign w:val="top"/>
            <w:shd w:val="clear" w:color="auto" w:fill="FDF0F7"/>
          </w:tcPr>
          <w:p>
            <w:pPr>
              <w:spacing w:after="20" w:line="252" w:lineRule="auto"/>
            </w:pPr>
            <w:r>
              <w:rPr>
                <w:b w:val="0"/>
                <w:i w:val="0"/>
                <w:sz w:val="15"/>
              </w:rPr>
              <w:t>Policy listing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Paginated policy list with status chips, scoped to agent, agency or bank.</w:t>
            </w:r>
          </w:p>
        </w:tc>
      </w:tr>
      <w:tr>
        <w:trPr>
          <w:cantSplit/>
        </w:trPr>
        <w:tc>
          <w:tcPr>
            <w:tcW w:type="dxa" w:w="907"/>
            <w:vAlign w:val="top"/>
          </w:tcPr>
          <w:p>
            <w:pPr>
              <w:spacing w:after="20" w:line="252" w:lineRule="auto"/>
            </w:pPr>
            <w:r>
              <w:rPr>
                <w:b/>
                <w:i w:val="0"/>
                <w:sz w:val="15"/>
              </w:rPr>
              <w:t>AP-23</w:t>
            </w:r>
          </w:p>
        </w:tc>
        <w:tc>
          <w:tcPr>
            <w:tcW w:type="dxa" w:w="2721"/>
            <w:vAlign w:val="top"/>
          </w:tcPr>
          <w:p>
            <w:pPr>
              <w:spacing w:after="20" w:line="252" w:lineRule="auto"/>
            </w:pPr>
            <w:r>
              <w:rPr>
                <w:b w:val="0"/>
                <w:i w:val="0"/>
                <w:sz w:val="15"/>
              </w:rPr>
              <w:t>Policy search</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Filter by policy no., participant, product, status, date range; criteria configurable.</w:t>
            </w:r>
          </w:p>
        </w:tc>
      </w:tr>
      <w:tr>
        <w:trPr>
          <w:cantSplit/>
        </w:trPr>
        <w:tc>
          <w:tcPr>
            <w:tcW w:type="dxa" w:w="907"/>
            <w:vAlign w:val="top"/>
            <w:shd w:val="clear" w:color="auto" w:fill="FDF0F7"/>
          </w:tcPr>
          <w:p>
            <w:pPr>
              <w:spacing w:after="20" w:line="252" w:lineRule="auto"/>
            </w:pPr>
            <w:r>
              <w:rPr>
                <w:b/>
                <w:i w:val="0"/>
                <w:sz w:val="15"/>
              </w:rPr>
              <w:t>AP-24</w:t>
            </w:r>
          </w:p>
        </w:tc>
        <w:tc>
          <w:tcPr>
            <w:tcW w:type="dxa" w:w="2721"/>
            <w:vAlign w:val="top"/>
            <w:shd w:val="clear" w:color="auto" w:fill="FDF0F7"/>
          </w:tcPr>
          <w:p>
            <w:pPr>
              <w:spacing w:after="20" w:line="252" w:lineRule="auto"/>
            </w:pPr>
            <w:r>
              <w:rPr>
                <w:b w:val="0"/>
                <w:i w:val="0"/>
                <w:sz w:val="15"/>
              </w:rPr>
              <w:t>Policy details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Coverage, participant, nominees, contribution, payment status, documents and history.</w:t>
            </w:r>
          </w:p>
        </w:tc>
      </w:tr>
      <w:tr>
        <w:trPr>
          <w:cantSplit/>
        </w:trPr>
        <w:tc>
          <w:tcPr>
            <w:tcW w:type="dxa" w:w="907"/>
            <w:vAlign w:val="top"/>
          </w:tcPr>
          <w:p>
            <w:pPr>
              <w:spacing w:after="20" w:line="252" w:lineRule="auto"/>
            </w:pPr>
            <w:r>
              <w:rPr>
                <w:b/>
                <w:i w:val="0"/>
                <w:sz w:val="15"/>
              </w:rPr>
              <w:t>AP-25</w:t>
            </w:r>
          </w:p>
        </w:tc>
        <w:tc>
          <w:tcPr>
            <w:tcW w:type="dxa" w:w="2721"/>
            <w:vAlign w:val="top"/>
          </w:tcPr>
          <w:p>
            <w:pPr>
              <w:spacing w:after="20" w:line="252" w:lineRule="auto"/>
            </w:pPr>
            <w:r>
              <w:rPr>
                <w:b w:val="0"/>
                <w:i w:val="0"/>
                <w:sz w:val="15"/>
              </w:rPr>
              <w:t>Policy issuance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Submit eligible quotation for issuance after validation; e-Policy produced on approval/payment.</w:t>
            </w:r>
          </w:p>
        </w:tc>
      </w:tr>
      <w:tr>
        <w:trPr>
          <w:cantSplit/>
        </w:trPr>
        <w:tc>
          <w:tcPr>
            <w:tcW w:type="dxa" w:w="907"/>
            <w:vAlign w:val="top"/>
            <w:shd w:val="clear" w:color="auto" w:fill="FDF0F7"/>
          </w:tcPr>
          <w:p>
            <w:pPr>
              <w:spacing w:after="20" w:line="252" w:lineRule="auto"/>
            </w:pPr>
            <w:r>
              <w:rPr>
                <w:b/>
                <w:i w:val="0"/>
                <w:sz w:val="15"/>
              </w:rPr>
              <w:t>AP-26</w:t>
            </w:r>
          </w:p>
        </w:tc>
        <w:tc>
          <w:tcPr>
            <w:tcW w:type="dxa" w:w="2721"/>
            <w:vAlign w:val="top"/>
            <w:shd w:val="clear" w:color="auto" w:fill="FDF0F7"/>
          </w:tcPr>
          <w:p>
            <w:pPr>
              <w:spacing w:after="20" w:line="252" w:lineRule="auto"/>
            </w:pPr>
            <w:r>
              <w:rPr>
                <w:b w:val="0"/>
                <w:i w:val="0"/>
                <w:sz w:val="15"/>
              </w:rPr>
              <w:t>Policy renewal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Renewal-due list and one-click renewal quotation inside the renewal window (notice period before expiry to 30 days after); renewal enable/disable per product (e.g. Khairat).</w:t>
            </w:r>
          </w:p>
        </w:tc>
      </w:tr>
      <w:tr>
        <w:trPr>
          <w:cantSplit/>
        </w:trPr>
        <w:tc>
          <w:tcPr>
            <w:tcW w:type="dxa" w:w="907"/>
            <w:vAlign w:val="top"/>
          </w:tcPr>
          <w:p>
            <w:pPr>
              <w:spacing w:after="20" w:line="252" w:lineRule="auto"/>
            </w:pPr>
            <w:r>
              <w:rPr>
                <w:b/>
                <w:i w:val="0"/>
                <w:sz w:val="15"/>
              </w:rPr>
              <w:t>AP-27</w:t>
            </w:r>
          </w:p>
        </w:tc>
        <w:tc>
          <w:tcPr>
            <w:tcW w:type="dxa" w:w="2721"/>
            <w:vAlign w:val="top"/>
          </w:tcPr>
          <w:p>
            <w:pPr>
              <w:spacing w:after="20" w:line="252" w:lineRule="auto"/>
            </w:pPr>
            <w:r>
              <w:rPr>
                <w:b w:val="0"/>
                <w:i w:val="0"/>
                <w:sz w:val="15"/>
              </w:rPr>
              <w:t>Policy endorsement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Endorsement request with change details and documents, subject to approval rules.</w:t>
            </w:r>
          </w:p>
        </w:tc>
      </w:tr>
      <w:tr>
        <w:trPr>
          <w:cantSplit/>
        </w:trPr>
        <w:tc>
          <w:tcPr>
            <w:tcW w:type="dxa" w:w="907"/>
            <w:vAlign w:val="top"/>
            <w:shd w:val="clear" w:color="auto" w:fill="FDF0F7"/>
          </w:tcPr>
          <w:p>
            <w:pPr>
              <w:spacing w:after="20" w:line="252" w:lineRule="auto"/>
            </w:pPr>
            <w:r>
              <w:rPr>
                <w:b/>
                <w:i w:val="0"/>
                <w:sz w:val="15"/>
              </w:rPr>
              <w:t>AP-28</w:t>
            </w:r>
          </w:p>
        </w:tc>
        <w:tc>
          <w:tcPr>
            <w:tcW w:type="dxa" w:w="2721"/>
            <w:vAlign w:val="top"/>
            <w:shd w:val="clear" w:color="auto" w:fill="FDF0F7"/>
          </w:tcPr>
          <w:p>
            <w:pPr>
              <w:spacing w:after="20" w:line="252" w:lineRule="auto"/>
            </w:pPr>
            <w:r>
              <w:rPr>
                <w:b w:val="0"/>
                <w:i w:val="0"/>
                <w:sz w:val="15"/>
              </w:rPr>
              <w:t>Policy cancellation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Cancellation request with reason and supporting documents, subject to approval.</w:t>
            </w:r>
          </w:p>
        </w:tc>
      </w:tr>
      <w:tr>
        <w:trPr>
          <w:cantSplit/>
        </w:trPr>
        <w:tc>
          <w:tcPr>
            <w:tcW w:type="dxa" w:w="907"/>
            <w:vAlign w:val="top"/>
          </w:tcPr>
          <w:p>
            <w:pPr>
              <w:spacing w:after="20" w:line="252" w:lineRule="auto"/>
            </w:pPr>
            <w:r>
              <w:rPr>
                <w:b/>
                <w:i w:val="0"/>
                <w:sz w:val="15"/>
              </w:rPr>
              <w:t>AP-29</w:t>
            </w:r>
          </w:p>
        </w:tc>
        <w:tc>
          <w:tcPr>
            <w:tcW w:type="dxa" w:w="2721"/>
            <w:vAlign w:val="top"/>
          </w:tcPr>
          <w:p>
            <w:pPr>
              <w:spacing w:after="20" w:line="252" w:lineRule="auto"/>
            </w:pPr>
            <w:r>
              <w:rPr>
                <w:b w:val="0"/>
                <w:i w:val="0"/>
                <w:sz w:val="15"/>
              </w:rPr>
              <w:t>Policy documents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View/download e-Policy, schedule, receipts, certificates and correspondence.</w:t>
            </w:r>
          </w:p>
        </w:tc>
      </w:tr>
      <w:tr>
        <w:trPr>
          <w:cantSplit/>
        </w:trPr>
        <w:tc>
          <w:tcPr>
            <w:tcW w:type="dxa" w:w="907"/>
            <w:vAlign w:val="top"/>
            <w:shd w:val="clear" w:color="auto" w:fill="FDF0F7"/>
          </w:tcPr>
          <w:p>
            <w:pPr>
              <w:spacing w:after="20" w:line="252" w:lineRule="auto"/>
            </w:pPr>
            <w:r>
              <w:rPr>
                <w:b/>
                <w:i w:val="0"/>
                <w:sz w:val="15"/>
              </w:rPr>
              <w:t>AP-30</w:t>
            </w:r>
          </w:p>
        </w:tc>
        <w:tc>
          <w:tcPr>
            <w:tcW w:type="dxa" w:w="2721"/>
            <w:vAlign w:val="top"/>
            <w:shd w:val="clear" w:color="auto" w:fill="FDF0F7"/>
          </w:tcPr>
          <w:p>
            <w:pPr>
              <w:spacing w:after="20" w:line="252" w:lineRule="auto"/>
            </w:pPr>
            <w:r>
              <w:rPr>
                <w:b w:val="0"/>
                <w:i w:val="0"/>
                <w:sz w:val="15"/>
              </w:rPr>
              <w:t>Payment status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Payment status and outstanding amount shown on policy and billing screens.</w:t>
            </w:r>
          </w:p>
        </w:tc>
      </w:tr>
      <w:tr>
        <w:trPr>
          <w:cantSplit/>
        </w:trPr>
        <w:tc>
          <w:tcPr>
            <w:tcW w:type="dxa" w:w="907"/>
            <w:vAlign w:val="top"/>
          </w:tcPr>
          <w:p>
            <w:pPr>
              <w:spacing w:after="20" w:line="252" w:lineRule="auto"/>
            </w:pPr>
            <w:r>
              <w:rPr>
                <w:b/>
                <w:i w:val="0"/>
                <w:sz w:val="15"/>
              </w:rPr>
              <w:t>AP-31</w:t>
            </w:r>
          </w:p>
        </w:tc>
        <w:tc>
          <w:tcPr>
            <w:tcW w:type="dxa" w:w="2721"/>
            <w:vAlign w:val="top"/>
          </w:tcPr>
          <w:p>
            <w:pPr>
              <w:spacing w:after="20" w:line="252" w:lineRule="auto"/>
            </w:pPr>
            <w:r>
              <w:rPr>
                <w:b w:val="0"/>
                <w:i w:val="0"/>
                <w:sz w:val="15"/>
              </w:rPr>
              <w:t>Policy history</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Timeline of every transaction and status change with user and timestamp.</w:t>
            </w:r>
          </w:p>
        </w:tc>
      </w:tr>
      <w:tr>
        <w:trPr>
          <w:cantSplit/>
        </w:trPr>
        <w:tc>
          <w:tcPr>
            <w:tcW w:type="dxa" w:w="907"/>
            <w:vAlign w:val="top"/>
            <w:shd w:val="clear" w:color="auto" w:fill="FDF0F7"/>
          </w:tcPr>
          <w:p>
            <w:pPr>
              <w:spacing w:after="20" w:line="252" w:lineRule="auto"/>
            </w:pPr>
            <w:r>
              <w:rPr>
                <w:b/>
                <w:i w:val="0"/>
                <w:sz w:val="15"/>
              </w:rPr>
              <w:t>AP-32</w:t>
            </w:r>
          </w:p>
        </w:tc>
        <w:tc>
          <w:tcPr>
            <w:tcW w:type="dxa" w:w="2721"/>
            <w:vAlign w:val="top"/>
            <w:shd w:val="clear" w:color="auto" w:fill="FDF0F7"/>
          </w:tcPr>
          <w:p>
            <w:pPr>
              <w:spacing w:after="20" w:line="252" w:lineRule="auto"/>
            </w:pPr>
            <w:r>
              <w:rPr>
                <w:b w:val="0"/>
                <w:i w:val="0"/>
                <w:sz w:val="15"/>
              </w:rPr>
              <w:t>Policy validation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Server-side rules for product, eligibility, documents, payment and AML before submission.</w:t>
            </w:r>
          </w:p>
        </w:tc>
      </w:tr>
      <w:tr>
        <w:trPr>
          <w:cantSplit/>
        </w:trPr>
        <w:tc>
          <w:tcPr>
            <w:tcW w:type="dxa" w:w="907"/>
            <w:vAlign w:val="top"/>
          </w:tcPr>
          <w:p>
            <w:pPr>
              <w:spacing w:after="20" w:line="252" w:lineRule="auto"/>
            </w:pPr>
            <w:r>
              <w:rPr>
                <w:b/>
                <w:i w:val="0"/>
                <w:sz w:val="15"/>
              </w:rPr>
              <w:t>AP-33</w:t>
            </w:r>
          </w:p>
        </w:tc>
        <w:tc>
          <w:tcPr>
            <w:tcW w:type="dxa" w:w="2721"/>
            <w:vAlign w:val="top"/>
          </w:tcPr>
          <w:p>
            <w:pPr>
              <w:spacing w:after="20" w:line="252" w:lineRule="auto"/>
            </w:pPr>
            <w:r>
              <w:rPr>
                <w:b w:val="0"/>
                <w:i w:val="0"/>
                <w:sz w:val="15"/>
              </w:rPr>
              <w:t>Approval workflow</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Transactions needing approval routed by workflow definition to authorised checkers.</w:t>
            </w:r>
          </w:p>
        </w:tc>
      </w:tr>
      <w:tr>
        <w:trPr>
          <w:cantSplit/>
        </w:trPr>
        <w:tc>
          <w:tcPr>
            <w:tcW w:type="dxa" w:w="907"/>
            <w:vAlign w:val="top"/>
            <w:shd w:val="clear" w:color="auto" w:fill="FDF0F7"/>
          </w:tcPr>
          <w:p>
            <w:pPr>
              <w:spacing w:after="20" w:line="252" w:lineRule="auto"/>
            </w:pPr>
            <w:r>
              <w:rPr>
                <w:b/>
                <w:i w:val="0"/>
                <w:sz w:val="15"/>
              </w:rPr>
              <w:t>AP-34</w:t>
            </w:r>
          </w:p>
        </w:tc>
        <w:tc>
          <w:tcPr>
            <w:tcW w:type="dxa" w:w="2721"/>
            <w:vAlign w:val="top"/>
            <w:shd w:val="clear" w:color="auto" w:fill="FDF0F7"/>
          </w:tcPr>
          <w:p>
            <w:pPr>
              <w:spacing w:after="20" w:line="252" w:lineRule="auto"/>
            </w:pPr>
            <w:r>
              <w:rPr>
                <w:b w:val="0"/>
                <w:i w:val="0"/>
                <w:sz w:val="15"/>
              </w:rPr>
              <w:t>Notifications</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In-portal, email and SMS notifications for issuance, approval, rejection, expiry and renewal.</w:t>
            </w:r>
          </w:p>
        </w:tc>
      </w:tr>
      <w:tr>
        <w:trPr>
          <w:cantSplit/>
        </w:trPr>
        <w:tc>
          <w:tcPr>
            <w:tcW w:type="dxa" w:w="907"/>
            <w:vAlign w:val="top"/>
          </w:tcPr>
          <w:p>
            <w:pPr>
              <w:spacing w:after="20" w:line="252" w:lineRule="auto"/>
            </w:pPr>
            <w:r>
              <w:rPr>
                <w:b/>
                <w:i w:val="0"/>
                <w:sz w:val="15"/>
              </w:rPr>
              <w:t>AP-35</w:t>
            </w:r>
          </w:p>
        </w:tc>
        <w:tc>
          <w:tcPr>
            <w:tcW w:type="dxa" w:w="2721"/>
            <w:vAlign w:val="top"/>
          </w:tcPr>
          <w:p>
            <w:pPr>
              <w:spacing w:after="20" w:line="252" w:lineRule="auto"/>
            </w:pPr>
            <w:r>
              <w:rPr>
                <w:b w:val="0"/>
                <w:i w:val="0"/>
                <w:sz w:val="15"/>
              </w:rPr>
              <w:t>Audit trail</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Append-only audit of policy creation, updates and approvals with before/after values.</w:t>
            </w:r>
          </w:p>
        </w:tc>
      </w:tr>
      <w:tr>
        <w:trPr>
          <w:cantSplit/>
        </w:trPr>
        <w:tc>
          <w:tcPr>
            <w:tcW w:type="dxa" w:w="907"/>
            <w:vAlign w:val="top"/>
            <w:shd w:val="clear" w:color="auto" w:fill="FDF0F7"/>
          </w:tcPr>
          <w:p>
            <w:pPr>
              <w:spacing w:after="20" w:line="252" w:lineRule="auto"/>
            </w:pPr>
            <w:r>
              <w:rPr>
                <w:b/>
                <w:i w:val="0"/>
                <w:sz w:val="15"/>
              </w:rPr>
              <w:t>AP-36</w:t>
            </w:r>
          </w:p>
        </w:tc>
        <w:tc>
          <w:tcPr>
            <w:tcW w:type="dxa" w:w="2721"/>
            <w:vAlign w:val="top"/>
            <w:shd w:val="clear" w:color="auto" w:fill="FDF0F7"/>
          </w:tcPr>
          <w:p>
            <w:pPr>
              <w:spacing w:after="20" w:line="252" w:lineRule="auto"/>
            </w:pPr>
            <w:r>
              <w:rPr>
                <w:b w:val="0"/>
                <w:i w:val="0"/>
                <w:sz w:val="15"/>
              </w:rPr>
              <w:t>Policy restrictions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Issuance blocked when payment, AML or document requirements are not met.</w:t>
            </w:r>
          </w:p>
        </w:tc>
      </w:tr>
      <w:tr>
        <w:trPr>
          <w:cantSplit/>
        </w:trPr>
        <w:tc>
          <w:tcPr>
            <w:tcW w:type="dxa" w:w="907"/>
            <w:vAlign w:val="top"/>
          </w:tcPr>
          <w:p>
            <w:pPr>
              <w:spacing w:after="20" w:line="252" w:lineRule="auto"/>
            </w:pPr>
            <w:r>
              <w:rPr>
                <w:b/>
                <w:i w:val="0"/>
                <w:sz w:val="15"/>
              </w:rPr>
              <w:t>AP-37</w:t>
            </w:r>
          </w:p>
        </w:tc>
        <w:tc>
          <w:tcPr>
            <w:tcW w:type="dxa" w:w="2721"/>
            <w:vAlign w:val="top"/>
          </w:tcPr>
          <w:p>
            <w:pPr>
              <w:spacing w:after="20" w:line="252" w:lineRule="auto"/>
            </w:pPr>
            <w:r>
              <w:rPr>
                <w:b w:val="0"/>
                <w:i w:val="0"/>
                <w:sz w:val="15"/>
              </w:rPr>
              <w:t>Payment dashboard</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Billing dashboard with collected, outstanding and overdue amounts and ageing.</w:t>
            </w:r>
          </w:p>
        </w:tc>
      </w:tr>
      <w:tr>
        <w:trPr>
          <w:cantSplit/>
        </w:trPr>
        <w:tc>
          <w:tcPr>
            <w:tcW w:type="dxa" w:w="907"/>
            <w:vAlign w:val="top"/>
            <w:shd w:val="clear" w:color="auto" w:fill="FDF0F7"/>
          </w:tcPr>
          <w:p>
            <w:pPr>
              <w:spacing w:after="20" w:line="252" w:lineRule="auto"/>
            </w:pPr>
            <w:r>
              <w:rPr>
                <w:b/>
                <w:i w:val="0"/>
                <w:sz w:val="15"/>
              </w:rPr>
              <w:t>AP-38</w:t>
            </w:r>
          </w:p>
        </w:tc>
        <w:tc>
          <w:tcPr>
            <w:tcW w:type="dxa" w:w="2721"/>
            <w:vAlign w:val="top"/>
            <w:shd w:val="clear" w:color="auto" w:fill="FDF0F7"/>
          </w:tcPr>
          <w:p>
            <w:pPr>
              <w:spacing w:after="20" w:line="252" w:lineRule="auto"/>
            </w:pPr>
            <w:r>
              <w:rPr>
                <w:b w:val="0"/>
                <w:i w:val="0"/>
                <w:sz w:val="15"/>
              </w:rPr>
              <w:t>Bulk payment (per policy)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Single or bulk payment submission with amounts allocated per policy.</w:t>
            </w:r>
          </w:p>
        </w:tc>
      </w:tr>
      <w:tr>
        <w:trPr>
          <w:cantSplit/>
        </w:trPr>
        <w:tc>
          <w:tcPr>
            <w:tcW w:type="dxa" w:w="907"/>
            <w:vAlign w:val="top"/>
          </w:tcPr>
          <w:p>
            <w:pPr>
              <w:spacing w:after="20" w:line="252" w:lineRule="auto"/>
            </w:pPr>
            <w:r>
              <w:rPr>
                <w:b/>
                <w:i w:val="0"/>
                <w:sz w:val="15"/>
              </w:rPr>
              <w:t>AP-39</w:t>
            </w:r>
          </w:p>
        </w:tc>
        <w:tc>
          <w:tcPr>
            <w:tcW w:type="dxa" w:w="2721"/>
            <w:vAlign w:val="top"/>
          </w:tcPr>
          <w:p>
            <w:pPr>
              <w:spacing w:after="20" w:line="252" w:lineRule="auto"/>
            </w:pPr>
            <w:r>
              <w:rPr>
                <w:b w:val="0"/>
                <w:i w:val="0"/>
                <w:sz w:val="15"/>
              </w:rPr>
              <w:t>Upload payment proof</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Upload bank slip / transfer evidence against one or many policies.</w:t>
            </w:r>
          </w:p>
        </w:tc>
      </w:tr>
      <w:tr>
        <w:trPr>
          <w:cantSplit/>
        </w:trPr>
        <w:tc>
          <w:tcPr>
            <w:tcW w:type="dxa" w:w="907"/>
            <w:vAlign w:val="top"/>
            <w:shd w:val="clear" w:color="auto" w:fill="FDF0F7"/>
          </w:tcPr>
          <w:p>
            <w:pPr>
              <w:spacing w:after="20" w:line="252" w:lineRule="auto"/>
            </w:pPr>
            <w:r>
              <w:rPr>
                <w:b/>
                <w:i w:val="0"/>
                <w:sz w:val="15"/>
              </w:rPr>
              <w:t>AP-40</w:t>
            </w:r>
          </w:p>
        </w:tc>
        <w:tc>
          <w:tcPr>
            <w:tcW w:type="dxa" w:w="2721"/>
            <w:vAlign w:val="top"/>
            <w:shd w:val="clear" w:color="auto" w:fill="FDF0F7"/>
          </w:tcPr>
          <w:p>
            <w:pPr>
              <w:spacing w:after="20" w:line="252" w:lineRule="auto"/>
            </w:pPr>
            <w:r>
              <w:rPr>
                <w:b w:val="0"/>
                <w:i w:val="0"/>
                <w:sz w:val="15"/>
              </w:rPr>
              <w:t>Payment verification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Payment proof routed to Finance for verification (approve/reject with remarks).</w:t>
            </w:r>
          </w:p>
        </w:tc>
      </w:tr>
      <w:tr>
        <w:trPr>
          <w:cantSplit/>
        </w:trPr>
        <w:tc>
          <w:tcPr>
            <w:tcW w:type="dxa" w:w="907"/>
            <w:vAlign w:val="top"/>
          </w:tcPr>
          <w:p>
            <w:pPr>
              <w:spacing w:after="20" w:line="252" w:lineRule="auto"/>
            </w:pPr>
            <w:r>
              <w:rPr>
                <w:b/>
                <w:i w:val="0"/>
                <w:sz w:val="15"/>
              </w:rPr>
              <w:t>AP-41</w:t>
            </w:r>
          </w:p>
        </w:tc>
        <w:tc>
          <w:tcPr>
            <w:tcW w:type="dxa" w:w="2721"/>
            <w:vAlign w:val="top"/>
          </w:tcPr>
          <w:p>
            <w:pPr>
              <w:spacing w:after="20" w:line="252" w:lineRule="auto"/>
            </w:pPr>
            <w:r>
              <w:rPr>
                <w:b w:val="0"/>
                <w:i w:val="0"/>
                <w:sz w:val="15"/>
              </w:rPr>
              <w:t>Receipt generation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PDF e-Receipt with unique number produced on approval and e-mailed.</w:t>
            </w:r>
          </w:p>
        </w:tc>
      </w:tr>
      <w:tr>
        <w:trPr>
          <w:cantSplit/>
        </w:trPr>
        <w:tc>
          <w:tcPr>
            <w:tcW w:type="dxa" w:w="907"/>
            <w:vAlign w:val="top"/>
            <w:shd w:val="clear" w:color="auto" w:fill="FDF0F7"/>
          </w:tcPr>
          <w:p>
            <w:pPr>
              <w:spacing w:after="20" w:line="252" w:lineRule="auto"/>
            </w:pPr>
            <w:r>
              <w:rPr>
                <w:b/>
                <w:i w:val="0"/>
                <w:sz w:val="15"/>
              </w:rPr>
              <w:t>AP-42</w:t>
            </w:r>
          </w:p>
        </w:tc>
        <w:tc>
          <w:tcPr>
            <w:tcW w:type="dxa" w:w="2721"/>
            <w:vAlign w:val="top"/>
            <w:shd w:val="clear" w:color="auto" w:fill="FDF0F7"/>
          </w:tcPr>
          <w:p>
            <w:pPr>
              <w:spacing w:after="20" w:line="252" w:lineRule="auto"/>
            </w:pPr>
            <w:r>
              <w:rPr>
                <w:b w:val="0"/>
                <w:i w:val="0"/>
                <w:sz w:val="15"/>
              </w:rPr>
              <w:t>Payment rules (7-day grace, agency block)</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Daily job blocks all agents of an agency when any policy is unpaid &gt; 7 days; auto-lifted on settlement.</w:t>
            </w:r>
          </w:p>
        </w:tc>
      </w:tr>
      <w:tr>
        <w:trPr>
          <w:cantSplit/>
        </w:trPr>
        <w:tc>
          <w:tcPr>
            <w:tcW w:type="dxa" w:w="907"/>
            <w:vAlign w:val="top"/>
          </w:tcPr>
          <w:p>
            <w:pPr>
              <w:spacing w:after="20" w:line="252" w:lineRule="auto"/>
            </w:pPr>
            <w:r>
              <w:rPr>
                <w:b/>
                <w:i w:val="0"/>
                <w:sz w:val="15"/>
              </w:rPr>
              <w:t>AP-43</w:t>
            </w:r>
          </w:p>
        </w:tc>
        <w:tc>
          <w:tcPr>
            <w:tcW w:type="dxa" w:w="2721"/>
            <w:vAlign w:val="top"/>
          </w:tcPr>
          <w:p>
            <w:pPr>
              <w:spacing w:after="20" w:line="252" w:lineRule="auto"/>
            </w:pPr>
            <w:r>
              <w:rPr>
                <w:b w:val="0"/>
                <w:i w:val="0"/>
                <w:sz w:val="15"/>
              </w:rPr>
              <w:t>Claims notification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Claim notification: validate policy, capture details, upload documents, submit to IIFT.</w:t>
            </w:r>
          </w:p>
        </w:tc>
      </w:tr>
      <w:tr>
        <w:trPr>
          <w:cantSplit/>
        </w:trPr>
        <w:tc>
          <w:tcPr>
            <w:tcW w:type="dxa" w:w="907"/>
            <w:vAlign w:val="top"/>
            <w:shd w:val="clear" w:color="auto" w:fill="FDF0F7"/>
          </w:tcPr>
          <w:p>
            <w:pPr>
              <w:spacing w:after="20" w:line="252" w:lineRule="auto"/>
            </w:pPr>
            <w:r>
              <w:rPr>
                <w:b/>
                <w:i w:val="0"/>
                <w:sz w:val="15"/>
              </w:rPr>
              <w:t>AP-44</w:t>
            </w:r>
          </w:p>
        </w:tc>
        <w:tc>
          <w:tcPr>
            <w:tcW w:type="dxa" w:w="2721"/>
            <w:vAlign w:val="top"/>
            <w:shd w:val="clear" w:color="auto" w:fill="FDF0F7"/>
          </w:tcPr>
          <w:p>
            <w:pPr>
              <w:spacing w:after="20" w:line="252" w:lineRule="auto"/>
            </w:pPr>
            <w:r>
              <w:rPr>
                <w:b w:val="0"/>
                <w:i w:val="0"/>
                <w:sz w:val="15"/>
              </w:rPr>
              <w:t>Policy schedule / receipt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Branded PDF policy schedule and receipt produced after issuance.</w:t>
            </w:r>
          </w:p>
        </w:tc>
      </w:tr>
      <w:tr>
        <w:trPr>
          <w:cantSplit/>
        </w:trPr>
        <w:tc>
          <w:tcPr>
            <w:tcW w:type="dxa" w:w="907"/>
            <w:vAlign w:val="top"/>
          </w:tcPr>
          <w:p>
            <w:pPr>
              <w:spacing w:after="20" w:line="252" w:lineRule="auto"/>
            </w:pPr>
            <w:r>
              <w:rPr>
                <w:b/>
                <w:i w:val="0"/>
                <w:sz w:val="15"/>
              </w:rPr>
              <w:t>AP-45</w:t>
            </w:r>
          </w:p>
        </w:tc>
        <w:tc>
          <w:tcPr>
            <w:tcW w:type="dxa" w:w="2721"/>
            <w:vAlign w:val="top"/>
          </w:tcPr>
          <w:p>
            <w:pPr>
              <w:spacing w:after="20" w:line="252" w:lineRule="auto"/>
            </w:pPr>
            <w:r>
              <w:rPr>
                <w:b w:val="0"/>
                <w:i w:val="0"/>
                <w:sz w:val="15"/>
              </w:rPr>
              <w:t>Document download / e-mail</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Download and e-mail documents to participant from the portal.</w:t>
            </w:r>
          </w:p>
        </w:tc>
      </w:tr>
      <w:tr>
        <w:trPr>
          <w:cantSplit/>
        </w:trPr>
        <w:tc>
          <w:tcPr>
            <w:tcW w:type="dxa" w:w="907"/>
            <w:vAlign w:val="top"/>
            <w:shd w:val="clear" w:color="auto" w:fill="FDF0F7"/>
          </w:tcPr>
          <w:p>
            <w:pPr>
              <w:spacing w:after="20" w:line="252" w:lineRule="auto"/>
            </w:pPr>
            <w:r>
              <w:rPr>
                <w:b/>
                <w:i w:val="0"/>
                <w:sz w:val="15"/>
              </w:rPr>
              <w:t>AP-46</w:t>
            </w:r>
          </w:p>
        </w:tc>
        <w:tc>
          <w:tcPr>
            <w:tcW w:type="dxa" w:w="2721"/>
            <w:vAlign w:val="top"/>
            <w:shd w:val="clear" w:color="auto" w:fill="FDF0F7"/>
          </w:tcPr>
          <w:p>
            <w:pPr>
              <w:spacing w:after="20" w:line="252" w:lineRule="auto"/>
            </w:pPr>
            <w:r>
              <w:rPr>
                <w:b w:val="0"/>
                <w:i w:val="0"/>
                <w:sz w:val="15"/>
              </w:rPr>
              <w:t>Document upload</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Upload during registration and maintenance with type allow-list, size limit, checksum and ClamAV malware scan (mandatory in production).</w:t>
            </w:r>
          </w:p>
        </w:tc>
      </w:tr>
      <w:tr>
        <w:trPr>
          <w:cantSplit/>
        </w:trPr>
        <w:tc>
          <w:tcPr>
            <w:tcW w:type="dxa" w:w="907"/>
            <w:vAlign w:val="top"/>
          </w:tcPr>
          <w:p>
            <w:pPr>
              <w:spacing w:after="20" w:line="252" w:lineRule="auto"/>
            </w:pPr>
            <w:r>
              <w:rPr>
                <w:b/>
                <w:i w:val="0"/>
                <w:sz w:val="15"/>
              </w:rPr>
              <w:t>AP-47</w:t>
            </w:r>
          </w:p>
        </w:tc>
        <w:tc>
          <w:tcPr>
            <w:tcW w:type="dxa" w:w="2721"/>
            <w:vAlign w:val="top"/>
          </w:tcPr>
          <w:p>
            <w:pPr>
              <w:spacing w:after="20" w:line="252" w:lineRule="auto"/>
            </w:pPr>
            <w:r>
              <w:rPr>
                <w:b w:val="0"/>
                <w:i w:val="0"/>
                <w:sz w:val="15"/>
              </w:rPr>
              <w:t>Document status</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Document status, validity and expiry dates displayed with reminders.</w:t>
            </w:r>
          </w:p>
        </w:tc>
      </w:tr>
      <w:tr>
        <w:trPr>
          <w:cantSplit/>
        </w:trPr>
        <w:tc>
          <w:tcPr>
            <w:tcW w:type="dxa" w:w="907"/>
            <w:vAlign w:val="top"/>
            <w:shd w:val="clear" w:color="auto" w:fill="FDF0F7"/>
          </w:tcPr>
          <w:p>
            <w:pPr>
              <w:spacing w:after="20" w:line="252" w:lineRule="auto"/>
            </w:pPr>
            <w:r>
              <w:rPr>
                <w:b/>
                <w:i w:val="0"/>
                <w:sz w:val="15"/>
              </w:rPr>
              <w:t>AP-48</w:t>
            </w:r>
          </w:p>
        </w:tc>
        <w:tc>
          <w:tcPr>
            <w:tcW w:type="dxa" w:w="2721"/>
            <w:vAlign w:val="top"/>
            <w:shd w:val="clear" w:color="auto" w:fill="FDF0F7"/>
          </w:tcPr>
          <w:p>
            <w:pPr>
              <w:spacing w:after="20" w:line="252" w:lineRule="auto"/>
            </w:pPr>
            <w:r>
              <w:rPr>
                <w:b w:val="0"/>
                <w:i w:val="0"/>
                <w:sz w:val="15"/>
              </w:rPr>
              <w:t>AML information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AML/KYC fields captured in onboarding (configurable questionnaire).</w:t>
            </w:r>
          </w:p>
        </w:tc>
      </w:tr>
      <w:tr>
        <w:trPr>
          <w:cantSplit/>
        </w:trPr>
        <w:tc>
          <w:tcPr>
            <w:tcW w:type="dxa" w:w="907"/>
            <w:vAlign w:val="top"/>
          </w:tcPr>
          <w:p>
            <w:pPr>
              <w:spacing w:after="20" w:line="252" w:lineRule="auto"/>
            </w:pPr>
            <w:r>
              <w:rPr>
                <w:b/>
                <w:i w:val="0"/>
                <w:sz w:val="15"/>
              </w:rPr>
              <w:t>AP-49</w:t>
            </w:r>
          </w:p>
        </w:tc>
        <w:tc>
          <w:tcPr>
            <w:tcW w:type="dxa" w:w="2721"/>
            <w:vAlign w:val="top"/>
          </w:tcPr>
          <w:p>
            <w:pPr>
              <w:spacing w:after="20" w:line="252" w:lineRule="auto"/>
            </w:pPr>
            <w:r>
              <w:rPr>
                <w:b w:val="0"/>
                <w:i w:val="0"/>
                <w:sz w:val="15"/>
              </w:rPr>
              <w:t>Application submission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Save, submit and track applications and requests.</w:t>
            </w:r>
          </w:p>
        </w:tc>
      </w:tr>
      <w:tr>
        <w:trPr>
          <w:cantSplit/>
        </w:trPr>
        <w:tc>
          <w:tcPr>
            <w:tcW w:type="dxa" w:w="907"/>
            <w:vAlign w:val="top"/>
            <w:shd w:val="clear" w:color="auto" w:fill="FDF0F7"/>
          </w:tcPr>
          <w:p>
            <w:pPr>
              <w:spacing w:after="20" w:line="252" w:lineRule="auto"/>
            </w:pPr>
            <w:r>
              <w:rPr>
                <w:b/>
                <w:i w:val="0"/>
                <w:sz w:val="15"/>
              </w:rPr>
              <w:t>AP-50</w:t>
            </w:r>
          </w:p>
        </w:tc>
        <w:tc>
          <w:tcPr>
            <w:tcW w:type="dxa" w:w="2721"/>
            <w:vAlign w:val="top"/>
            <w:shd w:val="clear" w:color="auto" w:fill="FDF0F7"/>
          </w:tcPr>
          <w:p>
            <w:pPr>
              <w:spacing w:after="20" w:line="252" w:lineRule="auto"/>
            </w:pPr>
            <w:r>
              <w:rPr>
                <w:b w:val="0"/>
                <w:i w:val="0"/>
                <w:sz w:val="15"/>
              </w:rPr>
              <w:t>Application status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Draft, Submitted, Pending Approval, Approved, Rejected and Completed statuses.</w:t>
            </w:r>
          </w:p>
        </w:tc>
      </w:tr>
      <w:tr>
        <w:trPr>
          <w:cantSplit/>
        </w:trPr>
        <w:tc>
          <w:tcPr>
            <w:tcW w:type="dxa" w:w="907"/>
            <w:vAlign w:val="top"/>
          </w:tcPr>
          <w:p>
            <w:pPr>
              <w:spacing w:after="20" w:line="252" w:lineRule="auto"/>
            </w:pPr>
            <w:r>
              <w:rPr>
                <w:b/>
                <w:i w:val="0"/>
                <w:sz w:val="15"/>
              </w:rPr>
              <w:t>AP-51</w:t>
            </w:r>
          </w:p>
        </w:tc>
        <w:tc>
          <w:tcPr>
            <w:tcW w:type="dxa" w:w="2721"/>
            <w:vAlign w:val="top"/>
          </w:tcPr>
          <w:p>
            <w:pPr>
              <w:spacing w:after="20" w:line="252" w:lineRule="auto"/>
            </w:pPr>
            <w:r>
              <w:rPr>
                <w:b w:val="0"/>
                <w:i w:val="0"/>
                <w:sz w:val="15"/>
              </w:rPr>
              <w:t>Rejection remarks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Rejection reasons displayed; maker can amend and resubmit.</w:t>
            </w:r>
          </w:p>
        </w:tc>
      </w:tr>
      <w:tr>
        <w:trPr>
          <w:cantSplit/>
        </w:trPr>
        <w:tc>
          <w:tcPr>
            <w:tcW w:type="dxa" w:w="907"/>
            <w:vAlign w:val="top"/>
            <w:shd w:val="clear" w:color="auto" w:fill="FDF0F7"/>
          </w:tcPr>
          <w:p>
            <w:pPr>
              <w:spacing w:after="20" w:line="252" w:lineRule="auto"/>
            </w:pPr>
            <w:r>
              <w:rPr>
                <w:b/>
                <w:i w:val="0"/>
                <w:sz w:val="15"/>
              </w:rPr>
              <w:t>AP-52</w:t>
            </w:r>
          </w:p>
        </w:tc>
        <w:tc>
          <w:tcPr>
            <w:tcW w:type="dxa" w:w="2721"/>
            <w:vAlign w:val="top"/>
            <w:shd w:val="clear" w:color="auto" w:fill="FDF0F7"/>
          </w:tcPr>
          <w:p>
            <w:pPr>
              <w:spacing w:after="20" w:line="252" w:lineRule="auto"/>
            </w:pPr>
            <w:r>
              <w:rPr>
                <w:b w:val="0"/>
                <w:i w:val="0"/>
                <w:sz w:val="15"/>
              </w:rPr>
              <w:t>Agent dashboard</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Dashboard with profile, applications, pending actions, production and payments.</w:t>
            </w:r>
          </w:p>
        </w:tc>
      </w:tr>
      <w:tr>
        <w:trPr>
          <w:cantSplit/>
        </w:trPr>
        <w:tc>
          <w:tcPr>
            <w:tcW w:type="dxa" w:w="907"/>
            <w:vAlign w:val="top"/>
          </w:tcPr>
          <w:p>
            <w:pPr>
              <w:spacing w:after="20" w:line="252" w:lineRule="auto"/>
            </w:pPr>
            <w:r>
              <w:rPr>
                <w:b/>
                <w:i w:val="0"/>
                <w:sz w:val="15"/>
              </w:rPr>
              <w:t>AP-53</w:t>
            </w:r>
          </w:p>
        </w:tc>
        <w:tc>
          <w:tcPr>
            <w:tcW w:type="dxa" w:w="2721"/>
            <w:vAlign w:val="top"/>
          </w:tcPr>
          <w:p>
            <w:pPr>
              <w:spacing w:after="20" w:line="252" w:lineRule="auto"/>
            </w:pPr>
            <w:r>
              <w:rPr>
                <w:b w:val="0"/>
                <w:i w:val="0"/>
                <w:sz w:val="15"/>
              </w:rPr>
              <w:t>Pending actions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Action list of incomplete drafts, rejected items, overdue payments and expiring documents.</w:t>
            </w:r>
          </w:p>
        </w:tc>
      </w:tr>
      <w:tr>
        <w:trPr>
          <w:cantSplit/>
        </w:trPr>
        <w:tc>
          <w:tcPr>
            <w:tcW w:type="dxa" w:w="907"/>
            <w:vAlign w:val="top"/>
            <w:shd w:val="clear" w:color="auto" w:fill="FDF0F7"/>
          </w:tcPr>
          <w:p>
            <w:pPr>
              <w:spacing w:after="20" w:line="252" w:lineRule="auto"/>
            </w:pPr>
            <w:r>
              <w:rPr>
                <w:b/>
                <w:i w:val="0"/>
                <w:sz w:val="15"/>
              </w:rPr>
              <w:t>AP-54</w:t>
            </w:r>
          </w:p>
        </w:tc>
        <w:tc>
          <w:tcPr>
            <w:tcW w:type="dxa" w:w="2721"/>
            <w:vAlign w:val="top"/>
            <w:shd w:val="clear" w:color="auto" w:fill="FDF0F7"/>
          </w:tcPr>
          <w:p>
            <w:pPr>
              <w:spacing w:after="20" w:line="252" w:lineRule="auto"/>
            </w:pPr>
            <w:r>
              <w:rPr>
                <w:b w:val="0"/>
                <w:i w:val="0"/>
                <w:sz w:val="15"/>
              </w:rPr>
              <w:t>Notifications (applications)</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Notification templates per workflow event; channels configurable.</w:t>
            </w:r>
          </w:p>
        </w:tc>
      </w:tr>
      <w:tr>
        <w:trPr>
          <w:cantSplit/>
        </w:trPr>
        <w:tc>
          <w:tcPr>
            <w:tcW w:type="dxa" w:w="907"/>
            <w:vAlign w:val="top"/>
          </w:tcPr>
          <w:p>
            <w:pPr>
              <w:spacing w:after="20" w:line="252" w:lineRule="auto"/>
            </w:pPr>
            <w:r>
              <w:rPr>
                <w:b/>
                <w:i w:val="0"/>
                <w:sz w:val="15"/>
              </w:rPr>
              <w:t>AP-55</w:t>
            </w:r>
          </w:p>
        </w:tc>
        <w:tc>
          <w:tcPr>
            <w:tcW w:type="dxa" w:w="2721"/>
            <w:vAlign w:val="top"/>
          </w:tcPr>
          <w:p>
            <w:pPr>
              <w:spacing w:after="20" w:line="252" w:lineRule="auto"/>
            </w:pPr>
            <w:r>
              <w:rPr>
                <w:b w:val="0"/>
                <w:i w:val="0"/>
                <w:sz w:val="15"/>
              </w:rPr>
              <w:t>Report issue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Issue form with category, priority, description and attachments.</w:t>
            </w:r>
          </w:p>
        </w:tc>
      </w:tr>
      <w:tr>
        <w:trPr>
          <w:cantSplit/>
        </w:trPr>
        <w:tc>
          <w:tcPr>
            <w:tcW w:type="dxa" w:w="907"/>
            <w:vAlign w:val="top"/>
            <w:shd w:val="clear" w:color="auto" w:fill="FDF0F7"/>
          </w:tcPr>
          <w:p>
            <w:pPr>
              <w:spacing w:after="20" w:line="252" w:lineRule="auto"/>
            </w:pPr>
            <w:r>
              <w:rPr>
                <w:b/>
                <w:i w:val="0"/>
                <w:sz w:val="15"/>
              </w:rPr>
              <w:t>AP-56</w:t>
            </w:r>
          </w:p>
        </w:tc>
        <w:tc>
          <w:tcPr>
            <w:tcW w:type="dxa" w:w="2721"/>
            <w:vAlign w:val="top"/>
            <w:shd w:val="clear" w:color="auto" w:fill="FDF0F7"/>
          </w:tcPr>
          <w:p>
            <w:pPr>
              <w:spacing w:after="20" w:line="252" w:lineRule="auto"/>
            </w:pPr>
            <w:r>
              <w:rPr>
                <w:b w:val="0"/>
                <w:i w:val="0"/>
                <w:sz w:val="15"/>
              </w:rPr>
              <w:t>Issue tracking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Unique issue reference and status tracking with comments.</w:t>
            </w:r>
          </w:p>
        </w:tc>
      </w:tr>
      <w:tr>
        <w:trPr>
          <w:cantSplit/>
        </w:trPr>
        <w:tc>
          <w:tcPr>
            <w:tcW w:type="dxa" w:w="907"/>
            <w:vAlign w:val="top"/>
          </w:tcPr>
          <w:p>
            <w:pPr>
              <w:spacing w:after="20" w:line="252" w:lineRule="auto"/>
            </w:pPr>
            <w:r>
              <w:rPr>
                <w:b/>
                <w:i w:val="0"/>
                <w:sz w:val="15"/>
              </w:rPr>
              <w:t>AP-57</w:t>
            </w:r>
          </w:p>
        </w:tc>
        <w:tc>
          <w:tcPr>
            <w:tcW w:type="dxa" w:w="2721"/>
            <w:vAlign w:val="top"/>
          </w:tcPr>
          <w:p>
            <w:pPr>
              <w:spacing w:after="20" w:line="252" w:lineRule="auto"/>
            </w:pPr>
            <w:r>
              <w:rPr>
                <w:b w:val="0"/>
                <w:i w:val="0"/>
                <w:sz w:val="15"/>
              </w:rPr>
              <w:t>Issue attachment</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Screenshots, documents and evidence attached to issues.</w:t>
            </w:r>
          </w:p>
        </w:tc>
      </w:tr>
      <w:tr>
        <w:trPr>
          <w:cantSplit/>
        </w:trPr>
        <w:tc>
          <w:tcPr>
            <w:tcW w:type="dxa" w:w="907"/>
            <w:vAlign w:val="top"/>
            <w:shd w:val="clear" w:color="auto" w:fill="FDF0F7"/>
          </w:tcPr>
          <w:p>
            <w:pPr>
              <w:spacing w:after="20" w:line="252" w:lineRule="auto"/>
            </w:pPr>
            <w:r>
              <w:rPr>
                <w:b/>
                <w:i w:val="0"/>
                <w:sz w:val="15"/>
              </w:rPr>
              <w:t>AP-58</w:t>
            </w:r>
          </w:p>
        </w:tc>
        <w:tc>
          <w:tcPr>
            <w:tcW w:type="dxa" w:w="2721"/>
            <w:vAlign w:val="top"/>
            <w:shd w:val="clear" w:color="auto" w:fill="FDF0F7"/>
          </w:tcPr>
          <w:p>
            <w:pPr>
              <w:spacing w:after="20" w:line="252" w:lineRule="auto"/>
            </w:pPr>
            <w:r>
              <w:rPr>
                <w:b w:val="0"/>
                <w:i w:val="0"/>
                <w:sz w:val="15"/>
              </w:rPr>
              <w:t>Agency/agent/banca reports</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Role-scoped reports (production, payments, renewals) with export.</w:t>
            </w:r>
          </w:p>
        </w:tc>
      </w:tr>
      <w:tr>
        <w:trPr>
          <w:cantSplit/>
        </w:trPr>
        <w:tc>
          <w:tcPr>
            <w:tcW w:type="dxa" w:w="907"/>
            <w:vAlign w:val="top"/>
          </w:tcPr>
          <w:p>
            <w:pPr>
              <w:spacing w:after="20" w:line="252" w:lineRule="auto"/>
            </w:pPr>
            <w:r>
              <w:rPr>
                <w:b/>
                <w:i w:val="0"/>
                <w:sz w:val="15"/>
              </w:rPr>
              <w:t>AP-59</w:t>
            </w:r>
          </w:p>
        </w:tc>
        <w:tc>
          <w:tcPr>
            <w:tcW w:type="dxa" w:w="2721"/>
            <w:vAlign w:val="top"/>
          </w:tcPr>
          <w:p>
            <w:pPr>
              <w:spacing w:after="20" w:line="252" w:lineRule="auto"/>
            </w:pPr>
            <w:r>
              <w:rPr>
                <w:b w:val="0"/>
                <w:i w:val="0"/>
                <w:sz w:val="15"/>
              </w:rPr>
              <w:t>Role-based access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Permissions by agent type, hierarchy and role; data scoping enforced in the API.</w:t>
            </w:r>
          </w:p>
        </w:tc>
      </w:tr>
      <w:tr>
        <w:trPr>
          <w:cantSplit/>
        </w:trPr>
        <w:tc>
          <w:tcPr>
            <w:tcW w:type="dxa" w:w="907"/>
            <w:vAlign w:val="top"/>
            <w:shd w:val="clear" w:color="auto" w:fill="FDF0F7"/>
          </w:tcPr>
          <w:p>
            <w:pPr>
              <w:spacing w:after="20" w:line="252" w:lineRule="auto"/>
            </w:pPr>
            <w:r>
              <w:rPr>
                <w:b/>
                <w:i w:val="0"/>
                <w:sz w:val="15"/>
              </w:rPr>
              <w:t>AP-60</w:t>
            </w:r>
          </w:p>
        </w:tc>
        <w:tc>
          <w:tcPr>
            <w:tcW w:type="dxa" w:w="2721"/>
            <w:vAlign w:val="top"/>
            <w:shd w:val="clear" w:color="auto" w:fill="FDF0F7"/>
          </w:tcPr>
          <w:p>
            <w:pPr>
              <w:spacing w:after="20" w:line="252" w:lineRule="auto"/>
            </w:pPr>
            <w:r>
              <w:rPr>
                <w:b w:val="0"/>
                <w:i w:val="0"/>
                <w:sz w:val="15"/>
              </w:rPr>
              <w:t>Authority limit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Financing above B$150,000 is referred to IIFT Sales; further thresholds per product and role are configurable.</w:t>
            </w:r>
          </w:p>
        </w:tc>
      </w:tr>
      <w:tr>
        <w:trPr>
          <w:cantSplit/>
        </w:trPr>
        <w:tc>
          <w:tcPr>
            <w:tcW w:type="dxa" w:w="907"/>
            <w:vAlign w:val="top"/>
          </w:tcPr>
          <w:p>
            <w:pPr>
              <w:spacing w:after="20" w:line="252" w:lineRule="auto"/>
            </w:pPr>
            <w:r>
              <w:rPr>
                <w:b/>
                <w:i w:val="0"/>
                <w:sz w:val="15"/>
              </w:rPr>
              <w:t>AP-61</w:t>
            </w:r>
          </w:p>
        </w:tc>
        <w:tc>
          <w:tcPr>
            <w:tcW w:type="dxa" w:w="2721"/>
            <w:vAlign w:val="top"/>
          </w:tcPr>
          <w:p>
            <w:pPr>
              <w:spacing w:after="20" w:line="252" w:lineRule="auto"/>
            </w:pPr>
            <w:r>
              <w:rPr>
                <w:b w:val="0"/>
                <w:i w:val="0"/>
                <w:sz w:val="15"/>
              </w:rPr>
              <w:t>Approval history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Approval actions with remarks retained and displayed; immutable audit.</w:t>
            </w:r>
          </w:p>
        </w:tc>
      </w:tr>
      <w:tr>
        <w:trPr>
          <w:cantSplit/>
        </w:trPr>
        <w:tc>
          <w:tcPr>
            <w:tcW w:type="dxa" w:w="907"/>
            <w:vAlign w:val="top"/>
            <w:shd w:val="clear" w:color="auto" w:fill="FDF0F7"/>
          </w:tcPr>
          <w:p>
            <w:pPr>
              <w:spacing w:after="20" w:line="252" w:lineRule="auto"/>
            </w:pPr>
            <w:r>
              <w:rPr>
                <w:b/>
                <w:i w:val="0"/>
                <w:sz w:val="15"/>
              </w:rPr>
              <w:t>AP-62</w:t>
            </w:r>
          </w:p>
        </w:tc>
        <w:tc>
          <w:tcPr>
            <w:tcW w:type="dxa" w:w="2721"/>
            <w:vAlign w:val="top"/>
            <w:shd w:val="clear" w:color="auto" w:fill="FDF0F7"/>
          </w:tcPr>
          <w:p>
            <w:pPr>
              <w:spacing w:after="20" w:line="252" w:lineRule="auto"/>
            </w:pPr>
            <w:r>
              <w:rPr>
                <w:b w:val="0"/>
                <w:i w:val="0"/>
                <w:sz w:val="15"/>
              </w:rPr>
              <w:t>Electronic signature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On-screen signature by agent or participant, signature by single-use e-mail link, or upload of signed documents.</w:t>
            </w:r>
          </w:p>
        </w:tc>
      </w:tr>
      <w:tr>
        <w:trPr>
          <w:cantSplit/>
        </w:trPr>
        <w:tc>
          <w:tcPr>
            <w:tcW w:type="dxa" w:w="6463"/>
            <w:gridSpan w:val="6"/>
            <w:shd w:val="clear" w:color="auto" w:fill="FEEBDD"/>
          </w:tcPr>
          <w:p>
            <w:pPr>
              <w:spacing w:after="0"/>
            </w:pPr>
            <w:r>
              <w:rPr>
                <w:b/>
                <w:i w:val="0"/>
                <w:color w:val="333333"/>
                <w:sz w:val="15"/>
              </w:rPr>
              <w:t>RFP 4.2 – Back-office (Admin) functional requirements</w:t>
            </w:r>
          </w:p>
        </w:tc>
      </w:tr>
      <w:tr>
        <w:trPr>
          <w:cantSplit/>
        </w:trPr>
        <w:tc>
          <w:tcPr>
            <w:tcW w:type="dxa" w:w="907"/>
            <w:vAlign w:val="top"/>
          </w:tcPr>
          <w:p>
            <w:pPr>
              <w:spacing w:after="20" w:line="252" w:lineRule="auto"/>
            </w:pPr>
            <w:r>
              <w:rPr>
                <w:b/>
                <w:i w:val="0"/>
                <w:sz w:val="15"/>
              </w:rPr>
              <w:t>BO-01</w:t>
            </w:r>
          </w:p>
        </w:tc>
        <w:tc>
          <w:tcPr>
            <w:tcW w:type="dxa" w:w="2721"/>
            <w:vAlign w:val="top"/>
          </w:tcPr>
          <w:p>
            <w:pPr>
              <w:spacing w:after="20" w:line="252" w:lineRule="auto"/>
            </w:pPr>
            <w:r>
              <w:rPr>
                <w:b w:val="0"/>
                <w:i w:val="0"/>
                <w:sz w:val="15"/>
              </w:rPr>
              <w:t>Secure login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Internal login with optional AD/LDAP SSO and MFA (email OTP / TOTP).</w:t>
            </w:r>
          </w:p>
        </w:tc>
      </w:tr>
      <w:tr>
        <w:trPr>
          <w:cantSplit/>
        </w:trPr>
        <w:tc>
          <w:tcPr>
            <w:tcW w:type="dxa" w:w="907"/>
            <w:vAlign w:val="top"/>
            <w:shd w:val="clear" w:color="auto" w:fill="FDF0F7"/>
          </w:tcPr>
          <w:p>
            <w:pPr>
              <w:spacing w:after="20" w:line="252" w:lineRule="auto"/>
            </w:pPr>
            <w:r>
              <w:rPr>
                <w:b/>
                <w:i w:val="0"/>
                <w:sz w:val="15"/>
              </w:rPr>
              <w:t>BO-02</w:t>
            </w:r>
          </w:p>
        </w:tc>
        <w:tc>
          <w:tcPr>
            <w:tcW w:type="dxa" w:w="2721"/>
            <w:vAlign w:val="top"/>
            <w:shd w:val="clear" w:color="auto" w:fill="FDF0F7"/>
          </w:tcPr>
          <w:p>
            <w:pPr>
              <w:spacing w:after="20" w:line="252" w:lineRule="auto"/>
            </w:pPr>
            <w:r>
              <w:rPr>
                <w:b w:val="0"/>
                <w:i w:val="0"/>
                <w:sz w:val="15"/>
              </w:rPr>
              <w:t>Role-based access control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Roles, permissions and data scopes configured by administrators.</w:t>
            </w:r>
          </w:p>
        </w:tc>
      </w:tr>
      <w:tr>
        <w:trPr>
          <w:cantSplit/>
        </w:trPr>
        <w:tc>
          <w:tcPr>
            <w:tcW w:type="dxa" w:w="907"/>
            <w:vAlign w:val="top"/>
          </w:tcPr>
          <w:p>
            <w:pPr>
              <w:spacing w:after="20" w:line="252" w:lineRule="auto"/>
            </w:pPr>
            <w:r>
              <w:rPr>
                <w:b/>
                <w:i w:val="0"/>
                <w:sz w:val="15"/>
              </w:rPr>
              <w:t>BO-03</w:t>
            </w:r>
          </w:p>
        </w:tc>
        <w:tc>
          <w:tcPr>
            <w:tcW w:type="dxa" w:w="2721"/>
            <w:vAlign w:val="top"/>
          </w:tcPr>
          <w:p>
            <w:pPr>
              <w:spacing w:after="20" w:line="252" w:lineRule="auto"/>
            </w:pPr>
            <w:r>
              <w:rPr>
                <w:b w:val="0"/>
                <w:i w:val="0"/>
                <w:sz w:val="15"/>
              </w:rPr>
              <w:t>User administration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Create, update, deactivate and reset back-office users and release lockouts; changes audited.</w:t>
            </w:r>
          </w:p>
        </w:tc>
      </w:tr>
      <w:tr>
        <w:trPr>
          <w:cantSplit/>
        </w:trPr>
        <w:tc>
          <w:tcPr>
            <w:tcW w:type="dxa" w:w="907"/>
            <w:vAlign w:val="top"/>
            <w:shd w:val="clear" w:color="auto" w:fill="FDF0F7"/>
          </w:tcPr>
          <w:p>
            <w:pPr>
              <w:spacing w:after="20" w:line="252" w:lineRule="auto"/>
            </w:pPr>
            <w:r>
              <w:rPr>
                <w:b/>
                <w:i w:val="0"/>
                <w:sz w:val="15"/>
              </w:rPr>
              <w:t>BO-04</w:t>
            </w:r>
          </w:p>
        </w:tc>
        <w:tc>
          <w:tcPr>
            <w:tcW w:type="dxa" w:w="2721"/>
            <w:vAlign w:val="top"/>
            <w:shd w:val="clear" w:color="auto" w:fill="FDF0F7"/>
          </w:tcPr>
          <w:p>
            <w:pPr>
              <w:spacing w:after="20" w:line="252" w:lineRule="auto"/>
            </w:pPr>
            <w:r>
              <w:rPr>
                <w:b w:val="0"/>
                <w:i w:val="0"/>
                <w:sz w:val="15"/>
              </w:rPr>
              <w:t>Role &amp; permission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Role builder with fine-grained permissions grouped by module; maker-checker optional.</w:t>
            </w:r>
          </w:p>
        </w:tc>
      </w:tr>
      <w:tr>
        <w:trPr>
          <w:cantSplit/>
        </w:trPr>
        <w:tc>
          <w:tcPr>
            <w:tcW w:type="dxa" w:w="907"/>
            <w:vAlign w:val="top"/>
          </w:tcPr>
          <w:p>
            <w:pPr>
              <w:spacing w:after="20" w:line="252" w:lineRule="auto"/>
            </w:pPr>
            <w:r>
              <w:rPr>
                <w:b/>
                <w:i w:val="0"/>
                <w:sz w:val="15"/>
              </w:rPr>
              <w:t>BO-05</w:t>
            </w:r>
          </w:p>
        </w:tc>
        <w:tc>
          <w:tcPr>
            <w:tcW w:type="dxa" w:w="2721"/>
            <w:vAlign w:val="top"/>
          </w:tcPr>
          <w:p>
            <w:pPr>
              <w:spacing w:after="20" w:line="252" w:lineRule="auto"/>
            </w:pPr>
            <w:r>
              <w:rPr>
                <w:b w:val="0"/>
                <w:i w:val="0"/>
                <w:sz w:val="15"/>
              </w:rPr>
              <w:t>Agent administration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Create, view, update, activate, suspend and terminate agent records.</w:t>
            </w:r>
          </w:p>
        </w:tc>
      </w:tr>
      <w:tr>
        <w:trPr>
          <w:cantSplit/>
        </w:trPr>
        <w:tc>
          <w:tcPr>
            <w:tcW w:type="dxa" w:w="907"/>
            <w:vAlign w:val="top"/>
            <w:shd w:val="clear" w:color="auto" w:fill="FDF0F7"/>
          </w:tcPr>
          <w:p>
            <w:pPr>
              <w:spacing w:after="20" w:line="252" w:lineRule="auto"/>
            </w:pPr>
            <w:r>
              <w:rPr>
                <w:b/>
                <w:i w:val="0"/>
                <w:sz w:val="15"/>
              </w:rPr>
              <w:t>BO-06</w:t>
            </w:r>
          </w:p>
        </w:tc>
        <w:tc>
          <w:tcPr>
            <w:tcW w:type="dxa" w:w="2721"/>
            <w:vAlign w:val="top"/>
            <w:shd w:val="clear" w:color="auto" w:fill="FDF0F7"/>
          </w:tcPr>
          <w:p>
            <w:pPr>
              <w:spacing w:after="20" w:line="252" w:lineRule="auto"/>
            </w:pPr>
            <w:r>
              <w:rPr>
                <w:b w:val="0"/>
                <w:i w:val="0"/>
                <w:sz w:val="15"/>
              </w:rPr>
              <w:t>Agent search</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Search by agent/banca ID, name, agency/bank, status and configurable criteria.</w:t>
            </w:r>
          </w:p>
        </w:tc>
      </w:tr>
      <w:tr>
        <w:trPr>
          <w:cantSplit/>
        </w:trPr>
        <w:tc>
          <w:tcPr>
            <w:tcW w:type="dxa" w:w="907"/>
            <w:vAlign w:val="top"/>
          </w:tcPr>
          <w:p>
            <w:pPr>
              <w:spacing w:after="20" w:line="252" w:lineRule="auto"/>
            </w:pPr>
            <w:r>
              <w:rPr>
                <w:b/>
                <w:i w:val="0"/>
                <w:sz w:val="15"/>
              </w:rPr>
              <w:t>BO-07</w:t>
            </w:r>
          </w:p>
        </w:tc>
        <w:tc>
          <w:tcPr>
            <w:tcW w:type="dxa" w:w="2721"/>
            <w:vAlign w:val="top"/>
          </w:tcPr>
          <w:p>
            <w:pPr>
              <w:spacing w:after="20" w:line="252" w:lineRule="auto"/>
            </w:pPr>
            <w:r>
              <w:rPr>
                <w:b w:val="0"/>
                <w:i w:val="0"/>
                <w:sz w:val="15"/>
              </w:rPr>
              <w:t>Agent status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Pending, Active, Inactive, Suspended and Terminated with controlled transitions.</w:t>
            </w:r>
          </w:p>
        </w:tc>
      </w:tr>
      <w:tr>
        <w:trPr>
          <w:cantSplit/>
        </w:trPr>
        <w:tc>
          <w:tcPr>
            <w:tcW w:type="dxa" w:w="907"/>
            <w:vAlign w:val="top"/>
            <w:shd w:val="clear" w:color="auto" w:fill="FDF0F7"/>
          </w:tcPr>
          <w:p>
            <w:pPr>
              <w:spacing w:after="20" w:line="252" w:lineRule="auto"/>
            </w:pPr>
            <w:r>
              <w:rPr>
                <w:b/>
                <w:i w:val="0"/>
                <w:sz w:val="15"/>
              </w:rPr>
              <w:t>BO-08</w:t>
            </w:r>
          </w:p>
        </w:tc>
        <w:tc>
          <w:tcPr>
            <w:tcW w:type="dxa" w:w="2721"/>
            <w:vAlign w:val="top"/>
            <w:shd w:val="clear" w:color="auto" w:fill="FDF0F7"/>
          </w:tcPr>
          <w:p>
            <w:pPr>
              <w:spacing w:after="20" w:line="252" w:lineRule="auto"/>
            </w:pPr>
            <w:r>
              <w:rPr>
                <w:b w:val="0"/>
                <w:i w:val="0"/>
                <w:sz w:val="15"/>
              </w:rPr>
              <w:t>Main/sub-agent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Maintain hierarchy (agency → main agent → sub-agent / bank → branch → officer).</w:t>
            </w:r>
          </w:p>
        </w:tc>
      </w:tr>
      <w:tr>
        <w:trPr>
          <w:cantSplit/>
        </w:trPr>
        <w:tc>
          <w:tcPr>
            <w:tcW w:type="dxa" w:w="907"/>
            <w:vAlign w:val="top"/>
          </w:tcPr>
          <w:p>
            <w:pPr>
              <w:spacing w:after="20" w:line="252" w:lineRule="auto"/>
            </w:pPr>
            <w:r>
              <w:rPr>
                <w:b/>
                <w:i w:val="0"/>
                <w:sz w:val="15"/>
              </w:rPr>
              <w:t>BO-09</w:t>
            </w:r>
          </w:p>
        </w:tc>
        <w:tc>
          <w:tcPr>
            <w:tcW w:type="dxa" w:w="2721"/>
            <w:vAlign w:val="top"/>
          </w:tcPr>
          <w:p>
            <w:pPr>
              <w:spacing w:after="20" w:line="252" w:lineRule="auto"/>
            </w:pPr>
            <w:r>
              <w:rPr>
                <w:b w:val="0"/>
                <w:i w:val="0"/>
                <w:sz w:val="15"/>
              </w:rPr>
              <w:t>Agency administration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Maintain agency/bank details, branches, contacts and associated agents.</w:t>
            </w:r>
          </w:p>
        </w:tc>
      </w:tr>
      <w:tr>
        <w:trPr>
          <w:cantSplit/>
        </w:trPr>
        <w:tc>
          <w:tcPr>
            <w:tcW w:type="dxa" w:w="907"/>
            <w:vAlign w:val="top"/>
            <w:shd w:val="clear" w:color="auto" w:fill="FDF0F7"/>
          </w:tcPr>
          <w:p>
            <w:pPr>
              <w:spacing w:after="20" w:line="252" w:lineRule="auto"/>
            </w:pPr>
            <w:r>
              <w:rPr>
                <w:b/>
                <w:i w:val="0"/>
                <w:sz w:val="15"/>
              </w:rPr>
              <w:t>BO-10</w:t>
            </w:r>
          </w:p>
        </w:tc>
        <w:tc>
          <w:tcPr>
            <w:tcW w:type="dxa" w:w="2721"/>
            <w:vAlign w:val="top"/>
            <w:shd w:val="clear" w:color="auto" w:fill="FDF0F7"/>
          </w:tcPr>
          <w:p>
            <w:pPr>
              <w:spacing w:after="20" w:line="252" w:lineRule="auto"/>
            </w:pPr>
            <w:r>
              <w:rPr>
                <w:b w:val="0"/>
                <w:i w:val="0"/>
                <w:sz w:val="15"/>
              </w:rPr>
              <w:t>Agent approval (maker-checker)</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Registration and profile changes approved through configurable workflow levels.</w:t>
            </w:r>
          </w:p>
        </w:tc>
      </w:tr>
      <w:tr>
        <w:trPr>
          <w:cantSplit/>
        </w:trPr>
        <w:tc>
          <w:tcPr>
            <w:tcW w:type="dxa" w:w="907"/>
            <w:vAlign w:val="top"/>
          </w:tcPr>
          <w:p>
            <w:pPr>
              <w:spacing w:after="20" w:line="252" w:lineRule="auto"/>
            </w:pPr>
            <w:r>
              <w:rPr>
                <w:b/>
                <w:i w:val="0"/>
                <w:sz w:val="15"/>
              </w:rPr>
              <w:t>BO-11</w:t>
            </w:r>
          </w:p>
        </w:tc>
        <w:tc>
          <w:tcPr>
            <w:tcW w:type="dxa" w:w="2721"/>
            <w:vAlign w:val="top"/>
          </w:tcPr>
          <w:p>
            <w:pPr>
              <w:spacing w:after="20" w:line="252" w:lineRule="auto"/>
            </w:pPr>
            <w:r>
              <w:rPr>
                <w:b w:val="0"/>
                <w:i w:val="0"/>
                <w:sz w:val="15"/>
              </w:rPr>
              <w:t>Agent documents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View, validate, approve, reject and manage agent documents.</w:t>
            </w:r>
          </w:p>
        </w:tc>
      </w:tr>
      <w:tr>
        <w:trPr>
          <w:cantSplit/>
        </w:trPr>
        <w:tc>
          <w:tcPr>
            <w:tcW w:type="dxa" w:w="907"/>
            <w:vAlign w:val="top"/>
            <w:shd w:val="clear" w:color="auto" w:fill="FDF0F7"/>
          </w:tcPr>
          <w:p>
            <w:pPr>
              <w:spacing w:after="20" w:line="252" w:lineRule="auto"/>
            </w:pPr>
            <w:r>
              <w:rPr>
                <w:b/>
                <w:i w:val="0"/>
                <w:sz w:val="15"/>
              </w:rPr>
              <w:t>BO-12</w:t>
            </w:r>
          </w:p>
        </w:tc>
        <w:tc>
          <w:tcPr>
            <w:tcW w:type="dxa" w:w="2721"/>
            <w:vAlign w:val="top"/>
            <w:shd w:val="clear" w:color="auto" w:fill="FDF0F7"/>
          </w:tcPr>
          <w:p>
            <w:pPr>
              <w:spacing w:after="20" w:line="252" w:lineRule="auto"/>
            </w:pPr>
            <w:r>
              <w:rPr>
                <w:b w:val="0"/>
                <w:i w:val="0"/>
                <w:sz w:val="15"/>
              </w:rPr>
              <w:t>Document validation</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Mandatory document checklist per entity type; expiry tracking and reminders.</w:t>
            </w:r>
          </w:p>
        </w:tc>
      </w:tr>
      <w:tr>
        <w:trPr>
          <w:cantSplit/>
        </w:trPr>
        <w:tc>
          <w:tcPr>
            <w:tcW w:type="dxa" w:w="907"/>
            <w:vAlign w:val="top"/>
          </w:tcPr>
          <w:p>
            <w:pPr>
              <w:spacing w:after="20" w:line="252" w:lineRule="auto"/>
            </w:pPr>
            <w:r>
              <w:rPr>
                <w:b/>
                <w:i w:val="0"/>
                <w:sz w:val="15"/>
              </w:rPr>
              <w:t>BO-13</w:t>
            </w:r>
          </w:p>
        </w:tc>
        <w:tc>
          <w:tcPr>
            <w:tcW w:type="dxa" w:w="2721"/>
            <w:vAlign w:val="top"/>
          </w:tcPr>
          <w:p>
            <w:pPr>
              <w:spacing w:after="20" w:line="252" w:lineRule="auto"/>
            </w:pPr>
            <w:r>
              <w:rPr>
                <w:b w:val="0"/>
                <w:i w:val="0"/>
                <w:sz w:val="15"/>
              </w:rPr>
              <w:t>AML screening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Watch-list screening with fuzzy name matching for agents and participants; manual re-screen.</w:t>
            </w:r>
          </w:p>
        </w:tc>
      </w:tr>
      <w:tr>
        <w:trPr>
          <w:cantSplit/>
        </w:trPr>
        <w:tc>
          <w:tcPr>
            <w:tcW w:type="dxa" w:w="907"/>
            <w:vAlign w:val="top"/>
            <w:shd w:val="clear" w:color="auto" w:fill="FDF0F7"/>
          </w:tcPr>
          <w:p>
            <w:pPr>
              <w:spacing w:after="20" w:line="252" w:lineRule="auto"/>
            </w:pPr>
            <w:r>
              <w:rPr>
                <w:b/>
                <w:i w:val="0"/>
                <w:sz w:val="15"/>
              </w:rPr>
              <w:t>BO-14</w:t>
            </w:r>
          </w:p>
        </w:tc>
        <w:tc>
          <w:tcPr>
            <w:tcW w:type="dxa" w:w="2721"/>
            <w:vAlign w:val="top"/>
            <w:shd w:val="clear" w:color="auto" w:fill="FDF0F7"/>
          </w:tcPr>
          <w:p>
            <w:pPr>
              <w:spacing w:after="20" w:line="252" w:lineRule="auto"/>
            </w:pPr>
            <w:r>
              <w:rPr>
                <w:b w:val="0"/>
                <w:i w:val="0"/>
                <w:sz w:val="15"/>
              </w:rPr>
              <w:t>AML status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Screening result, score, status, reviewer and dates recorded and displayed.</w:t>
            </w:r>
          </w:p>
        </w:tc>
      </w:tr>
      <w:tr>
        <w:trPr>
          <w:cantSplit/>
        </w:trPr>
        <w:tc>
          <w:tcPr>
            <w:tcW w:type="dxa" w:w="907"/>
            <w:vAlign w:val="top"/>
          </w:tcPr>
          <w:p>
            <w:pPr>
              <w:spacing w:after="20" w:line="252" w:lineRule="auto"/>
            </w:pPr>
            <w:r>
              <w:rPr>
                <w:b/>
                <w:i w:val="0"/>
                <w:sz w:val="15"/>
              </w:rPr>
              <w:t>BO-15</w:t>
            </w:r>
          </w:p>
        </w:tc>
        <w:tc>
          <w:tcPr>
            <w:tcW w:type="dxa" w:w="2721"/>
            <w:vAlign w:val="top"/>
          </w:tcPr>
          <w:p>
            <w:pPr>
              <w:spacing w:after="20" w:line="252" w:lineRule="auto"/>
            </w:pPr>
            <w:r>
              <w:rPr>
                <w:b w:val="0"/>
                <w:i w:val="0"/>
                <w:sz w:val="15"/>
              </w:rPr>
              <w:t>Compliance review</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Compliance queue to clear, escalate or reject flagged cases with remarks; a confirmed match rejects the subject's pending approval requests.</w:t>
            </w:r>
          </w:p>
        </w:tc>
      </w:tr>
      <w:tr>
        <w:trPr>
          <w:cantSplit/>
        </w:trPr>
        <w:tc>
          <w:tcPr>
            <w:tcW w:type="dxa" w:w="907"/>
            <w:vAlign w:val="top"/>
            <w:shd w:val="clear" w:color="auto" w:fill="FDF0F7"/>
          </w:tcPr>
          <w:p>
            <w:pPr>
              <w:spacing w:after="20" w:line="252" w:lineRule="auto"/>
            </w:pPr>
            <w:r>
              <w:rPr>
                <w:b/>
                <w:i w:val="0"/>
                <w:sz w:val="15"/>
              </w:rPr>
              <w:t>BO-16</w:t>
            </w:r>
          </w:p>
        </w:tc>
        <w:tc>
          <w:tcPr>
            <w:tcW w:type="dxa" w:w="2721"/>
            <w:vAlign w:val="top"/>
            <w:shd w:val="clear" w:color="auto" w:fill="FDF0F7"/>
          </w:tcPr>
          <w:p>
            <w:pPr>
              <w:spacing w:after="20" w:line="252" w:lineRule="auto"/>
            </w:pPr>
            <w:r>
              <w:rPr>
                <w:b w:val="0"/>
                <w:i w:val="0"/>
                <w:sz w:val="15"/>
              </w:rPr>
              <w:t>Approval workflow</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Configurable levels and amount thresholds per transaction type (e.g. second approval from B$300,000 sum covered).</w:t>
            </w:r>
          </w:p>
        </w:tc>
      </w:tr>
      <w:tr>
        <w:trPr>
          <w:cantSplit/>
        </w:trPr>
        <w:tc>
          <w:tcPr>
            <w:tcW w:type="dxa" w:w="907"/>
            <w:vAlign w:val="top"/>
          </w:tcPr>
          <w:p>
            <w:pPr>
              <w:spacing w:after="20" w:line="252" w:lineRule="auto"/>
            </w:pPr>
            <w:r>
              <w:rPr>
                <w:b/>
                <w:i w:val="0"/>
                <w:sz w:val="15"/>
              </w:rPr>
              <w:t>BO-17</w:t>
            </w:r>
          </w:p>
        </w:tc>
        <w:tc>
          <w:tcPr>
            <w:tcW w:type="dxa" w:w="2721"/>
            <w:vAlign w:val="top"/>
          </w:tcPr>
          <w:p>
            <w:pPr>
              <w:spacing w:after="20" w:line="252" w:lineRule="auto"/>
            </w:pPr>
            <w:r>
              <w:rPr>
                <w:b w:val="0"/>
                <w:i w:val="0"/>
                <w:sz w:val="15"/>
              </w:rPr>
              <w:t>Maker-checker</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Server-side rule: maker cannot approve own transaction; enforced for every workflow.</w:t>
            </w:r>
          </w:p>
        </w:tc>
      </w:tr>
      <w:tr>
        <w:trPr>
          <w:cantSplit/>
        </w:trPr>
        <w:tc>
          <w:tcPr>
            <w:tcW w:type="dxa" w:w="907"/>
            <w:vAlign w:val="top"/>
            <w:shd w:val="clear" w:color="auto" w:fill="FDF0F7"/>
          </w:tcPr>
          <w:p>
            <w:pPr>
              <w:spacing w:after="20" w:line="252" w:lineRule="auto"/>
            </w:pPr>
            <w:r>
              <w:rPr>
                <w:b/>
                <w:i w:val="0"/>
                <w:sz w:val="15"/>
              </w:rPr>
              <w:t>BO-18</w:t>
            </w:r>
          </w:p>
        </w:tc>
        <w:tc>
          <w:tcPr>
            <w:tcW w:type="dxa" w:w="2721"/>
            <w:vAlign w:val="top"/>
            <w:shd w:val="clear" w:color="auto" w:fill="FDF0F7"/>
          </w:tcPr>
          <w:p>
            <w:pPr>
              <w:spacing w:after="20" w:line="252" w:lineRule="auto"/>
            </w:pPr>
            <w:r>
              <w:rPr>
                <w:b w:val="0"/>
                <w:i w:val="0"/>
                <w:sz w:val="15"/>
              </w:rPr>
              <w:t>Workflow status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Tracking of every request through Submitted, Pending, Approved, Rejected, Completed.</w:t>
            </w:r>
          </w:p>
        </w:tc>
      </w:tr>
      <w:tr>
        <w:trPr>
          <w:cantSplit/>
        </w:trPr>
        <w:tc>
          <w:tcPr>
            <w:tcW w:type="dxa" w:w="907"/>
            <w:vAlign w:val="top"/>
          </w:tcPr>
          <w:p>
            <w:pPr>
              <w:spacing w:after="20" w:line="252" w:lineRule="auto"/>
            </w:pPr>
            <w:r>
              <w:rPr>
                <w:b/>
                <w:i w:val="0"/>
                <w:sz w:val="15"/>
              </w:rPr>
              <w:t>BO-19</w:t>
            </w:r>
          </w:p>
        </w:tc>
        <w:tc>
          <w:tcPr>
            <w:tcW w:type="dxa" w:w="2721"/>
            <w:vAlign w:val="top"/>
          </w:tcPr>
          <w:p>
            <w:pPr>
              <w:spacing w:after="20" w:line="252" w:lineRule="auto"/>
            </w:pPr>
            <w:r>
              <w:rPr>
                <w:b w:val="0"/>
                <w:i w:val="0"/>
                <w:sz w:val="15"/>
              </w:rPr>
              <w:t>Rejection &amp; remarks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Mandatory remarks on rejection; visible to maker and in audit.</w:t>
            </w:r>
          </w:p>
        </w:tc>
      </w:tr>
      <w:tr>
        <w:trPr>
          <w:cantSplit/>
        </w:trPr>
        <w:tc>
          <w:tcPr>
            <w:tcW w:type="dxa" w:w="907"/>
            <w:vAlign w:val="top"/>
            <w:shd w:val="clear" w:color="auto" w:fill="FDF0F7"/>
          </w:tcPr>
          <w:p>
            <w:pPr>
              <w:spacing w:after="20" w:line="252" w:lineRule="auto"/>
            </w:pPr>
            <w:r>
              <w:rPr>
                <w:b/>
                <w:i w:val="0"/>
                <w:sz w:val="15"/>
              </w:rPr>
              <w:t>BO-20</w:t>
            </w:r>
          </w:p>
        </w:tc>
        <w:tc>
          <w:tcPr>
            <w:tcW w:type="dxa" w:w="2721"/>
            <w:vAlign w:val="top"/>
            <w:shd w:val="clear" w:color="auto" w:fill="FDF0F7"/>
          </w:tcPr>
          <w:p>
            <w:pPr>
              <w:spacing w:after="20" w:line="252" w:lineRule="auto"/>
            </w:pPr>
            <w:r>
              <w:rPr>
                <w:b w:val="0"/>
                <w:i w:val="0"/>
                <w:sz w:val="15"/>
              </w:rPr>
              <w:t>Management dashboard</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KPIs, trends, production by product/channel, outstanding actions and SLA.</w:t>
            </w:r>
          </w:p>
        </w:tc>
      </w:tr>
      <w:tr>
        <w:trPr>
          <w:cantSplit/>
        </w:trPr>
        <w:tc>
          <w:tcPr>
            <w:tcW w:type="dxa" w:w="907"/>
            <w:vAlign w:val="top"/>
          </w:tcPr>
          <w:p>
            <w:pPr>
              <w:spacing w:after="20" w:line="252" w:lineRule="auto"/>
            </w:pPr>
            <w:r>
              <w:rPr>
                <w:b/>
                <w:i w:val="0"/>
                <w:sz w:val="15"/>
              </w:rPr>
              <w:t>BO-21</w:t>
            </w:r>
          </w:p>
        </w:tc>
        <w:tc>
          <w:tcPr>
            <w:tcW w:type="dxa" w:w="2721"/>
            <w:vAlign w:val="top"/>
          </w:tcPr>
          <w:p>
            <w:pPr>
              <w:spacing w:after="20" w:line="252" w:lineRule="auto"/>
            </w:pPr>
            <w:r>
              <w:rPr>
                <w:b w:val="0"/>
                <w:i w:val="0"/>
                <w:sz w:val="15"/>
              </w:rPr>
              <w:t>Pending action dashboard</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Approvals inbox, incomplete applications and outstanding actions per user/role.</w:t>
            </w:r>
          </w:p>
        </w:tc>
      </w:tr>
      <w:tr>
        <w:trPr>
          <w:cantSplit/>
        </w:trPr>
        <w:tc>
          <w:tcPr>
            <w:tcW w:type="dxa" w:w="907"/>
            <w:vAlign w:val="top"/>
            <w:shd w:val="clear" w:color="auto" w:fill="FDF0F7"/>
          </w:tcPr>
          <w:p>
            <w:pPr>
              <w:spacing w:after="20" w:line="252" w:lineRule="auto"/>
            </w:pPr>
            <w:r>
              <w:rPr>
                <w:b/>
                <w:i w:val="0"/>
                <w:sz w:val="15"/>
              </w:rPr>
              <w:t>BO-22</w:t>
            </w:r>
          </w:p>
        </w:tc>
        <w:tc>
          <w:tcPr>
            <w:tcW w:type="dxa" w:w="2721"/>
            <w:vAlign w:val="top"/>
            <w:shd w:val="clear" w:color="auto" w:fill="FDF0F7"/>
          </w:tcPr>
          <w:p>
            <w:pPr>
              <w:spacing w:after="20" w:line="252" w:lineRule="auto"/>
            </w:pPr>
            <w:r>
              <w:rPr>
                <w:b w:val="0"/>
                <w:i w:val="0"/>
                <w:sz w:val="15"/>
              </w:rPr>
              <w:t>Standard reports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12 standard reports in the working application; remaining IIFT reports added from the catalogue agreed in design.</w:t>
            </w:r>
          </w:p>
        </w:tc>
      </w:tr>
      <w:tr>
        <w:trPr>
          <w:cantSplit/>
        </w:trPr>
        <w:tc>
          <w:tcPr>
            <w:tcW w:type="dxa" w:w="907"/>
            <w:vAlign w:val="top"/>
          </w:tcPr>
          <w:p>
            <w:pPr>
              <w:spacing w:after="20" w:line="252" w:lineRule="auto"/>
            </w:pPr>
            <w:r>
              <w:rPr>
                <w:b/>
                <w:i w:val="0"/>
                <w:sz w:val="15"/>
              </w:rPr>
              <w:t>BO-23</w:t>
            </w:r>
          </w:p>
        </w:tc>
        <w:tc>
          <w:tcPr>
            <w:tcW w:type="dxa" w:w="2721"/>
            <w:vAlign w:val="top"/>
          </w:tcPr>
          <w:p>
            <w:pPr>
              <w:spacing w:after="20" w:line="252" w:lineRule="auto"/>
            </w:pPr>
            <w:r>
              <w:rPr>
                <w:b w:val="0"/>
                <w:i w:val="0"/>
                <w:sz w:val="15"/>
              </w:rPr>
              <w:t>Report filtering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Filters by date, agent, agency/bank, product, status and other criteria.</w:t>
            </w:r>
          </w:p>
        </w:tc>
      </w:tr>
      <w:tr>
        <w:trPr>
          <w:cantSplit/>
        </w:trPr>
        <w:tc>
          <w:tcPr>
            <w:tcW w:type="dxa" w:w="907"/>
            <w:vAlign w:val="top"/>
            <w:shd w:val="clear" w:color="auto" w:fill="FDF0F7"/>
          </w:tcPr>
          <w:p>
            <w:pPr>
              <w:spacing w:after="20" w:line="252" w:lineRule="auto"/>
            </w:pPr>
            <w:r>
              <w:rPr>
                <w:b/>
                <w:i w:val="0"/>
                <w:sz w:val="15"/>
              </w:rPr>
              <w:t>BO-24</w:t>
            </w:r>
          </w:p>
        </w:tc>
        <w:tc>
          <w:tcPr>
            <w:tcW w:type="dxa" w:w="2721"/>
            <w:vAlign w:val="top"/>
            <w:shd w:val="clear" w:color="auto" w:fill="FDF0F7"/>
          </w:tcPr>
          <w:p>
            <w:pPr>
              <w:spacing w:after="20" w:line="252" w:lineRule="auto"/>
            </w:pPr>
            <w:r>
              <w:rPr>
                <w:b w:val="0"/>
                <w:i w:val="0"/>
                <w:sz w:val="15"/>
              </w:rPr>
              <w:t>Report export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Export to Excel, CSV and PDF.</w:t>
            </w:r>
          </w:p>
        </w:tc>
      </w:tr>
      <w:tr>
        <w:trPr>
          <w:cantSplit/>
        </w:trPr>
        <w:tc>
          <w:tcPr>
            <w:tcW w:type="dxa" w:w="907"/>
            <w:vAlign w:val="top"/>
          </w:tcPr>
          <w:p>
            <w:pPr>
              <w:spacing w:after="20" w:line="252" w:lineRule="auto"/>
            </w:pPr>
            <w:r>
              <w:rPr>
                <w:b/>
                <w:i w:val="0"/>
                <w:sz w:val="15"/>
              </w:rPr>
              <w:t>BO-25</w:t>
            </w:r>
          </w:p>
        </w:tc>
        <w:tc>
          <w:tcPr>
            <w:tcW w:type="dxa" w:w="2721"/>
            <w:vAlign w:val="top"/>
          </w:tcPr>
          <w:p>
            <w:pPr>
              <w:spacing w:after="20" w:line="252" w:lineRule="auto"/>
            </w:pPr>
            <w:r>
              <w:rPr>
                <w:b w:val="0"/>
                <w:i w:val="0"/>
                <w:sz w:val="15"/>
              </w:rPr>
              <w:t>Scheduled reports</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Report schedules (daily/weekly/monthly) e-mailed to authorised recipients.</w:t>
            </w:r>
          </w:p>
        </w:tc>
      </w:tr>
      <w:tr>
        <w:trPr>
          <w:cantSplit/>
        </w:trPr>
        <w:tc>
          <w:tcPr>
            <w:tcW w:type="dxa" w:w="907"/>
            <w:vAlign w:val="top"/>
            <w:shd w:val="clear" w:color="auto" w:fill="FDF0F7"/>
          </w:tcPr>
          <w:p>
            <w:pPr>
              <w:spacing w:after="20" w:line="252" w:lineRule="auto"/>
            </w:pPr>
            <w:r>
              <w:rPr>
                <w:b/>
                <w:i w:val="0"/>
                <w:sz w:val="15"/>
              </w:rPr>
              <w:t>BO-26</w:t>
            </w:r>
          </w:p>
        </w:tc>
        <w:tc>
          <w:tcPr>
            <w:tcW w:type="dxa" w:w="2721"/>
            <w:vAlign w:val="top"/>
            <w:shd w:val="clear" w:color="auto" w:fill="FDF0F7"/>
          </w:tcPr>
          <w:p>
            <w:pPr>
              <w:spacing w:after="20" w:line="252" w:lineRule="auto"/>
            </w:pPr>
            <w:r>
              <w:rPr>
                <w:b w:val="0"/>
                <w:i w:val="0"/>
                <w:sz w:val="15"/>
              </w:rPr>
              <w:t>Audit trail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Records user activities, transactions, approvals, rejections and system events.</w:t>
            </w:r>
          </w:p>
        </w:tc>
      </w:tr>
      <w:tr>
        <w:trPr>
          <w:cantSplit/>
        </w:trPr>
        <w:tc>
          <w:tcPr>
            <w:tcW w:type="dxa" w:w="907"/>
            <w:vAlign w:val="top"/>
          </w:tcPr>
          <w:p>
            <w:pPr>
              <w:spacing w:after="20" w:line="252" w:lineRule="auto"/>
            </w:pPr>
            <w:r>
              <w:rPr>
                <w:b/>
                <w:i w:val="0"/>
                <w:sz w:val="15"/>
              </w:rPr>
              <w:t>BO-27</w:t>
            </w:r>
          </w:p>
        </w:tc>
        <w:tc>
          <w:tcPr>
            <w:tcW w:type="dxa" w:w="2721"/>
            <w:vAlign w:val="top"/>
          </w:tcPr>
          <w:p>
            <w:pPr>
              <w:spacing w:after="20" w:line="252" w:lineRule="auto"/>
            </w:pPr>
            <w:r>
              <w:rPr>
                <w:b w:val="0"/>
                <w:i w:val="0"/>
                <w:sz w:val="15"/>
              </w:rPr>
              <w:t>Change history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Previous and new values, user, date/time and IP retained for critical changes.</w:t>
            </w:r>
          </w:p>
        </w:tc>
      </w:tr>
      <w:tr>
        <w:trPr>
          <w:cantSplit/>
        </w:trPr>
        <w:tc>
          <w:tcPr>
            <w:tcW w:type="dxa" w:w="907"/>
            <w:vAlign w:val="top"/>
            <w:shd w:val="clear" w:color="auto" w:fill="FDF0F7"/>
          </w:tcPr>
          <w:p>
            <w:pPr>
              <w:spacing w:after="20" w:line="252" w:lineRule="auto"/>
            </w:pPr>
            <w:r>
              <w:rPr>
                <w:b/>
                <w:i w:val="0"/>
                <w:sz w:val="15"/>
              </w:rPr>
              <w:t>BO-28</w:t>
            </w:r>
          </w:p>
        </w:tc>
        <w:tc>
          <w:tcPr>
            <w:tcW w:type="dxa" w:w="2721"/>
            <w:vAlign w:val="top"/>
            <w:shd w:val="clear" w:color="auto" w:fill="FDF0F7"/>
          </w:tcPr>
          <w:p>
            <w:pPr>
              <w:spacing w:after="20" w:line="252" w:lineRule="auto"/>
            </w:pPr>
            <w:r>
              <w:rPr>
                <w:b w:val="0"/>
                <w:i w:val="0"/>
                <w:sz w:val="15"/>
              </w:rPr>
              <w:t>Audit search</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Audit search by user, entity, action and date with export for authorised roles.</w:t>
            </w:r>
          </w:p>
        </w:tc>
      </w:tr>
      <w:tr>
        <w:trPr>
          <w:cantSplit/>
        </w:trPr>
        <w:tc>
          <w:tcPr>
            <w:tcW w:type="dxa" w:w="907"/>
            <w:vAlign w:val="top"/>
          </w:tcPr>
          <w:p>
            <w:pPr>
              <w:spacing w:after="20" w:line="252" w:lineRule="auto"/>
            </w:pPr>
            <w:r>
              <w:rPr>
                <w:b/>
                <w:i w:val="0"/>
                <w:sz w:val="15"/>
              </w:rPr>
              <w:t>BO-29</w:t>
            </w:r>
          </w:p>
        </w:tc>
        <w:tc>
          <w:tcPr>
            <w:tcW w:type="dxa" w:w="2721"/>
            <w:vAlign w:val="top"/>
          </w:tcPr>
          <w:p>
            <w:pPr>
              <w:spacing w:after="20" w:line="252" w:lineRule="auto"/>
            </w:pPr>
            <w:r>
              <w:rPr>
                <w:b w:val="0"/>
                <w:i w:val="0"/>
                <w:sz w:val="15"/>
              </w:rPr>
              <w:t>Issue assignment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Assignment to support personnel or teams with assignment rules.</w:t>
            </w:r>
          </w:p>
        </w:tc>
      </w:tr>
      <w:tr>
        <w:trPr>
          <w:cantSplit/>
        </w:trPr>
        <w:tc>
          <w:tcPr>
            <w:tcW w:type="dxa" w:w="907"/>
            <w:vAlign w:val="top"/>
            <w:shd w:val="clear" w:color="auto" w:fill="FDF0F7"/>
          </w:tcPr>
          <w:p>
            <w:pPr>
              <w:spacing w:after="20" w:line="252" w:lineRule="auto"/>
            </w:pPr>
            <w:r>
              <w:rPr>
                <w:b/>
                <w:i w:val="0"/>
                <w:sz w:val="15"/>
              </w:rPr>
              <w:t>BO-30</w:t>
            </w:r>
          </w:p>
        </w:tc>
        <w:tc>
          <w:tcPr>
            <w:tcW w:type="dxa" w:w="2721"/>
            <w:vAlign w:val="top"/>
            <w:shd w:val="clear" w:color="auto" w:fill="FDF0F7"/>
          </w:tcPr>
          <w:p>
            <w:pPr>
              <w:spacing w:after="20" w:line="252" w:lineRule="auto"/>
            </w:pPr>
            <w:r>
              <w:rPr>
                <w:b w:val="0"/>
                <w:i w:val="0"/>
                <w:sz w:val="15"/>
              </w:rPr>
              <w:t>Issue priority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Critical, High, Medium, Low priorities (configurable).</w:t>
            </w:r>
          </w:p>
        </w:tc>
      </w:tr>
      <w:tr>
        <w:trPr>
          <w:cantSplit/>
        </w:trPr>
        <w:tc>
          <w:tcPr>
            <w:tcW w:type="dxa" w:w="907"/>
            <w:vAlign w:val="top"/>
          </w:tcPr>
          <w:p>
            <w:pPr>
              <w:spacing w:after="20" w:line="252" w:lineRule="auto"/>
            </w:pPr>
            <w:r>
              <w:rPr>
                <w:b/>
                <w:i w:val="0"/>
                <w:sz w:val="15"/>
              </w:rPr>
              <w:t>BO-31</w:t>
            </w:r>
          </w:p>
        </w:tc>
        <w:tc>
          <w:tcPr>
            <w:tcW w:type="dxa" w:w="2721"/>
            <w:vAlign w:val="top"/>
          </w:tcPr>
          <w:p>
            <w:pPr>
              <w:spacing w:after="20" w:line="252" w:lineRule="auto"/>
            </w:pPr>
            <w:r>
              <w:rPr>
                <w:b w:val="0"/>
                <w:i w:val="0"/>
                <w:sz w:val="15"/>
              </w:rPr>
              <w:t>Issue SLA monitoring</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Response/resolution timers per priority with breach alerts and SLA report.</w:t>
            </w:r>
          </w:p>
        </w:tc>
      </w:tr>
      <w:tr>
        <w:trPr>
          <w:cantSplit/>
        </w:trPr>
        <w:tc>
          <w:tcPr>
            <w:tcW w:type="dxa" w:w="907"/>
            <w:vAlign w:val="top"/>
            <w:shd w:val="clear" w:color="auto" w:fill="FDF0F7"/>
          </w:tcPr>
          <w:p>
            <w:pPr>
              <w:spacing w:after="20" w:line="252" w:lineRule="auto"/>
            </w:pPr>
            <w:r>
              <w:rPr>
                <w:b/>
                <w:i w:val="0"/>
                <w:sz w:val="15"/>
              </w:rPr>
              <w:t>BO-32</w:t>
            </w:r>
          </w:p>
        </w:tc>
        <w:tc>
          <w:tcPr>
            <w:tcW w:type="dxa" w:w="2721"/>
            <w:vAlign w:val="top"/>
            <w:shd w:val="clear" w:color="auto" w:fill="FDF0F7"/>
          </w:tcPr>
          <w:p>
            <w:pPr>
              <w:spacing w:after="20" w:line="252" w:lineRule="auto"/>
            </w:pPr>
            <w:r>
              <w:rPr>
                <w:b w:val="0"/>
                <w:i w:val="0"/>
                <w:sz w:val="15"/>
              </w:rPr>
              <w:t>Master data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Maintain products, plans, rates, branches, banks, occupations, document types, reasons, etc.</w:t>
            </w:r>
          </w:p>
        </w:tc>
      </w:tr>
      <w:tr>
        <w:trPr>
          <w:cantSplit/>
        </w:trPr>
        <w:tc>
          <w:tcPr>
            <w:tcW w:type="dxa" w:w="907"/>
            <w:vAlign w:val="top"/>
          </w:tcPr>
          <w:p>
            <w:pPr>
              <w:spacing w:after="20" w:line="252" w:lineRule="auto"/>
            </w:pPr>
            <w:r>
              <w:rPr>
                <w:b/>
                <w:i w:val="0"/>
                <w:sz w:val="15"/>
              </w:rPr>
              <w:t>BO-33</w:t>
            </w:r>
          </w:p>
        </w:tc>
        <w:tc>
          <w:tcPr>
            <w:tcW w:type="dxa" w:w="2721"/>
            <w:vAlign w:val="top"/>
          </w:tcPr>
          <w:p>
            <w:pPr>
              <w:spacing w:after="20" w:line="252" w:lineRule="auto"/>
            </w:pPr>
            <w:r>
              <w:rPr>
                <w:b w:val="0"/>
                <w:i w:val="0"/>
                <w:sz w:val="15"/>
              </w:rPr>
              <w:t>System configuration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Business rules, statuses, approval levels and parameters maintainable without redevelopment.</w:t>
            </w:r>
          </w:p>
        </w:tc>
      </w:tr>
      <w:tr>
        <w:trPr>
          <w:cantSplit/>
        </w:trPr>
        <w:tc>
          <w:tcPr>
            <w:tcW w:type="dxa" w:w="6463"/>
            <w:gridSpan w:val="6"/>
            <w:shd w:val="clear" w:color="auto" w:fill="FEEBDD"/>
          </w:tcPr>
          <w:p>
            <w:pPr>
              <w:spacing w:after="0"/>
            </w:pPr>
            <w:r>
              <w:rPr>
                <w:b/>
                <w:i w:val="0"/>
                <w:color w:val="333333"/>
                <w:sz w:val="15"/>
              </w:rPr>
              <w:t>RFP 4.3 – Integration functional requirements</w:t>
            </w:r>
          </w:p>
        </w:tc>
      </w:tr>
      <w:tr>
        <w:trPr>
          <w:cantSplit/>
        </w:trPr>
        <w:tc>
          <w:tcPr>
            <w:tcW w:type="dxa" w:w="907"/>
            <w:vAlign w:val="top"/>
          </w:tcPr>
          <w:p>
            <w:pPr>
              <w:spacing w:after="20" w:line="252" w:lineRule="auto"/>
            </w:pPr>
            <w:r>
              <w:rPr>
                <w:b/>
                <w:i w:val="0"/>
                <w:sz w:val="15"/>
              </w:rPr>
              <w:t>INT-01</w:t>
            </w:r>
          </w:p>
        </w:tc>
        <w:tc>
          <w:tcPr>
            <w:tcW w:type="dxa" w:w="2721"/>
            <w:vAlign w:val="top"/>
          </w:tcPr>
          <w:p>
            <w:pPr>
              <w:spacing w:after="20" w:line="252" w:lineRule="auto"/>
            </w:pPr>
            <w:r>
              <w:rPr>
                <w:b w:val="0"/>
                <w:i w:val="0"/>
                <w:sz w:val="15"/>
              </w:rPr>
              <w:t>Core system integration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Core system adapter to retrieve/update agent and policy information per interface specification.</w:t>
            </w:r>
          </w:p>
        </w:tc>
      </w:tr>
      <w:tr>
        <w:trPr>
          <w:cantSplit/>
        </w:trPr>
        <w:tc>
          <w:tcPr>
            <w:tcW w:type="dxa" w:w="907"/>
            <w:vAlign w:val="top"/>
            <w:shd w:val="clear" w:color="auto" w:fill="FDF0F7"/>
          </w:tcPr>
          <w:p>
            <w:pPr>
              <w:spacing w:after="20" w:line="252" w:lineRule="auto"/>
            </w:pPr>
            <w:r>
              <w:rPr>
                <w:b/>
                <w:i w:val="0"/>
                <w:sz w:val="15"/>
              </w:rPr>
              <w:t>INT-02</w:t>
            </w:r>
          </w:p>
        </w:tc>
        <w:tc>
          <w:tcPr>
            <w:tcW w:type="dxa" w:w="2721"/>
            <w:vAlign w:val="top"/>
            <w:shd w:val="clear" w:color="auto" w:fill="FDF0F7"/>
          </w:tcPr>
          <w:p>
            <w:pPr>
              <w:spacing w:after="20" w:line="252" w:lineRule="auto"/>
            </w:pPr>
            <w:r>
              <w:rPr>
                <w:b w:val="0"/>
                <w:i w:val="0"/>
                <w:sz w:val="15"/>
              </w:rPr>
              <w:t>Agent/banca master data synchronisation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Integration with IIFT systems</w:t>
            </w:r>
          </w:p>
        </w:tc>
        <w:tc>
          <w:tcPr>
            <w:tcW w:type="dxa" w:w="6463"/>
            <w:vAlign w:val="top"/>
            <w:shd w:val="clear" w:color="auto" w:fill="FDF0F7"/>
          </w:tcPr>
          <w:p>
            <w:pPr>
              <w:spacing w:after="20" w:line="252" w:lineRule="auto"/>
            </w:pPr>
            <w:r>
              <w:rPr>
                <w:b w:val="0"/>
                <w:i w:val="0"/>
                <w:sz w:val="15"/>
              </w:rPr>
              <w:t>Scheduled and event-driven synchronisation of agent, agency, bank and status data.</w:t>
            </w:r>
          </w:p>
        </w:tc>
      </w:tr>
      <w:tr>
        <w:trPr>
          <w:cantSplit/>
        </w:trPr>
        <w:tc>
          <w:tcPr>
            <w:tcW w:type="dxa" w:w="907"/>
            <w:vAlign w:val="top"/>
          </w:tcPr>
          <w:p>
            <w:pPr>
              <w:spacing w:after="20" w:line="252" w:lineRule="auto"/>
            </w:pPr>
            <w:r>
              <w:rPr>
                <w:b/>
                <w:i w:val="0"/>
                <w:sz w:val="15"/>
              </w:rPr>
              <w:t>INT-03</w:t>
            </w:r>
          </w:p>
        </w:tc>
        <w:tc>
          <w:tcPr>
            <w:tcW w:type="dxa" w:w="2721"/>
            <w:vAlign w:val="top"/>
          </w:tcPr>
          <w:p>
            <w:pPr>
              <w:spacing w:after="20" w:line="252" w:lineRule="auto"/>
            </w:pPr>
            <w:r>
              <w:rPr>
                <w:b w:val="0"/>
                <w:i w:val="0"/>
                <w:sz w:val="15"/>
              </w:rPr>
              <w:t>Agent information exchange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Agent-related events exchanged between portal, back-office and core via outbox.</w:t>
            </w:r>
          </w:p>
        </w:tc>
      </w:tr>
      <w:tr>
        <w:trPr>
          <w:cantSplit/>
        </w:trPr>
        <w:tc>
          <w:tcPr>
            <w:tcW w:type="dxa" w:w="907"/>
            <w:vAlign w:val="top"/>
            <w:shd w:val="clear" w:color="auto" w:fill="FDF0F7"/>
          </w:tcPr>
          <w:p>
            <w:pPr>
              <w:spacing w:after="20" w:line="252" w:lineRule="auto"/>
            </w:pPr>
            <w:r>
              <w:rPr>
                <w:b/>
                <w:i w:val="0"/>
                <w:sz w:val="15"/>
              </w:rPr>
              <w:t>INT-04</w:t>
            </w:r>
          </w:p>
        </w:tc>
        <w:tc>
          <w:tcPr>
            <w:tcW w:type="dxa" w:w="2721"/>
            <w:vAlign w:val="top"/>
            <w:shd w:val="clear" w:color="auto" w:fill="FDF0F7"/>
          </w:tcPr>
          <w:p>
            <w:pPr>
              <w:spacing w:after="20" w:line="252" w:lineRule="auto"/>
            </w:pPr>
            <w:r>
              <w:rPr>
                <w:b w:val="0"/>
                <w:i w:val="0"/>
                <w:sz w:val="15"/>
              </w:rPr>
              <w:t>Financial system integration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Integration with IIFT systems</w:t>
            </w:r>
          </w:p>
        </w:tc>
        <w:tc>
          <w:tcPr>
            <w:tcW w:type="dxa" w:w="6463"/>
            <w:vAlign w:val="top"/>
            <w:shd w:val="clear" w:color="auto" w:fill="FDF0F7"/>
          </w:tcPr>
          <w:p>
            <w:pPr>
              <w:spacing w:after="20" w:line="252" w:lineRule="auto"/>
            </w:pPr>
            <w:r>
              <w:rPr>
                <w:b w:val="0"/>
                <w:i w:val="0"/>
                <w:sz w:val="15"/>
              </w:rPr>
              <w:t>EOD postings, receipts and commission data exchanged with FIN.</w:t>
            </w:r>
          </w:p>
        </w:tc>
      </w:tr>
      <w:tr>
        <w:trPr>
          <w:cantSplit/>
        </w:trPr>
        <w:tc>
          <w:tcPr>
            <w:tcW w:type="dxa" w:w="907"/>
            <w:vAlign w:val="top"/>
          </w:tcPr>
          <w:p>
            <w:pPr>
              <w:spacing w:after="20" w:line="252" w:lineRule="auto"/>
            </w:pPr>
            <w:r>
              <w:rPr>
                <w:b/>
                <w:i w:val="0"/>
                <w:sz w:val="15"/>
              </w:rPr>
              <w:t>INT-05</w:t>
            </w:r>
          </w:p>
        </w:tc>
        <w:tc>
          <w:tcPr>
            <w:tcW w:type="dxa" w:w="2721"/>
            <w:vAlign w:val="top"/>
          </w:tcPr>
          <w:p>
            <w:pPr>
              <w:spacing w:after="20" w:line="252" w:lineRule="auto"/>
            </w:pPr>
            <w:r>
              <w:rPr>
                <w:b w:val="0"/>
                <w:i w:val="0"/>
                <w:sz w:val="15"/>
              </w:rPr>
              <w:t>Commission / referral fee information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custom</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Commission/referral statements retrieved from FIN and shown to authorised agents.</w:t>
            </w:r>
          </w:p>
        </w:tc>
      </w:tr>
      <w:tr>
        <w:trPr>
          <w:cantSplit/>
        </w:trPr>
        <w:tc>
          <w:tcPr>
            <w:tcW w:type="dxa" w:w="907"/>
            <w:vAlign w:val="top"/>
            <w:shd w:val="clear" w:color="auto" w:fill="FDF0F7"/>
          </w:tcPr>
          <w:p>
            <w:pPr>
              <w:spacing w:after="20" w:line="252" w:lineRule="auto"/>
            </w:pPr>
            <w:r>
              <w:rPr>
                <w:b/>
                <w:i w:val="0"/>
                <w:sz w:val="15"/>
              </w:rPr>
              <w:t>INT-06</w:t>
            </w:r>
          </w:p>
        </w:tc>
        <w:tc>
          <w:tcPr>
            <w:tcW w:type="dxa" w:w="2721"/>
            <w:vAlign w:val="top"/>
            <w:shd w:val="clear" w:color="auto" w:fill="FDF0F7"/>
          </w:tcPr>
          <w:p>
            <w:pPr>
              <w:spacing w:after="20" w:line="252" w:lineRule="auto"/>
            </w:pPr>
            <w:r>
              <w:rPr>
                <w:b w:val="0"/>
                <w:i w:val="0"/>
                <w:sz w:val="15"/>
              </w:rPr>
              <w:t>Enterprise authentication</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Integration with IIFT systems</w:t>
            </w:r>
          </w:p>
        </w:tc>
        <w:tc>
          <w:tcPr>
            <w:tcW w:type="dxa" w:w="6463"/>
            <w:vAlign w:val="top"/>
            <w:shd w:val="clear" w:color="auto" w:fill="FDF0F7"/>
          </w:tcPr>
          <w:p>
            <w:pPr>
              <w:spacing w:after="20" w:line="252" w:lineRule="auto"/>
            </w:pPr>
            <w:r>
              <w:rPr>
                <w:b w:val="0"/>
                <w:i w:val="0"/>
                <w:sz w:val="15"/>
              </w:rPr>
              <w:t>LDAP/Active Directory SSO for back-office; SAML/OIDC possible if IITH IdP exists.</w:t>
            </w:r>
          </w:p>
        </w:tc>
      </w:tr>
      <w:tr>
        <w:trPr>
          <w:cantSplit/>
        </w:trPr>
        <w:tc>
          <w:tcPr>
            <w:tcW w:type="dxa" w:w="907"/>
            <w:vAlign w:val="top"/>
          </w:tcPr>
          <w:p>
            <w:pPr>
              <w:spacing w:after="20" w:line="252" w:lineRule="auto"/>
            </w:pPr>
            <w:r>
              <w:rPr>
                <w:b/>
                <w:i w:val="0"/>
                <w:sz w:val="15"/>
              </w:rPr>
              <w:t>INT-07</w:t>
            </w:r>
          </w:p>
        </w:tc>
        <w:tc>
          <w:tcPr>
            <w:tcW w:type="dxa" w:w="2721"/>
            <w:vAlign w:val="top"/>
          </w:tcPr>
          <w:p>
            <w:pPr>
              <w:spacing w:after="20" w:line="252" w:lineRule="auto"/>
            </w:pPr>
            <w:r>
              <w:rPr>
                <w:b w:val="0"/>
                <w:i w:val="0"/>
                <w:sz w:val="15"/>
              </w:rPr>
              <w:t>Email integration</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SMTP relay integration with TLS; templates configurable.</w:t>
            </w:r>
          </w:p>
        </w:tc>
      </w:tr>
      <w:tr>
        <w:trPr>
          <w:cantSplit/>
        </w:trPr>
        <w:tc>
          <w:tcPr>
            <w:tcW w:type="dxa" w:w="907"/>
            <w:vAlign w:val="top"/>
            <w:shd w:val="clear" w:color="auto" w:fill="FDF0F7"/>
          </w:tcPr>
          <w:p>
            <w:pPr>
              <w:spacing w:after="20" w:line="252" w:lineRule="auto"/>
            </w:pPr>
            <w:r>
              <w:rPr>
                <w:b/>
                <w:i w:val="0"/>
                <w:sz w:val="15"/>
              </w:rPr>
              <w:t>INT-08</w:t>
            </w:r>
          </w:p>
        </w:tc>
        <w:tc>
          <w:tcPr>
            <w:tcW w:type="dxa" w:w="2721"/>
            <w:vAlign w:val="top"/>
            <w:shd w:val="clear" w:color="auto" w:fill="FDF0F7"/>
          </w:tcPr>
          <w:p>
            <w:pPr>
              <w:spacing w:after="20" w:line="252" w:lineRule="auto"/>
            </w:pPr>
            <w:r>
              <w:rPr>
                <w:b w:val="0"/>
                <w:i w:val="0"/>
                <w:sz w:val="15"/>
              </w:rPr>
              <w:t>SMS integration</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Compliant – custom</w:t>
            </w:r>
          </w:p>
        </w:tc>
        <w:tc>
          <w:tcPr>
            <w:tcW w:type="dxa" w:w="1928"/>
            <w:vAlign w:val="top"/>
            <w:shd w:val="clear" w:color="auto" w:fill="FDF0F7"/>
          </w:tcPr>
          <w:p>
            <w:pPr>
              <w:spacing w:after="20" w:line="252" w:lineRule="auto"/>
            </w:pPr>
            <w:r>
              <w:rPr>
                <w:b w:val="0"/>
                <w:i w:val="0"/>
                <w:sz w:val="15"/>
              </w:rPr>
              <w:t>Integration with IIFT systems</w:t>
            </w:r>
          </w:p>
        </w:tc>
        <w:tc>
          <w:tcPr>
            <w:tcW w:type="dxa" w:w="6463"/>
            <w:vAlign w:val="top"/>
            <w:shd w:val="clear" w:color="auto" w:fill="FDF0F7"/>
          </w:tcPr>
          <w:p>
            <w:pPr>
              <w:spacing w:after="20" w:line="252" w:lineRule="auto"/>
            </w:pPr>
            <w:r>
              <w:rPr>
                <w:b w:val="0"/>
                <w:i w:val="0"/>
                <w:sz w:val="15"/>
              </w:rPr>
              <w:t>SMS gateway adapter for OTP and alerts via IIFT-approved provider.</w:t>
            </w:r>
          </w:p>
        </w:tc>
      </w:tr>
      <w:tr>
        <w:trPr>
          <w:cantSplit/>
        </w:trPr>
        <w:tc>
          <w:tcPr>
            <w:tcW w:type="dxa" w:w="907"/>
            <w:vAlign w:val="top"/>
          </w:tcPr>
          <w:p>
            <w:pPr>
              <w:spacing w:after="20" w:line="252" w:lineRule="auto"/>
            </w:pPr>
            <w:r>
              <w:rPr>
                <w:b/>
                <w:i w:val="0"/>
                <w:sz w:val="15"/>
              </w:rPr>
              <w:t>INT-09</w:t>
            </w:r>
          </w:p>
        </w:tc>
        <w:tc>
          <w:tcPr>
            <w:tcW w:type="dxa" w:w="2721"/>
            <w:vAlign w:val="top"/>
          </w:tcPr>
          <w:p>
            <w:pPr>
              <w:spacing w:after="20" w:line="252" w:lineRule="auto"/>
            </w:pPr>
            <w:r>
              <w:rPr>
                <w:b w:val="0"/>
                <w:i w:val="0"/>
                <w:sz w:val="15"/>
              </w:rPr>
              <w:t>API gateway / API services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Versioned REST APIs (OpenAPI 3) exposed and consumed through the integration layer.</w:t>
            </w:r>
          </w:p>
        </w:tc>
      </w:tr>
      <w:tr>
        <w:trPr>
          <w:cantSplit/>
        </w:trPr>
        <w:tc>
          <w:tcPr>
            <w:tcW w:type="dxa" w:w="907"/>
            <w:vAlign w:val="top"/>
            <w:shd w:val="clear" w:color="auto" w:fill="FDF0F7"/>
          </w:tcPr>
          <w:p>
            <w:pPr>
              <w:spacing w:after="20" w:line="252" w:lineRule="auto"/>
            </w:pPr>
            <w:r>
              <w:rPr>
                <w:b/>
                <w:i w:val="0"/>
                <w:sz w:val="15"/>
              </w:rPr>
              <w:t>INT-10</w:t>
            </w:r>
          </w:p>
        </w:tc>
        <w:tc>
          <w:tcPr>
            <w:tcW w:type="dxa" w:w="2721"/>
            <w:vAlign w:val="top"/>
            <w:shd w:val="clear" w:color="auto" w:fill="FDF0F7"/>
          </w:tcPr>
          <w:p>
            <w:pPr>
              <w:spacing w:after="20" w:line="252" w:lineRule="auto"/>
            </w:pPr>
            <w:r>
              <w:rPr>
                <w:b w:val="0"/>
                <w:i w:val="0"/>
                <w:sz w:val="15"/>
              </w:rPr>
              <w:t>API security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Mutual TLS or API keys/OAuth2 client credentials, RBAC, input validation, rate limiting.</w:t>
            </w:r>
          </w:p>
        </w:tc>
      </w:tr>
      <w:tr>
        <w:trPr>
          <w:cantSplit/>
        </w:trPr>
        <w:tc>
          <w:tcPr>
            <w:tcW w:type="dxa" w:w="907"/>
            <w:vAlign w:val="top"/>
          </w:tcPr>
          <w:p>
            <w:pPr>
              <w:spacing w:after="20" w:line="252" w:lineRule="auto"/>
            </w:pPr>
            <w:r>
              <w:rPr>
                <w:b/>
                <w:i w:val="0"/>
                <w:sz w:val="15"/>
              </w:rPr>
              <w:t>INT-11</w:t>
            </w:r>
          </w:p>
        </w:tc>
        <w:tc>
          <w:tcPr>
            <w:tcW w:type="dxa" w:w="2721"/>
            <w:vAlign w:val="top"/>
          </w:tcPr>
          <w:p>
            <w:pPr>
              <w:spacing w:after="20" w:line="252" w:lineRule="auto"/>
            </w:pPr>
            <w:r>
              <w:rPr>
                <w:b w:val="0"/>
                <w:i w:val="0"/>
                <w:sz w:val="15"/>
              </w:rPr>
              <w:t>API monitoring</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Integration monitor with availability, volumes, failures and response times; metrics endpoint.</w:t>
            </w:r>
          </w:p>
        </w:tc>
      </w:tr>
      <w:tr>
        <w:trPr>
          <w:cantSplit/>
        </w:trPr>
        <w:tc>
          <w:tcPr>
            <w:tcW w:type="dxa" w:w="907"/>
            <w:vAlign w:val="top"/>
            <w:shd w:val="clear" w:color="auto" w:fill="FDF0F7"/>
          </w:tcPr>
          <w:p>
            <w:pPr>
              <w:spacing w:after="20" w:line="252" w:lineRule="auto"/>
            </w:pPr>
            <w:r>
              <w:rPr>
                <w:b/>
                <w:i w:val="0"/>
                <w:sz w:val="15"/>
              </w:rPr>
              <w:t>INT-12</w:t>
            </w:r>
          </w:p>
        </w:tc>
        <w:tc>
          <w:tcPr>
            <w:tcW w:type="dxa" w:w="2721"/>
            <w:vAlign w:val="top"/>
            <w:shd w:val="clear" w:color="auto" w:fill="FDF0F7"/>
          </w:tcPr>
          <w:p>
            <w:pPr>
              <w:spacing w:after="20" w:line="252" w:lineRule="auto"/>
            </w:pPr>
            <w:r>
              <w:rPr>
                <w:b w:val="0"/>
                <w:i w:val="0"/>
                <w:sz w:val="15"/>
              </w:rPr>
              <w:t>Data validation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Schema validation of inbound and outbound payloads; rejects logged with reason.</w:t>
            </w:r>
          </w:p>
        </w:tc>
      </w:tr>
      <w:tr>
        <w:trPr>
          <w:cantSplit/>
        </w:trPr>
        <w:tc>
          <w:tcPr>
            <w:tcW w:type="dxa" w:w="907"/>
            <w:vAlign w:val="top"/>
          </w:tcPr>
          <w:p>
            <w:pPr>
              <w:spacing w:after="20" w:line="252" w:lineRule="auto"/>
            </w:pPr>
            <w:r>
              <w:rPr>
                <w:b/>
                <w:i w:val="0"/>
                <w:sz w:val="15"/>
              </w:rPr>
              <w:t>INT-13</w:t>
            </w:r>
          </w:p>
        </w:tc>
        <w:tc>
          <w:tcPr>
            <w:tcW w:type="dxa" w:w="2721"/>
            <w:vAlign w:val="top"/>
          </w:tcPr>
          <w:p>
            <w:pPr>
              <w:spacing w:after="20" w:line="252" w:lineRule="auto"/>
            </w:pPr>
            <w:r>
              <w:rPr>
                <w:b w:val="0"/>
                <w:i w:val="0"/>
                <w:sz w:val="15"/>
              </w:rPr>
              <w:t>Error handling &amp; retry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Transactional outbox, exponential back-off retry, dead-letter and alerting.</w:t>
            </w:r>
          </w:p>
        </w:tc>
      </w:tr>
      <w:tr>
        <w:trPr>
          <w:cantSplit/>
        </w:trPr>
        <w:tc>
          <w:tcPr>
            <w:tcW w:type="dxa" w:w="907"/>
            <w:vAlign w:val="top"/>
            <w:shd w:val="clear" w:color="auto" w:fill="FDF0F7"/>
          </w:tcPr>
          <w:p>
            <w:pPr>
              <w:spacing w:after="20" w:line="252" w:lineRule="auto"/>
            </w:pPr>
            <w:r>
              <w:rPr>
                <w:b/>
                <w:i w:val="0"/>
                <w:sz w:val="15"/>
              </w:rPr>
              <w:t>INT-14</w:t>
            </w:r>
          </w:p>
        </w:tc>
        <w:tc>
          <w:tcPr>
            <w:tcW w:type="dxa" w:w="2721"/>
            <w:vAlign w:val="top"/>
            <w:shd w:val="clear" w:color="auto" w:fill="FDF0F7"/>
          </w:tcPr>
          <w:p>
            <w:pPr>
              <w:spacing w:after="20" w:line="252" w:lineRule="auto"/>
            </w:pPr>
            <w:r>
              <w:rPr>
                <w:b w:val="0"/>
                <w:i w:val="0"/>
                <w:sz w:val="15"/>
              </w:rPr>
              <w:t>Integration logging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Every attempt logged with correlation id, status, duration and payload hash.</w:t>
            </w:r>
          </w:p>
        </w:tc>
      </w:tr>
      <w:tr>
        <w:trPr>
          <w:cantSplit/>
        </w:trPr>
        <w:tc>
          <w:tcPr>
            <w:tcW w:type="dxa" w:w="907"/>
            <w:vAlign w:val="top"/>
          </w:tcPr>
          <w:p>
            <w:pPr>
              <w:spacing w:after="20" w:line="252" w:lineRule="auto"/>
            </w:pPr>
            <w:r>
              <w:rPr>
                <w:b/>
                <w:i w:val="0"/>
                <w:sz w:val="15"/>
              </w:rPr>
              <w:t>INT-15</w:t>
            </w:r>
          </w:p>
        </w:tc>
        <w:tc>
          <w:tcPr>
            <w:tcW w:type="dxa" w:w="2721"/>
            <w:vAlign w:val="top"/>
          </w:tcPr>
          <w:p>
            <w:pPr>
              <w:spacing w:after="20" w:line="252" w:lineRule="auto"/>
            </w:pPr>
            <w:r>
              <w:rPr>
                <w:b w:val="0"/>
                <w:i w:val="0"/>
                <w:sz w:val="15"/>
              </w:rPr>
              <w:t>Data reconciliation</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Integration with IIFT systems</w:t>
            </w:r>
          </w:p>
        </w:tc>
        <w:tc>
          <w:tcPr>
            <w:tcW w:type="dxa" w:w="6463"/>
            <w:vAlign w:val="top"/>
          </w:tcPr>
          <w:p>
            <w:pPr>
              <w:spacing w:after="20" w:line="252" w:lineRule="auto"/>
            </w:pPr>
            <w:r>
              <w:rPr>
                <w:b w:val="0"/>
                <w:i w:val="0"/>
                <w:sz w:val="15"/>
              </w:rPr>
              <w:t>Receipt reconciliation in the working application; BRR and Core reconciliation added during implementation.</w:t>
            </w:r>
          </w:p>
        </w:tc>
      </w:tr>
      <w:tr>
        <w:trPr>
          <w:cantSplit/>
        </w:trPr>
        <w:tc>
          <w:tcPr>
            <w:tcW w:type="dxa" w:w="6463"/>
            <w:gridSpan w:val="6"/>
            <w:shd w:val="clear" w:color="auto" w:fill="FEEBDD"/>
          </w:tcPr>
          <w:p>
            <w:pPr>
              <w:spacing w:after="0"/>
            </w:pPr>
            <w:r>
              <w:rPr>
                <w:b/>
                <w:i w:val="0"/>
                <w:color w:val="333333"/>
                <w:sz w:val="15"/>
              </w:rPr>
              <w:t>RFP 4.4 – Shared / common platform requirements</w:t>
            </w:r>
          </w:p>
        </w:tc>
      </w:tr>
      <w:tr>
        <w:trPr>
          <w:cantSplit/>
        </w:trPr>
        <w:tc>
          <w:tcPr>
            <w:tcW w:type="dxa" w:w="907"/>
            <w:vAlign w:val="top"/>
          </w:tcPr>
          <w:p>
            <w:pPr>
              <w:spacing w:after="20" w:line="252" w:lineRule="auto"/>
            </w:pPr>
            <w:r>
              <w:rPr>
                <w:b/>
                <w:i w:val="0"/>
                <w:sz w:val="15"/>
              </w:rPr>
              <w:t>COM-01</w:t>
            </w:r>
          </w:p>
        </w:tc>
        <w:tc>
          <w:tcPr>
            <w:tcW w:type="dxa" w:w="2721"/>
            <w:vAlign w:val="top"/>
          </w:tcPr>
          <w:p>
            <w:pPr>
              <w:spacing w:after="20" w:line="252" w:lineRule="auto"/>
            </w:pPr>
            <w:r>
              <w:rPr>
                <w:b w:val="0"/>
                <w:i w:val="0"/>
                <w:sz w:val="15"/>
              </w:rPr>
              <w:t>Sensitive data protection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TLS 1.2+, AES-256-GCM field encryption for IC/passport, masking, encrypted storage.</w:t>
            </w:r>
          </w:p>
        </w:tc>
      </w:tr>
      <w:tr>
        <w:trPr>
          <w:cantSplit/>
        </w:trPr>
        <w:tc>
          <w:tcPr>
            <w:tcW w:type="dxa" w:w="907"/>
            <w:vAlign w:val="top"/>
            <w:shd w:val="clear" w:color="auto" w:fill="FDF0F7"/>
          </w:tcPr>
          <w:p>
            <w:pPr>
              <w:spacing w:after="20" w:line="252" w:lineRule="auto"/>
            </w:pPr>
            <w:r>
              <w:rPr>
                <w:b/>
                <w:i w:val="0"/>
                <w:sz w:val="15"/>
              </w:rPr>
              <w:t>COM-02</w:t>
            </w:r>
          </w:p>
        </w:tc>
        <w:tc>
          <w:tcPr>
            <w:tcW w:type="dxa" w:w="2721"/>
            <w:vAlign w:val="top"/>
            <w:shd w:val="clear" w:color="auto" w:fill="FDF0F7"/>
          </w:tcPr>
          <w:p>
            <w:pPr>
              <w:spacing w:after="20" w:line="252" w:lineRule="auto"/>
            </w:pPr>
            <w:r>
              <w:rPr>
                <w:b w:val="0"/>
                <w:i w:val="0"/>
                <w:sz w:val="15"/>
              </w:rPr>
              <w:t>Access control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Least-privilege RBAC with data scoping by agency/bank/hierarchy.</w:t>
            </w:r>
          </w:p>
        </w:tc>
      </w:tr>
      <w:tr>
        <w:trPr>
          <w:cantSplit/>
        </w:trPr>
        <w:tc>
          <w:tcPr>
            <w:tcW w:type="dxa" w:w="907"/>
            <w:vAlign w:val="top"/>
          </w:tcPr>
          <w:p>
            <w:pPr>
              <w:spacing w:after="20" w:line="252" w:lineRule="auto"/>
            </w:pPr>
            <w:r>
              <w:rPr>
                <w:b/>
                <w:i w:val="0"/>
                <w:sz w:val="15"/>
              </w:rPr>
              <w:t>COM-03</w:t>
            </w:r>
          </w:p>
        </w:tc>
        <w:tc>
          <w:tcPr>
            <w:tcW w:type="dxa" w:w="2721"/>
            <w:vAlign w:val="top"/>
          </w:tcPr>
          <w:p>
            <w:pPr>
              <w:spacing w:after="20" w:line="252" w:lineRule="auto"/>
            </w:pPr>
            <w:r>
              <w:rPr>
                <w:b w:val="0"/>
                <w:i w:val="0"/>
                <w:sz w:val="15"/>
              </w:rPr>
              <w:t>Comprehensive audit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Common append-only audit service used by all modules.</w:t>
            </w:r>
          </w:p>
        </w:tc>
      </w:tr>
      <w:tr>
        <w:trPr>
          <w:cantSplit/>
        </w:trPr>
        <w:tc>
          <w:tcPr>
            <w:tcW w:type="dxa" w:w="907"/>
            <w:vAlign w:val="top"/>
            <w:shd w:val="clear" w:color="auto" w:fill="FDF0F7"/>
          </w:tcPr>
          <w:p>
            <w:pPr>
              <w:spacing w:after="20" w:line="252" w:lineRule="auto"/>
            </w:pPr>
            <w:r>
              <w:rPr>
                <w:b/>
                <w:i w:val="0"/>
                <w:sz w:val="15"/>
              </w:rPr>
              <w:t>COM-04</w:t>
            </w:r>
          </w:p>
        </w:tc>
        <w:tc>
          <w:tcPr>
            <w:tcW w:type="dxa" w:w="2721"/>
            <w:vAlign w:val="top"/>
            <w:shd w:val="clear" w:color="auto" w:fill="FDF0F7"/>
          </w:tcPr>
          <w:p>
            <w:pPr>
              <w:spacing w:after="20" w:line="252" w:lineRule="auto"/>
            </w:pPr>
            <w:r>
              <w:rPr>
                <w:b w:val="0"/>
                <w:i w:val="0"/>
                <w:sz w:val="15"/>
              </w:rPr>
              <w:t>Configurable workflow</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Compliant – configuration</w:t>
            </w:r>
          </w:p>
        </w:tc>
        <w:tc>
          <w:tcPr>
            <w:tcW w:type="dxa" w:w="1928"/>
            <w:vAlign w:val="top"/>
            <w:shd w:val="clear" w:color="auto" w:fill="FDF0F7"/>
          </w:tcPr>
          <w:p>
            <w:pPr>
              <w:spacing w:after="20" w:line="252" w:lineRule="auto"/>
            </w:pPr>
            <w:r>
              <w:rPr>
                <w:b w:val="0"/>
                <w:i w:val="0"/>
                <w:sz w:val="15"/>
              </w:rPr>
              <w:t>Configuration</w:t>
            </w:r>
          </w:p>
        </w:tc>
        <w:tc>
          <w:tcPr>
            <w:tcW w:type="dxa" w:w="6463"/>
            <w:vAlign w:val="top"/>
            <w:shd w:val="clear" w:color="auto" w:fill="FDF0F7"/>
          </w:tcPr>
          <w:p>
            <w:pPr>
              <w:spacing w:after="20" w:line="252" w:lineRule="auto"/>
            </w:pPr>
            <w:r>
              <w:rPr>
                <w:b w:val="0"/>
                <w:i w:val="0"/>
                <w:sz w:val="15"/>
              </w:rPr>
              <w:t>Workflow definitions by transaction type, role, level and business rule.</w:t>
            </w:r>
          </w:p>
        </w:tc>
      </w:tr>
      <w:tr>
        <w:trPr>
          <w:cantSplit/>
        </w:trPr>
        <w:tc>
          <w:tcPr>
            <w:tcW w:type="dxa" w:w="907"/>
            <w:vAlign w:val="top"/>
          </w:tcPr>
          <w:p>
            <w:pPr>
              <w:spacing w:after="20" w:line="252" w:lineRule="auto"/>
            </w:pPr>
            <w:r>
              <w:rPr>
                <w:b/>
                <w:i w:val="0"/>
                <w:sz w:val="15"/>
              </w:rPr>
              <w:t>COM-05</w:t>
            </w:r>
          </w:p>
        </w:tc>
        <w:tc>
          <w:tcPr>
            <w:tcW w:type="dxa" w:w="2721"/>
            <w:vAlign w:val="top"/>
          </w:tcPr>
          <w:p>
            <w:pPr>
              <w:spacing w:after="20" w:line="252" w:lineRule="auto"/>
            </w:pPr>
            <w:r>
              <w:rPr>
                <w:b w:val="0"/>
                <w:i w:val="0"/>
                <w:sz w:val="15"/>
              </w:rPr>
              <w:t>Notification framework</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Common notification service for email, SMS and in-portal channels with templates.</w:t>
            </w:r>
          </w:p>
        </w:tc>
      </w:tr>
      <w:tr>
        <w:trPr>
          <w:cantSplit/>
        </w:trPr>
        <w:tc>
          <w:tcPr>
            <w:tcW w:type="dxa" w:w="907"/>
            <w:vAlign w:val="top"/>
            <w:shd w:val="clear" w:color="auto" w:fill="FDF0F7"/>
          </w:tcPr>
          <w:p>
            <w:pPr>
              <w:spacing w:after="20" w:line="252" w:lineRule="auto"/>
            </w:pPr>
            <w:r>
              <w:rPr>
                <w:b/>
                <w:i w:val="0"/>
                <w:sz w:val="15"/>
              </w:rPr>
              <w:t>COM-06</w:t>
            </w:r>
          </w:p>
        </w:tc>
        <w:tc>
          <w:tcPr>
            <w:tcW w:type="dxa" w:w="2721"/>
            <w:vAlign w:val="top"/>
            <w:shd w:val="clear" w:color="auto" w:fill="FDF0F7"/>
          </w:tcPr>
          <w:p>
            <w:pPr>
              <w:spacing w:after="20" w:line="252" w:lineRule="auto"/>
            </w:pPr>
            <w:r>
              <w:rPr>
                <w:b w:val="0"/>
                <w:i w:val="0"/>
                <w:sz w:val="15"/>
              </w:rPr>
              <w:t>Document repository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Encrypted document store with metadata, versioning, checksum and access control.</w:t>
            </w:r>
          </w:p>
        </w:tc>
      </w:tr>
      <w:tr>
        <w:trPr>
          <w:cantSplit/>
        </w:trPr>
        <w:tc>
          <w:tcPr>
            <w:tcW w:type="dxa" w:w="907"/>
            <w:vAlign w:val="top"/>
          </w:tcPr>
          <w:p>
            <w:pPr>
              <w:spacing w:after="20" w:line="252" w:lineRule="auto"/>
            </w:pPr>
            <w:r>
              <w:rPr>
                <w:b/>
                <w:i w:val="0"/>
                <w:sz w:val="15"/>
              </w:rPr>
              <w:t>COM-07</w:t>
            </w:r>
          </w:p>
        </w:tc>
        <w:tc>
          <w:tcPr>
            <w:tcW w:type="dxa" w:w="2721"/>
            <w:vAlign w:val="top"/>
          </w:tcPr>
          <w:p>
            <w:pPr>
              <w:spacing w:after="20" w:line="252" w:lineRule="auto"/>
            </w:pPr>
            <w:r>
              <w:rPr>
                <w:b w:val="0"/>
                <w:i w:val="0"/>
                <w:sz w:val="15"/>
              </w:rPr>
              <w:t>Global search</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Global search across participants, policies, agents and requests for authorised users.</w:t>
            </w:r>
          </w:p>
        </w:tc>
      </w:tr>
      <w:tr>
        <w:trPr>
          <w:cantSplit/>
        </w:trPr>
        <w:tc>
          <w:tcPr>
            <w:tcW w:type="dxa" w:w="907"/>
            <w:vAlign w:val="top"/>
            <w:shd w:val="clear" w:color="auto" w:fill="FDF0F7"/>
          </w:tcPr>
          <w:p>
            <w:pPr>
              <w:spacing w:after="20" w:line="252" w:lineRule="auto"/>
            </w:pPr>
            <w:r>
              <w:rPr>
                <w:b/>
                <w:i w:val="0"/>
                <w:sz w:val="15"/>
              </w:rPr>
              <w:t>COM-08</w:t>
            </w:r>
          </w:p>
        </w:tc>
        <w:tc>
          <w:tcPr>
            <w:tcW w:type="dxa" w:w="2721"/>
            <w:vAlign w:val="top"/>
            <w:shd w:val="clear" w:color="auto" w:fill="FDF0F7"/>
          </w:tcPr>
          <w:p>
            <w:pPr>
              <w:spacing w:after="20" w:line="252" w:lineRule="auto"/>
            </w:pPr>
            <w:r>
              <w:rPr>
                <w:b w:val="0"/>
                <w:i w:val="0"/>
                <w:sz w:val="15"/>
              </w:rPr>
              <w:t>Reporting framework</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Common report engine with filters, scheduling and Excel/CSV/PDF export.</w:t>
            </w:r>
          </w:p>
        </w:tc>
      </w:tr>
      <w:tr>
        <w:trPr>
          <w:cantSplit/>
        </w:trPr>
        <w:tc>
          <w:tcPr>
            <w:tcW w:type="dxa" w:w="907"/>
            <w:vAlign w:val="top"/>
          </w:tcPr>
          <w:p>
            <w:pPr>
              <w:spacing w:after="20" w:line="252" w:lineRule="auto"/>
            </w:pPr>
            <w:r>
              <w:rPr>
                <w:b/>
                <w:i w:val="0"/>
                <w:sz w:val="15"/>
              </w:rPr>
              <w:t>COM-09</w:t>
            </w:r>
          </w:p>
        </w:tc>
        <w:tc>
          <w:tcPr>
            <w:tcW w:type="dxa" w:w="2721"/>
            <w:vAlign w:val="top"/>
          </w:tcPr>
          <w:p>
            <w:pPr>
              <w:spacing w:after="20" w:line="252" w:lineRule="auto"/>
            </w:pPr>
            <w:r>
              <w:rPr>
                <w:b w:val="0"/>
                <w:i w:val="0"/>
                <w:sz w:val="15"/>
              </w:rPr>
              <w:t>Parameter management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System parameters and master data maintained in the back-office without code change.</w:t>
            </w:r>
          </w:p>
        </w:tc>
      </w:tr>
      <w:tr>
        <w:trPr>
          <w:cantSplit/>
        </w:trPr>
        <w:tc>
          <w:tcPr>
            <w:tcW w:type="dxa" w:w="907"/>
            <w:vAlign w:val="top"/>
            <w:shd w:val="clear" w:color="auto" w:fill="FDF0F7"/>
          </w:tcPr>
          <w:p>
            <w:pPr>
              <w:spacing w:after="20" w:line="252" w:lineRule="auto"/>
            </w:pPr>
            <w:r>
              <w:rPr>
                <w:b/>
                <w:i w:val="0"/>
                <w:sz w:val="15"/>
              </w:rPr>
              <w:t>COM-10</w:t>
            </w:r>
          </w:p>
        </w:tc>
        <w:tc>
          <w:tcPr>
            <w:tcW w:type="dxa" w:w="2721"/>
            <w:vAlign w:val="top"/>
            <w:shd w:val="clear" w:color="auto" w:fill="FDF0F7"/>
          </w:tcPr>
          <w:p>
            <w:pPr>
              <w:spacing w:after="20" w:line="252" w:lineRule="auto"/>
            </w:pPr>
            <w:r>
              <w:rPr>
                <w:b w:val="0"/>
                <w:i w:val="0"/>
                <w:sz w:val="15"/>
              </w:rPr>
              <w:t>Data encryption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Encryption in transit (TLS) and at rest (volume/DB/object storage + field level).</w:t>
            </w:r>
          </w:p>
        </w:tc>
      </w:tr>
      <w:tr>
        <w:trPr>
          <w:cantSplit/>
        </w:trPr>
        <w:tc>
          <w:tcPr>
            <w:tcW w:type="dxa" w:w="6463"/>
            <w:gridSpan w:val="6"/>
            <w:shd w:val="clear" w:color="auto" w:fill="FEEBDD"/>
          </w:tcPr>
          <w:p>
            <w:pPr>
              <w:spacing w:after="0"/>
            </w:pPr>
            <w:r>
              <w:rPr>
                <w:b/>
                <w:i w:val="0"/>
                <w:color w:val="333333"/>
                <w:sz w:val="15"/>
              </w:rPr>
              <w:t>RFP 5 – Non-functional requirements</w:t>
            </w:r>
          </w:p>
        </w:tc>
      </w:tr>
      <w:tr>
        <w:trPr>
          <w:cantSplit/>
        </w:trPr>
        <w:tc>
          <w:tcPr>
            <w:tcW w:type="dxa" w:w="907"/>
            <w:vAlign w:val="top"/>
          </w:tcPr>
          <w:p>
            <w:pPr>
              <w:spacing w:after="20" w:line="252" w:lineRule="auto"/>
            </w:pPr>
            <w:r>
              <w:rPr>
                <w:b/>
                <w:i w:val="0"/>
                <w:sz w:val="15"/>
              </w:rPr>
              <w:t>NFR-01</w:t>
            </w:r>
          </w:p>
        </w:tc>
        <w:tc>
          <w:tcPr>
            <w:tcW w:type="dxa" w:w="2721"/>
            <w:vAlign w:val="top"/>
          </w:tcPr>
          <w:p>
            <w:pPr>
              <w:spacing w:after="20" w:line="252" w:lineRule="auto"/>
            </w:pPr>
            <w:r>
              <w:rPr>
                <w:b w:val="0"/>
                <w:i w:val="0"/>
                <w:sz w:val="15"/>
              </w:rPr>
              <w:t>Response time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Targets: page &lt; 3 s, standard API p95 &lt; 1 s, reports &lt; 10 s for 12 months of data.</w:t>
            </w:r>
          </w:p>
        </w:tc>
      </w:tr>
      <w:tr>
        <w:trPr>
          <w:cantSplit/>
        </w:trPr>
        <w:tc>
          <w:tcPr>
            <w:tcW w:type="dxa" w:w="907"/>
            <w:vAlign w:val="top"/>
            <w:shd w:val="clear" w:color="auto" w:fill="FDF0F7"/>
          </w:tcPr>
          <w:p>
            <w:pPr>
              <w:spacing w:after="20" w:line="252" w:lineRule="auto"/>
            </w:pPr>
            <w:r>
              <w:rPr>
                <w:b/>
                <w:i w:val="0"/>
                <w:sz w:val="15"/>
              </w:rPr>
              <w:t>NFR-02</w:t>
            </w:r>
          </w:p>
        </w:tc>
        <w:tc>
          <w:tcPr>
            <w:tcW w:type="dxa" w:w="2721"/>
            <w:vAlign w:val="top"/>
            <w:shd w:val="clear" w:color="auto" w:fill="FDF0F7"/>
          </w:tcPr>
          <w:p>
            <w:pPr>
              <w:spacing w:after="20" w:line="252" w:lineRule="auto"/>
            </w:pPr>
            <w:r>
              <w:rPr>
                <w:b w:val="0"/>
                <w:i w:val="0"/>
                <w:sz w:val="15"/>
              </w:rPr>
              <w:t>Concurrent users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Sized for 100 concurrent / 500 named users against 26 named users in Appendix 1.</w:t>
            </w:r>
          </w:p>
        </w:tc>
      </w:tr>
      <w:tr>
        <w:trPr>
          <w:cantSplit/>
        </w:trPr>
        <w:tc>
          <w:tcPr>
            <w:tcW w:type="dxa" w:w="907"/>
            <w:vAlign w:val="top"/>
          </w:tcPr>
          <w:p>
            <w:pPr>
              <w:spacing w:after="20" w:line="252" w:lineRule="auto"/>
            </w:pPr>
            <w:r>
              <w:rPr>
                <w:b/>
                <w:i w:val="0"/>
                <w:sz w:val="15"/>
              </w:rPr>
              <w:t>NFR-03</w:t>
            </w:r>
          </w:p>
        </w:tc>
        <w:tc>
          <w:tcPr>
            <w:tcW w:type="dxa" w:w="2721"/>
            <w:vAlign w:val="top"/>
          </w:tcPr>
          <w:p>
            <w:pPr>
              <w:spacing w:after="20" w:line="252" w:lineRule="auto"/>
            </w:pPr>
            <w:r>
              <w:rPr>
                <w:b w:val="0"/>
                <w:i w:val="0"/>
                <w:sz w:val="15"/>
              </w:rPr>
              <w:t>Transaction volume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Sized for &gt; 10x the Appendix 2 five-year projection (~628 policies per year).</w:t>
            </w:r>
          </w:p>
        </w:tc>
      </w:tr>
      <w:tr>
        <w:trPr>
          <w:cantSplit/>
        </w:trPr>
        <w:tc>
          <w:tcPr>
            <w:tcW w:type="dxa" w:w="907"/>
            <w:vAlign w:val="top"/>
            <w:shd w:val="clear" w:color="auto" w:fill="FDF0F7"/>
          </w:tcPr>
          <w:p>
            <w:pPr>
              <w:spacing w:after="20" w:line="252" w:lineRule="auto"/>
            </w:pPr>
            <w:r>
              <w:rPr>
                <w:b/>
                <w:i w:val="0"/>
                <w:sz w:val="15"/>
              </w:rPr>
              <w:t>NFR-04</w:t>
            </w:r>
          </w:p>
        </w:tc>
        <w:tc>
          <w:tcPr>
            <w:tcW w:type="dxa" w:w="2721"/>
            <w:vAlign w:val="top"/>
            <w:shd w:val="clear" w:color="auto" w:fill="FDF0F7"/>
          </w:tcPr>
          <w:p>
            <w:pPr>
              <w:spacing w:after="20" w:line="252" w:lineRule="auto"/>
            </w:pPr>
            <w:r>
              <w:rPr>
                <w:b w:val="0"/>
                <w:i w:val="0"/>
                <w:sz w:val="15"/>
              </w:rPr>
              <w:t>System availability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99.5% overall, 99.9% during IIFT business hours, excluding approved maintenance.</w:t>
            </w:r>
          </w:p>
        </w:tc>
      </w:tr>
      <w:tr>
        <w:trPr>
          <w:cantSplit/>
        </w:trPr>
        <w:tc>
          <w:tcPr>
            <w:tcW w:type="dxa" w:w="907"/>
            <w:vAlign w:val="top"/>
          </w:tcPr>
          <w:p>
            <w:pPr>
              <w:spacing w:after="20" w:line="252" w:lineRule="auto"/>
            </w:pPr>
            <w:r>
              <w:rPr>
                <w:b/>
                <w:i w:val="0"/>
                <w:sz w:val="15"/>
              </w:rPr>
              <w:t>NFR-05</w:t>
            </w:r>
          </w:p>
        </w:tc>
        <w:tc>
          <w:tcPr>
            <w:tcW w:type="dxa" w:w="2721"/>
            <w:vAlign w:val="top"/>
          </w:tcPr>
          <w:p>
            <w:pPr>
              <w:spacing w:after="20" w:line="252" w:lineRule="auto"/>
            </w:pPr>
            <w:r>
              <w:rPr>
                <w:b w:val="0"/>
                <w:i w:val="0"/>
                <w:sz w:val="15"/>
              </w:rPr>
              <w:t>High availability</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Two application nodes, PostgreSQL primary + standby, redundant load balancer.</w:t>
            </w:r>
          </w:p>
        </w:tc>
      </w:tr>
      <w:tr>
        <w:trPr>
          <w:cantSplit/>
        </w:trPr>
        <w:tc>
          <w:tcPr>
            <w:tcW w:type="dxa" w:w="907"/>
            <w:vAlign w:val="top"/>
            <w:shd w:val="clear" w:color="auto" w:fill="FDF0F7"/>
          </w:tcPr>
          <w:p>
            <w:pPr>
              <w:spacing w:after="20" w:line="252" w:lineRule="auto"/>
            </w:pPr>
            <w:r>
              <w:rPr>
                <w:b/>
                <w:i w:val="0"/>
                <w:sz w:val="15"/>
              </w:rPr>
              <w:t>NFR-06</w:t>
            </w:r>
          </w:p>
        </w:tc>
        <w:tc>
          <w:tcPr>
            <w:tcW w:type="dxa" w:w="2721"/>
            <w:vAlign w:val="top"/>
            <w:shd w:val="clear" w:color="auto" w:fill="FDF0F7"/>
          </w:tcPr>
          <w:p>
            <w:pPr>
              <w:spacing w:after="20" w:line="252" w:lineRule="auto"/>
            </w:pPr>
            <w:r>
              <w:rPr>
                <w:b w:val="0"/>
                <w:i w:val="0"/>
                <w:sz w:val="15"/>
              </w:rPr>
              <w:t>User scalability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Stateless API nodes scale horizontally; no per-user licences.</w:t>
            </w:r>
          </w:p>
        </w:tc>
      </w:tr>
      <w:tr>
        <w:trPr>
          <w:cantSplit/>
        </w:trPr>
        <w:tc>
          <w:tcPr>
            <w:tcW w:type="dxa" w:w="907"/>
            <w:vAlign w:val="top"/>
          </w:tcPr>
          <w:p>
            <w:pPr>
              <w:spacing w:after="20" w:line="252" w:lineRule="auto"/>
            </w:pPr>
            <w:r>
              <w:rPr>
                <w:b/>
                <w:i w:val="0"/>
                <w:sz w:val="15"/>
              </w:rPr>
              <w:t>NFR-07</w:t>
            </w:r>
          </w:p>
        </w:tc>
        <w:tc>
          <w:tcPr>
            <w:tcW w:type="dxa" w:w="2721"/>
            <w:vAlign w:val="top"/>
          </w:tcPr>
          <w:p>
            <w:pPr>
              <w:spacing w:after="20" w:line="252" w:lineRule="auto"/>
            </w:pPr>
            <w:r>
              <w:rPr>
                <w:b w:val="0"/>
                <w:i w:val="0"/>
                <w:sz w:val="15"/>
              </w:rPr>
              <w:t>Transaction scalability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Indexed relational model, partition-ready audit tables, archival policy.</w:t>
            </w:r>
          </w:p>
        </w:tc>
      </w:tr>
      <w:tr>
        <w:trPr>
          <w:cantSplit/>
        </w:trPr>
        <w:tc>
          <w:tcPr>
            <w:tcW w:type="dxa" w:w="907"/>
            <w:vAlign w:val="top"/>
            <w:shd w:val="clear" w:color="auto" w:fill="FDF0F7"/>
          </w:tcPr>
          <w:p>
            <w:pPr>
              <w:spacing w:after="20" w:line="252" w:lineRule="auto"/>
            </w:pPr>
            <w:r>
              <w:rPr>
                <w:b/>
                <w:i w:val="0"/>
                <w:sz w:val="15"/>
              </w:rPr>
              <w:t>NFR-08</w:t>
            </w:r>
          </w:p>
        </w:tc>
        <w:tc>
          <w:tcPr>
            <w:tcW w:type="dxa" w:w="2721"/>
            <w:vAlign w:val="top"/>
            <w:shd w:val="clear" w:color="auto" w:fill="FDF0F7"/>
          </w:tcPr>
          <w:p>
            <w:pPr>
              <w:spacing w:after="20" w:line="252" w:lineRule="auto"/>
            </w:pPr>
            <w:r>
              <w:rPr>
                <w:b w:val="0"/>
                <w:i w:val="0"/>
                <w:sz w:val="15"/>
              </w:rPr>
              <w:t>Encryption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TLS 1.2+ in transit; encrypted volumes, backups and field-level encryption at rest.</w:t>
            </w:r>
          </w:p>
        </w:tc>
      </w:tr>
      <w:tr>
        <w:trPr>
          <w:cantSplit/>
        </w:trPr>
        <w:tc>
          <w:tcPr>
            <w:tcW w:type="dxa" w:w="907"/>
            <w:vAlign w:val="top"/>
          </w:tcPr>
          <w:p>
            <w:pPr>
              <w:spacing w:after="20" w:line="252" w:lineRule="auto"/>
            </w:pPr>
            <w:r>
              <w:rPr>
                <w:b/>
                <w:i w:val="0"/>
                <w:sz w:val="15"/>
              </w:rPr>
              <w:t>NFR-09</w:t>
            </w:r>
          </w:p>
        </w:tc>
        <w:tc>
          <w:tcPr>
            <w:tcW w:type="dxa" w:w="2721"/>
            <w:vAlign w:val="top"/>
          </w:tcPr>
          <w:p>
            <w:pPr>
              <w:spacing w:after="20" w:line="252" w:lineRule="auto"/>
            </w:pPr>
            <w:r>
              <w:rPr>
                <w:b w:val="0"/>
                <w:i w:val="0"/>
                <w:sz w:val="15"/>
              </w:rPr>
              <w:t>Authentication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Password policy, lockout, MFA and AD integration aligned to IITH security policy.</w:t>
            </w:r>
          </w:p>
        </w:tc>
      </w:tr>
      <w:tr>
        <w:trPr>
          <w:cantSplit/>
        </w:trPr>
        <w:tc>
          <w:tcPr>
            <w:tcW w:type="dxa" w:w="907"/>
            <w:vAlign w:val="top"/>
            <w:shd w:val="clear" w:color="auto" w:fill="FDF0F7"/>
          </w:tcPr>
          <w:p>
            <w:pPr>
              <w:spacing w:after="20" w:line="252" w:lineRule="auto"/>
            </w:pPr>
            <w:r>
              <w:rPr>
                <w:b/>
                <w:i w:val="0"/>
                <w:sz w:val="15"/>
              </w:rPr>
              <w:t>NFR-10</w:t>
            </w:r>
          </w:p>
        </w:tc>
        <w:tc>
          <w:tcPr>
            <w:tcW w:type="dxa" w:w="2721"/>
            <w:vAlign w:val="top"/>
            <w:shd w:val="clear" w:color="auto" w:fill="FDF0F7"/>
          </w:tcPr>
          <w:p>
            <w:pPr>
              <w:spacing w:after="20" w:line="252" w:lineRule="auto"/>
            </w:pPr>
            <w:r>
              <w:rPr>
                <w:b w:val="0"/>
                <w:i w:val="0"/>
                <w:sz w:val="15"/>
              </w:rPr>
              <w:t>Authorisation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Least privilege RBAC with deny-by-default API guards.</w:t>
            </w:r>
          </w:p>
        </w:tc>
      </w:tr>
      <w:tr>
        <w:trPr>
          <w:cantSplit/>
        </w:trPr>
        <w:tc>
          <w:tcPr>
            <w:tcW w:type="dxa" w:w="907"/>
            <w:vAlign w:val="top"/>
          </w:tcPr>
          <w:p>
            <w:pPr>
              <w:spacing w:after="20" w:line="252" w:lineRule="auto"/>
            </w:pPr>
            <w:r>
              <w:rPr>
                <w:b/>
                <w:i w:val="0"/>
                <w:sz w:val="15"/>
              </w:rPr>
              <w:t>NFR-11</w:t>
            </w:r>
          </w:p>
        </w:tc>
        <w:tc>
          <w:tcPr>
            <w:tcW w:type="dxa" w:w="2721"/>
            <w:vAlign w:val="top"/>
          </w:tcPr>
          <w:p>
            <w:pPr>
              <w:spacing w:after="20" w:line="252" w:lineRule="auto"/>
            </w:pPr>
            <w:r>
              <w:rPr>
                <w:b w:val="0"/>
                <w:i w:val="0"/>
                <w:sz w:val="15"/>
              </w:rPr>
              <w:t>Audit logging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Security and business events logged; retention period configurable (default 7 years).</w:t>
            </w:r>
          </w:p>
        </w:tc>
      </w:tr>
      <w:tr>
        <w:trPr>
          <w:cantSplit/>
        </w:trPr>
        <w:tc>
          <w:tcPr>
            <w:tcW w:type="dxa" w:w="907"/>
            <w:vAlign w:val="top"/>
            <w:shd w:val="clear" w:color="auto" w:fill="FDF0F7"/>
          </w:tcPr>
          <w:p>
            <w:pPr>
              <w:spacing w:after="20" w:line="252" w:lineRule="auto"/>
            </w:pPr>
            <w:r>
              <w:rPr>
                <w:b/>
                <w:i w:val="0"/>
                <w:sz w:val="15"/>
              </w:rPr>
              <w:t>NFR-12</w:t>
            </w:r>
          </w:p>
        </w:tc>
        <w:tc>
          <w:tcPr>
            <w:tcW w:type="dxa" w:w="2721"/>
            <w:vAlign w:val="top"/>
            <w:shd w:val="clear" w:color="auto" w:fill="FDF0F7"/>
          </w:tcPr>
          <w:p>
            <w:pPr>
              <w:spacing w:after="20" w:line="252" w:lineRule="auto"/>
            </w:pPr>
            <w:r>
              <w:rPr>
                <w:b w:val="0"/>
                <w:i w:val="0"/>
                <w:sz w:val="15"/>
              </w:rPr>
              <w:t>Vulnerability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CodeQL static analysis, dependency audit, secret and container scanning in CI; remediation within severity-based timelines.</w:t>
            </w:r>
          </w:p>
        </w:tc>
      </w:tr>
      <w:tr>
        <w:trPr>
          <w:cantSplit/>
        </w:trPr>
        <w:tc>
          <w:tcPr>
            <w:tcW w:type="dxa" w:w="907"/>
            <w:vAlign w:val="top"/>
          </w:tcPr>
          <w:p>
            <w:pPr>
              <w:spacing w:after="20" w:line="252" w:lineRule="auto"/>
            </w:pPr>
            <w:r>
              <w:rPr>
                <w:b/>
                <w:i w:val="0"/>
                <w:sz w:val="15"/>
              </w:rPr>
              <w:t>NFR-13</w:t>
            </w:r>
          </w:p>
        </w:tc>
        <w:tc>
          <w:tcPr>
            <w:tcW w:type="dxa" w:w="2721"/>
            <w:vAlign w:val="top"/>
          </w:tcPr>
          <w:p>
            <w:pPr>
              <w:spacing w:after="20" w:line="252" w:lineRule="auto"/>
            </w:pPr>
            <w:r>
              <w:rPr>
                <w:b w:val="0"/>
                <w:i w:val="0"/>
                <w:sz w:val="15"/>
              </w:rPr>
              <w:t>Penetration testing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Independent VAPT before go-live with remediation and re-test (included in price).</w:t>
            </w:r>
          </w:p>
        </w:tc>
      </w:tr>
      <w:tr>
        <w:trPr>
          <w:cantSplit/>
        </w:trPr>
        <w:tc>
          <w:tcPr>
            <w:tcW w:type="dxa" w:w="907"/>
            <w:vAlign w:val="top"/>
            <w:shd w:val="clear" w:color="auto" w:fill="FDF0F7"/>
          </w:tcPr>
          <w:p>
            <w:pPr>
              <w:spacing w:after="20" w:line="252" w:lineRule="auto"/>
            </w:pPr>
            <w:r>
              <w:rPr>
                <w:b/>
                <w:i w:val="0"/>
                <w:sz w:val="15"/>
              </w:rPr>
              <w:t>NFR-14</w:t>
            </w:r>
          </w:p>
        </w:tc>
        <w:tc>
          <w:tcPr>
            <w:tcW w:type="dxa" w:w="2721"/>
            <w:vAlign w:val="top"/>
            <w:shd w:val="clear" w:color="auto" w:fill="FDF0F7"/>
          </w:tcPr>
          <w:p>
            <w:pPr>
              <w:spacing w:after="20" w:line="252" w:lineRule="auto"/>
            </w:pPr>
            <w:r>
              <w:rPr>
                <w:b w:val="0"/>
                <w:i w:val="0"/>
                <w:sz w:val="15"/>
              </w:rPr>
              <w:t>Secure development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OWASP ASVS Level 2 aligned SDLC, OWASP Top 10 controls, peer review.</w:t>
            </w:r>
          </w:p>
        </w:tc>
      </w:tr>
      <w:tr>
        <w:trPr>
          <w:cantSplit/>
        </w:trPr>
        <w:tc>
          <w:tcPr>
            <w:tcW w:type="dxa" w:w="907"/>
            <w:vAlign w:val="top"/>
          </w:tcPr>
          <w:p>
            <w:pPr>
              <w:spacing w:after="20" w:line="252" w:lineRule="auto"/>
            </w:pPr>
            <w:r>
              <w:rPr>
                <w:b/>
                <w:i w:val="0"/>
                <w:sz w:val="15"/>
              </w:rPr>
              <w:t>NFR-15</w:t>
            </w:r>
          </w:p>
        </w:tc>
        <w:tc>
          <w:tcPr>
            <w:tcW w:type="dxa" w:w="2721"/>
            <w:vAlign w:val="top"/>
          </w:tcPr>
          <w:p>
            <w:pPr>
              <w:spacing w:after="20" w:line="252" w:lineRule="auto"/>
            </w:pPr>
            <w:r>
              <w:rPr>
                <w:b w:val="0"/>
                <w:i w:val="0"/>
                <w:sz w:val="15"/>
              </w:rPr>
              <w:t>Error handling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Generic user messages with correlation id; no stack traces or internals exposed.</w:t>
            </w:r>
          </w:p>
        </w:tc>
      </w:tr>
      <w:tr>
        <w:trPr>
          <w:cantSplit/>
        </w:trPr>
        <w:tc>
          <w:tcPr>
            <w:tcW w:type="dxa" w:w="907"/>
            <w:vAlign w:val="top"/>
            <w:shd w:val="clear" w:color="auto" w:fill="FDF0F7"/>
          </w:tcPr>
          <w:p>
            <w:pPr>
              <w:spacing w:after="20" w:line="252" w:lineRule="auto"/>
            </w:pPr>
            <w:r>
              <w:rPr>
                <w:b/>
                <w:i w:val="0"/>
                <w:sz w:val="15"/>
              </w:rPr>
              <w:t>NFR-16</w:t>
            </w:r>
          </w:p>
        </w:tc>
        <w:tc>
          <w:tcPr>
            <w:tcW w:type="dxa" w:w="2721"/>
            <w:vAlign w:val="top"/>
            <w:shd w:val="clear" w:color="auto" w:fill="FDF0F7"/>
          </w:tcPr>
          <w:p>
            <w:pPr>
              <w:spacing w:after="20" w:line="252" w:lineRule="auto"/>
            </w:pPr>
            <w:r>
              <w:rPr>
                <w:b w:val="0"/>
                <w:i w:val="0"/>
                <w:sz w:val="15"/>
              </w:rPr>
              <w:t>Transaction integrity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ACID transactions in PostgreSQL; issuance, receipt, audit and outbox commit atomically.</w:t>
            </w:r>
          </w:p>
        </w:tc>
      </w:tr>
      <w:tr>
        <w:trPr>
          <w:cantSplit/>
        </w:trPr>
        <w:tc>
          <w:tcPr>
            <w:tcW w:type="dxa" w:w="907"/>
            <w:vAlign w:val="top"/>
          </w:tcPr>
          <w:p>
            <w:pPr>
              <w:spacing w:after="20" w:line="252" w:lineRule="auto"/>
            </w:pPr>
            <w:r>
              <w:rPr>
                <w:b/>
                <w:i w:val="0"/>
                <w:sz w:val="15"/>
              </w:rPr>
              <w:t>NFR-17</w:t>
            </w:r>
          </w:p>
        </w:tc>
        <w:tc>
          <w:tcPr>
            <w:tcW w:type="dxa" w:w="2721"/>
            <w:vAlign w:val="top"/>
          </w:tcPr>
          <w:p>
            <w:pPr>
              <w:spacing w:after="20" w:line="252" w:lineRule="auto"/>
            </w:pPr>
            <w:r>
              <w:rPr>
                <w:b w:val="0"/>
                <w:i w:val="0"/>
                <w:sz w:val="15"/>
              </w:rPr>
              <w:t>Data backup</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Daily full backup, continuous WAL archiving (PITR), configuration backup, restore tests.</w:t>
            </w:r>
          </w:p>
        </w:tc>
      </w:tr>
      <w:tr>
        <w:trPr>
          <w:cantSplit/>
        </w:trPr>
        <w:tc>
          <w:tcPr>
            <w:tcW w:type="dxa" w:w="907"/>
            <w:vAlign w:val="top"/>
            <w:shd w:val="clear" w:color="auto" w:fill="FDF0F7"/>
          </w:tcPr>
          <w:p>
            <w:pPr>
              <w:spacing w:after="20" w:line="252" w:lineRule="auto"/>
            </w:pPr>
            <w:r>
              <w:rPr>
                <w:b/>
                <w:i w:val="0"/>
                <w:sz w:val="15"/>
              </w:rPr>
              <w:t>NFR-18</w:t>
            </w:r>
          </w:p>
        </w:tc>
        <w:tc>
          <w:tcPr>
            <w:tcW w:type="dxa" w:w="2721"/>
            <w:vAlign w:val="top"/>
            <w:shd w:val="clear" w:color="auto" w:fill="FDF0F7"/>
          </w:tcPr>
          <w:p>
            <w:pPr>
              <w:spacing w:after="20" w:line="252" w:lineRule="auto"/>
            </w:pPr>
            <w:r>
              <w:rPr>
                <w:b w:val="0"/>
                <w:i w:val="0"/>
                <w:sz w:val="15"/>
              </w:rPr>
              <w:t>DR capability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Warm standby DR with RPO ≤ 15 min and RTO ≤ 4 h.</w:t>
            </w:r>
          </w:p>
        </w:tc>
      </w:tr>
      <w:tr>
        <w:trPr>
          <w:cantSplit/>
        </w:trPr>
        <w:tc>
          <w:tcPr>
            <w:tcW w:type="dxa" w:w="907"/>
            <w:vAlign w:val="top"/>
          </w:tcPr>
          <w:p>
            <w:pPr>
              <w:spacing w:after="20" w:line="252" w:lineRule="auto"/>
            </w:pPr>
            <w:r>
              <w:rPr>
                <w:b/>
                <w:i w:val="0"/>
                <w:sz w:val="15"/>
              </w:rPr>
              <w:t>NFR-19</w:t>
            </w:r>
          </w:p>
        </w:tc>
        <w:tc>
          <w:tcPr>
            <w:tcW w:type="dxa" w:w="2721"/>
            <w:vAlign w:val="top"/>
          </w:tcPr>
          <w:p>
            <w:pPr>
              <w:spacing w:after="20" w:line="252" w:lineRule="auto"/>
            </w:pPr>
            <w:r>
              <w:rPr>
                <w:b w:val="0"/>
                <w:i w:val="0"/>
                <w:sz w:val="15"/>
              </w:rPr>
              <w:t>DR testing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Annual DR test with IIFT, documented results and improvement actions.</w:t>
            </w:r>
          </w:p>
        </w:tc>
      </w:tr>
      <w:tr>
        <w:trPr>
          <w:cantSplit/>
        </w:trPr>
        <w:tc>
          <w:tcPr>
            <w:tcW w:type="dxa" w:w="907"/>
            <w:vAlign w:val="top"/>
            <w:shd w:val="clear" w:color="auto" w:fill="FDF0F7"/>
          </w:tcPr>
          <w:p>
            <w:pPr>
              <w:spacing w:after="20" w:line="252" w:lineRule="auto"/>
            </w:pPr>
            <w:r>
              <w:rPr>
                <w:b/>
                <w:i w:val="0"/>
                <w:sz w:val="15"/>
              </w:rPr>
              <w:t>NFR-20</w:t>
            </w:r>
          </w:p>
        </w:tc>
        <w:tc>
          <w:tcPr>
            <w:tcW w:type="dxa" w:w="2721"/>
            <w:vAlign w:val="top"/>
            <w:shd w:val="clear" w:color="auto" w:fill="FDF0F7"/>
          </w:tcPr>
          <w:p>
            <w:pPr>
              <w:spacing w:after="20" w:line="252" w:lineRule="auto"/>
            </w:pPr>
            <w:r>
              <w:rPr>
                <w:b w:val="0"/>
                <w:i w:val="0"/>
                <w:sz w:val="15"/>
              </w:rPr>
              <w:t>Modular architecture</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Modular monolith with module boundaries per functional area; modules can be split later.</w:t>
            </w:r>
          </w:p>
        </w:tc>
      </w:tr>
      <w:tr>
        <w:trPr>
          <w:cantSplit/>
        </w:trPr>
        <w:tc>
          <w:tcPr>
            <w:tcW w:type="dxa" w:w="907"/>
            <w:vAlign w:val="top"/>
          </w:tcPr>
          <w:p>
            <w:pPr>
              <w:spacing w:after="20" w:line="252" w:lineRule="auto"/>
            </w:pPr>
            <w:r>
              <w:rPr>
                <w:b/>
                <w:i w:val="0"/>
                <w:sz w:val="15"/>
              </w:rPr>
              <w:t>NFR-21</w:t>
            </w:r>
          </w:p>
        </w:tc>
        <w:tc>
          <w:tcPr>
            <w:tcW w:type="dxa" w:w="2721"/>
            <w:vAlign w:val="top"/>
          </w:tcPr>
          <w:p>
            <w:pPr>
              <w:spacing w:after="20" w:line="252" w:lineRule="auto"/>
            </w:pPr>
            <w:r>
              <w:rPr>
                <w:b w:val="0"/>
                <w:i w:val="0"/>
                <w:sz w:val="15"/>
              </w:rPr>
              <w:t>Documentation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Technical, configuration, operations and user documentation maintained for 5 years.</w:t>
            </w:r>
          </w:p>
        </w:tc>
      </w:tr>
      <w:tr>
        <w:trPr>
          <w:cantSplit/>
        </w:trPr>
        <w:tc>
          <w:tcPr>
            <w:tcW w:type="dxa" w:w="907"/>
            <w:vAlign w:val="top"/>
            <w:shd w:val="clear" w:color="auto" w:fill="FDF0F7"/>
          </w:tcPr>
          <w:p>
            <w:pPr>
              <w:spacing w:after="20" w:line="252" w:lineRule="auto"/>
            </w:pPr>
            <w:r>
              <w:rPr>
                <w:b/>
                <w:i w:val="0"/>
                <w:sz w:val="15"/>
              </w:rPr>
              <w:t>NFR-22</w:t>
            </w:r>
          </w:p>
        </w:tc>
        <w:tc>
          <w:tcPr>
            <w:tcW w:type="dxa" w:w="2721"/>
            <w:vAlign w:val="top"/>
            <w:shd w:val="clear" w:color="auto" w:fill="FDF0F7"/>
          </w:tcPr>
          <w:p>
            <w:pPr>
              <w:spacing w:after="20" w:line="252" w:lineRule="auto"/>
            </w:pPr>
            <w:r>
              <w:rPr>
                <w:b w:val="0"/>
                <w:i w:val="0"/>
                <w:sz w:val="15"/>
              </w:rPr>
              <w:t>User interface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Consistent Ant Design based UI themed to Insurans Islam TAIB branding.</w:t>
            </w:r>
          </w:p>
        </w:tc>
      </w:tr>
      <w:tr>
        <w:trPr>
          <w:cantSplit/>
        </w:trPr>
        <w:tc>
          <w:tcPr>
            <w:tcW w:type="dxa" w:w="907"/>
            <w:vAlign w:val="top"/>
          </w:tcPr>
          <w:p>
            <w:pPr>
              <w:spacing w:after="20" w:line="252" w:lineRule="auto"/>
            </w:pPr>
            <w:r>
              <w:rPr>
                <w:b/>
                <w:i w:val="0"/>
                <w:sz w:val="15"/>
              </w:rPr>
              <w:t>NFR-23</w:t>
            </w:r>
          </w:p>
        </w:tc>
        <w:tc>
          <w:tcPr>
            <w:tcW w:type="dxa" w:w="2721"/>
            <w:vAlign w:val="top"/>
          </w:tcPr>
          <w:p>
            <w:pPr>
              <w:spacing w:after="20" w:line="252" w:lineRule="auto"/>
            </w:pPr>
            <w:r>
              <w:rPr>
                <w:b w:val="0"/>
                <w:i w:val="0"/>
                <w:sz w:val="15"/>
              </w:rPr>
              <w:t>Browser compatibility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Current and previous major versions of Chrome, Edge, Firefox and Safari.</w:t>
            </w:r>
          </w:p>
        </w:tc>
      </w:tr>
      <w:tr>
        <w:trPr>
          <w:cantSplit/>
        </w:trPr>
        <w:tc>
          <w:tcPr>
            <w:tcW w:type="dxa" w:w="907"/>
            <w:vAlign w:val="top"/>
            <w:shd w:val="clear" w:color="auto" w:fill="FDF0F7"/>
          </w:tcPr>
          <w:p>
            <w:pPr>
              <w:spacing w:after="20" w:line="252" w:lineRule="auto"/>
            </w:pPr>
            <w:r>
              <w:rPr>
                <w:b/>
                <w:i w:val="0"/>
                <w:sz w:val="15"/>
              </w:rPr>
              <w:t>NFR-24</w:t>
            </w:r>
          </w:p>
        </w:tc>
        <w:tc>
          <w:tcPr>
            <w:tcW w:type="dxa" w:w="2721"/>
            <w:vAlign w:val="top"/>
            <w:shd w:val="clear" w:color="auto" w:fill="FDF0F7"/>
          </w:tcPr>
          <w:p>
            <w:pPr>
              <w:spacing w:after="20" w:line="252" w:lineRule="auto"/>
            </w:pPr>
            <w:r>
              <w:rPr>
                <w:b w:val="0"/>
                <w:i w:val="0"/>
                <w:sz w:val="15"/>
              </w:rPr>
              <w:t>Accessibility</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Designed to WCAG 2.1 AA (keyboard navigation, contrast, labels).</w:t>
            </w:r>
          </w:p>
        </w:tc>
      </w:tr>
      <w:tr>
        <w:trPr>
          <w:cantSplit/>
        </w:trPr>
        <w:tc>
          <w:tcPr>
            <w:tcW w:type="dxa" w:w="907"/>
            <w:vAlign w:val="top"/>
          </w:tcPr>
          <w:p>
            <w:pPr>
              <w:spacing w:after="20" w:line="252" w:lineRule="auto"/>
            </w:pPr>
            <w:r>
              <w:rPr>
                <w:b/>
                <w:i w:val="0"/>
                <w:sz w:val="15"/>
              </w:rPr>
              <w:t>NFR-25</w:t>
            </w:r>
          </w:p>
        </w:tc>
        <w:tc>
          <w:tcPr>
            <w:tcW w:type="dxa" w:w="2721"/>
            <w:vAlign w:val="top"/>
          </w:tcPr>
          <w:p>
            <w:pPr>
              <w:spacing w:after="20" w:line="252" w:lineRule="auto"/>
            </w:pPr>
            <w:r>
              <w:rPr>
                <w:b w:val="0"/>
                <w:i w:val="0"/>
                <w:sz w:val="15"/>
              </w:rPr>
              <w:t>API standards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Available today</w:t>
            </w:r>
          </w:p>
        </w:tc>
        <w:tc>
          <w:tcPr>
            <w:tcW w:type="dxa" w:w="6463"/>
            <w:vAlign w:val="top"/>
          </w:tcPr>
          <w:p>
            <w:pPr>
              <w:spacing w:after="20" w:line="252" w:lineRule="auto"/>
            </w:pPr>
            <w:r>
              <w:rPr>
                <w:b w:val="0"/>
                <w:i w:val="0"/>
                <w:sz w:val="15"/>
              </w:rPr>
              <w:t>REST/JSON over HTTPS, OpenAPI 3 contracts, ISO 8601 dates, UTF-8.</w:t>
            </w:r>
          </w:p>
        </w:tc>
      </w:tr>
      <w:tr>
        <w:trPr>
          <w:cantSplit/>
        </w:trPr>
        <w:tc>
          <w:tcPr>
            <w:tcW w:type="dxa" w:w="907"/>
            <w:vAlign w:val="top"/>
            <w:shd w:val="clear" w:color="auto" w:fill="FDF0F7"/>
          </w:tcPr>
          <w:p>
            <w:pPr>
              <w:spacing w:after="20" w:line="252" w:lineRule="auto"/>
            </w:pPr>
            <w:r>
              <w:rPr>
                <w:b/>
                <w:i w:val="0"/>
                <w:sz w:val="15"/>
              </w:rPr>
              <w:t>NFR-26</w:t>
            </w:r>
          </w:p>
        </w:tc>
        <w:tc>
          <w:tcPr>
            <w:tcW w:type="dxa" w:w="2721"/>
            <w:vAlign w:val="top"/>
            <w:shd w:val="clear" w:color="auto" w:fill="FDF0F7"/>
          </w:tcPr>
          <w:p>
            <w:pPr>
              <w:spacing w:after="20" w:line="252" w:lineRule="auto"/>
            </w:pPr>
            <w:r>
              <w:rPr>
                <w:b w:val="0"/>
                <w:i w:val="0"/>
                <w:sz w:val="15"/>
              </w:rPr>
              <w:t>System monitoring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Health endpoints, Prometheus metrics, integration monitor and infrastructure checks.</w:t>
            </w:r>
          </w:p>
        </w:tc>
      </w:tr>
      <w:tr>
        <w:trPr>
          <w:cantSplit/>
        </w:trPr>
        <w:tc>
          <w:tcPr>
            <w:tcW w:type="dxa" w:w="907"/>
            <w:vAlign w:val="top"/>
          </w:tcPr>
          <w:p>
            <w:pPr>
              <w:spacing w:after="20" w:line="252" w:lineRule="auto"/>
            </w:pPr>
            <w:r>
              <w:rPr>
                <w:b/>
                <w:i w:val="0"/>
                <w:sz w:val="15"/>
              </w:rPr>
              <w:t>NFR-27</w:t>
            </w:r>
          </w:p>
        </w:tc>
        <w:tc>
          <w:tcPr>
            <w:tcW w:type="dxa" w:w="2721"/>
            <w:vAlign w:val="top"/>
          </w:tcPr>
          <w:p>
            <w:pPr>
              <w:spacing w:after="20" w:line="252" w:lineRule="auto"/>
            </w:pPr>
            <w:r>
              <w:rPr>
                <w:b w:val="0"/>
                <w:i w:val="0"/>
                <w:sz w:val="15"/>
              </w:rPr>
              <w:t>Alerting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Alert rules for availability, errors, latency, job failures and dead-letters to support teams.</w:t>
            </w:r>
          </w:p>
        </w:tc>
      </w:tr>
      <w:tr>
        <w:trPr>
          <w:cantSplit/>
        </w:trPr>
        <w:tc>
          <w:tcPr>
            <w:tcW w:type="dxa" w:w="907"/>
            <w:vAlign w:val="top"/>
            <w:shd w:val="clear" w:color="auto" w:fill="FDF0F7"/>
          </w:tcPr>
          <w:p>
            <w:pPr>
              <w:spacing w:after="20" w:line="252" w:lineRule="auto"/>
            </w:pPr>
            <w:r>
              <w:rPr>
                <w:b/>
                <w:i w:val="0"/>
                <w:sz w:val="15"/>
              </w:rPr>
              <w:t>NFR-28</w:t>
            </w:r>
          </w:p>
        </w:tc>
        <w:tc>
          <w:tcPr>
            <w:tcW w:type="dxa" w:w="2721"/>
            <w:vAlign w:val="top"/>
            <w:shd w:val="clear" w:color="auto" w:fill="FDF0F7"/>
          </w:tcPr>
          <w:p>
            <w:pPr>
              <w:spacing w:after="20" w:line="252" w:lineRule="auto"/>
            </w:pPr>
            <w:r>
              <w:rPr>
                <w:b w:val="0"/>
                <w:i w:val="0"/>
                <w:sz w:val="15"/>
              </w:rPr>
              <w:t>Centralised logs</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Structured JSON logs with correlation id shipped to central log store.</w:t>
            </w:r>
          </w:p>
        </w:tc>
      </w:tr>
      <w:tr>
        <w:trPr>
          <w:cantSplit/>
        </w:trPr>
        <w:tc>
          <w:tcPr>
            <w:tcW w:type="dxa" w:w="907"/>
            <w:vAlign w:val="top"/>
          </w:tcPr>
          <w:p>
            <w:pPr>
              <w:spacing w:after="20" w:line="252" w:lineRule="auto"/>
            </w:pPr>
            <w:r>
              <w:rPr>
                <w:b/>
                <w:i w:val="0"/>
                <w:sz w:val="15"/>
              </w:rPr>
              <w:t>NFR-29</w:t>
            </w:r>
          </w:p>
        </w:tc>
        <w:tc>
          <w:tcPr>
            <w:tcW w:type="dxa" w:w="2721"/>
            <w:vAlign w:val="top"/>
          </w:tcPr>
          <w:p>
            <w:pPr>
              <w:spacing w:after="20" w:line="252" w:lineRule="auto"/>
            </w:pPr>
            <w:r>
              <w:rPr>
                <w:b w:val="0"/>
                <w:i w:val="0"/>
                <w:sz w:val="15"/>
              </w:rPr>
              <w:t>Data retention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Compliant – configuration</w:t>
            </w:r>
          </w:p>
        </w:tc>
        <w:tc>
          <w:tcPr>
            <w:tcW w:type="dxa" w:w="1928"/>
            <w:vAlign w:val="top"/>
          </w:tcPr>
          <w:p>
            <w:pPr>
              <w:spacing w:after="20" w:line="252" w:lineRule="auto"/>
            </w:pPr>
            <w:r>
              <w:rPr>
                <w:b w:val="0"/>
                <w:i w:val="0"/>
                <w:sz w:val="15"/>
              </w:rPr>
              <w:t>Configuration</w:t>
            </w:r>
          </w:p>
        </w:tc>
        <w:tc>
          <w:tcPr>
            <w:tcW w:type="dxa" w:w="6463"/>
            <w:vAlign w:val="top"/>
          </w:tcPr>
          <w:p>
            <w:pPr>
              <w:spacing w:after="20" w:line="252" w:lineRule="auto"/>
            </w:pPr>
            <w:r>
              <w:rPr>
                <w:b w:val="0"/>
                <w:i w:val="0"/>
                <w:sz w:val="15"/>
              </w:rPr>
              <w:t>Retention and archival rules per data class, configurable to IIFT policy.</w:t>
            </w:r>
          </w:p>
        </w:tc>
      </w:tr>
      <w:tr>
        <w:trPr>
          <w:cantSplit/>
        </w:trPr>
        <w:tc>
          <w:tcPr>
            <w:tcW w:type="dxa" w:w="907"/>
            <w:vAlign w:val="top"/>
            <w:shd w:val="clear" w:color="auto" w:fill="FDF0F7"/>
          </w:tcPr>
          <w:p>
            <w:pPr>
              <w:spacing w:after="20" w:line="252" w:lineRule="auto"/>
            </w:pPr>
            <w:r>
              <w:rPr>
                <w:b/>
                <w:i w:val="0"/>
                <w:sz w:val="15"/>
              </w:rPr>
              <w:t>NFR-30</w:t>
            </w:r>
          </w:p>
        </w:tc>
        <w:tc>
          <w:tcPr>
            <w:tcW w:type="dxa" w:w="2721"/>
            <w:vAlign w:val="top"/>
            <w:shd w:val="clear" w:color="auto" w:fill="FDF0F7"/>
          </w:tcPr>
          <w:p>
            <w:pPr>
              <w:spacing w:after="20" w:line="252" w:lineRule="auto"/>
            </w:pPr>
            <w:r>
              <w:rPr>
                <w:b w:val="0"/>
                <w:i w:val="0"/>
                <w:sz w:val="15"/>
              </w:rPr>
              <w:t>Data quality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Available today</w:t>
            </w:r>
          </w:p>
        </w:tc>
        <w:tc>
          <w:tcPr>
            <w:tcW w:type="dxa" w:w="6463"/>
            <w:vAlign w:val="top"/>
            <w:shd w:val="clear" w:color="auto" w:fill="FDF0F7"/>
          </w:tcPr>
          <w:p>
            <w:pPr>
              <w:spacing w:after="20" w:line="252" w:lineRule="auto"/>
            </w:pPr>
            <w:r>
              <w:rPr>
                <w:b w:val="0"/>
                <w:i w:val="0"/>
                <w:sz w:val="15"/>
              </w:rPr>
              <w:t>Validation on every DTO plus database constraints (FK, CHECK, UNIQUE).</w:t>
            </w:r>
          </w:p>
        </w:tc>
      </w:tr>
      <w:tr>
        <w:trPr>
          <w:cantSplit/>
        </w:trPr>
        <w:tc>
          <w:tcPr>
            <w:tcW w:type="dxa" w:w="6463"/>
            <w:gridSpan w:val="6"/>
            <w:shd w:val="clear" w:color="auto" w:fill="FEEBDD"/>
          </w:tcPr>
          <w:p>
            <w:pPr>
              <w:spacing w:after="0"/>
            </w:pPr>
            <w:r>
              <w:rPr>
                <w:b/>
                <w:i w:val="0"/>
                <w:color w:val="333333"/>
                <w:sz w:val="15"/>
              </w:rPr>
              <w:t>RFP 6 – Commercial requirements</w:t>
            </w:r>
          </w:p>
        </w:tc>
      </w:tr>
      <w:tr>
        <w:trPr>
          <w:cantSplit/>
        </w:trPr>
        <w:tc>
          <w:tcPr>
            <w:tcW w:type="dxa" w:w="907"/>
            <w:vAlign w:val="top"/>
          </w:tcPr>
          <w:p>
            <w:pPr>
              <w:spacing w:after="20" w:line="252" w:lineRule="auto"/>
            </w:pPr>
            <w:r>
              <w:rPr>
                <w:b/>
                <w:i w:val="0"/>
                <w:sz w:val="15"/>
              </w:rPr>
              <w:t>COM-01</w:t>
            </w:r>
          </w:p>
        </w:tc>
        <w:tc>
          <w:tcPr>
            <w:tcW w:type="dxa" w:w="2721"/>
            <w:vAlign w:val="top"/>
          </w:tcPr>
          <w:p>
            <w:pPr>
              <w:spacing w:after="20" w:line="252" w:lineRule="auto"/>
            </w:pPr>
            <w:r>
              <w:rPr>
                <w:b w:val="0"/>
                <w:i w:val="0"/>
                <w:sz w:val="15"/>
              </w:rPr>
              <w:t>Implementation cost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Fixed implementation price: Option A B$178,000 (licence B$48,000, services B$130,000); Option B B$145,000 (services B$130,000, cloud set-up B$15,000).</w:t>
            </w:r>
          </w:p>
        </w:tc>
      </w:tr>
      <w:tr>
        <w:trPr>
          <w:cantSplit/>
        </w:trPr>
        <w:tc>
          <w:tcPr>
            <w:tcW w:type="dxa" w:w="907"/>
            <w:vAlign w:val="top"/>
            <w:shd w:val="clear" w:color="auto" w:fill="FDF0F7"/>
          </w:tcPr>
          <w:p>
            <w:pPr>
              <w:spacing w:after="20" w:line="252" w:lineRule="auto"/>
            </w:pPr>
            <w:r>
              <w:rPr>
                <w:b/>
                <w:i w:val="0"/>
                <w:sz w:val="15"/>
              </w:rPr>
              <w:t>COM-02</w:t>
            </w:r>
          </w:p>
        </w:tc>
        <w:tc>
          <w:tcPr>
            <w:tcW w:type="dxa" w:w="2721"/>
            <w:vAlign w:val="top"/>
            <w:shd w:val="clear" w:color="auto" w:fill="FDF0F7"/>
          </w:tcPr>
          <w:p>
            <w:pPr>
              <w:spacing w:after="20" w:line="252" w:lineRule="auto"/>
            </w:pPr>
            <w:r>
              <w:rPr>
                <w:b w:val="0"/>
                <w:i w:val="0"/>
                <w:sz w:val="15"/>
              </w:rPr>
              <w:t>Software licence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Option A: perpetual, non-exclusive enterprise licence for IIFT, unlimited named users, all environments, B$48,000 one-off, no renewal fee. Option B: right to use within the subscription.</w:t>
            </w:r>
          </w:p>
        </w:tc>
      </w:tr>
      <w:tr>
        <w:trPr>
          <w:cantSplit/>
        </w:trPr>
        <w:tc>
          <w:tcPr>
            <w:tcW w:type="dxa" w:w="907"/>
            <w:vAlign w:val="top"/>
          </w:tcPr>
          <w:p>
            <w:pPr>
              <w:spacing w:after="20" w:line="252" w:lineRule="auto"/>
            </w:pPr>
            <w:r>
              <w:rPr>
                <w:b/>
                <w:i w:val="0"/>
                <w:sz w:val="15"/>
              </w:rPr>
              <w:t>COM-03</w:t>
            </w:r>
          </w:p>
        </w:tc>
        <w:tc>
          <w:tcPr>
            <w:tcW w:type="dxa" w:w="2721"/>
            <w:vAlign w:val="top"/>
          </w:tcPr>
          <w:p>
            <w:pPr>
              <w:spacing w:after="20" w:line="252" w:lineRule="auto"/>
            </w:pPr>
            <w:r>
              <w:rPr>
                <w:b w:val="0"/>
                <w:i w:val="0"/>
                <w:sz w:val="15"/>
              </w:rPr>
              <w:t>Subscription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Option B: subscription B$3,400 a month and managed services B$1,100 a month in Year 1 (+5% a year), minimum term 60 months; cloud recharged at cost. Option A has no subscription.</w:t>
            </w:r>
          </w:p>
        </w:tc>
      </w:tr>
      <w:tr>
        <w:trPr>
          <w:cantSplit/>
        </w:trPr>
        <w:tc>
          <w:tcPr>
            <w:tcW w:type="dxa" w:w="907"/>
            <w:vAlign w:val="top"/>
            <w:shd w:val="clear" w:color="auto" w:fill="FDF0F7"/>
          </w:tcPr>
          <w:p>
            <w:pPr>
              <w:spacing w:after="20" w:line="252" w:lineRule="auto"/>
            </w:pPr>
            <w:r>
              <w:rPr>
                <w:b/>
                <w:i w:val="0"/>
                <w:sz w:val="15"/>
              </w:rPr>
              <w:t>COM-04</w:t>
            </w:r>
          </w:p>
        </w:tc>
        <w:tc>
          <w:tcPr>
            <w:tcW w:type="dxa" w:w="2721"/>
            <w:vAlign w:val="top"/>
            <w:shd w:val="clear" w:color="auto" w:fill="FDF0F7"/>
          </w:tcPr>
          <w:p>
            <w:pPr>
              <w:spacing w:after="20" w:line="252" w:lineRule="auto"/>
            </w:pPr>
            <w:r>
              <w:rPr>
                <w:b w:val="0"/>
                <w:i w:val="0"/>
                <w:sz w:val="15"/>
              </w:rPr>
              <w:t>Infrastructure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Option A: IIFT procures to iorta's sizing (BOM, indicative B$20,500–42,000). Option B: one-off cloud set-up B$15,000; cloud recharged at cost, about B$1,330 a month, or paid by IIFT directly. PostgreSQL B$0; third-party costs in the BOM.</w:t>
            </w:r>
          </w:p>
        </w:tc>
      </w:tr>
      <w:tr>
        <w:trPr>
          <w:cantSplit/>
        </w:trPr>
        <w:tc>
          <w:tcPr>
            <w:tcW w:type="dxa" w:w="907"/>
            <w:vAlign w:val="top"/>
          </w:tcPr>
          <w:p>
            <w:pPr>
              <w:spacing w:after="20" w:line="252" w:lineRule="auto"/>
            </w:pPr>
            <w:r>
              <w:rPr>
                <w:b/>
                <w:i w:val="0"/>
                <w:sz w:val="15"/>
              </w:rPr>
              <w:t>COM-05</w:t>
            </w:r>
          </w:p>
        </w:tc>
        <w:tc>
          <w:tcPr>
            <w:tcW w:type="dxa" w:w="2721"/>
            <w:vAlign w:val="top"/>
          </w:tcPr>
          <w:p>
            <w:pPr>
              <w:spacing w:after="20" w:line="252" w:lineRule="auto"/>
            </w:pPr>
            <w:r>
              <w:rPr>
                <w:b w:val="0"/>
                <w:i w:val="0"/>
                <w:sz w:val="15"/>
              </w:rPr>
              <w:t>Integration cost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Cost per interface itemised (six interfaces, B$30,500).</w:t>
            </w:r>
          </w:p>
        </w:tc>
      </w:tr>
      <w:tr>
        <w:trPr>
          <w:cantSplit/>
        </w:trPr>
        <w:tc>
          <w:tcPr>
            <w:tcW w:type="dxa" w:w="907"/>
            <w:vAlign w:val="top"/>
            <w:shd w:val="clear" w:color="auto" w:fill="FDF0F7"/>
          </w:tcPr>
          <w:p>
            <w:pPr>
              <w:spacing w:after="20" w:line="252" w:lineRule="auto"/>
            </w:pPr>
            <w:r>
              <w:rPr>
                <w:b/>
                <w:i w:val="0"/>
                <w:sz w:val="15"/>
              </w:rPr>
              <w:t>COM-06</w:t>
            </w:r>
          </w:p>
        </w:tc>
        <w:tc>
          <w:tcPr>
            <w:tcW w:type="dxa" w:w="2721"/>
            <w:vAlign w:val="top"/>
            <w:shd w:val="clear" w:color="auto" w:fill="FDF0F7"/>
          </w:tcPr>
          <w:p>
            <w:pPr>
              <w:spacing w:after="20" w:line="252" w:lineRule="auto"/>
            </w:pPr>
            <w:r>
              <w:rPr>
                <w:b w:val="0"/>
                <w:i w:val="0"/>
                <w:sz w:val="15"/>
              </w:rPr>
              <w:t>Implementation services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PM, BA, design, configuration, customisation and deployment: B$64,000 (item 2).</w:t>
            </w:r>
          </w:p>
        </w:tc>
      </w:tr>
      <w:tr>
        <w:trPr>
          <w:cantSplit/>
        </w:trPr>
        <w:tc>
          <w:tcPr>
            <w:tcW w:type="dxa" w:w="907"/>
            <w:vAlign w:val="top"/>
          </w:tcPr>
          <w:p>
            <w:pPr>
              <w:spacing w:after="20" w:line="252" w:lineRule="auto"/>
            </w:pPr>
            <w:r>
              <w:rPr>
                <w:b/>
                <w:i w:val="0"/>
                <w:sz w:val="15"/>
              </w:rPr>
              <w:t>COM-07</w:t>
            </w:r>
          </w:p>
        </w:tc>
        <w:tc>
          <w:tcPr>
            <w:tcW w:type="dxa" w:w="2721"/>
            <w:vAlign w:val="top"/>
          </w:tcPr>
          <w:p>
            <w:pPr>
              <w:spacing w:after="20" w:line="252" w:lineRule="auto"/>
            </w:pPr>
            <w:r>
              <w:rPr>
                <w:b w:val="0"/>
                <w:i w:val="0"/>
                <w:sz w:val="15"/>
              </w:rPr>
              <w:t>Data migration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Scope, assumptions, tools and cost (B$7,500) stated.</w:t>
            </w:r>
          </w:p>
        </w:tc>
      </w:tr>
      <w:tr>
        <w:trPr>
          <w:cantSplit/>
        </w:trPr>
        <w:tc>
          <w:tcPr>
            <w:tcW w:type="dxa" w:w="907"/>
            <w:vAlign w:val="top"/>
            <w:shd w:val="clear" w:color="auto" w:fill="FDF0F7"/>
          </w:tcPr>
          <w:p>
            <w:pPr>
              <w:spacing w:after="20" w:line="252" w:lineRule="auto"/>
            </w:pPr>
            <w:r>
              <w:rPr>
                <w:b/>
                <w:i w:val="0"/>
                <w:sz w:val="15"/>
              </w:rPr>
              <w:t>COM-08</w:t>
            </w:r>
          </w:p>
        </w:tc>
        <w:tc>
          <w:tcPr>
            <w:tcW w:type="dxa" w:w="2721"/>
            <w:vAlign w:val="top"/>
            <w:shd w:val="clear" w:color="auto" w:fill="FDF0F7"/>
          </w:tcPr>
          <w:p>
            <w:pPr>
              <w:spacing w:after="20" w:line="252" w:lineRule="auto"/>
            </w:pPr>
            <w:r>
              <w:rPr>
                <w:b w:val="0"/>
                <w:i w:val="0"/>
                <w:sz w:val="15"/>
              </w:rPr>
              <w:t>Testing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SIT, UAT support and performance testing (B$10,000) and security testing (B$8,500) itemised.</w:t>
            </w:r>
          </w:p>
        </w:tc>
      </w:tr>
      <w:tr>
        <w:trPr>
          <w:cantSplit/>
        </w:trPr>
        <w:tc>
          <w:tcPr>
            <w:tcW w:type="dxa" w:w="907"/>
            <w:vAlign w:val="top"/>
          </w:tcPr>
          <w:p>
            <w:pPr>
              <w:spacing w:after="20" w:line="252" w:lineRule="auto"/>
            </w:pPr>
            <w:r>
              <w:rPr>
                <w:b/>
                <w:i w:val="0"/>
                <w:sz w:val="15"/>
              </w:rPr>
              <w:t>COM-09</w:t>
            </w:r>
          </w:p>
        </w:tc>
        <w:tc>
          <w:tcPr>
            <w:tcW w:type="dxa" w:w="2721"/>
            <w:vAlign w:val="top"/>
          </w:tcPr>
          <w:p>
            <w:pPr>
              <w:spacing w:after="20" w:line="252" w:lineRule="auto"/>
            </w:pPr>
            <w:r>
              <w:rPr>
                <w:b w:val="0"/>
                <w:i w:val="0"/>
                <w:sz w:val="15"/>
              </w:rPr>
              <w:t>Training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User, administrator and technical training included (B$4,500).</w:t>
            </w:r>
          </w:p>
        </w:tc>
      </w:tr>
      <w:tr>
        <w:trPr>
          <w:cantSplit/>
        </w:trPr>
        <w:tc>
          <w:tcPr>
            <w:tcW w:type="dxa" w:w="907"/>
            <w:vAlign w:val="top"/>
            <w:shd w:val="clear" w:color="auto" w:fill="FDF0F7"/>
          </w:tcPr>
          <w:p>
            <w:pPr>
              <w:spacing w:after="20" w:line="252" w:lineRule="auto"/>
            </w:pPr>
            <w:r>
              <w:rPr>
                <w:b/>
                <w:i w:val="0"/>
                <w:sz w:val="15"/>
              </w:rPr>
              <w:t>COM-10</w:t>
            </w:r>
          </w:p>
        </w:tc>
        <w:tc>
          <w:tcPr>
            <w:tcW w:type="dxa" w:w="2721"/>
            <w:vAlign w:val="top"/>
            <w:shd w:val="clear" w:color="auto" w:fill="FDF0F7"/>
          </w:tcPr>
          <w:p>
            <w:pPr>
              <w:spacing w:after="20" w:line="252" w:lineRule="auto"/>
            </w:pPr>
            <w:r>
              <w:rPr>
                <w:b w:val="0"/>
                <w:i w:val="0"/>
                <w:sz w:val="15"/>
              </w:rPr>
              <w:t>Documentation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Preparation and maintenance of documentation included (B$5,000).</w:t>
            </w:r>
          </w:p>
        </w:tc>
      </w:tr>
      <w:tr>
        <w:trPr>
          <w:cantSplit/>
        </w:trPr>
        <w:tc>
          <w:tcPr>
            <w:tcW w:type="dxa" w:w="907"/>
            <w:vAlign w:val="top"/>
          </w:tcPr>
          <w:p>
            <w:pPr>
              <w:spacing w:after="20" w:line="252" w:lineRule="auto"/>
            </w:pPr>
            <w:r>
              <w:rPr>
                <w:b/>
                <w:i w:val="0"/>
                <w:sz w:val="15"/>
              </w:rPr>
              <w:t>COM-11</w:t>
            </w:r>
          </w:p>
        </w:tc>
        <w:tc>
          <w:tcPr>
            <w:tcW w:type="dxa" w:w="2721"/>
            <w:vAlign w:val="top"/>
          </w:tcPr>
          <w:p>
            <w:pPr>
              <w:spacing w:after="20" w:line="252" w:lineRule="auto"/>
            </w:pPr>
            <w:r>
              <w:rPr>
                <w:b w:val="0"/>
                <w:i w:val="0"/>
                <w:sz w:val="15"/>
              </w:rPr>
              <w:t>Warranty period</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6 months from production go-live under both options, included.</w:t>
            </w:r>
          </w:p>
        </w:tc>
      </w:tr>
      <w:tr>
        <w:trPr>
          <w:cantSplit/>
        </w:trPr>
        <w:tc>
          <w:tcPr>
            <w:tcW w:type="dxa" w:w="907"/>
            <w:vAlign w:val="top"/>
            <w:shd w:val="clear" w:color="auto" w:fill="FDF0F7"/>
          </w:tcPr>
          <w:p>
            <w:pPr>
              <w:spacing w:after="20" w:line="252" w:lineRule="auto"/>
            </w:pPr>
            <w:r>
              <w:rPr>
                <w:b/>
                <w:i w:val="0"/>
                <w:sz w:val="15"/>
              </w:rPr>
              <w:t>COM-12</w:t>
            </w:r>
          </w:p>
        </w:tc>
        <w:tc>
          <w:tcPr>
            <w:tcW w:type="dxa" w:w="2721"/>
            <w:vAlign w:val="top"/>
            <w:shd w:val="clear" w:color="auto" w:fill="FDF0F7"/>
          </w:tcPr>
          <w:p>
            <w:pPr>
              <w:spacing w:after="20" w:line="252" w:lineRule="auto"/>
            </w:pPr>
            <w:r>
              <w:rPr>
                <w:b w:val="0"/>
                <w:i w:val="0"/>
                <w:sz w:val="15"/>
              </w:rPr>
              <w:t>5-year maintenance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Detailed five-year plan. Option A AMC B$31,350 in Year 1 (22% of licence and customisation, +5% a year; B$173,230 over five years). Option B: included in the subscription.</w:t>
            </w:r>
          </w:p>
        </w:tc>
      </w:tr>
      <w:tr>
        <w:trPr>
          <w:cantSplit/>
        </w:trPr>
        <w:tc>
          <w:tcPr>
            <w:tcW w:type="dxa" w:w="907"/>
            <w:vAlign w:val="top"/>
          </w:tcPr>
          <w:p>
            <w:pPr>
              <w:spacing w:after="20" w:line="252" w:lineRule="auto"/>
            </w:pPr>
            <w:r>
              <w:rPr>
                <w:b/>
                <w:i w:val="0"/>
                <w:sz w:val="15"/>
              </w:rPr>
              <w:t>COM-13</w:t>
            </w:r>
          </w:p>
        </w:tc>
        <w:tc>
          <w:tcPr>
            <w:tcW w:type="dxa" w:w="2721"/>
            <w:vAlign w:val="top"/>
          </w:tcPr>
          <w:p>
            <w:pPr>
              <w:spacing w:after="20" w:line="252" w:lineRule="auto"/>
            </w:pPr>
            <w:r>
              <w:rPr>
                <w:b w:val="0"/>
                <w:i w:val="0"/>
                <w:sz w:val="15"/>
              </w:rPr>
              <w:t>Service level agreement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Response, restoration and availability targets committed (Maintenance and Support chapter).</w:t>
            </w:r>
          </w:p>
        </w:tc>
      </w:tr>
      <w:tr>
        <w:trPr>
          <w:cantSplit/>
        </w:trPr>
        <w:tc>
          <w:tcPr>
            <w:tcW w:type="dxa" w:w="907"/>
            <w:vAlign w:val="top"/>
            <w:shd w:val="clear" w:color="auto" w:fill="FDF0F7"/>
          </w:tcPr>
          <w:p>
            <w:pPr>
              <w:spacing w:after="20" w:line="252" w:lineRule="auto"/>
            </w:pPr>
            <w:r>
              <w:rPr>
                <w:b/>
                <w:i w:val="0"/>
                <w:sz w:val="15"/>
              </w:rPr>
              <w:t>COM-14</w:t>
            </w:r>
          </w:p>
        </w:tc>
        <w:tc>
          <w:tcPr>
            <w:tcW w:type="dxa" w:w="2721"/>
            <w:vAlign w:val="top"/>
            <w:shd w:val="clear" w:color="auto" w:fill="FDF0F7"/>
          </w:tcPr>
          <w:p>
            <w:pPr>
              <w:spacing w:after="20" w:line="252" w:lineRule="auto"/>
            </w:pPr>
            <w:r>
              <w:rPr>
                <w:b w:val="0"/>
                <w:i w:val="0"/>
                <w:sz w:val="15"/>
              </w:rPr>
              <w:t>Support hours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Aligned to IIFT business hours with 24x7 for P1 incidents.</w:t>
            </w:r>
          </w:p>
        </w:tc>
      </w:tr>
      <w:tr>
        <w:trPr>
          <w:cantSplit/>
        </w:trPr>
        <w:tc>
          <w:tcPr>
            <w:tcW w:type="dxa" w:w="907"/>
            <w:vAlign w:val="top"/>
          </w:tcPr>
          <w:p>
            <w:pPr>
              <w:spacing w:after="20" w:line="252" w:lineRule="auto"/>
            </w:pPr>
            <w:r>
              <w:rPr>
                <w:b/>
                <w:i w:val="0"/>
                <w:sz w:val="15"/>
              </w:rPr>
              <w:t>COM-15</w:t>
            </w:r>
          </w:p>
        </w:tc>
        <w:tc>
          <w:tcPr>
            <w:tcW w:type="dxa" w:w="2721"/>
            <w:vAlign w:val="top"/>
          </w:tcPr>
          <w:p>
            <w:pPr>
              <w:spacing w:after="20" w:line="252" w:lineRule="auto"/>
            </w:pPr>
            <w:r>
              <w:rPr>
                <w:b w:val="0"/>
                <w:i w:val="0"/>
                <w:sz w:val="15"/>
              </w:rPr>
              <w:t>Critical incident escalation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Four-level escalation matrix with time-based triggers.</w:t>
            </w:r>
          </w:p>
        </w:tc>
      </w:tr>
      <w:tr>
        <w:trPr>
          <w:cantSplit/>
        </w:trPr>
        <w:tc>
          <w:tcPr>
            <w:tcW w:type="dxa" w:w="907"/>
            <w:vAlign w:val="top"/>
            <w:shd w:val="clear" w:color="auto" w:fill="FDF0F7"/>
          </w:tcPr>
          <w:p>
            <w:pPr>
              <w:spacing w:after="20" w:line="252" w:lineRule="auto"/>
            </w:pPr>
            <w:r>
              <w:rPr>
                <w:b/>
                <w:i w:val="0"/>
                <w:sz w:val="15"/>
              </w:rPr>
              <w:t>COM-16</w:t>
            </w:r>
          </w:p>
        </w:tc>
        <w:tc>
          <w:tcPr>
            <w:tcW w:type="dxa" w:w="2721"/>
            <w:vAlign w:val="top"/>
            <w:shd w:val="clear" w:color="auto" w:fill="FDF0F7"/>
          </w:tcPr>
          <w:p>
            <w:pPr>
              <w:spacing w:after="20" w:line="252" w:lineRule="auto"/>
            </w:pPr>
            <w:r>
              <w:rPr>
                <w:b w:val="0"/>
                <w:i w:val="0"/>
                <w:sz w:val="15"/>
              </w:rPr>
              <w:t>Change request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Rate card (B$680 per man-day, B$90 per hour in Year 1, +5% a year) and formal CR process.</w:t>
            </w:r>
          </w:p>
        </w:tc>
      </w:tr>
      <w:tr>
        <w:trPr>
          <w:cantSplit/>
        </w:trPr>
        <w:tc>
          <w:tcPr>
            <w:tcW w:type="dxa" w:w="907"/>
            <w:vAlign w:val="top"/>
          </w:tcPr>
          <w:p>
            <w:pPr>
              <w:spacing w:after="20" w:line="252" w:lineRule="auto"/>
            </w:pPr>
            <w:r>
              <w:rPr>
                <w:b/>
                <w:i w:val="0"/>
                <w:sz w:val="15"/>
              </w:rPr>
              <w:t>COM-17</w:t>
            </w:r>
          </w:p>
        </w:tc>
        <w:tc>
          <w:tcPr>
            <w:tcW w:type="dxa" w:w="2721"/>
            <w:vAlign w:val="top"/>
          </w:tcPr>
          <w:p>
            <w:pPr>
              <w:spacing w:after="20" w:line="252" w:lineRule="auto"/>
            </w:pPr>
            <w:r>
              <w:rPr>
                <w:b w:val="0"/>
                <w:i w:val="0"/>
                <w:sz w:val="15"/>
              </w:rPr>
              <w:t>Third-party dependencies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All third-party products, licences, services and infrastructure disclosed in the Bill of Materials (Annex C and BOM workbook); runtime components open source, B$0; SBOM with every build.</w:t>
            </w:r>
          </w:p>
        </w:tc>
      </w:tr>
      <w:tr>
        <w:trPr>
          <w:cantSplit/>
        </w:trPr>
        <w:tc>
          <w:tcPr>
            <w:tcW w:type="dxa" w:w="907"/>
            <w:vAlign w:val="top"/>
            <w:shd w:val="clear" w:color="auto" w:fill="FDF0F7"/>
          </w:tcPr>
          <w:p>
            <w:pPr>
              <w:spacing w:after="20" w:line="252" w:lineRule="auto"/>
            </w:pPr>
            <w:r>
              <w:rPr>
                <w:b/>
                <w:i w:val="0"/>
                <w:sz w:val="15"/>
              </w:rPr>
              <w:t>COM-18</w:t>
            </w:r>
          </w:p>
        </w:tc>
        <w:tc>
          <w:tcPr>
            <w:tcW w:type="dxa" w:w="2721"/>
            <w:vAlign w:val="top"/>
            <w:shd w:val="clear" w:color="auto" w:fill="FDF0F7"/>
          </w:tcPr>
          <w:p>
            <w:pPr>
              <w:spacing w:after="20" w:line="252" w:lineRule="auto"/>
            </w:pPr>
            <w:r>
              <w:rPr>
                <w:b w:val="0"/>
                <w:i w:val="0"/>
                <w:sz w:val="15"/>
              </w:rPr>
              <w:t>Annual increase</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AMC, subscription, managed services and rate card rise 5% a year, capped at 5%. Cloud and third-party items at actual cost.</w:t>
            </w:r>
          </w:p>
        </w:tc>
      </w:tr>
      <w:tr>
        <w:trPr>
          <w:cantSplit/>
        </w:trPr>
        <w:tc>
          <w:tcPr>
            <w:tcW w:type="dxa" w:w="907"/>
            <w:vAlign w:val="top"/>
          </w:tcPr>
          <w:p>
            <w:pPr>
              <w:spacing w:after="20" w:line="252" w:lineRule="auto"/>
            </w:pPr>
            <w:r>
              <w:rPr>
                <w:b/>
                <w:i w:val="0"/>
                <w:sz w:val="15"/>
              </w:rPr>
              <w:t>COM-19</w:t>
            </w:r>
          </w:p>
        </w:tc>
        <w:tc>
          <w:tcPr>
            <w:tcW w:type="dxa" w:w="2721"/>
            <w:vAlign w:val="top"/>
          </w:tcPr>
          <w:p>
            <w:pPr>
              <w:spacing w:after="20" w:line="252" w:lineRule="auto"/>
            </w:pPr>
            <w:r>
              <w:rPr>
                <w:b w:val="0"/>
                <w:i w:val="0"/>
                <w:sz w:val="15"/>
              </w:rPr>
              <w:t>Exit assistance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Transition, data extraction in open formats and knowledge transfer included in Year 5, at the end of the subscription or on termination.</w:t>
            </w:r>
          </w:p>
        </w:tc>
      </w:tr>
      <w:tr>
        <w:trPr>
          <w:cantSplit/>
        </w:trPr>
        <w:tc>
          <w:tcPr>
            <w:tcW w:type="dxa" w:w="907"/>
            <w:vAlign w:val="top"/>
            <w:shd w:val="clear" w:color="auto" w:fill="FDF0F7"/>
          </w:tcPr>
          <w:p>
            <w:pPr>
              <w:spacing w:after="20" w:line="252" w:lineRule="auto"/>
            </w:pPr>
            <w:r>
              <w:rPr>
                <w:b/>
                <w:i w:val="0"/>
                <w:sz w:val="15"/>
              </w:rPr>
              <w:t>COM-20</w:t>
            </w:r>
          </w:p>
        </w:tc>
        <w:tc>
          <w:tcPr>
            <w:tcW w:type="dxa" w:w="2721"/>
            <w:vAlign w:val="top"/>
            <w:shd w:val="clear" w:color="auto" w:fill="FDF0F7"/>
          </w:tcPr>
          <w:p>
            <w:pPr>
              <w:spacing w:after="20" w:line="252" w:lineRule="auto"/>
            </w:pPr>
            <w:r>
              <w:rPr>
                <w:b w:val="0"/>
                <w:i w:val="0"/>
                <w:sz w:val="15"/>
              </w:rPr>
              <w:t>IP ownership</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SalesVerse 2.0 core remains iorta IP (perpetual licence under Option A, right to use under Option B); IIFT-specific configuration, reports, documentation and data belong to IIFT.</w:t>
            </w:r>
          </w:p>
        </w:tc>
      </w:tr>
      <w:tr>
        <w:trPr>
          <w:cantSplit/>
        </w:trPr>
        <w:tc>
          <w:tcPr>
            <w:tcW w:type="dxa" w:w="907"/>
            <w:vAlign w:val="top"/>
          </w:tcPr>
          <w:p>
            <w:pPr>
              <w:spacing w:after="20" w:line="252" w:lineRule="auto"/>
            </w:pPr>
            <w:r>
              <w:rPr>
                <w:b/>
                <w:i w:val="0"/>
                <w:sz w:val="15"/>
              </w:rPr>
              <w:t>COM-21</w:t>
            </w:r>
          </w:p>
        </w:tc>
        <w:tc>
          <w:tcPr>
            <w:tcW w:type="dxa" w:w="2721"/>
            <w:vAlign w:val="top"/>
          </w:tcPr>
          <w:p>
            <w:pPr>
              <w:spacing w:after="20" w:line="252" w:lineRule="auto"/>
            </w:pPr>
            <w:r>
              <w:rPr>
                <w:b w:val="0"/>
                <w:i w:val="0"/>
                <w:sz w:val="15"/>
              </w:rPr>
              <w:t>Source code</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Source code of IIFT-specific components delivered under every option (DEL-11); core platform source via Option C (B$88,000 with 8-week knowledge transfer) or escrow.</w:t>
            </w:r>
          </w:p>
        </w:tc>
      </w:tr>
      <w:tr>
        <w:trPr>
          <w:cantSplit/>
        </w:trPr>
        <w:tc>
          <w:tcPr>
            <w:tcW w:type="dxa" w:w="907"/>
            <w:vAlign w:val="top"/>
            <w:shd w:val="clear" w:color="auto" w:fill="FDF0F7"/>
          </w:tcPr>
          <w:p>
            <w:pPr>
              <w:spacing w:after="20" w:line="252" w:lineRule="auto"/>
            </w:pPr>
            <w:r>
              <w:rPr>
                <w:b/>
                <w:i w:val="0"/>
                <w:sz w:val="15"/>
              </w:rPr>
              <w:t>COM-22</w:t>
            </w:r>
          </w:p>
        </w:tc>
        <w:tc>
          <w:tcPr>
            <w:tcW w:type="dxa" w:w="2721"/>
            <w:vAlign w:val="top"/>
            <w:shd w:val="clear" w:color="auto" w:fill="FDF0F7"/>
          </w:tcPr>
          <w:p>
            <w:pPr>
              <w:spacing w:after="20" w:line="252" w:lineRule="auto"/>
            </w:pPr>
            <w:r>
              <w:rPr>
                <w:b w:val="0"/>
                <w:i w:val="0"/>
                <w:sz w:val="15"/>
              </w:rPr>
              <w:t>Data ownership</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All business data remains the property of IITH/IIGT/IIFT.</w:t>
            </w:r>
          </w:p>
        </w:tc>
      </w:tr>
      <w:tr>
        <w:trPr>
          <w:cantSplit/>
        </w:trPr>
        <w:tc>
          <w:tcPr>
            <w:tcW w:type="dxa" w:w="907"/>
            <w:vAlign w:val="top"/>
          </w:tcPr>
          <w:p>
            <w:pPr>
              <w:spacing w:after="20" w:line="252" w:lineRule="auto"/>
            </w:pPr>
            <w:r>
              <w:rPr>
                <w:b/>
                <w:i w:val="0"/>
                <w:sz w:val="15"/>
              </w:rPr>
              <w:t>COM-23</w:t>
            </w:r>
          </w:p>
        </w:tc>
        <w:tc>
          <w:tcPr>
            <w:tcW w:type="dxa" w:w="2721"/>
            <w:vAlign w:val="top"/>
          </w:tcPr>
          <w:p>
            <w:pPr>
              <w:spacing w:after="20" w:line="252" w:lineRule="auto"/>
            </w:pPr>
            <w:r>
              <w:rPr>
                <w:b w:val="0"/>
                <w:i w:val="0"/>
                <w:sz w:val="15"/>
              </w:rPr>
              <w:t>Vendor liability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Commercial</w:t>
            </w:r>
          </w:p>
        </w:tc>
        <w:tc>
          <w:tcPr>
            <w:tcW w:type="dxa" w:w="6463"/>
            <w:vAlign w:val="top"/>
          </w:tcPr>
          <w:p>
            <w:pPr>
              <w:spacing w:after="20" w:line="252" w:lineRule="auto"/>
            </w:pPr>
            <w:r>
              <w:rPr>
                <w:b w:val="0"/>
                <w:i w:val="0"/>
                <w:sz w:val="15"/>
              </w:rPr>
              <w:t>Responsibilities, liability and service credits defined in Terms and Conditions.</w:t>
            </w:r>
          </w:p>
        </w:tc>
      </w:tr>
      <w:tr>
        <w:trPr>
          <w:cantSplit/>
        </w:trPr>
        <w:tc>
          <w:tcPr>
            <w:tcW w:type="dxa" w:w="907"/>
            <w:vAlign w:val="top"/>
            <w:shd w:val="clear" w:color="auto" w:fill="FDF0F7"/>
          </w:tcPr>
          <w:p>
            <w:pPr>
              <w:spacing w:after="20" w:line="252" w:lineRule="auto"/>
            </w:pPr>
            <w:r>
              <w:rPr>
                <w:b/>
                <w:i w:val="0"/>
                <w:sz w:val="15"/>
              </w:rPr>
              <w:t>COM-24</w:t>
            </w:r>
          </w:p>
        </w:tc>
        <w:tc>
          <w:tcPr>
            <w:tcW w:type="dxa" w:w="2721"/>
            <w:vAlign w:val="top"/>
            <w:shd w:val="clear" w:color="auto" w:fill="FDF0F7"/>
          </w:tcPr>
          <w:p>
            <w:pPr>
              <w:spacing w:after="20" w:line="252" w:lineRule="auto"/>
            </w:pPr>
            <w:r>
              <w:rPr>
                <w:b w:val="0"/>
                <w:i w:val="0"/>
                <w:sz w:val="15"/>
              </w:rPr>
              <w:t>Vendor BCP</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Commercial</w:t>
            </w:r>
          </w:p>
        </w:tc>
        <w:tc>
          <w:tcPr>
            <w:tcW w:type="dxa" w:w="6463"/>
            <w:vAlign w:val="top"/>
            <w:shd w:val="clear" w:color="auto" w:fill="FDF0F7"/>
          </w:tcPr>
          <w:p>
            <w:pPr>
              <w:spacing w:after="20" w:line="252" w:lineRule="auto"/>
            </w:pPr>
            <w:r>
              <w:rPr>
                <w:b w:val="0"/>
                <w:i w:val="0"/>
                <w:sz w:val="15"/>
              </w:rPr>
              <w:t>iorta business continuity arrangements: code repositories, backup staff, remote support.</w:t>
            </w:r>
          </w:p>
        </w:tc>
      </w:tr>
      <w:tr>
        <w:trPr>
          <w:cantSplit/>
        </w:trPr>
        <w:tc>
          <w:tcPr>
            <w:tcW w:type="dxa" w:w="6463"/>
            <w:gridSpan w:val="6"/>
            <w:shd w:val="clear" w:color="auto" w:fill="FEEBDD"/>
          </w:tcPr>
          <w:p>
            <w:pPr>
              <w:spacing w:after="0"/>
            </w:pPr>
            <w:r>
              <w:rPr>
                <w:b/>
                <w:i w:val="0"/>
                <w:color w:val="333333"/>
                <w:sz w:val="15"/>
              </w:rPr>
              <w:t>RFP 7 – Project deliverables</w:t>
            </w:r>
          </w:p>
        </w:tc>
      </w:tr>
      <w:tr>
        <w:trPr>
          <w:cantSplit/>
        </w:trPr>
        <w:tc>
          <w:tcPr>
            <w:tcW w:type="dxa" w:w="907"/>
            <w:vAlign w:val="top"/>
          </w:tcPr>
          <w:p>
            <w:pPr>
              <w:spacing w:after="20" w:line="252" w:lineRule="auto"/>
            </w:pPr>
            <w:r>
              <w:rPr>
                <w:b/>
                <w:i w:val="0"/>
                <w:sz w:val="15"/>
              </w:rPr>
              <w:t>DEL-01</w:t>
            </w:r>
          </w:p>
        </w:tc>
        <w:tc>
          <w:tcPr>
            <w:tcW w:type="dxa" w:w="2721"/>
            <w:vAlign w:val="top"/>
          </w:tcPr>
          <w:p>
            <w:pPr>
              <w:spacing w:after="20" w:line="252" w:lineRule="auto"/>
            </w:pPr>
            <w:r>
              <w:rPr>
                <w:b w:val="0"/>
                <w:i w:val="0"/>
                <w:sz w:val="15"/>
              </w:rPr>
              <w:t>Project charter</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2: objectives, scope, governance, stakeholders, assumptions, milestones.</w:t>
            </w:r>
          </w:p>
        </w:tc>
      </w:tr>
      <w:tr>
        <w:trPr>
          <w:cantSplit/>
        </w:trPr>
        <w:tc>
          <w:tcPr>
            <w:tcW w:type="dxa" w:w="907"/>
            <w:vAlign w:val="top"/>
            <w:shd w:val="clear" w:color="auto" w:fill="FDF0F7"/>
          </w:tcPr>
          <w:p>
            <w:pPr>
              <w:spacing w:after="20" w:line="252" w:lineRule="auto"/>
            </w:pPr>
            <w:r>
              <w:rPr>
                <w:b/>
                <w:i w:val="0"/>
                <w:sz w:val="15"/>
              </w:rPr>
              <w:t>DEL-02</w:t>
            </w:r>
          </w:p>
        </w:tc>
        <w:tc>
          <w:tcPr>
            <w:tcW w:type="dxa" w:w="2721"/>
            <w:vAlign w:val="top"/>
            <w:shd w:val="clear" w:color="auto" w:fill="FDF0F7"/>
          </w:tcPr>
          <w:p>
            <w:pPr>
              <w:spacing w:after="20" w:line="252" w:lineRule="auto"/>
            </w:pPr>
            <w:r>
              <w:rPr>
                <w:b w:val="0"/>
                <w:i w:val="0"/>
                <w:sz w:val="15"/>
              </w:rPr>
              <w:t>Project plan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 activities, dependencies, resources, timeline; updated fortnightly.</w:t>
            </w:r>
          </w:p>
        </w:tc>
      </w:tr>
      <w:tr>
        <w:trPr>
          <w:cantSplit/>
        </w:trPr>
        <w:tc>
          <w:tcPr>
            <w:tcW w:type="dxa" w:w="907"/>
            <w:vAlign w:val="top"/>
          </w:tcPr>
          <w:p>
            <w:pPr>
              <w:spacing w:after="20" w:line="252" w:lineRule="auto"/>
            </w:pPr>
            <w:r>
              <w:rPr>
                <w:b/>
                <w:i w:val="0"/>
                <w:sz w:val="15"/>
              </w:rPr>
              <w:t>DEL-03</w:t>
            </w:r>
          </w:p>
        </w:tc>
        <w:tc>
          <w:tcPr>
            <w:tcW w:type="dxa" w:w="2721"/>
            <w:vAlign w:val="top"/>
          </w:tcPr>
          <w:p>
            <w:pPr>
              <w:spacing w:after="20" w:line="252" w:lineRule="auto"/>
            </w:pPr>
            <w:r>
              <w:rPr>
                <w:b w:val="0"/>
                <w:i w:val="0"/>
                <w:sz w:val="15"/>
              </w:rPr>
              <w:t>Business requirement specification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4: agreed business requirements and processes (as-is / to-be).</w:t>
            </w:r>
          </w:p>
        </w:tc>
      </w:tr>
      <w:tr>
        <w:trPr>
          <w:cantSplit/>
        </w:trPr>
        <w:tc>
          <w:tcPr>
            <w:tcW w:type="dxa" w:w="907"/>
            <w:vAlign w:val="top"/>
            <w:shd w:val="clear" w:color="auto" w:fill="FDF0F7"/>
          </w:tcPr>
          <w:p>
            <w:pPr>
              <w:spacing w:after="20" w:line="252" w:lineRule="auto"/>
            </w:pPr>
            <w:r>
              <w:rPr>
                <w:b/>
                <w:i w:val="0"/>
                <w:sz w:val="15"/>
              </w:rPr>
              <w:t>DEL-04</w:t>
            </w:r>
          </w:p>
        </w:tc>
        <w:tc>
          <w:tcPr>
            <w:tcW w:type="dxa" w:w="2721"/>
            <w:vAlign w:val="top"/>
            <w:shd w:val="clear" w:color="auto" w:fill="FDF0F7"/>
          </w:tcPr>
          <w:p>
            <w:pPr>
              <w:spacing w:after="20" w:line="252" w:lineRule="auto"/>
            </w:pPr>
            <w:r>
              <w:rPr>
                <w:b w:val="0"/>
                <w:i w:val="0"/>
                <w:sz w:val="15"/>
              </w:rPr>
              <w:t>Functional requirement specification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5: detailed functional behaviour, rules, screens and reports.</w:t>
            </w:r>
          </w:p>
        </w:tc>
      </w:tr>
      <w:tr>
        <w:trPr>
          <w:cantSplit/>
        </w:trPr>
        <w:tc>
          <w:tcPr>
            <w:tcW w:type="dxa" w:w="907"/>
            <w:vAlign w:val="top"/>
          </w:tcPr>
          <w:p>
            <w:pPr>
              <w:spacing w:after="20" w:line="252" w:lineRule="auto"/>
            </w:pPr>
            <w:r>
              <w:rPr>
                <w:b/>
                <w:i w:val="0"/>
                <w:sz w:val="15"/>
              </w:rPr>
              <w:t>DEL-05</w:t>
            </w:r>
          </w:p>
        </w:tc>
        <w:tc>
          <w:tcPr>
            <w:tcW w:type="dxa" w:w="2721"/>
            <w:vAlign w:val="top"/>
          </w:tcPr>
          <w:p>
            <w:pPr>
              <w:spacing w:after="20" w:line="252" w:lineRule="auto"/>
            </w:pPr>
            <w:r>
              <w:rPr>
                <w:b w:val="0"/>
                <w:i w:val="0"/>
                <w:sz w:val="15"/>
              </w:rPr>
              <w:t>Requirements traceability matrix</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6, maintained to closure: requirement → design → build → test → acceptance.</w:t>
            </w:r>
          </w:p>
        </w:tc>
      </w:tr>
      <w:tr>
        <w:trPr>
          <w:cantSplit/>
        </w:trPr>
        <w:tc>
          <w:tcPr>
            <w:tcW w:type="dxa" w:w="907"/>
            <w:vAlign w:val="top"/>
            <w:shd w:val="clear" w:color="auto" w:fill="FDF0F7"/>
          </w:tcPr>
          <w:p>
            <w:pPr>
              <w:spacing w:after="20" w:line="252" w:lineRule="auto"/>
            </w:pPr>
            <w:r>
              <w:rPr>
                <w:b/>
                <w:i w:val="0"/>
                <w:sz w:val="15"/>
              </w:rPr>
              <w:t>DEL-06</w:t>
            </w:r>
          </w:p>
        </w:tc>
        <w:tc>
          <w:tcPr>
            <w:tcW w:type="dxa" w:w="2721"/>
            <w:vAlign w:val="top"/>
            <w:shd w:val="clear" w:color="auto" w:fill="FDF0F7"/>
          </w:tcPr>
          <w:p>
            <w:pPr>
              <w:spacing w:after="20" w:line="252" w:lineRule="auto"/>
            </w:pPr>
            <w:r>
              <w:rPr>
                <w:b w:val="0"/>
                <w:i w:val="0"/>
                <w:sz w:val="15"/>
              </w:rPr>
              <w:t>Solution architecture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6: application, infrastructure, security, integration and deployment architecture.</w:t>
            </w:r>
          </w:p>
        </w:tc>
      </w:tr>
      <w:tr>
        <w:trPr>
          <w:cantSplit/>
        </w:trPr>
        <w:tc>
          <w:tcPr>
            <w:tcW w:type="dxa" w:w="907"/>
            <w:vAlign w:val="top"/>
          </w:tcPr>
          <w:p>
            <w:pPr>
              <w:spacing w:after="20" w:line="252" w:lineRule="auto"/>
            </w:pPr>
            <w:r>
              <w:rPr>
                <w:b/>
                <w:i w:val="0"/>
                <w:sz w:val="15"/>
              </w:rPr>
              <w:t>DEL-07</w:t>
            </w:r>
          </w:p>
        </w:tc>
        <w:tc>
          <w:tcPr>
            <w:tcW w:type="dxa" w:w="2721"/>
            <w:vAlign w:val="top"/>
          </w:tcPr>
          <w:p>
            <w:pPr>
              <w:spacing w:after="20" w:line="252" w:lineRule="auto"/>
            </w:pPr>
            <w:r>
              <w:rPr>
                <w:b w:val="0"/>
                <w:i w:val="0"/>
                <w:sz w:val="15"/>
              </w:rPr>
              <w:t>Technical design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6: components, database, APIs, interfaces and configuration.</w:t>
            </w:r>
          </w:p>
        </w:tc>
      </w:tr>
      <w:tr>
        <w:trPr>
          <w:cantSplit/>
        </w:trPr>
        <w:tc>
          <w:tcPr>
            <w:tcW w:type="dxa" w:w="907"/>
            <w:vAlign w:val="top"/>
            <w:shd w:val="clear" w:color="auto" w:fill="FDF0F7"/>
          </w:tcPr>
          <w:p>
            <w:pPr>
              <w:spacing w:after="20" w:line="252" w:lineRule="auto"/>
            </w:pPr>
            <w:r>
              <w:rPr>
                <w:b/>
                <w:i w:val="0"/>
                <w:sz w:val="15"/>
              </w:rPr>
              <w:t>DEL-08</w:t>
            </w:r>
          </w:p>
        </w:tc>
        <w:tc>
          <w:tcPr>
            <w:tcW w:type="dxa" w:w="2721"/>
            <w:vAlign w:val="top"/>
            <w:shd w:val="clear" w:color="auto" w:fill="FDF0F7"/>
          </w:tcPr>
          <w:p>
            <w:pPr>
              <w:spacing w:after="20" w:line="252" w:lineRule="auto"/>
            </w:pPr>
            <w:r>
              <w:rPr>
                <w:b w:val="0"/>
                <w:i w:val="0"/>
                <w:sz w:val="15"/>
              </w:rPr>
              <w:t>UI/UX design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5: clickable screen designs, navigation and user journeys.</w:t>
            </w:r>
          </w:p>
        </w:tc>
      </w:tr>
      <w:tr>
        <w:trPr>
          <w:cantSplit/>
        </w:trPr>
        <w:tc>
          <w:tcPr>
            <w:tcW w:type="dxa" w:w="907"/>
            <w:vAlign w:val="top"/>
          </w:tcPr>
          <w:p>
            <w:pPr>
              <w:spacing w:after="20" w:line="252" w:lineRule="auto"/>
            </w:pPr>
            <w:r>
              <w:rPr>
                <w:b/>
                <w:i w:val="0"/>
                <w:sz w:val="15"/>
              </w:rPr>
              <w:t>DEL-09</w:t>
            </w:r>
          </w:p>
        </w:tc>
        <w:tc>
          <w:tcPr>
            <w:tcW w:type="dxa" w:w="2721"/>
            <w:vAlign w:val="top"/>
          </w:tcPr>
          <w:p>
            <w:pPr>
              <w:spacing w:after="20" w:line="252" w:lineRule="auto"/>
            </w:pPr>
            <w:r>
              <w:rPr>
                <w:b w:val="0"/>
                <w:i w:val="0"/>
                <w:sz w:val="15"/>
              </w:rPr>
              <w:t>Interface specification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6: APIs, data mappings, methods, security and error handling per interface.</w:t>
            </w:r>
          </w:p>
        </w:tc>
      </w:tr>
      <w:tr>
        <w:trPr>
          <w:cantSplit/>
        </w:trPr>
        <w:tc>
          <w:tcPr>
            <w:tcW w:type="dxa" w:w="907"/>
            <w:vAlign w:val="top"/>
            <w:shd w:val="clear" w:color="auto" w:fill="FDF0F7"/>
          </w:tcPr>
          <w:p>
            <w:pPr>
              <w:spacing w:after="20" w:line="252" w:lineRule="auto"/>
            </w:pPr>
            <w:r>
              <w:rPr>
                <w:b/>
                <w:i w:val="0"/>
                <w:sz w:val="15"/>
              </w:rPr>
              <w:t>DEL-10</w:t>
            </w:r>
          </w:p>
        </w:tc>
        <w:tc>
          <w:tcPr>
            <w:tcW w:type="dxa" w:w="2721"/>
            <w:vAlign w:val="top"/>
            <w:shd w:val="clear" w:color="auto" w:fill="FDF0F7"/>
          </w:tcPr>
          <w:p>
            <w:pPr>
              <w:spacing w:after="20" w:line="252" w:lineRule="auto"/>
            </w:pPr>
            <w:r>
              <w:rPr>
                <w:b w:val="0"/>
                <w:i w:val="0"/>
                <w:sz w:val="15"/>
              </w:rPr>
              <w:t>Configured solution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16: complete portal and back-office, demonstrated sprint by sprint.</w:t>
            </w:r>
          </w:p>
        </w:tc>
      </w:tr>
      <w:tr>
        <w:trPr>
          <w:cantSplit/>
        </w:trPr>
        <w:tc>
          <w:tcPr>
            <w:tcW w:type="dxa" w:w="907"/>
            <w:vAlign w:val="top"/>
          </w:tcPr>
          <w:p>
            <w:pPr>
              <w:spacing w:after="20" w:line="252" w:lineRule="auto"/>
            </w:pPr>
            <w:r>
              <w:rPr>
                <w:b/>
                <w:i w:val="0"/>
                <w:sz w:val="15"/>
              </w:rPr>
              <w:t>DEL-11</w:t>
            </w:r>
          </w:p>
        </w:tc>
        <w:tc>
          <w:tcPr>
            <w:tcW w:type="dxa" w:w="2721"/>
            <w:vAlign w:val="top"/>
          </w:tcPr>
          <w:p>
            <w:pPr>
              <w:spacing w:after="20" w:line="252" w:lineRule="auto"/>
            </w:pPr>
            <w:r>
              <w:rPr>
                <w:b w:val="0"/>
                <w:i w:val="0"/>
                <w:sz w:val="15"/>
              </w:rPr>
              <w:t>Source code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24 and every release, all options: source code of IIFT-specific components (configuration, adapters, reports, templates), build scripts and migrations. Core platform via Option C or escrow.</w:t>
            </w:r>
          </w:p>
        </w:tc>
      </w:tr>
      <w:tr>
        <w:trPr>
          <w:cantSplit/>
        </w:trPr>
        <w:tc>
          <w:tcPr>
            <w:tcW w:type="dxa" w:w="907"/>
            <w:vAlign w:val="top"/>
            <w:shd w:val="clear" w:color="auto" w:fill="FDF0F7"/>
          </w:tcPr>
          <w:p>
            <w:pPr>
              <w:spacing w:after="20" w:line="252" w:lineRule="auto"/>
            </w:pPr>
            <w:r>
              <w:rPr>
                <w:b/>
                <w:i w:val="0"/>
                <w:sz w:val="15"/>
              </w:rPr>
              <w:t>DEL-12</w:t>
            </w:r>
          </w:p>
        </w:tc>
        <w:tc>
          <w:tcPr>
            <w:tcW w:type="dxa" w:w="2721"/>
            <w:vAlign w:val="top"/>
            <w:shd w:val="clear" w:color="auto" w:fill="FDF0F7"/>
          </w:tcPr>
          <w:p>
            <w:pPr>
              <w:spacing w:after="20" w:line="252" w:lineRule="auto"/>
            </w:pPr>
            <w:r>
              <w:rPr>
                <w:b w:val="0"/>
                <w:i w:val="0"/>
                <w:sz w:val="15"/>
              </w:rPr>
              <w:t>Test strategy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6: levels, responsibilities, environments, entry/exit and acceptance criteria.</w:t>
            </w:r>
          </w:p>
        </w:tc>
      </w:tr>
      <w:tr>
        <w:trPr>
          <w:cantSplit/>
        </w:trPr>
        <w:tc>
          <w:tcPr>
            <w:tcW w:type="dxa" w:w="907"/>
            <w:vAlign w:val="top"/>
          </w:tcPr>
          <w:p>
            <w:pPr>
              <w:spacing w:after="20" w:line="252" w:lineRule="auto"/>
            </w:pPr>
            <w:r>
              <w:rPr>
                <w:b/>
                <w:i w:val="0"/>
                <w:sz w:val="15"/>
              </w:rPr>
              <w:t>DEL-13</w:t>
            </w:r>
          </w:p>
        </w:tc>
        <w:tc>
          <w:tcPr>
            <w:tcW w:type="dxa" w:w="2721"/>
            <w:vAlign w:val="top"/>
          </w:tcPr>
          <w:p>
            <w:pPr>
              <w:spacing w:after="20" w:line="252" w:lineRule="auto"/>
            </w:pPr>
            <w:r>
              <w:rPr>
                <w:b w:val="0"/>
                <w:i w:val="0"/>
                <w:sz w:val="15"/>
              </w:rPr>
              <w:t>SIT test cases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14: scenarios and expected results traced to requirements.</w:t>
            </w:r>
          </w:p>
        </w:tc>
      </w:tr>
      <w:tr>
        <w:trPr>
          <w:cantSplit/>
        </w:trPr>
        <w:tc>
          <w:tcPr>
            <w:tcW w:type="dxa" w:w="907"/>
            <w:vAlign w:val="top"/>
            <w:shd w:val="clear" w:color="auto" w:fill="FDF0F7"/>
          </w:tcPr>
          <w:p>
            <w:pPr>
              <w:spacing w:after="20" w:line="252" w:lineRule="auto"/>
            </w:pPr>
            <w:r>
              <w:rPr>
                <w:b/>
                <w:i w:val="0"/>
                <w:sz w:val="15"/>
              </w:rPr>
              <w:t>DEL-14</w:t>
            </w:r>
          </w:p>
        </w:tc>
        <w:tc>
          <w:tcPr>
            <w:tcW w:type="dxa" w:w="2721"/>
            <w:vAlign w:val="top"/>
            <w:shd w:val="clear" w:color="auto" w:fill="FDF0F7"/>
          </w:tcPr>
          <w:p>
            <w:pPr>
              <w:spacing w:after="20" w:line="252" w:lineRule="auto"/>
            </w:pPr>
            <w:r>
              <w:rPr>
                <w:b w:val="0"/>
                <w:i w:val="0"/>
                <w:sz w:val="15"/>
              </w:rPr>
              <w:t>SIT results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19: execution evidence, defect log and closure.</w:t>
            </w:r>
          </w:p>
        </w:tc>
      </w:tr>
      <w:tr>
        <w:trPr>
          <w:cantSplit/>
        </w:trPr>
        <w:tc>
          <w:tcPr>
            <w:tcW w:type="dxa" w:w="907"/>
            <w:vAlign w:val="top"/>
          </w:tcPr>
          <w:p>
            <w:pPr>
              <w:spacing w:after="20" w:line="252" w:lineRule="auto"/>
            </w:pPr>
            <w:r>
              <w:rPr>
                <w:b/>
                <w:i w:val="0"/>
                <w:sz w:val="15"/>
              </w:rPr>
              <w:t>DEL-15</w:t>
            </w:r>
          </w:p>
        </w:tc>
        <w:tc>
          <w:tcPr>
            <w:tcW w:type="dxa" w:w="2721"/>
            <w:vAlign w:val="top"/>
          </w:tcPr>
          <w:p>
            <w:pPr>
              <w:spacing w:after="20" w:line="252" w:lineRule="auto"/>
            </w:pPr>
            <w:r>
              <w:rPr>
                <w:b w:val="0"/>
                <w:i w:val="0"/>
                <w:sz w:val="15"/>
              </w:rPr>
              <w:t>UAT test cases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18: business scenarios prepared with IIFT users.</w:t>
            </w:r>
          </w:p>
        </w:tc>
      </w:tr>
      <w:tr>
        <w:trPr>
          <w:cantSplit/>
        </w:trPr>
        <w:tc>
          <w:tcPr>
            <w:tcW w:type="dxa" w:w="907"/>
            <w:vAlign w:val="top"/>
            <w:shd w:val="clear" w:color="auto" w:fill="FDF0F7"/>
          </w:tcPr>
          <w:p>
            <w:pPr>
              <w:spacing w:after="20" w:line="252" w:lineRule="auto"/>
            </w:pPr>
            <w:r>
              <w:rPr>
                <w:b/>
                <w:i w:val="0"/>
                <w:sz w:val="15"/>
              </w:rPr>
              <w:t>DEL-16</w:t>
            </w:r>
          </w:p>
        </w:tc>
        <w:tc>
          <w:tcPr>
            <w:tcW w:type="dxa" w:w="2721"/>
            <w:vAlign w:val="top"/>
            <w:shd w:val="clear" w:color="auto" w:fill="FDF0F7"/>
          </w:tcPr>
          <w:p>
            <w:pPr>
              <w:spacing w:after="20" w:line="252" w:lineRule="auto"/>
            </w:pPr>
            <w:r>
              <w:rPr>
                <w:b w:val="0"/>
                <w:i w:val="0"/>
                <w:sz w:val="15"/>
              </w:rPr>
              <w:t>UAT results</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22: execution evidence and business sign-off.</w:t>
            </w:r>
          </w:p>
        </w:tc>
      </w:tr>
      <w:tr>
        <w:trPr>
          <w:cantSplit/>
        </w:trPr>
        <w:tc>
          <w:tcPr>
            <w:tcW w:type="dxa" w:w="907"/>
            <w:vAlign w:val="top"/>
          </w:tcPr>
          <w:p>
            <w:pPr>
              <w:spacing w:after="20" w:line="252" w:lineRule="auto"/>
            </w:pPr>
            <w:r>
              <w:rPr>
                <w:b/>
                <w:i w:val="0"/>
                <w:sz w:val="15"/>
              </w:rPr>
              <w:t>DEL-17</w:t>
            </w:r>
          </w:p>
        </w:tc>
        <w:tc>
          <w:tcPr>
            <w:tcW w:type="dxa" w:w="2721"/>
            <w:vAlign w:val="top"/>
          </w:tcPr>
          <w:p>
            <w:pPr>
              <w:spacing w:after="20" w:line="252" w:lineRule="auto"/>
            </w:pPr>
            <w:r>
              <w:rPr>
                <w:b w:val="0"/>
                <w:i w:val="0"/>
                <w:sz w:val="15"/>
              </w:rPr>
              <w:t>Security assessment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19: VAPT report, remediation evidence and re-test results.</w:t>
            </w:r>
          </w:p>
        </w:tc>
      </w:tr>
      <w:tr>
        <w:trPr>
          <w:cantSplit/>
        </w:trPr>
        <w:tc>
          <w:tcPr>
            <w:tcW w:type="dxa" w:w="907"/>
            <w:vAlign w:val="top"/>
            <w:shd w:val="clear" w:color="auto" w:fill="FDF0F7"/>
          </w:tcPr>
          <w:p>
            <w:pPr>
              <w:spacing w:after="20" w:line="252" w:lineRule="auto"/>
            </w:pPr>
            <w:r>
              <w:rPr>
                <w:b/>
                <w:i w:val="0"/>
                <w:sz w:val="15"/>
              </w:rPr>
              <w:t>DEL-18</w:t>
            </w:r>
          </w:p>
        </w:tc>
        <w:tc>
          <w:tcPr>
            <w:tcW w:type="dxa" w:w="2721"/>
            <w:vAlign w:val="top"/>
            <w:shd w:val="clear" w:color="auto" w:fill="FDF0F7"/>
          </w:tcPr>
          <w:p>
            <w:pPr>
              <w:spacing w:after="20" w:line="252" w:lineRule="auto"/>
            </w:pPr>
            <w:r>
              <w:rPr>
                <w:b w:val="0"/>
                <w:i w:val="0"/>
                <w:sz w:val="15"/>
              </w:rPr>
              <w:t>Performance test report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19: load, stress and soak results against NFR targets.</w:t>
            </w:r>
          </w:p>
        </w:tc>
      </w:tr>
      <w:tr>
        <w:trPr>
          <w:cantSplit/>
        </w:trPr>
        <w:tc>
          <w:tcPr>
            <w:tcW w:type="dxa" w:w="907"/>
            <w:vAlign w:val="top"/>
          </w:tcPr>
          <w:p>
            <w:pPr>
              <w:spacing w:after="20" w:line="252" w:lineRule="auto"/>
            </w:pPr>
            <w:r>
              <w:rPr>
                <w:b/>
                <w:i w:val="0"/>
                <w:sz w:val="15"/>
              </w:rPr>
              <w:t>DEL-19</w:t>
            </w:r>
          </w:p>
        </w:tc>
        <w:tc>
          <w:tcPr>
            <w:tcW w:type="dxa" w:w="2721"/>
            <w:vAlign w:val="top"/>
          </w:tcPr>
          <w:p>
            <w:pPr>
              <w:spacing w:after="20" w:line="252" w:lineRule="auto"/>
            </w:pPr>
            <w:r>
              <w:rPr>
                <w:b w:val="0"/>
                <w:i w:val="0"/>
                <w:sz w:val="15"/>
              </w:rPr>
              <w:t>Data migration plan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8: extraction, transformation, validation, migration and reconciliation.</w:t>
            </w:r>
          </w:p>
        </w:tc>
      </w:tr>
      <w:tr>
        <w:trPr>
          <w:cantSplit/>
        </w:trPr>
        <w:tc>
          <w:tcPr>
            <w:tcW w:type="dxa" w:w="907"/>
            <w:vAlign w:val="top"/>
            <w:shd w:val="clear" w:color="auto" w:fill="FDF0F7"/>
          </w:tcPr>
          <w:p>
            <w:pPr>
              <w:spacing w:after="20" w:line="252" w:lineRule="auto"/>
            </w:pPr>
            <w:r>
              <w:rPr>
                <w:b/>
                <w:i w:val="0"/>
                <w:sz w:val="15"/>
              </w:rPr>
              <w:t>DEL-20</w:t>
            </w:r>
          </w:p>
        </w:tc>
        <w:tc>
          <w:tcPr>
            <w:tcW w:type="dxa" w:w="2721"/>
            <w:vAlign w:val="top"/>
            <w:shd w:val="clear" w:color="auto" w:fill="FDF0F7"/>
          </w:tcPr>
          <w:p>
            <w:pPr>
              <w:spacing w:after="20" w:line="252" w:lineRule="auto"/>
            </w:pPr>
            <w:r>
              <w:rPr>
                <w:b w:val="0"/>
                <w:i w:val="0"/>
                <w:sz w:val="15"/>
              </w:rPr>
              <w:t>Deployment plan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21: deployment sequence, responsibilities, rollback and contingency.</w:t>
            </w:r>
          </w:p>
        </w:tc>
      </w:tr>
      <w:tr>
        <w:trPr>
          <w:cantSplit/>
        </w:trPr>
        <w:tc>
          <w:tcPr>
            <w:tcW w:type="dxa" w:w="907"/>
            <w:vAlign w:val="top"/>
          </w:tcPr>
          <w:p>
            <w:pPr>
              <w:spacing w:after="20" w:line="252" w:lineRule="auto"/>
            </w:pPr>
            <w:r>
              <w:rPr>
                <w:b/>
                <w:i w:val="0"/>
                <w:sz w:val="15"/>
              </w:rPr>
              <w:t>DEL-21</w:t>
            </w:r>
          </w:p>
        </w:tc>
        <w:tc>
          <w:tcPr>
            <w:tcW w:type="dxa" w:w="2721"/>
            <w:vAlign w:val="top"/>
          </w:tcPr>
          <w:p>
            <w:pPr>
              <w:spacing w:after="20" w:line="252" w:lineRule="auto"/>
            </w:pPr>
            <w:r>
              <w:rPr>
                <w:b w:val="0"/>
                <w:i w:val="0"/>
                <w:sz w:val="15"/>
              </w:rPr>
              <w:t>Go-live checklist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23: technical, operational, security, business and support readiness.</w:t>
            </w:r>
          </w:p>
        </w:tc>
      </w:tr>
      <w:tr>
        <w:trPr>
          <w:cantSplit/>
        </w:trPr>
        <w:tc>
          <w:tcPr>
            <w:tcW w:type="dxa" w:w="907"/>
            <w:vAlign w:val="top"/>
            <w:shd w:val="clear" w:color="auto" w:fill="FDF0F7"/>
          </w:tcPr>
          <w:p>
            <w:pPr>
              <w:spacing w:after="20" w:line="252" w:lineRule="auto"/>
            </w:pPr>
            <w:r>
              <w:rPr>
                <w:b/>
                <w:i w:val="0"/>
                <w:sz w:val="15"/>
              </w:rPr>
              <w:t>DEL-22</w:t>
            </w:r>
          </w:p>
        </w:tc>
        <w:tc>
          <w:tcPr>
            <w:tcW w:type="dxa" w:w="2721"/>
            <w:vAlign w:val="top"/>
            <w:shd w:val="clear" w:color="auto" w:fill="FDF0F7"/>
          </w:tcPr>
          <w:p>
            <w:pPr>
              <w:spacing w:after="20" w:line="252" w:lineRule="auto"/>
            </w:pPr>
            <w:r>
              <w:rPr>
                <w:b w:val="0"/>
                <w:i w:val="0"/>
                <w:sz w:val="15"/>
              </w:rPr>
              <w:t>User training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Weeks 21–23: agents, banca officers, back-office users and stakeholders.</w:t>
            </w:r>
          </w:p>
        </w:tc>
      </w:tr>
      <w:tr>
        <w:trPr>
          <w:cantSplit/>
        </w:trPr>
        <w:tc>
          <w:tcPr>
            <w:tcW w:type="dxa" w:w="907"/>
            <w:vAlign w:val="top"/>
          </w:tcPr>
          <w:p>
            <w:pPr>
              <w:spacing w:after="20" w:line="252" w:lineRule="auto"/>
            </w:pPr>
            <w:r>
              <w:rPr>
                <w:b/>
                <w:i w:val="0"/>
                <w:sz w:val="15"/>
              </w:rPr>
              <w:t>DEL-23</w:t>
            </w:r>
          </w:p>
        </w:tc>
        <w:tc>
          <w:tcPr>
            <w:tcW w:type="dxa" w:w="2721"/>
            <w:vAlign w:val="top"/>
          </w:tcPr>
          <w:p>
            <w:pPr>
              <w:spacing w:after="20" w:line="252" w:lineRule="auto"/>
            </w:pPr>
            <w:r>
              <w:rPr>
                <w:b w:val="0"/>
                <w:i w:val="0"/>
                <w:sz w:val="15"/>
              </w:rPr>
              <w:t>Administrator training</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Weeks 22–23: system administrators and support personnel.</w:t>
            </w:r>
          </w:p>
        </w:tc>
      </w:tr>
      <w:tr>
        <w:trPr>
          <w:cantSplit/>
        </w:trPr>
        <w:tc>
          <w:tcPr>
            <w:tcW w:type="dxa" w:w="907"/>
            <w:vAlign w:val="top"/>
            <w:shd w:val="clear" w:color="auto" w:fill="FDF0F7"/>
          </w:tcPr>
          <w:p>
            <w:pPr>
              <w:spacing w:after="20" w:line="252" w:lineRule="auto"/>
            </w:pPr>
            <w:r>
              <w:rPr>
                <w:b/>
                <w:i w:val="0"/>
                <w:sz w:val="15"/>
              </w:rPr>
              <w:t>DEL-24</w:t>
            </w:r>
          </w:p>
        </w:tc>
        <w:tc>
          <w:tcPr>
            <w:tcW w:type="dxa" w:w="2721"/>
            <w:vAlign w:val="top"/>
            <w:shd w:val="clear" w:color="auto" w:fill="FDF0F7"/>
          </w:tcPr>
          <w:p>
            <w:pPr>
              <w:spacing w:after="20" w:line="252" w:lineRule="auto"/>
            </w:pPr>
            <w:r>
              <w:rPr>
                <w:b w:val="0"/>
                <w:i w:val="0"/>
                <w:sz w:val="15"/>
              </w:rPr>
              <w:t>User manual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21: portal and back-office user guides with screenshots.</w:t>
            </w:r>
          </w:p>
        </w:tc>
      </w:tr>
      <w:tr>
        <w:trPr>
          <w:cantSplit/>
        </w:trPr>
        <w:tc>
          <w:tcPr>
            <w:tcW w:type="dxa" w:w="907"/>
            <w:vAlign w:val="top"/>
          </w:tcPr>
          <w:p>
            <w:pPr>
              <w:spacing w:after="20" w:line="252" w:lineRule="auto"/>
            </w:pPr>
            <w:r>
              <w:rPr>
                <w:b/>
                <w:i w:val="0"/>
                <w:sz w:val="15"/>
              </w:rPr>
              <w:t>DEL-25</w:t>
            </w:r>
          </w:p>
        </w:tc>
        <w:tc>
          <w:tcPr>
            <w:tcW w:type="dxa" w:w="2721"/>
            <w:vAlign w:val="top"/>
          </w:tcPr>
          <w:p>
            <w:pPr>
              <w:spacing w:after="20" w:line="252" w:lineRule="auto"/>
            </w:pPr>
            <w:r>
              <w:rPr>
                <w:b w:val="0"/>
                <w:i w:val="0"/>
                <w:sz w:val="15"/>
              </w:rPr>
              <w:t>Administrator manual</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21: configuration, user administration and operational support.</w:t>
            </w:r>
          </w:p>
        </w:tc>
      </w:tr>
      <w:tr>
        <w:trPr>
          <w:cantSplit/>
        </w:trPr>
        <w:tc>
          <w:tcPr>
            <w:tcW w:type="dxa" w:w="907"/>
            <w:vAlign w:val="top"/>
            <w:shd w:val="clear" w:color="auto" w:fill="FDF0F7"/>
          </w:tcPr>
          <w:p>
            <w:pPr>
              <w:spacing w:after="20" w:line="252" w:lineRule="auto"/>
            </w:pPr>
            <w:r>
              <w:rPr>
                <w:b/>
                <w:i w:val="0"/>
                <w:sz w:val="15"/>
              </w:rPr>
              <w:t>DEL-26</w:t>
            </w:r>
          </w:p>
        </w:tc>
        <w:tc>
          <w:tcPr>
            <w:tcW w:type="dxa" w:w="2721"/>
            <w:vAlign w:val="top"/>
            <w:shd w:val="clear" w:color="auto" w:fill="FDF0F7"/>
          </w:tcPr>
          <w:p>
            <w:pPr>
              <w:spacing w:after="20" w:line="252" w:lineRule="auto"/>
            </w:pPr>
            <w:r>
              <w:rPr>
                <w:b w:val="0"/>
                <w:i w:val="0"/>
                <w:sz w:val="15"/>
              </w:rPr>
              <w:t>Technical manual</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23: architecture, database, API, integration and deployment.</w:t>
            </w:r>
          </w:p>
        </w:tc>
      </w:tr>
      <w:tr>
        <w:trPr>
          <w:cantSplit/>
        </w:trPr>
        <w:tc>
          <w:tcPr>
            <w:tcW w:type="dxa" w:w="907"/>
            <w:vAlign w:val="top"/>
          </w:tcPr>
          <w:p>
            <w:pPr>
              <w:spacing w:after="20" w:line="252" w:lineRule="auto"/>
            </w:pPr>
            <w:r>
              <w:rPr>
                <w:b/>
                <w:i w:val="0"/>
                <w:sz w:val="15"/>
              </w:rPr>
              <w:t>DEL-27</w:t>
            </w:r>
          </w:p>
        </w:tc>
        <w:tc>
          <w:tcPr>
            <w:tcW w:type="dxa" w:w="2721"/>
            <w:vAlign w:val="top"/>
          </w:tcPr>
          <w:p>
            <w:pPr>
              <w:spacing w:after="20" w:line="252" w:lineRule="auto"/>
            </w:pPr>
            <w:r>
              <w:rPr>
                <w:b w:val="0"/>
                <w:i w:val="0"/>
                <w:sz w:val="15"/>
              </w:rPr>
              <w:t>Operations manual</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 23: monitoring, backup, incident handling and routine operations.</w:t>
            </w:r>
          </w:p>
        </w:tc>
      </w:tr>
      <w:tr>
        <w:trPr>
          <w:cantSplit/>
        </w:trPr>
        <w:tc>
          <w:tcPr>
            <w:tcW w:type="dxa" w:w="907"/>
            <w:vAlign w:val="top"/>
            <w:shd w:val="clear" w:color="auto" w:fill="FDF0F7"/>
          </w:tcPr>
          <w:p>
            <w:pPr>
              <w:spacing w:after="20" w:line="252" w:lineRule="auto"/>
            </w:pPr>
            <w:r>
              <w:rPr>
                <w:b/>
                <w:i w:val="0"/>
                <w:sz w:val="15"/>
              </w:rPr>
              <w:t>DEL-28</w:t>
            </w:r>
          </w:p>
        </w:tc>
        <w:tc>
          <w:tcPr>
            <w:tcW w:type="dxa" w:w="2721"/>
            <w:vAlign w:val="top"/>
            <w:shd w:val="clear" w:color="auto" w:fill="FDF0F7"/>
          </w:tcPr>
          <w:p>
            <w:pPr>
              <w:spacing w:after="20" w:line="252" w:lineRule="auto"/>
            </w:pPr>
            <w:r>
              <w:rPr>
                <w:b w:val="0"/>
                <w:i w:val="0"/>
                <w:sz w:val="15"/>
              </w:rPr>
              <w:t>Production deployment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24: production deployment per approved deployment plan.</w:t>
            </w:r>
          </w:p>
        </w:tc>
      </w:tr>
      <w:tr>
        <w:trPr>
          <w:cantSplit/>
        </w:trPr>
        <w:tc>
          <w:tcPr>
            <w:tcW w:type="dxa" w:w="907"/>
            <w:vAlign w:val="top"/>
          </w:tcPr>
          <w:p>
            <w:pPr>
              <w:spacing w:after="20" w:line="252" w:lineRule="auto"/>
            </w:pPr>
            <w:r>
              <w:rPr>
                <w:b/>
                <w:i w:val="0"/>
                <w:sz w:val="15"/>
              </w:rPr>
              <w:t>DEL-29</w:t>
            </w:r>
          </w:p>
        </w:tc>
        <w:tc>
          <w:tcPr>
            <w:tcW w:type="dxa" w:w="2721"/>
            <w:vAlign w:val="top"/>
          </w:tcPr>
          <w:p>
            <w:pPr>
              <w:spacing w:after="20" w:line="252" w:lineRule="auto"/>
            </w:pPr>
            <w:r>
              <w:rPr>
                <w:b w:val="0"/>
                <w:i w:val="0"/>
                <w:sz w:val="15"/>
              </w:rPr>
              <w:t>Go-live support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Weeks 25–28: hypercare with daily checks and priority defect fixing.</w:t>
            </w:r>
          </w:p>
        </w:tc>
      </w:tr>
      <w:tr>
        <w:trPr>
          <w:cantSplit/>
        </w:trPr>
        <w:tc>
          <w:tcPr>
            <w:tcW w:type="dxa" w:w="907"/>
            <w:vAlign w:val="top"/>
            <w:shd w:val="clear" w:color="auto" w:fill="FDF0F7"/>
          </w:tcPr>
          <w:p>
            <w:pPr>
              <w:spacing w:after="20" w:line="252" w:lineRule="auto"/>
            </w:pPr>
            <w:r>
              <w:rPr>
                <w:b/>
                <w:i w:val="0"/>
                <w:sz w:val="15"/>
              </w:rPr>
              <w:t>DEL-30</w:t>
            </w:r>
          </w:p>
        </w:tc>
        <w:tc>
          <w:tcPr>
            <w:tcW w:type="dxa" w:w="2721"/>
            <w:vAlign w:val="top"/>
            <w:shd w:val="clear" w:color="auto" w:fill="FDF0F7"/>
          </w:tcPr>
          <w:p>
            <w:pPr>
              <w:spacing w:after="20" w:line="252" w:lineRule="auto"/>
            </w:pPr>
            <w:r>
              <w:rPr>
                <w:b w:val="0"/>
                <w:i w:val="0"/>
                <w:sz w:val="15"/>
              </w:rPr>
              <w:t>Project closure report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Week 28: final status, outstanding items, lessons learned, formal acceptance.</w:t>
            </w:r>
          </w:p>
        </w:tc>
      </w:tr>
      <w:tr>
        <w:trPr>
          <w:cantSplit/>
        </w:trPr>
        <w:tc>
          <w:tcPr>
            <w:tcW w:type="dxa" w:w="6463"/>
            <w:gridSpan w:val="6"/>
            <w:shd w:val="clear" w:color="auto" w:fill="FEEBDD"/>
          </w:tcPr>
          <w:p>
            <w:pPr>
              <w:spacing w:after="0"/>
            </w:pPr>
            <w:r>
              <w:rPr>
                <w:b/>
                <w:i w:val="0"/>
                <w:color w:val="333333"/>
                <w:sz w:val="15"/>
              </w:rPr>
              <w:t>RFP 8 – Five-year maintenance &amp; support requirements</w:t>
            </w:r>
          </w:p>
        </w:tc>
      </w:tr>
      <w:tr>
        <w:trPr>
          <w:cantSplit/>
        </w:trPr>
        <w:tc>
          <w:tcPr>
            <w:tcW w:type="dxa" w:w="907"/>
            <w:vAlign w:val="top"/>
          </w:tcPr>
          <w:p>
            <w:pPr>
              <w:spacing w:after="20" w:line="252" w:lineRule="auto"/>
            </w:pPr>
            <w:r>
              <w:rPr>
                <w:b/>
                <w:i w:val="0"/>
                <w:sz w:val="15"/>
              </w:rPr>
              <w:t>MNT-01</w:t>
            </w:r>
          </w:p>
        </w:tc>
        <w:tc>
          <w:tcPr>
            <w:tcW w:type="dxa" w:w="2721"/>
            <w:vAlign w:val="top"/>
          </w:tcPr>
          <w:p>
            <w:pPr>
              <w:spacing w:after="20" w:line="252" w:lineRule="auto"/>
            </w:pPr>
            <w:r>
              <w:rPr>
                <w:b w:val="0"/>
                <w:i w:val="0"/>
                <w:sz w:val="15"/>
              </w:rPr>
              <w:t>Helpdesk support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Service desk via portal issue module, e-mail and phone for five years.</w:t>
            </w:r>
          </w:p>
        </w:tc>
      </w:tr>
      <w:tr>
        <w:trPr>
          <w:cantSplit/>
        </w:trPr>
        <w:tc>
          <w:tcPr>
            <w:tcW w:type="dxa" w:w="907"/>
            <w:vAlign w:val="top"/>
            <w:shd w:val="clear" w:color="auto" w:fill="FDF0F7"/>
          </w:tcPr>
          <w:p>
            <w:pPr>
              <w:spacing w:after="20" w:line="252" w:lineRule="auto"/>
            </w:pPr>
            <w:r>
              <w:rPr>
                <w:b/>
                <w:i w:val="0"/>
                <w:sz w:val="15"/>
              </w:rPr>
              <w:t>MNT-02</w:t>
            </w:r>
          </w:p>
        </w:tc>
        <w:tc>
          <w:tcPr>
            <w:tcW w:type="dxa" w:w="2721"/>
            <w:vAlign w:val="top"/>
            <w:shd w:val="clear" w:color="auto" w:fill="FDF0F7"/>
          </w:tcPr>
          <w:p>
            <w:pPr>
              <w:spacing w:after="20" w:line="252" w:lineRule="auto"/>
            </w:pPr>
            <w:r>
              <w:rPr>
                <w:b w:val="0"/>
                <w:i w:val="0"/>
                <w:sz w:val="15"/>
              </w:rPr>
              <w:t>Incident management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Record, classify, investigate, resolve and close incidents per ITIL-aligned procedure.</w:t>
            </w:r>
          </w:p>
        </w:tc>
      </w:tr>
      <w:tr>
        <w:trPr>
          <w:cantSplit/>
        </w:trPr>
        <w:tc>
          <w:tcPr>
            <w:tcW w:type="dxa" w:w="907"/>
            <w:vAlign w:val="top"/>
          </w:tcPr>
          <w:p>
            <w:pPr>
              <w:spacing w:after="20" w:line="252" w:lineRule="auto"/>
            </w:pPr>
            <w:r>
              <w:rPr>
                <w:b/>
                <w:i w:val="0"/>
                <w:sz w:val="15"/>
              </w:rPr>
              <w:t>MNT-03</w:t>
            </w:r>
          </w:p>
        </w:tc>
        <w:tc>
          <w:tcPr>
            <w:tcW w:type="dxa" w:w="2721"/>
            <w:vAlign w:val="top"/>
          </w:tcPr>
          <w:p>
            <w:pPr>
              <w:spacing w:after="20" w:line="252" w:lineRule="auto"/>
            </w:pPr>
            <w:r>
              <w:rPr>
                <w:b w:val="0"/>
                <w:i w:val="0"/>
                <w:sz w:val="15"/>
              </w:rPr>
              <w:t>Problem management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Root-cause analysis for P1/P2 and recurring incidents with corrective actions.</w:t>
            </w:r>
          </w:p>
        </w:tc>
      </w:tr>
      <w:tr>
        <w:trPr>
          <w:cantSplit/>
        </w:trPr>
        <w:tc>
          <w:tcPr>
            <w:tcW w:type="dxa" w:w="907"/>
            <w:vAlign w:val="top"/>
            <w:shd w:val="clear" w:color="auto" w:fill="FDF0F7"/>
          </w:tcPr>
          <w:p>
            <w:pPr>
              <w:spacing w:after="20" w:line="252" w:lineRule="auto"/>
            </w:pPr>
            <w:r>
              <w:rPr>
                <w:b/>
                <w:i w:val="0"/>
                <w:sz w:val="15"/>
              </w:rPr>
              <w:t>MNT-04</w:t>
            </w:r>
          </w:p>
        </w:tc>
        <w:tc>
          <w:tcPr>
            <w:tcW w:type="dxa" w:w="2721"/>
            <w:vAlign w:val="top"/>
            <w:shd w:val="clear" w:color="auto" w:fill="FDF0F7"/>
          </w:tcPr>
          <w:p>
            <w:pPr>
              <w:spacing w:after="20" w:line="252" w:lineRule="auto"/>
            </w:pPr>
            <w:r>
              <w:rPr>
                <w:b w:val="0"/>
                <w:i w:val="0"/>
                <w:sz w:val="15"/>
              </w:rPr>
              <w:t>Service request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User support, configuration and operational assistance requests handled.</w:t>
            </w:r>
          </w:p>
        </w:tc>
      </w:tr>
      <w:tr>
        <w:trPr>
          <w:cantSplit/>
        </w:trPr>
        <w:tc>
          <w:tcPr>
            <w:tcW w:type="dxa" w:w="907"/>
            <w:vAlign w:val="top"/>
          </w:tcPr>
          <w:p>
            <w:pPr>
              <w:spacing w:after="20" w:line="252" w:lineRule="auto"/>
            </w:pPr>
            <w:r>
              <w:rPr>
                <w:b/>
                <w:i w:val="0"/>
                <w:sz w:val="15"/>
              </w:rPr>
              <w:t>MNT-05</w:t>
            </w:r>
          </w:p>
        </w:tc>
        <w:tc>
          <w:tcPr>
            <w:tcW w:type="dxa" w:w="2721"/>
            <w:vAlign w:val="top"/>
          </w:tcPr>
          <w:p>
            <w:pPr>
              <w:spacing w:after="20" w:line="252" w:lineRule="auto"/>
            </w:pPr>
            <w:r>
              <w:rPr>
                <w:b w:val="0"/>
                <w:i w:val="0"/>
                <w:sz w:val="15"/>
              </w:rPr>
              <w:t>Critical incident SLA</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P1: 30-min response, 4-h restoration, 24x7, immediate escalation.</w:t>
            </w:r>
          </w:p>
        </w:tc>
      </w:tr>
      <w:tr>
        <w:trPr>
          <w:cantSplit/>
        </w:trPr>
        <w:tc>
          <w:tcPr>
            <w:tcW w:type="dxa" w:w="907"/>
            <w:vAlign w:val="top"/>
            <w:shd w:val="clear" w:color="auto" w:fill="FDF0F7"/>
          </w:tcPr>
          <w:p>
            <w:pPr>
              <w:spacing w:after="20" w:line="252" w:lineRule="auto"/>
            </w:pPr>
            <w:r>
              <w:rPr>
                <w:b/>
                <w:i w:val="0"/>
                <w:sz w:val="15"/>
              </w:rPr>
              <w:t>MNT-06</w:t>
            </w:r>
          </w:p>
        </w:tc>
        <w:tc>
          <w:tcPr>
            <w:tcW w:type="dxa" w:w="2721"/>
            <w:vAlign w:val="top"/>
            <w:shd w:val="clear" w:color="auto" w:fill="FDF0F7"/>
          </w:tcPr>
          <w:p>
            <w:pPr>
              <w:spacing w:after="20" w:line="252" w:lineRule="auto"/>
            </w:pPr>
            <w:r>
              <w:rPr>
                <w:b w:val="0"/>
                <w:i w:val="0"/>
                <w:sz w:val="15"/>
              </w:rPr>
              <w:t>High-priority SLA</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P2: 2-h response, resolution within 1 business day.</w:t>
            </w:r>
          </w:p>
        </w:tc>
      </w:tr>
      <w:tr>
        <w:trPr>
          <w:cantSplit/>
        </w:trPr>
        <w:tc>
          <w:tcPr>
            <w:tcW w:type="dxa" w:w="907"/>
            <w:vAlign w:val="top"/>
          </w:tcPr>
          <w:p>
            <w:pPr>
              <w:spacing w:after="20" w:line="252" w:lineRule="auto"/>
            </w:pPr>
            <w:r>
              <w:rPr>
                <w:b/>
                <w:i w:val="0"/>
                <w:sz w:val="15"/>
              </w:rPr>
              <w:t>MNT-07</w:t>
            </w:r>
          </w:p>
        </w:tc>
        <w:tc>
          <w:tcPr>
            <w:tcW w:type="dxa" w:w="2721"/>
            <w:vAlign w:val="top"/>
          </w:tcPr>
          <w:p>
            <w:pPr>
              <w:spacing w:after="20" w:line="252" w:lineRule="auto"/>
            </w:pPr>
            <w:r>
              <w:rPr>
                <w:b w:val="0"/>
                <w:i w:val="0"/>
                <w:sz w:val="15"/>
              </w:rPr>
              <w:t>Medium/Low/Cosmetic SLA</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P3: 4 business hours / 3 business days; P4: 1 business day / next release.</w:t>
            </w:r>
          </w:p>
        </w:tc>
      </w:tr>
      <w:tr>
        <w:trPr>
          <w:cantSplit/>
        </w:trPr>
        <w:tc>
          <w:tcPr>
            <w:tcW w:type="dxa" w:w="907"/>
            <w:vAlign w:val="top"/>
            <w:shd w:val="clear" w:color="auto" w:fill="FDF0F7"/>
          </w:tcPr>
          <w:p>
            <w:pPr>
              <w:spacing w:after="20" w:line="252" w:lineRule="auto"/>
            </w:pPr>
            <w:r>
              <w:rPr>
                <w:b/>
                <w:i w:val="0"/>
                <w:sz w:val="15"/>
              </w:rPr>
              <w:t>MNT-08</w:t>
            </w:r>
          </w:p>
        </w:tc>
        <w:tc>
          <w:tcPr>
            <w:tcW w:type="dxa" w:w="2721"/>
            <w:vAlign w:val="top"/>
            <w:shd w:val="clear" w:color="auto" w:fill="FDF0F7"/>
          </w:tcPr>
          <w:p>
            <w:pPr>
              <w:spacing w:after="20" w:line="252" w:lineRule="auto"/>
            </w:pPr>
            <w:r>
              <w:rPr>
                <w:b w:val="0"/>
                <w:i w:val="0"/>
                <w:sz w:val="15"/>
              </w:rPr>
              <w:t>Bug fixing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Defects fixed under warranty (6 months) and maintenance thereafter.</w:t>
            </w:r>
          </w:p>
        </w:tc>
      </w:tr>
      <w:tr>
        <w:trPr>
          <w:cantSplit/>
        </w:trPr>
        <w:tc>
          <w:tcPr>
            <w:tcW w:type="dxa" w:w="907"/>
            <w:vAlign w:val="top"/>
          </w:tcPr>
          <w:p>
            <w:pPr>
              <w:spacing w:after="20" w:line="252" w:lineRule="auto"/>
            </w:pPr>
            <w:r>
              <w:rPr>
                <w:b/>
                <w:i w:val="0"/>
                <w:sz w:val="15"/>
              </w:rPr>
              <w:t>MNT-09</w:t>
            </w:r>
          </w:p>
        </w:tc>
        <w:tc>
          <w:tcPr>
            <w:tcW w:type="dxa" w:w="2721"/>
            <w:vAlign w:val="top"/>
          </w:tcPr>
          <w:p>
            <w:pPr>
              <w:spacing w:after="20" w:line="252" w:lineRule="auto"/>
            </w:pPr>
            <w:r>
              <w:rPr>
                <w:b w:val="0"/>
                <w:i w:val="0"/>
                <w:sz w:val="15"/>
              </w:rPr>
              <w:t>Corrective maintenance</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Corrective changes to maintain functionality included.</w:t>
            </w:r>
          </w:p>
        </w:tc>
      </w:tr>
      <w:tr>
        <w:trPr>
          <w:cantSplit/>
        </w:trPr>
        <w:tc>
          <w:tcPr>
            <w:tcW w:type="dxa" w:w="907"/>
            <w:vAlign w:val="top"/>
            <w:shd w:val="clear" w:color="auto" w:fill="FDF0F7"/>
          </w:tcPr>
          <w:p>
            <w:pPr>
              <w:spacing w:after="20" w:line="252" w:lineRule="auto"/>
            </w:pPr>
            <w:r>
              <w:rPr>
                <w:b/>
                <w:i w:val="0"/>
                <w:sz w:val="15"/>
              </w:rPr>
              <w:t>MNT-10</w:t>
            </w:r>
          </w:p>
        </w:tc>
        <w:tc>
          <w:tcPr>
            <w:tcW w:type="dxa" w:w="2721"/>
            <w:vAlign w:val="top"/>
            <w:shd w:val="clear" w:color="auto" w:fill="FDF0F7"/>
          </w:tcPr>
          <w:p>
            <w:pPr>
              <w:spacing w:after="20" w:line="252" w:lineRule="auto"/>
            </w:pPr>
            <w:r>
              <w:rPr>
                <w:b w:val="0"/>
                <w:i w:val="0"/>
                <w:sz w:val="15"/>
              </w:rPr>
              <w:t>Preventive maintenance</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Monthly health checks, log and capacity review, proactive fixes.</w:t>
            </w:r>
          </w:p>
        </w:tc>
      </w:tr>
      <w:tr>
        <w:trPr>
          <w:cantSplit/>
        </w:trPr>
        <w:tc>
          <w:tcPr>
            <w:tcW w:type="dxa" w:w="907"/>
            <w:vAlign w:val="top"/>
          </w:tcPr>
          <w:p>
            <w:pPr>
              <w:spacing w:after="20" w:line="252" w:lineRule="auto"/>
            </w:pPr>
            <w:r>
              <w:rPr>
                <w:b/>
                <w:i w:val="0"/>
                <w:sz w:val="15"/>
              </w:rPr>
              <w:t>MNT-11</w:t>
            </w:r>
          </w:p>
        </w:tc>
        <w:tc>
          <w:tcPr>
            <w:tcW w:type="dxa" w:w="2721"/>
            <w:vAlign w:val="top"/>
          </w:tcPr>
          <w:p>
            <w:pPr>
              <w:spacing w:after="20" w:line="252" w:lineRule="auto"/>
            </w:pPr>
            <w:r>
              <w:rPr>
                <w:b w:val="0"/>
                <w:i w:val="0"/>
                <w:sz w:val="15"/>
              </w:rPr>
              <w:t>Security patches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Application, framework and dependency patches; monthly cycle, emergency as needed.</w:t>
            </w:r>
          </w:p>
        </w:tc>
      </w:tr>
      <w:tr>
        <w:trPr>
          <w:cantSplit/>
        </w:trPr>
        <w:tc>
          <w:tcPr>
            <w:tcW w:type="dxa" w:w="907"/>
            <w:vAlign w:val="top"/>
            <w:shd w:val="clear" w:color="auto" w:fill="FDF0F7"/>
          </w:tcPr>
          <w:p>
            <w:pPr>
              <w:spacing w:after="20" w:line="252" w:lineRule="auto"/>
            </w:pPr>
            <w:r>
              <w:rPr>
                <w:b/>
                <w:i w:val="0"/>
                <w:sz w:val="15"/>
              </w:rPr>
              <w:t>MNT-12</w:t>
            </w:r>
          </w:p>
        </w:tc>
        <w:tc>
          <w:tcPr>
            <w:tcW w:type="dxa" w:w="2721"/>
            <w:vAlign w:val="top"/>
            <w:shd w:val="clear" w:color="auto" w:fill="FDF0F7"/>
          </w:tcPr>
          <w:p>
            <w:pPr>
              <w:spacing w:after="20" w:line="252" w:lineRule="auto"/>
            </w:pPr>
            <w:r>
              <w:rPr>
                <w:b w:val="0"/>
                <w:i w:val="0"/>
                <w:sz w:val="15"/>
              </w:rPr>
              <w:t>Vulnerability remediation</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Critical ≤ 7 days, High ≤ 14 days, Medium ≤ 30 days, Low ≤ 90 days.</w:t>
            </w:r>
          </w:p>
        </w:tc>
      </w:tr>
      <w:tr>
        <w:trPr>
          <w:cantSplit/>
        </w:trPr>
        <w:tc>
          <w:tcPr>
            <w:tcW w:type="dxa" w:w="907"/>
            <w:vAlign w:val="top"/>
          </w:tcPr>
          <w:p>
            <w:pPr>
              <w:spacing w:after="20" w:line="252" w:lineRule="auto"/>
            </w:pPr>
            <w:r>
              <w:rPr>
                <w:b/>
                <w:i w:val="0"/>
                <w:sz w:val="15"/>
              </w:rPr>
              <w:t>MNT-13</w:t>
            </w:r>
          </w:p>
        </w:tc>
        <w:tc>
          <w:tcPr>
            <w:tcW w:type="dxa" w:w="2721"/>
            <w:vAlign w:val="top"/>
          </w:tcPr>
          <w:p>
            <w:pPr>
              <w:spacing w:after="20" w:line="252" w:lineRule="auto"/>
            </w:pPr>
            <w:r>
              <w:rPr>
                <w:b w:val="0"/>
                <w:i w:val="0"/>
                <w:sz w:val="15"/>
              </w:rPr>
              <w:t>Certificate management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Certificate inventory, expiry alerts and renewal support.</w:t>
            </w:r>
          </w:p>
        </w:tc>
      </w:tr>
      <w:tr>
        <w:trPr>
          <w:cantSplit/>
        </w:trPr>
        <w:tc>
          <w:tcPr>
            <w:tcW w:type="dxa" w:w="907"/>
            <w:vAlign w:val="top"/>
            <w:shd w:val="clear" w:color="auto" w:fill="FDF0F7"/>
          </w:tcPr>
          <w:p>
            <w:pPr>
              <w:spacing w:after="20" w:line="252" w:lineRule="auto"/>
            </w:pPr>
            <w:r>
              <w:rPr>
                <w:b/>
                <w:i w:val="0"/>
                <w:sz w:val="15"/>
              </w:rPr>
              <w:t>MNT-14</w:t>
            </w:r>
          </w:p>
        </w:tc>
        <w:tc>
          <w:tcPr>
            <w:tcW w:type="dxa" w:w="2721"/>
            <w:vAlign w:val="top"/>
            <w:shd w:val="clear" w:color="auto" w:fill="FDF0F7"/>
          </w:tcPr>
          <w:p>
            <w:pPr>
              <w:spacing w:after="20" w:line="252" w:lineRule="auto"/>
            </w:pPr>
            <w:r>
              <w:rPr>
                <w:b w:val="0"/>
                <w:i w:val="0"/>
                <w:sz w:val="15"/>
              </w:rPr>
              <w:t>OS/platform compatibility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Compatibility with supported OS, container runtime, Node.js and PostgreSQL versions.</w:t>
            </w:r>
          </w:p>
        </w:tc>
      </w:tr>
      <w:tr>
        <w:trPr>
          <w:cantSplit/>
        </w:trPr>
        <w:tc>
          <w:tcPr>
            <w:tcW w:type="dxa" w:w="907"/>
            <w:vAlign w:val="top"/>
          </w:tcPr>
          <w:p>
            <w:pPr>
              <w:spacing w:after="20" w:line="252" w:lineRule="auto"/>
            </w:pPr>
            <w:r>
              <w:rPr>
                <w:b/>
                <w:i w:val="0"/>
                <w:sz w:val="15"/>
              </w:rPr>
              <w:t>MNT-15</w:t>
            </w:r>
          </w:p>
        </w:tc>
        <w:tc>
          <w:tcPr>
            <w:tcW w:type="dxa" w:w="2721"/>
            <w:vAlign w:val="top"/>
          </w:tcPr>
          <w:p>
            <w:pPr>
              <w:spacing w:after="20" w:line="252" w:lineRule="auto"/>
            </w:pPr>
            <w:r>
              <w:rPr>
                <w:b w:val="0"/>
                <w:i w:val="0"/>
                <w:sz w:val="15"/>
              </w:rPr>
              <w:t>Browser compatibility</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Compatibility maintained with supported browser versions.</w:t>
            </w:r>
          </w:p>
        </w:tc>
      </w:tr>
      <w:tr>
        <w:trPr>
          <w:cantSplit/>
        </w:trPr>
        <w:tc>
          <w:tcPr>
            <w:tcW w:type="dxa" w:w="907"/>
            <w:vAlign w:val="top"/>
            <w:shd w:val="clear" w:color="auto" w:fill="FDF0F7"/>
          </w:tcPr>
          <w:p>
            <w:pPr>
              <w:spacing w:after="20" w:line="252" w:lineRule="auto"/>
            </w:pPr>
            <w:r>
              <w:rPr>
                <w:b/>
                <w:i w:val="0"/>
                <w:sz w:val="15"/>
              </w:rPr>
              <w:t>MNT-16</w:t>
            </w:r>
          </w:p>
        </w:tc>
        <w:tc>
          <w:tcPr>
            <w:tcW w:type="dxa" w:w="2721"/>
            <w:vAlign w:val="top"/>
            <w:shd w:val="clear" w:color="auto" w:fill="FDF0F7"/>
          </w:tcPr>
          <w:p>
            <w:pPr>
              <w:spacing w:after="20" w:line="252" w:lineRule="auto"/>
            </w:pPr>
            <w:r>
              <w:rPr>
                <w:b w:val="0"/>
                <w:i w:val="0"/>
                <w:sz w:val="15"/>
              </w:rPr>
              <w:t>Database maintenance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Health checks, vacuum/index optimisation, query tuning, upgrade support.</w:t>
            </w:r>
          </w:p>
        </w:tc>
      </w:tr>
      <w:tr>
        <w:trPr>
          <w:cantSplit/>
        </w:trPr>
        <w:tc>
          <w:tcPr>
            <w:tcW w:type="dxa" w:w="907"/>
            <w:vAlign w:val="top"/>
          </w:tcPr>
          <w:p>
            <w:pPr>
              <w:spacing w:after="20" w:line="252" w:lineRule="auto"/>
            </w:pPr>
            <w:r>
              <w:rPr>
                <w:b/>
                <w:i w:val="0"/>
                <w:sz w:val="15"/>
              </w:rPr>
              <w:t>MNT-17</w:t>
            </w:r>
          </w:p>
        </w:tc>
        <w:tc>
          <w:tcPr>
            <w:tcW w:type="dxa" w:w="2721"/>
            <w:vAlign w:val="top"/>
          </w:tcPr>
          <w:p>
            <w:pPr>
              <w:spacing w:after="20" w:line="252" w:lineRule="auto"/>
            </w:pPr>
            <w:r>
              <w:rPr>
                <w:b w:val="0"/>
                <w:i w:val="0"/>
                <w:sz w:val="15"/>
              </w:rPr>
              <w:t>Performance monitoring</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Monthly performance review and optimisation recommendations.</w:t>
            </w:r>
          </w:p>
        </w:tc>
      </w:tr>
      <w:tr>
        <w:trPr>
          <w:cantSplit/>
        </w:trPr>
        <w:tc>
          <w:tcPr>
            <w:tcW w:type="dxa" w:w="907"/>
            <w:vAlign w:val="top"/>
            <w:shd w:val="clear" w:color="auto" w:fill="FDF0F7"/>
          </w:tcPr>
          <w:p>
            <w:pPr>
              <w:spacing w:after="20" w:line="252" w:lineRule="auto"/>
            </w:pPr>
            <w:r>
              <w:rPr>
                <w:b/>
                <w:i w:val="0"/>
                <w:sz w:val="15"/>
              </w:rPr>
              <w:t>MNT-18</w:t>
            </w:r>
          </w:p>
        </w:tc>
        <w:tc>
          <w:tcPr>
            <w:tcW w:type="dxa" w:w="2721"/>
            <w:vAlign w:val="top"/>
            <w:shd w:val="clear" w:color="auto" w:fill="FDF0F7"/>
          </w:tcPr>
          <w:p>
            <w:pPr>
              <w:spacing w:after="20" w:line="252" w:lineRule="auto"/>
            </w:pPr>
            <w:r>
              <w:rPr>
                <w:b w:val="0"/>
                <w:i w:val="0"/>
                <w:sz w:val="15"/>
              </w:rPr>
              <w:t>System monitoring</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Availability and critical component monitoring with alerting.</w:t>
            </w:r>
          </w:p>
        </w:tc>
      </w:tr>
      <w:tr>
        <w:trPr>
          <w:cantSplit/>
        </w:trPr>
        <w:tc>
          <w:tcPr>
            <w:tcW w:type="dxa" w:w="907"/>
            <w:vAlign w:val="top"/>
          </w:tcPr>
          <w:p>
            <w:pPr>
              <w:spacing w:after="20" w:line="252" w:lineRule="auto"/>
            </w:pPr>
            <w:r>
              <w:rPr>
                <w:b/>
                <w:i w:val="0"/>
                <w:sz w:val="15"/>
              </w:rPr>
              <w:t>MNT-19</w:t>
            </w:r>
          </w:p>
        </w:tc>
        <w:tc>
          <w:tcPr>
            <w:tcW w:type="dxa" w:w="2721"/>
            <w:vAlign w:val="top"/>
          </w:tcPr>
          <w:p>
            <w:pPr>
              <w:spacing w:after="20" w:line="252" w:lineRule="auto"/>
            </w:pPr>
            <w:r>
              <w:rPr>
                <w:b w:val="0"/>
                <w:i w:val="0"/>
                <w:sz w:val="15"/>
              </w:rPr>
              <w:t>Backup verification</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Quarterly restore test and backup job verification.</w:t>
            </w:r>
          </w:p>
        </w:tc>
      </w:tr>
      <w:tr>
        <w:trPr>
          <w:cantSplit/>
        </w:trPr>
        <w:tc>
          <w:tcPr>
            <w:tcW w:type="dxa" w:w="907"/>
            <w:vAlign w:val="top"/>
            <w:shd w:val="clear" w:color="auto" w:fill="FDF0F7"/>
          </w:tcPr>
          <w:p>
            <w:pPr>
              <w:spacing w:after="20" w:line="252" w:lineRule="auto"/>
            </w:pPr>
            <w:r>
              <w:rPr>
                <w:b/>
                <w:i w:val="0"/>
                <w:sz w:val="15"/>
              </w:rPr>
              <w:t>MNT-20</w:t>
            </w:r>
          </w:p>
        </w:tc>
        <w:tc>
          <w:tcPr>
            <w:tcW w:type="dxa" w:w="2721"/>
            <w:vAlign w:val="top"/>
            <w:shd w:val="clear" w:color="auto" w:fill="FDF0F7"/>
          </w:tcPr>
          <w:p>
            <w:pPr>
              <w:spacing w:after="20" w:line="252" w:lineRule="auto"/>
            </w:pPr>
            <w:r>
              <w:rPr>
                <w:b w:val="0"/>
                <w:i w:val="0"/>
                <w:sz w:val="15"/>
              </w:rPr>
              <w:t>Disaster recovery</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Participation in DR planning and annual DR test.</w:t>
            </w:r>
          </w:p>
        </w:tc>
      </w:tr>
      <w:tr>
        <w:trPr>
          <w:cantSplit/>
        </w:trPr>
        <w:tc>
          <w:tcPr>
            <w:tcW w:type="dxa" w:w="907"/>
            <w:vAlign w:val="top"/>
          </w:tcPr>
          <w:p>
            <w:pPr>
              <w:spacing w:after="20" w:line="252" w:lineRule="auto"/>
            </w:pPr>
            <w:r>
              <w:rPr>
                <w:b/>
                <w:i w:val="0"/>
                <w:sz w:val="15"/>
              </w:rPr>
              <w:t>MNT-21</w:t>
            </w:r>
          </w:p>
        </w:tc>
        <w:tc>
          <w:tcPr>
            <w:tcW w:type="dxa" w:w="2721"/>
            <w:vAlign w:val="top"/>
          </w:tcPr>
          <w:p>
            <w:pPr>
              <w:spacing w:after="20" w:line="252" w:lineRule="auto"/>
            </w:pPr>
            <w:r>
              <w:rPr>
                <w:b w:val="0"/>
                <w:i w:val="0"/>
                <w:sz w:val="15"/>
              </w:rPr>
              <w:t>Release management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Releases follow agreed testing, CAB approval and deployment procedures.</w:t>
            </w:r>
          </w:p>
        </w:tc>
      </w:tr>
      <w:tr>
        <w:trPr>
          <w:cantSplit/>
        </w:trPr>
        <w:tc>
          <w:tcPr>
            <w:tcW w:type="dxa" w:w="907"/>
            <w:vAlign w:val="top"/>
            <w:shd w:val="clear" w:color="auto" w:fill="FDF0F7"/>
          </w:tcPr>
          <w:p>
            <w:pPr>
              <w:spacing w:after="20" w:line="252" w:lineRule="auto"/>
            </w:pPr>
            <w:r>
              <w:rPr>
                <w:b/>
                <w:i w:val="0"/>
                <w:sz w:val="15"/>
              </w:rPr>
              <w:t>MNT-22</w:t>
            </w:r>
          </w:p>
        </w:tc>
        <w:tc>
          <w:tcPr>
            <w:tcW w:type="dxa" w:w="2721"/>
            <w:vAlign w:val="top"/>
            <w:shd w:val="clear" w:color="auto" w:fill="FDF0F7"/>
          </w:tcPr>
          <w:p>
            <w:pPr>
              <w:spacing w:after="20" w:line="252" w:lineRule="auto"/>
            </w:pPr>
            <w:r>
              <w:rPr>
                <w:b w:val="0"/>
                <w:i w:val="0"/>
                <w:sz w:val="15"/>
              </w:rPr>
              <w:t>Version upgrade</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Application and platform upgrades during the maintenance period included.</w:t>
            </w:r>
          </w:p>
        </w:tc>
      </w:tr>
      <w:tr>
        <w:trPr>
          <w:cantSplit/>
        </w:trPr>
        <w:tc>
          <w:tcPr>
            <w:tcW w:type="dxa" w:w="907"/>
            <w:vAlign w:val="top"/>
          </w:tcPr>
          <w:p>
            <w:pPr>
              <w:spacing w:after="20" w:line="252" w:lineRule="auto"/>
            </w:pPr>
            <w:r>
              <w:rPr>
                <w:b/>
                <w:i w:val="0"/>
                <w:sz w:val="15"/>
              </w:rPr>
              <w:t>MNT-23</w:t>
            </w:r>
          </w:p>
        </w:tc>
        <w:tc>
          <w:tcPr>
            <w:tcW w:type="dxa" w:w="2721"/>
            <w:vAlign w:val="top"/>
          </w:tcPr>
          <w:p>
            <w:pPr>
              <w:spacing w:after="20" w:line="252" w:lineRule="auto"/>
            </w:pPr>
            <w:r>
              <w:rPr>
                <w:b w:val="0"/>
                <w:i w:val="0"/>
                <w:sz w:val="15"/>
              </w:rPr>
              <w:t>Minor enhancement</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60 hours per year of minor enhancements included; beyond that per rate card.</w:t>
            </w:r>
          </w:p>
        </w:tc>
      </w:tr>
      <w:tr>
        <w:trPr>
          <w:cantSplit/>
        </w:trPr>
        <w:tc>
          <w:tcPr>
            <w:tcW w:type="dxa" w:w="907"/>
            <w:vAlign w:val="top"/>
            <w:shd w:val="clear" w:color="auto" w:fill="FDF0F7"/>
          </w:tcPr>
          <w:p>
            <w:pPr>
              <w:spacing w:after="20" w:line="252" w:lineRule="auto"/>
            </w:pPr>
            <w:r>
              <w:rPr>
                <w:b/>
                <w:i w:val="0"/>
                <w:sz w:val="15"/>
              </w:rPr>
              <w:t>MNT-24</w:t>
            </w:r>
          </w:p>
        </w:tc>
        <w:tc>
          <w:tcPr>
            <w:tcW w:type="dxa" w:w="2721"/>
            <w:vAlign w:val="top"/>
            <w:shd w:val="clear" w:color="auto" w:fill="FDF0F7"/>
          </w:tcPr>
          <w:p>
            <w:pPr>
              <w:spacing w:after="20" w:line="252" w:lineRule="auto"/>
            </w:pPr>
            <w:r>
              <w:rPr>
                <w:b w:val="0"/>
                <w:i w:val="0"/>
                <w:sz w:val="15"/>
              </w:rPr>
              <w:t>Change request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Formal CR: impact assessment, quotation, approval, delivery.</w:t>
            </w:r>
          </w:p>
        </w:tc>
      </w:tr>
      <w:tr>
        <w:trPr>
          <w:cantSplit/>
        </w:trPr>
        <w:tc>
          <w:tcPr>
            <w:tcW w:type="dxa" w:w="907"/>
            <w:vAlign w:val="top"/>
          </w:tcPr>
          <w:p>
            <w:pPr>
              <w:spacing w:after="20" w:line="252" w:lineRule="auto"/>
            </w:pPr>
            <w:r>
              <w:rPr>
                <w:b/>
                <w:i w:val="0"/>
                <w:sz w:val="15"/>
              </w:rPr>
              <w:t>MNT-25</w:t>
            </w:r>
          </w:p>
        </w:tc>
        <w:tc>
          <w:tcPr>
            <w:tcW w:type="dxa" w:w="2721"/>
            <w:vAlign w:val="top"/>
          </w:tcPr>
          <w:p>
            <w:pPr>
              <w:spacing w:after="20" w:line="252" w:lineRule="auto"/>
            </w:pPr>
            <w:r>
              <w:rPr>
                <w:b w:val="0"/>
                <w:i w:val="0"/>
                <w:sz w:val="15"/>
              </w:rPr>
              <w:t>Monthly service report</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Incidents, SLA performance, availability, changes and outstanding issues.</w:t>
            </w:r>
          </w:p>
        </w:tc>
      </w:tr>
      <w:tr>
        <w:trPr>
          <w:cantSplit/>
        </w:trPr>
        <w:tc>
          <w:tcPr>
            <w:tcW w:type="dxa" w:w="907"/>
            <w:vAlign w:val="top"/>
            <w:shd w:val="clear" w:color="auto" w:fill="FDF0F7"/>
          </w:tcPr>
          <w:p>
            <w:pPr>
              <w:spacing w:after="20" w:line="252" w:lineRule="auto"/>
            </w:pPr>
            <w:r>
              <w:rPr>
                <w:b/>
                <w:i w:val="0"/>
                <w:sz w:val="15"/>
              </w:rPr>
              <w:t>MNT-26</w:t>
            </w:r>
          </w:p>
        </w:tc>
        <w:tc>
          <w:tcPr>
            <w:tcW w:type="dxa" w:w="2721"/>
            <w:vAlign w:val="top"/>
            <w:shd w:val="clear" w:color="auto" w:fill="FDF0F7"/>
          </w:tcPr>
          <w:p>
            <w:pPr>
              <w:spacing w:after="20" w:line="252" w:lineRule="auto"/>
            </w:pPr>
            <w:r>
              <w:rPr>
                <w:b w:val="0"/>
                <w:i w:val="0"/>
                <w:sz w:val="15"/>
              </w:rPr>
              <w:t>Quarterly review</w:t>
            </w:r>
          </w:p>
        </w:tc>
        <w:tc>
          <w:tcPr>
            <w:tcW w:type="dxa" w:w="794"/>
            <w:vAlign w:val="top"/>
            <w:shd w:val="clear" w:color="auto" w:fill="FDF0F7"/>
          </w:tcPr>
          <w:p>
            <w:pPr>
              <w:spacing w:after="20" w:line="252" w:lineRule="auto"/>
              <w:jc w:val="center"/>
            </w:pPr>
            <w:r>
              <w:rPr>
                <w:b w:val="0"/>
                <w:i w:val="0"/>
                <w:sz w:val="15"/>
              </w:rPr>
              <w:t>Should</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Quarterly service review with improvement plan.</w:t>
            </w:r>
          </w:p>
        </w:tc>
      </w:tr>
      <w:tr>
        <w:trPr>
          <w:cantSplit/>
        </w:trPr>
        <w:tc>
          <w:tcPr>
            <w:tcW w:type="dxa" w:w="907"/>
            <w:vAlign w:val="top"/>
          </w:tcPr>
          <w:p>
            <w:pPr>
              <w:spacing w:after="20" w:line="252" w:lineRule="auto"/>
            </w:pPr>
            <w:r>
              <w:rPr>
                <w:b/>
                <w:i w:val="0"/>
                <w:sz w:val="15"/>
              </w:rPr>
              <w:t>MNT-27</w:t>
            </w:r>
          </w:p>
        </w:tc>
        <w:tc>
          <w:tcPr>
            <w:tcW w:type="dxa" w:w="2721"/>
            <w:vAlign w:val="top"/>
          </w:tcPr>
          <w:p>
            <w:pPr>
              <w:spacing w:after="20" w:line="252" w:lineRule="auto"/>
            </w:pPr>
            <w:r>
              <w:rPr>
                <w:b w:val="0"/>
                <w:i w:val="0"/>
                <w:sz w:val="15"/>
              </w:rPr>
              <w:t>Documentation updates</w:t>
            </w:r>
          </w:p>
        </w:tc>
        <w:tc>
          <w:tcPr>
            <w:tcW w:type="dxa" w:w="794"/>
            <w:vAlign w:val="top"/>
          </w:tcPr>
          <w:p>
            <w:pPr>
              <w:spacing w:after="20" w:line="252" w:lineRule="auto"/>
              <w:jc w:val="center"/>
            </w:pPr>
            <w:r>
              <w:rPr>
                <w:b w:val="0"/>
                <w:i w:val="0"/>
                <w:sz w:val="15"/>
              </w:rPr>
              <w:t>Must</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System, technical and operational documents updated after material changes.</w:t>
            </w:r>
          </w:p>
        </w:tc>
      </w:tr>
      <w:tr>
        <w:trPr>
          <w:cantSplit/>
        </w:trPr>
        <w:tc>
          <w:tcPr>
            <w:tcW w:type="dxa" w:w="907"/>
            <w:vAlign w:val="top"/>
            <w:shd w:val="clear" w:color="auto" w:fill="FDF0F7"/>
          </w:tcPr>
          <w:p>
            <w:pPr>
              <w:spacing w:after="20" w:line="252" w:lineRule="auto"/>
            </w:pPr>
            <w:r>
              <w:rPr>
                <w:b/>
                <w:i w:val="0"/>
                <w:sz w:val="15"/>
              </w:rPr>
              <w:t>MNT-28</w:t>
            </w:r>
          </w:p>
        </w:tc>
        <w:tc>
          <w:tcPr>
            <w:tcW w:type="dxa" w:w="2721"/>
            <w:vAlign w:val="top"/>
            <w:shd w:val="clear" w:color="auto" w:fill="FDF0F7"/>
          </w:tcPr>
          <w:p>
            <w:pPr>
              <w:spacing w:after="20" w:line="252" w:lineRule="auto"/>
            </w:pPr>
            <w:r>
              <w:rPr>
                <w:b w:val="0"/>
                <w:i w:val="0"/>
                <w:sz w:val="15"/>
              </w:rPr>
              <w:t>Knowledge transfer</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Ongoing knowledge transfer sessions to IIFT/IITH support staff.</w:t>
            </w:r>
          </w:p>
        </w:tc>
      </w:tr>
      <w:tr>
        <w:trPr>
          <w:cantSplit/>
        </w:trPr>
        <w:tc>
          <w:tcPr>
            <w:tcW w:type="dxa" w:w="907"/>
            <w:vAlign w:val="top"/>
          </w:tcPr>
          <w:p>
            <w:pPr>
              <w:spacing w:after="20" w:line="252" w:lineRule="auto"/>
            </w:pPr>
            <w:r>
              <w:rPr>
                <w:b/>
                <w:i w:val="0"/>
                <w:sz w:val="15"/>
              </w:rPr>
              <w:t>MNT-29</w:t>
            </w:r>
          </w:p>
        </w:tc>
        <w:tc>
          <w:tcPr>
            <w:tcW w:type="dxa" w:w="2721"/>
            <w:vAlign w:val="top"/>
          </w:tcPr>
          <w:p>
            <w:pPr>
              <w:spacing w:after="20" w:line="252" w:lineRule="auto"/>
            </w:pPr>
            <w:r>
              <w:rPr>
                <w:b w:val="0"/>
                <w:i w:val="0"/>
                <w:sz w:val="15"/>
              </w:rPr>
              <w:t>Onsite support</w:t>
            </w:r>
          </w:p>
        </w:tc>
        <w:tc>
          <w:tcPr>
            <w:tcW w:type="dxa" w:w="794"/>
            <w:vAlign w:val="top"/>
          </w:tcPr>
          <w:p>
            <w:pPr>
              <w:spacing w:after="20" w:line="252" w:lineRule="auto"/>
              <w:jc w:val="center"/>
            </w:pPr>
            <w:r>
              <w:rPr>
                <w:b w:val="0"/>
                <w:i w:val="0"/>
                <w:sz w:val="15"/>
              </w:rPr>
              <w:t>Should</w:t>
            </w:r>
          </w:p>
        </w:tc>
        <w:tc>
          <w:tcPr>
            <w:tcW w:type="dxa" w:w="1757"/>
            <w:vAlign w:val="top"/>
          </w:tcPr>
          <w:p>
            <w:pPr>
              <w:spacing w:after="20" w:line="252" w:lineRule="auto"/>
            </w:pPr>
            <w:r>
              <w:rPr>
                <w:b w:val="0"/>
                <w:i w:val="0"/>
                <w:sz w:val="15"/>
              </w:rPr>
              <w:t>Fully Compliant</w:t>
            </w:r>
          </w:p>
        </w:tc>
        <w:tc>
          <w:tcPr>
            <w:tcW w:type="dxa" w:w="1928"/>
            <w:vAlign w:val="top"/>
          </w:tcPr>
          <w:p>
            <w:pPr>
              <w:spacing w:after="20" w:line="252" w:lineRule="auto"/>
            </w:pPr>
            <w:r>
              <w:rPr>
                <w:b w:val="0"/>
                <w:i w:val="0"/>
                <w:sz w:val="15"/>
              </w:rPr>
              <w:t>Delivered during implementation</w:t>
            </w:r>
          </w:p>
        </w:tc>
        <w:tc>
          <w:tcPr>
            <w:tcW w:type="dxa" w:w="6463"/>
            <w:vAlign w:val="top"/>
          </w:tcPr>
          <w:p>
            <w:pPr>
              <w:spacing w:after="20" w:line="252" w:lineRule="auto"/>
            </w:pPr>
            <w:r>
              <w:rPr>
                <w:b w:val="0"/>
                <w:i w:val="0"/>
                <w:sz w:val="15"/>
              </w:rPr>
              <w:t>Onsite support for major incidents or upgrades at the rate card plus OPE; planned onsite phases per the OPE schedule.</w:t>
            </w:r>
          </w:p>
        </w:tc>
      </w:tr>
      <w:tr>
        <w:trPr>
          <w:cantSplit/>
        </w:trPr>
        <w:tc>
          <w:tcPr>
            <w:tcW w:type="dxa" w:w="907"/>
            <w:vAlign w:val="top"/>
            <w:shd w:val="clear" w:color="auto" w:fill="FDF0F7"/>
          </w:tcPr>
          <w:p>
            <w:pPr>
              <w:spacing w:after="20" w:line="252" w:lineRule="auto"/>
            </w:pPr>
            <w:r>
              <w:rPr>
                <w:b/>
                <w:i w:val="0"/>
                <w:sz w:val="15"/>
              </w:rPr>
              <w:t>MNT-30</w:t>
            </w:r>
          </w:p>
        </w:tc>
        <w:tc>
          <w:tcPr>
            <w:tcW w:type="dxa" w:w="2721"/>
            <w:vAlign w:val="top"/>
            <w:shd w:val="clear" w:color="auto" w:fill="FDF0F7"/>
          </w:tcPr>
          <w:p>
            <w:pPr>
              <w:spacing w:after="20" w:line="252" w:lineRule="auto"/>
            </w:pPr>
            <w:r>
              <w:rPr>
                <w:b w:val="0"/>
                <w:i w:val="0"/>
                <w:sz w:val="15"/>
              </w:rPr>
              <w:t>Transition support</w:t>
            </w:r>
          </w:p>
        </w:tc>
        <w:tc>
          <w:tcPr>
            <w:tcW w:type="dxa" w:w="794"/>
            <w:vAlign w:val="top"/>
            <w:shd w:val="clear" w:color="auto" w:fill="FDF0F7"/>
          </w:tcPr>
          <w:p>
            <w:pPr>
              <w:spacing w:after="20" w:line="252" w:lineRule="auto"/>
              <w:jc w:val="center"/>
            </w:pPr>
            <w:r>
              <w:rPr>
                <w:b w:val="0"/>
                <w:i w:val="0"/>
                <w:sz w:val="15"/>
              </w:rPr>
              <w:t>Must</w:t>
            </w:r>
          </w:p>
        </w:tc>
        <w:tc>
          <w:tcPr>
            <w:tcW w:type="dxa" w:w="1757"/>
            <w:vAlign w:val="top"/>
            <w:shd w:val="clear" w:color="auto" w:fill="FDF0F7"/>
          </w:tcPr>
          <w:p>
            <w:pPr>
              <w:spacing w:after="20" w:line="252" w:lineRule="auto"/>
            </w:pPr>
            <w:r>
              <w:rPr>
                <w:b w:val="0"/>
                <w:i w:val="0"/>
                <w:sz w:val="15"/>
              </w:rPr>
              <w:t>Fully Compliant</w:t>
            </w:r>
          </w:p>
        </w:tc>
        <w:tc>
          <w:tcPr>
            <w:tcW w:type="dxa" w:w="1928"/>
            <w:vAlign w:val="top"/>
            <w:shd w:val="clear" w:color="auto" w:fill="FDF0F7"/>
          </w:tcPr>
          <w:p>
            <w:pPr>
              <w:spacing w:after="20" w:line="252" w:lineRule="auto"/>
            </w:pPr>
            <w:r>
              <w:rPr>
                <w:b w:val="0"/>
                <w:i w:val="0"/>
                <w:sz w:val="15"/>
              </w:rPr>
              <w:t>Delivered during implementation</w:t>
            </w:r>
          </w:p>
        </w:tc>
        <w:tc>
          <w:tcPr>
            <w:tcW w:type="dxa" w:w="6463"/>
            <w:vAlign w:val="top"/>
            <w:shd w:val="clear" w:color="auto" w:fill="FDF0F7"/>
          </w:tcPr>
          <w:p>
            <w:pPr>
              <w:spacing w:after="20" w:line="252" w:lineRule="auto"/>
            </w:pPr>
            <w:r>
              <w:rPr>
                <w:b w:val="0"/>
                <w:i w:val="0"/>
                <w:sz w:val="15"/>
              </w:rPr>
              <w:t>Year 5 knowledge transfer, documentation and technical assistance for transition.</w:t>
            </w:r>
          </w:p>
        </w:tc>
      </w:tr>
    </w:tbl>
    <w:p>
      <w:pPr>
        <w:pStyle w:val="Caption"/>
        <w:jc w:val="center"/>
      </w:pPr>
      <w:r>
        <w:rPr>
          <w:b w:val="0"/>
          <w:i w:val="0"/>
        </w:rPr>
        <w:t>Table 68: Requirements compliance and fitment matrix</w:t>
      </w:r>
    </w:p>
    <w:p>
      <w:pPr>
        <w:sectPr>
          <w:headerReference w:type="default" r:id="rId54"/>
          <w:footerReference w:type="default" r:id="rId55"/>
          <w:pgSz w:w="16838" w:h="11906" w:orient="landscape"/>
          <w:pgMar w:top="1247" w:right="1134" w:bottom="1134" w:left="1134" w:header="567" w:footer="567" w:gutter="0"/>
          <w:cols w:space="720"/>
          <w:docGrid w:linePitch="360"/>
        </w:sectPr>
      </w:pPr>
    </w:p>
    <w:p>
      <w:pPr>
        <w:pStyle w:val="Heading1"/>
        <w:pageBreakBefore w:val="0"/>
        <w:pBdr>
          <w:bottom w:val="single" w:sz="12" w:space="4" w:color="F58220"/>
        </w:pBdr>
      </w:pPr>
      <w:r>
        <w:t>Annex B – Curricula Vitae of Key Personnel</w:t>
      </w:r>
    </w:p>
    <w:p>
      <w:pPr>
        <w:keepNext w:val="0"/>
      </w:pPr>
      <w:r>
        <w:rPr>
          <w:b w:val="0"/>
          <w:i w:val="0"/>
        </w:rPr>
        <w:t xml:space="preserve">Key personnel from Section 21 are summarised below; full CVs are attached. </w:t>
      </w:r>
      <w:r>
        <w:rPr>
          <w:b w:val="0"/>
          <w:i w:val="0"/>
          <w:highlight w:val="yellow"/>
        </w:rPr>
        <w:t>[Complete the table and attach one CV per person.]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1587"/>
        <w:gridCol w:w="1927"/>
        <w:gridCol w:w="1587"/>
        <w:gridCol w:w="2608"/>
      </w:tblGrid>
      <w:tr>
        <w:trPr>
          <w:cantSplit/>
          <w:tblHeader/>
        </w:trPr>
        <w:tc>
          <w:tcPr>
            <w:tcW w:type="dxa" w:w="1928"/>
            <w:shd w:val="clear" w:color="auto" w:fill="E1058C"/>
            <w:vAlign w:val="center"/>
          </w:tcPr>
          <w:p>
            <w:pPr>
              <w:spacing w:after="0"/>
            </w:pPr>
            <w:r>
              <w:rPr>
                <w:b/>
                <w:i w:val="0"/>
                <w:color w:val="FFFFFF"/>
                <w:sz w:val="16"/>
              </w:rPr>
              <w:t>Proposed role</w:t>
            </w:r>
          </w:p>
        </w:tc>
        <w:tc>
          <w:tcPr>
            <w:tcW w:type="dxa" w:w="1587"/>
            <w:shd w:val="clear" w:color="auto" w:fill="E1058C"/>
            <w:vAlign w:val="center"/>
          </w:tcPr>
          <w:p>
            <w:pPr>
              <w:spacing w:after="0"/>
            </w:pPr>
            <w:r>
              <w:rPr>
                <w:b/>
                <w:i w:val="0"/>
                <w:color w:val="FFFFFF"/>
                <w:sz w:val="16"/>
              </w:rPr>
              <w:t>Name</w:t>
            </w:r>
          </w:p>
        </w:tc>
        <w:tc>
          <w:tcPr>
            <w:tcW w:type="dxa" w:w="1928"/>
            <w:shd w:val="clear" w:color="auto" w:fill="E1058C"/>
            <w:vAlign w:val="center"/>
          </w:tcPr>
          <w:p>
            <w:pPr>
              <w:spacing w:after="0"/>
            </w:pPr>
            <w:r>
              <w:rPr>
                <w:b/>
                <w:i w:val="0"/>
                <w:color w:val="FFFFFF"/>
                <w:sz w:val="16"/>
              </w:rPr>
              <w:t>Qualifications</w:t>
            </w:r>
          </w:p>
        </w:tc>
        <w:tc>
          <w:tcPr>
            <w:tcW w:type="dxa" w:w="1587"/>
            <w:shd w:val="clear" w:color="auto" w:fill="E1058C"/>
            <w:vAlign w:val="center"/>
          </w:tcPr>
          <w:p>
            <w:pPr>
              <w:spacing w:after="0"/>
            </w:pPr>
            <w:r>
              <w:rPr>
                <w:b/>
                <w:i w:val="0"/>
                <w:color w:val="FFFFFF"/>
                <w:sz w:val="16"/>
              </w:rPr>
              <w:t>Years of experience (insurance/Takaful)</w:t>
            </w:r>
          </w:p>
        </w:tc>
        <w:tc>
          <w:tcPr>
            <w:tcW w:type="dxa" w:w="2608"/>
            <w:shd w:val="clear" w:color="auto" w:fill="E1058C"/>
            <w:vAlign w:val="center"/>
          </w:tcPr>
          <w:p>
            <w:pPr>
              <w:spacing w:after="0"/>
            </w:pPr>
            <w:r>
              <w:rPr>
                <w:b/>
                <w:i w:val="0"/>
                <w:color w:val="FFFFFF"/>
                <w:sz w:val="16"/>
              </w:rPr>
              <w:t>Relevant projects (project, client, role, year)</w:t>
            </w:r>
          </w:p>
        </w:tc>
      </w:tr>
      <w:tr>
        <w:trPr>
          <w:cantSplit/>
        </w:trPr>
        <w:tc>
          <w:tcPr>
            <w:tcW w:type="dxa" w:w="1928"/>
            <w:vAlign w:val="top"/>
          </w:tcPr>
          <w:p>
            <w:pPr>
              <w:spacing w:after="20" w:line="252" w:lineRule="auto"/>
            </w:pPr>
            <w:r>
              <w:rPr>
                <w:b/>
                <w:i w:val="0"/>
                <w:sz w:val="16"/>
              </w:rPr>
              <w:t>Project Manager</w:t>
            </w:r>
          </w:p>
        </w:tc>
        <w:tc>
          <w:tcPr>
            <w:tcW w:type="dxa" w:w="1587"/>
            <w:vAlign w:val="top"/>
          </w:tcPr>
          <w:p>
            <w:pPr>
              <w:spacing w:after="20" w:line="252" w:lineRule="auto"/>
            </w:pPr>
            <w:r>
              <w:rPr>
                <w:b w:val="0"/>
                <w:i w:val="0"/>
                <w:sz w:val="16"/>
                <w:highlight w:val="yellow"/>
              </w:rPr>
              <w:t>[Full name]</w:t>
            </w:r>
          </w:p>
        </w:tc>
        <w:tc>
          <w:tcPr>
            <w:tcW w:type="dxa" w:w="1928"/>
            <w:vAlign w:val="top"/>
          </w:tcPr>
          <w:p>
            <w:pPr>
              <w:spacing w:after="20" w:line="252" w:lineRule="auto"/>
            </w:pPr>
            <w:r>
              <w:rPr>
                <w:b w:val="0"/>
                <w:i w:val="0"/>
                <w:sz w:val="16"/>
                <w:highlight w:val="yellow"/>
              </w:rPr>
              <w:t>[Degrees, certifications]</w:t>
            </w:r>
          </w:p>
        </w:tc>
        <w:tc>
          <w:tcPr>
            <w:tcW w:type="dxa" w:w="1587"/>
            <w:vAlign w:val="top"/>
          </w:tcPr>
          <w:p>
            <w:pPr>
              <w:spacing w:after="20" w:line="252" w:lineRule="auto"/>
            </w:pPr>
            <w:r>
              <w:rPr>
                <w:b w:val="0"/>
                <w:i w:val="0"/>
                <w:sz w:val="16"/>
                <w:highlight w:val="yellow"/>
              </w:rPr>
              <w:t>[Years]</w:t>
            </w:r>
          </w:p>
        </w:tc>
        <w:tc>
          <w:tcPr>
            <w:tcW w:type="dxa" w:w="2608"/>
            <w:vAlign w:val="top"/>
          </w:tcPr>
          <w:p>
            <w:pPr>
              <w:spacing w:after="20" w:line="252" w:lineRule="auto"/>
            </w:pPr>
            <w:r>
              <w:rPr>
                <w:b w:val="0"/>
                <w:i w:val="0"/>
                <w:sz w:val="16"/>
                <w:highlight w:val="yellow"/>
              </w:rPr>
              <w:t>[3 to 5 projects]</w:t>
            </w:r>
          </w:p>
        </w:tc>
      </w:tr>
      <w:tr>
        <w:trPr>
          <w:cantSplit/>
        </w:trPr>
        <w:tc>
          <w:tcPr>
            <w:tcW w:type="dxa" w:w="1928"/>
            <w:vAlign w:val="top"/>
            <w:shd w:val="clear" w:color="auto" w:fill="FDF0F7"/>
          </w:tcPr>
          <w:p>
            <w:pPr>
              <w:spacing w:after="20" w:line="252" w:lineRule="auto"/>
            </w:pPr>
            <w:r>
              <w:rPr>
                <w:b/>
                <w:i w:val="0"/>
                <w:sz w:val="16"/>
              </w:rPr>
              <w:t>Solution Architect</w:t>
            </w:r>
          </w:p>
        </w:tc>
        <w:tc>
          <w:tcPr>
            <w:tcW w:type="dxa" w:w="1587"/>
            <w:vAlign w:val="top"/>
            <w:shd w:val="clear" w:color="auto" w:fill="FDF0F7"/>
          </w:tcPr>
          <w:p>
            <w:pPr>
              <w:spacing w:after="20" w:line="252" w:lineRule="auto"/>
            </w:pPr>
            <w:r>
              <w:rPr>
                <w:b w:val="0"/>
                <w:i w:val="0"/>
                <w:sz w:val="16"/>
                <w:highlight w:val="yellow"/>
              </w:rPr>
              <w:t>[Full name]</w:t>
            </w:r>
          </w:p>
        </w:tc>
        <w:tc>
          <w:tcPr>
            <w:tcW w:type="dxa" w:w="1928"/>
            <w:vAlign w:val="top"/>
            <w:shd w:val="clear" w:color="auto" w:fill="FDF0F7"/>
          </w:tcPr>
          <w:p>
            <w:pPr>
              <w:spacing w:after="20" w:line="252" w:lineRule="auto"/>
            </w:pPr>
            <w:r>
              <w:rPr>
                <w:b w:val="0"/>
                <w:i w:val="0"/>
                <w:sz w:val="16"/>
                <w:highlight w:val="yellow"/>
              </w:rPr>
              <w:t>[Degrees, certifications]</w:t>
            </w:r>
          </w:p>
        </w:tc>
        <w:tc>
          <w:tcPr>
            <w:tcW w:type="dxa" w:w="1587"/>
            <w:vAlign w:val="top"/>
            <w:shd w:val="clear" w:color="auto" w:fill="FDF0F7"/>
          </w:tcPr>
          <w:p>
            <w:pPr>
              <w:spacing w:after="20" w:line="252" w:lineRule="auto"/>
            </w:pPr>
            <w:r>
              <w:rPr>
                <w:b w:val="0"/>
                <w:i w:val="0"/>
                <w:sz w:val="16"/>
                <w:highlight w:val="yellow"/>
              </w:rPr>
              <w:t>[Years]</w:t>
            </w:r>
          </w:p>
        </w:tc>
        <w:tc>
          <w:tcPr>
            <w:tcW w:type="dxa" w:w="2608"/>
            <w:vAlign w:val="top"/>
            <w:shd w:val="clear" w:color="auto" w:fill="FDF0F7"/>
          </w:tcPr>
          <w:p>
            <w:pPr>
              <w:spacing w:after="20" w:line="252" w:lineRule="auto"/>
            </w:pPr>
            <w:r>
              <w:rPr>
                <w:b w:val="0"/>
                <w:i w:val="0"/>
                <w:sz w:val="16"/>
                <w:highlight w:val="yellow"/>
              </w:rPr>
              <w:t>[3 to 5 projects]</w:t>
            </w:r>
          </w:p>
        </w:tc>
      </w:tr>
      <w:tr>
        <w:trPr>
          <w:cantSplit/>
        </w:trPr>
        <w:tc>
          <w:tcPr>
            <w:tcW w:type="dxa" w:w="1928"/>
            <w:vAlign w:val="top"/>
          </w:tcPr>
          <w:p>
            <w:pPr>
              <w:spacing w:after="20" w:line="252" w:lineRule="auto"/>
            </w:pPr>
            <w:r>
              <w:rPr>
                <w:b/>
                <w:i w:val="0"/>
                <w:sz w:val="16"/>
              </w:rPr>
              <w:t>Business Analyst (Takaful)</w:t>
            </w:r>
          </w:p>
        </w:tc>
        <w:tc>
          <w:tcPr>
            <w:tcW w:type="dxa" w:w="1587"/>
            <w:vAlign w:val="top"/>
          </w:tcPr>
          <w:p>
            <w:pPr>
              <w:spacing w:after="20" w:line="252" w:lineRule="auto"/>
            </w:pPr>
            <w:r>
              <w:rPr>
                <w:b w:val="0"/>
                <w:i w:val="0"/>
                <w:sz w:val="16"/>
                <w:highlight w:val="yellow"/>
              </w:rPr>
              <w:t>[Full name]</w:t>
            </w:r>
          </w:p>
        </w:tc>
        <w:tc>
          <w:tcPr>
            <w:tcW w:type="dxa" w:w="1928"/>
            <w:vAlign w:val="top"/>
          </w:tcPr>
          <w:p>
            <w:pPr>
              <w:spacing w:after="20" w:line="252" w:lineRule="auto"/>
            </w:pPr>
            <w:r>
              <w:rPr>
                <w:b w:val="0"/>
                <w:i w:val="0"/>
                <w:sz w:val="16"/>
                <w:highlight w:val="yellow"/>
              </w:rPr>
              <w:t>[Degrees, certifications]</w:t>
            </w:r>
          </w:p>
        </w:tc>
        <w:tc>
          <w:tcPr>
            <w:tcW w:type="dxa" w:w="1587"/>
            <w:vAlign w:val="top"/>
          </w:tcPr>
          <w:p>
            <w:pPr>
              <w:spacing w:after="20" w:line="252" w:lineRule="auto"/>
            </w:pPr>
            <w:r>
              <w:rPr>
                <w:b w:val="0"/>
                <w:i w:val="0"/>
                <w:sz w:val="16"/>
                <w:highlight w:val="yellow"/>
              </w:rPr>
              <w:t>[Years]</w:t>
            </w:r>
          </w:p>
        </w:tc>
        <w:tc>
          <w:tcPr>
            <w:tcW w:type="dxa" w:w="2608"/>
            <w:vAlign w:val="top"/>
          </w:tcPr>
          <w:p>
            <w:pPr>
              <w:spacing w:after="20" w:line="252" w:lineRule="auto"/>
            </w:pPr>
            <w:r>
              <w:rPr>
                <w:b w:val="0"/>
                <w:i w:val="0"/>
                <w:sz w:val="16"/>
                <w:highlight w:val="yellow"/>
              </w:rPr>
              <w:t>[3 to 5 projects]</w:t>
            </w:r>
          </w:p>
        </w:tc>
      </w:tr>
      <w:tr>
        <w:trPr>
          <w:cantSplit/>
        </w:trPr>
        <w:tc>
          <w:tcPr>
            <w:tcW w:type="dxa" w:w="1928"/>
            <w:vAlign w:val="top"/>
            <w:shd w:val="clear" w:color="auto" w:fill="FDF0F7"/>
          </w:tcPr>
          <w:p>
            <w:pPr>
              <w:spacing w:after="20" w:line="252" w:lineRule="auto"/>
            </w:pPr>
            <w:r>
              <w:rPr>
                <w:b/>
                <w:i w:val="0"/>
                <w:sz w:val="16"/>
              </w:rPr>
              <w:t>Technical Lead</w:t>
            </w:r>
          </w:p>
        </w:tc>
        <w:tc>
          <w:tcPr>
            <w:tcW w:type="dxa" w:w="1587"/>
            <w:vAlign w:val="top"/>
            <w:shd w:val="clear" w:color="auto" w:fill="FDF0F7"/>
          </w:tcPr>
          <w:p>
            <w:pPr>
              <w:spacing w:after="20" w:line="252" w:lineRule="auto"/>
            </w:pPr>
            <w:r>
              <w:rPr>
                <w:b w:val="0"/>
                <w:i w:val="0"/>
                <w:sz w:val="16"/>
                <w:highlight w:val="yellow"/>
              </w:rPr>
              <w:t>[Full name]</w:t>
            </w:r>
          </w:p>
        </w:tc>
        <w:tc>
          <w:tcPr>
            <w:tcW w:type="dxa" w:w="1928"/>
            <w:vAlign w:val="top"/>
            <w:shd w:val="clear" w:color="auto" w:fill="FDF0F7"/>
          </w:tcPr>
          <w:p>
            <w:pPr>
              <w:spacing w:after="20" w:line="252" w:lineRule="auto"/>
            </w:pPr>
            <w:r>
              <w:rPr>
                <w:b w:val="0"/>
                <w:i w:val="0"/>
                <w:sz w:val="16"/>
                <w:highlight w:val="yellow"/>
              </w:rPr>
              <w:t>[Degrees, certifications]</w:t>
            </w:r>
          </w:p>
        </w:tc>
        <w:tc>
          <w:tcPr>
            <w:tcW w:type="dxa" w:w="1587"/>
            <w:vAlign w:val="top"/>
            <w:shd w:val="clear" w:color="auto" w:fill="FDF0F7"/>
          </w:tcPr>
          <w:p>
            <w:pPr>
              <w:spacing w:after="20" w:line="252" w:lineRule="auto"/>
            </w:pPr>
            <w:r>
              <w:rPr>
                <w:b w:val="0"/>
                <w:i w:val="0"/>
                <w:sz w:val="16"/>
                <w:highlight w:val="yellow"/>
              </w:rPr>
              <w:t>[Years]</w:t>
            </w:r>
          </w:p>
        </w:tc>
        <w:tc>
          <w:tcPr>
            <w:tcW w:type="dxa" w:w="2608"/>
            <w:vAlign w:val="top"/>
            <w:shd w:val="clear" w:color="auto" w:fill="FDF0F7"/>
          </w:tcPr>
          <w:p>
            <w:pPr>
              <w:spacing w:after="20" w:line="252" w:lineRule="auto"/>
            </w:pPr>
            <w:r>
              <w:rPr>
                <w:b w:val="0"/>
                <w:i w:val="0"/>
                <w:sz w:val="16"/>
                <w:highlight w:val="yellow"/>
              </w:rPr>
              <w:t>[3 to 5 projects]</w:t>
            </w:r>
          </w:p>
        </w:tc>
      </w:tr>
      <w:tr>
        <w:trPr>
          <w:cantSplit/>
        </w:trPr>
        <w:tc>
          <w:tcPr>
            <w:tcW w:type="dxa" w:w="1928"/>
            <w:vAlign w:val="top"/>
          </w:tcPr>
          <w:p>
            <w:pPr>
              <w:spacing w:after="20" w:line="252" w:lineRule="auto"/>
            </w:pPr>
            <w:r>
              <w:rPr>
                <w:b/>
                <w:i w:val="0"/>
                <w:sz w:val="16"/>
              </w:rPr>
              <w:t>QA Lead</w:t>
            </w:r>
          </w:p>
        </w:tc>
        <w:tc>
          <w:tcPr>
            <w:tcW w:type="dxa" w:w="1587"/>
            <w:vAlign w:val="top"/>
          </w:tcPr>
          <w:p>
            <w:pPr>
              <w:spacing w:after="20" w:line="252" w:lineRule="auto"/>
            </w:pPr>
            <w:r>
              <w:rPr>
                <w:b w:val="0"/>
                <w:i w:val="0"/>
                <w:sz w:val="16"/>
                <w:highlight w:val="yellow"/>
              </w:rPr>
              <w:t>[Full name]</w:t>
            </w:r>
          </w:p>
        </w:tc>
        <w:tc>
          <w:tcPr>
            <w:tcW w:type="dxa" w:w="1928"/>
            <w:vAlign w:val="top"/>
          </w:tcPr>
          <w:p>
            <w:pPr>
              <w:spacing w:after="20" w:line="252" w:lineRule="auto"/>
            </w:pPr>
            <w:r>
              <w:rPr>
                <w:b w:val="0"/>
                <w:i w:val="0"/>
                <w:sz w:val="16"/>
                <w:highlight w:val="yellow"/>
              </w:rPr>
              <w:t>[Degrees, certifications]</w:t>
            </w:r>
          </w:p>
        </w:tc>
        <w:tc>
          <w:tcPr>
            <w:tcW w:type="dxa" w:w="1587"/>
            <w:vAlign w:val="top"/>
          </w:tcPr>
          <w:p>
            <w:pPr>
              <w:spacing w:after="20" w:line="252" w:lineRule="auto"/>
            </w:pPr>
            <w:r>
              <w:rPr>
                <w:b w:val="0"/>
                <w:i w:val="0"/>
                <w:sz w:val="16"/>
                <w:highlight w:val="yellow"/>
              </w:rPr>
              <w:t>[Years]</w:t>
            </w:r>
          </w:p>
        </w:tc>
        <w:tc>
          <w:tcPr>
            <w:tcW w:type="dxa" w:w="2608"/>
            <w:vAlign w:val="top"/>
          </w:tcPr>
          <w:p>
            <w:pPr>
              <w:spacing w:after="20" w:line="252" w:lineRule="auto"/>
            </w:pPr>
            <w:r>
              <w:rPr>
                <w:b w:val="0"/>
                <w:i w:val="0"/>
                <w:sz w:val="16"/>
                <w:highlight w:val="yellow"/>
              </w:rPr>
              <w:t>[3 to 5 projects]</w:t>
            </w:r>
          </w:p>
        </w:tc>
      </w:tr>
      <w:tr>
        <w:trPr>
          <w:cantSplit/>
        </w:trPr>
        <w:tc>
          <w:tcPr>
            <w:tcW w:type="dxa" w:w="1928"/>
            <w:vAlign w:val="top"/>
            <w:shd w:val="clear" w:color="auto" w:fill="FDF0F7"/>
          </w:tcPr>
          <w:p>
            <w:pPr>
              <w:spacing w:after="20" w:line="252" w:lineRule="auto"/>
            </w:pPr>
            <w:r>
              <w:rPr>
                <w:b/>
                <w:i w:val="0"/>
                <w:sz w:val="16"/>
              </w:rPr>
              <w:t>DevOps &amp; Security Engineer</w:t>
            </w:r>
          </w:p>
        </w:tc>
        <w:tc>
          <w:tcPr>
            <w:tcW w:type="dxa" w:w="1587"/>
            <w:vAlign w:val="top"/>
            <w:shd w:val="clear" w:color="auto" w:fill="FDF0F7"/>
          </w:tcPr>
          <w:p>
            <w:pPr>
              <w:spacing w:after="20" w:line="252" w:lineRule="auto"/>
            </w:pPr>
            <w:r>
              <w:rPr>
                <w:b w:val="0"/>
                <w:i w:val="0"/>
                <w:sz w:val="16"/>
                <w:highlight w:val="yellow"/>
              </w:rPr>
              <w:t>[Full name]</w:t>
            </w:r>
          </w:p>
        </w:tc>
        <w:tc>
          <w:tcPr>
            <w:tcW w:type="dxa" w:w="1928"/>
            <w:vAlign w:val="top"/>
            <w:shd w:val="clear" w:color="auto" w:fill="FDF0F7"/>
          </w:tcPr>
          <w:p>
            <w:pPr>
              <w:spacing w:after="20" w:line="252" w:lineRule="auto"/>
            </w:pPr>
            <w:r>
              <w:rPr>
                <w:b w:val="0"/>
                <w:i w:val="0"/>
                <w:sz w:val="16"/>
                <w:highlight w:val="yellow"/>
              </w:rPr>
              <w:t>[Degrees, certifications]</w:t>
            </w:r>
          </w:p>
        </w:tc>
        <w:tc>
          <w:tcPr>
            <w:tcW w:type="dxa" w:w="1587"/>
            <w:vAlign w:val="top"/>
            <w:shd w:val="clear" w:color="auto" w:fill="FDF0F7"/>
          </w:tcPr>
          <w:p>
            <w:pPr>
              <w:spacing w:after="20" w:line="252" w:lineRule="auto"/>
            </w:pPr>
            <w:r>
              <w:rPr>
                <w:b w:val="0"/>
                <w:i w:val="0"/>
                <w:sz w:val="16"/>
                <w:highlight w:val="yellow"/>
              </w:rPr>
              <w:t>[Years]</w:t>
            </w:r>
          </w:p>
        </w:tc>
        <w:tc>
          <w:tcPr>
            <w:tcW w:type="dxa" w:w="2608"/>
            <w:vAlign w:val="top"/>
            <w:shd w:val="clear" w:color="auto" w:fill="FDF0F7"/>
          </w:tcPr>
          <w:p>
            <w:pPr>
              <w:spacing w:after="20" w:line="252" w:lineRule="auto"/>
            </w:pPr>
            <w:r>
              <w:rPr>
                <w:b w:val="0"/>
                <w:i w:val="0"/>
                <w:sz w:val="16"/>
                <w:highlight w:val="yellow"/>
              </w:rPr>
              <w:t>[3 to 5 projects]</w:t>
            </w:r>
          </w:p>
        </w:tc>
      </w:tr>
    </w:tbl>
    <w:p>
      <w:pPr>
        <w:pStyle w:val="Caption"/>
        <w:jc w:val="center"/>
      </w:pPr>
      <w:r>
        <w:rPr>
          <w:b w:val="0"/>
          <w:i w:val="0"/>
        </w:rPr>
        <w:t>Table 69: Key personnel summary</w:t>
      </w:r>
    </w:p>
    <w:p>
      <w:pPr>
        <w:pStyle w:val="Heading1"/>
        <w:pageBreakBefore/>
        <w:pBdr>
          <w:bottom w:val="single" w:sz="12" w:space="4" w:color="F58220"/>
        </w:pBdr>
      </w:pPr>
      <w:r>
        <w:t>Annex C – Bill of Materials, Software Components and Network Flows</w:t>
      </w:r>
    </w:p>
    <w:p>
      <w:pPr>
        <w:keepNext w:val="0"/>
      </w:pPr>
      <w:r>
        <w:rPr>
          <w:b w:val="0"/>
          <w:i w:val="0"/>
        </w:rPr>
        <w:t>This annex summarises the Bill of Materials workbook (IIFT-Bill-of-Materials-iorta-TechNXT.xlsx). Indicative costs are for budgeting; items marked IIFT procures are bought by IIFT and are not part of iorta's fees.</w:t>
      </w:r>
    </w:p>
    <w:p>
      <w:pPr>
        <w:pStyle w:val="Heading3"/>
      </w:pPr>
      <w:r>
        <w:t>On-premise infrastructure (Option A, IIFT procures)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5" w:type="dxa"/>
          <w:left w:w="90" w:type="dxa"/>
          <w:bottom w:w="25" w:type="dxa"/>
          <w:right w:w="90" w:type="dxa"/>
        </w:tblCellMar>
        <w:tblLayout w:type="fixed"/>
      </w:tblPr>
      <w:tblGrid>
        <w:gridCol w:w="2608"/>
        <w:gridCol w:w="1474"/>
        <w:gridCol w:w="737"/>
        <w:gridCol w:w="907"/>
        <w:gridCol w:w="1701"/>
        <w:gridCol w:w="2211"/>
      </w:tblGrid>
      <w:tr>
        <w:trPr>
          <w:cantSplit/>
          <w:tblHeader/>
        </w:trPr>
        <w:tc>
          <w:tcPr>
            <w:tcW w:type="dxa" w:w="2608"/>
            <w:shd w:val="clear" w:color="auto" w:fill="E1058C"/>
            <w:vAlign w:val="center"/>
          </w:tcPr>
          <w:p>
            <w:pPr>
              <w:spacing w:after="0"/>
            </w:pPr>
            <w:r>
              <w:rPr>
                <w:b/>
                <w:i w:val="0"/>
                <w:color w:val="FFFFFF"/>
                <w:sz w:val="16"/>
              </w:rPr>
              <w:t>Server / item</w:t>
            </w:r>
          </w:p>
        </w:tc>
        <w:tc>
          <w:tcPr>
            <w:tcW w:type="dxa" w:w="1474"/>
            <w:shd w:val="clear" w:color="auto" w:fill="E1058C"/>
            <w:vAlign w:val="center"/>
          </w:tcPr>
          <w:p>
            <w:pPr>
              <w:spacing w:after="0"/>
            </w:pPr>
            <w:r>
              <w:rPr>
                <w:b/>
                <w:i w:val="0"/>
                <w:color w:val="FFFFFF"/>
                <w:sz w:val="16"/>
              </w:rPr>
              <w:t>Qty</w:t>
            </w:r>
          </w:p>
        </w:tc>
        <w:tc>
          <w:tcPr>
            <w:tcW w:type="dxa" w:w="737"/>
            <w:shd w:val="clear" w:color="auto" w:fill="E1058C"/>
            <w:vAlign w:val="center"/>
          </w:tcPr>
          <w:p>
            <w:pPr>
              <w:spacing w:after="0"/>
            </w:pPr>
            <w:r>
              <w:rPr>
                <w:b/>
                <w:i w:val="0"/>
                <w:color w:val="FFFFFF"/>
                <w:sz w:val="16"/>
              </w:rPr>
              <w:t>vCPU</w:t>
            </w:r>
          </w:p>
        </w:tc>
        <w:tc>
          <w:tcPr>
            <w:tcW w:type="dxa" w:w="907"/>
            <w:shd w:val="clear" w:color="auto" w:fill="E1058C"/>
            <w:vAlign w:val="center"/>
          </w:tcPr>
          <w:p>
            <w:pPr>
              <w:spacing w:after="0"/>
            </w:pPr>
            <w:r>
              <w:rPr>
                <w:b/>
                <w:i w:val="0"/>
                <w:color w:val="FFFFFF"/>
                <w:sz w:val="16"/>
              </w:rPr>
              <w:t>RAM</w:t>
            </w:r>
          </w:p>
        </w:tc>
        <w:tc>
          <w:tcPr>
            <w:tcW w:type="dxa" w:w="1701"/>
            <w:shd w:val="clear" w:color="auto" w:fill="E1058C"/>
            <w:vAlign w:val="center"/>
          </w:tcPr>
          <w:p>
            <w:pPr>
              <w:spacing w:after="0"/>
            </w:pPr>
            <w:r>
              <w:rPr>
                <w:b/>
                <w:i w:val="0"/>
                <w:color w:val="FFFFFF"/>
                <w:sz w:val="16"/>
              </w:rPr>
              <w:t>Storage</w:t>
            </w:r>
          </w:p>
        </w:tc>
        <w:tc>
          <w:tcPr>
            <w:tcW w:type="dxa" w:w="2211"/>
            <w:shd w:val="clear" w:color="auto" w:fill="E1058C"/>
            <w:vAlign w:val="center"/>
          </w:tcPr>
          <w:p>
            <w:pPr>
              <w:spacing w:after="0"/>
            </w:pPr>
            <w:r>
              <w:rPr>
                <w:b/>
                <w:i w:val="0"/>
                <w:color w:val="FFFFFF"/>
                <w:sz w:val="16"/>
              </w:rPr>
              <w:t>Indicative cost (B$)</w:t>
            </w:r>
          </w:p>
        </w:tc>
      </w:tr>
      <w:tr>
        <w:trPr>
          <w:cantSplit/>
        </w:trPr>
        <w:tc>
          <w:tcPr>
            <w:tcW w:type="dxa" w:w="2211"/>
            <w:gridSpan w:val="6"/>
            <w:shd w:val="clear" w:color="auto" w:fill="FEEBDD"/>
          </w:tcPr>
          <w:p>
            <w:pPr>
              <w:spacing w:after="0"/>
            </w:pPr>
            <w:r>
              <w:rPr>
                <w:b/>
                <w:i w:val="0"/>
                <w:color w:val="333333"/>
                <w:sz w:val="16"/>
              </w:rPr>
              <w:t>Production</w:t>
            </w:r>
          </w:p>
        </w:tc>
      </w:tr>
      <w:tr>
        <w:trPr>
          <w:cantSplit/>
        </w:trPr>
        <w:tc>
          <w:tcPr>
            <w:tcW w:type="dxa" w:w="2608"/>
            <w:vAlign w:val="top"/>
          </w:tcPr>
          <w:p>
            <w:pPr>
              <w:spacing w:after="20" w:line="252" w:lineRule="auto"/>
            </w:pPr>
            <w:r>
              <w:rPr>
                <w:b w:val="0"/>
                <w:i w:val="0"/>
                <w:sz w:val="16"/>
              </w:rPr>
              <w:t>WAF / load balancer</w:t>
            </w:r>
          </w:p>
        </w:tc>
        <w:tc>
          <w:tcPr>
            <w:tcW w:type="dxa" w:w="1474"/>
            <w:vAlign w:val="top"/>
          </w:tcPr>
          <w:p>
            <w:pPr>
              <w:spacing w:after="20" w:line="252" w:lineRule="auto"/>
              <w:jc w:val="center"/>
            </w:pPr>
            <w:r>
              <w:rPr>
                <w:b w:val="0"/>
                <w:i w:val="0"/>
                <w:sz w:val="16"/>
              </w:rPr>
              <w:t>2 (or existing)</w:t>
            </w:r>
          </w:p>
        </w:tc>
        <w:tc>
          <w:tcPr>
            <w:tcW w:type="dxa" w:w="737"/>
            <w:vAlign w:val="top"/>
          </w:tcPr>
          <w:p>
            <w:pPr>
              <w:spacing w:after="20" w:line="252" w:lineRule="auto"/>
              <w:jc w:val="center"/>
            </w:pPr>
            <w:r>
              <w:rPr>
                <w:b w:val="0"/>
                <w:i w:val="0"/>
                <w:sz w:val="16"/>
              </w:rPr>
              <w:t>2</w:t>
            </w:r>
          </w:p>
        </w:tc>
        <w:tc>
          <w:tcPr>
            <w:tcW w:type="dxa" w:w="907"/>
            <w:vAlign w:val="top"/>
          </w:tcPr>
          <w:p>
            <w:pPr>
              <w:spacing w:after="20" w:line="252" w:lineRule="auto"/>
              <w:jc w:val="center"/>
            </w:pPr>
            <w:r>
              <w:rPr>
                <w:b w:val="0"/>
                <w:i w:val="0"/>
                <w:sz w:val="16"/>
              </w:rPr>
              <w:t>4 GB</w:t>
            </w:r>
          </w:p>
        </w:tc>
        <w:tc>
          <w:tcPr>
            <w:tcW w:type="dxa" w:w="1701"/>
            <w:vAlign w:val="top"/>
          </w:tcPr>
          <w:p>
            <w:pPr>
              <w:spacing w:after="20" w:line="252" w:lineRule="auto"/>
            </w:pPr>
            <w:r>
              <w:rPr>
                <w:b w:val="0"/>
                <w:i w:val="0"/>
                <w:sz w:val="16"/>
              </w:rPr>
              <w:t>–</w:t>
            </w:r>
          </w:p>
        </w:tc>
        <w:tc>
          <w:tcPr>
            <w:tcW w:type="dxa" w:w="2211"/>
            <w:vAlign w:val="top"/>
          </w:tcPr>
          <w:p>
            <w:pPr>
              <w:spacing w:after="20" w:line="252" w:lineRule="auto"/>
              <w:jc w:val="right"/>
            </w:pPr>
            <w:r>
              <w:rPr>
                <w:b w:val="0"/>
                <w:i w:val="0"/>
                <w:sz w:val="16"/>
              </w:rPr>
              <w:t>B$ 0–2,000</w:t>
            </w:r>
          </w:p>
        </w:tc>
      </w:tr>
      <w:tr>
        <w:trPr>
          <w:cantSplit/>
        </w:trPr>
        <w:tc>
          <w:tcPr>
            <w:tcW w:type="dxa" w:w="2608"/>
            <w:vAlign w:val="top"/>
            <w:shd w:val="clear" w:color="auto" w:fill="FDF0F7"/>
          </w:tcPr>
          <w:p>
            <w:pPr>
              <w:spacing w:after="20" w:line="252" w:lineRule="auto"/>
            </w:pPr>
            <w:r>
              <w:rPr>
                <w:b w:val="0"/>
                <w:i w:val="0"/>
                <w:sz w:val="16"/>
              </w:rPr>
              <w:t>Application VM</w:t>
            </w:r>
          </w:p>
        </w:tc>
        <w:tc>
          <w:tcPr>
            <w:tcW w:type="dxa" w:w="1474"/>
            <w:vAlign w:val="top"/>
            <w:shd w:val="clear" w:color="auto" w:fill="FDF0F7"/>
          </w:tcPr>
          <w:p>
            <w:pPr>
              <w:spacing w:after="20" w:line="252" w:lineRule="auto"/>
              <w:jc w:val="center"/>
            </w:pPr>
            <w:r>
              <w:rPr>
                <w:b w:val="0"/>
                <w:i w:val="0"/>
                <w:sz w:val="16"/>
              </w:rPr>
              <w:t>2</w:t>
            </w:r>
          </w:p>
        </w:tc>
        <w:tc>
          <w:tcPr>
            <w:tcW w:type="dxa" w:w="737"/>
            <w:vAlign w:val="top"/>
            <w:shd w:val="clear" w:color="auto" w:fill="FDF0F7"/>
          </w:tcPr>
          <w:p>
            <w:pPr>
              <w:spacing w:after="20" w:line="252" w:lineRule="auto"/>
              <w:jc w:val="center"/>
            </w:pPr>
            <w:r>
              <w:rPr>
                <w:b w:val="0"/>
                <w:i w:val="0"/>
                <w:sz w:val="16"/>
              </w:rPr>
              <w:t>4</w:t>
            </w:r>
          </w:p>
        </w:tc>
        <w:tc>
          <w:tcPr>
            <w:tcW w:type="dxa" w:w="907"/>
            <w:vAlign w:val="top"/>
            <w:shd w:val="clear" w:color="auto" w:fill="FDF0F7"/>
          </w:tcPr>
          <w:p>
            <w:pPr>
              <w:spacing w:after="20" w:line="252" w:lineRule="auto"/>
              <w:jc w:val="center"/>
            </w:pPr>
            <w:r>
              <w:rPr>
                <w:b w:val="0"/>
                <w:i w:val="0"/>
                <w:sz w:val="16"/>
              </w:rPr>
              <w:t>8 GB</w:t>
            </w:r>
          </w:p>
        </w:tc>
        <w:tc>
          <w:tcPr>
            <w:tcW w:type="dxa" w:w="1701"/>
            <w:vAlign w:val="top"/>
            <w:shd w:val="clear" w:color="auto" w:fill="FDF0F7"/>
          </w:tcPr>
          <w:p>
            <w:pPr>
              <w:spacing w:after="20" w:line="252" w:lineRule="auto"/>
            </w:pPr>
            <w:r>
              <w:rPr>
                <w:b w:val="0"/>
                <w:i w:val="0"/>
                <w:sz w:val="16"/>
              </w:rPr>
              <w:t>100 GB</w:t>
            </w:r>
          </w:p>
        </w:tc>
        <w:tc>
          <w:tcPr>
            <w:tcW w:type="dxa" w:w="2211"/>
            <w:vAlign w:val="top"/>
            <w:shd w:val="clear" w:color="auto" w:fill="FDF0F7"/>
          </w:tcPr>
          <w:p>
            <w:pPr>
              <w:spacing w:after="20" w:line="252" w:lineRule="auto"/>
              <w:jc w:val="right"/>
            </w:pPr>
            <w:r>
              <w:rPr>
                <w:b w:val="0"/>
                <w:i w:val="0"/>
                <w:sz w:val="16"/>
              </w:rPr>
              <w:t>B$ 3,000–6,000</w:t>
            </w:r>
          </w:p>
        </w:tc>
      </w:tr>
      <w:tr>
        <w:trPr>
          <w:cantSplit/>
        </w:trPr>
        <w:tc>
          <w:tcPr>
            <w:tcW w:type="dxa" w:w="2608"/>
            <w:vAlign w:val="top"/>
          </w:tcPr>
          <w:p>
            <w:pPr>
              <w:spacing w:after="20" w:line="252" w:lineRule="auto"/>
            </w:pPr>
            <w:r>
              <w:rPr>
                <w:b w:val="0"/>
                <w:i w:val="0"/>
                <w:sz w:val="16"/>
              </w:rPr>
              <w:t>Database VM</w:t>
            </w:r>
          </w:p>
        </w:tc>
        <w:tc>
          <w:tcPr>
            <w:tcW w:type="dxa" w:w="1474"/>
            <w:vAlign w:val="top"/>
          </w:tcPr>
          <w:p>
            <w:pPr>
              <w:spacing w:after="20" w:line="252" w:lineRule="auto"/>
              <w:jc w:val="center"/>
            </w:pPr>
            <w:r>
              <w:rPr>
                <w:b w:val="0"/>
                <w:i w:val="0"/>
                <w:sz w:val="16"/>
              </w:rPr>
              <w:t>2</w:t>
            </w:r>
          </w:p>
        </w:tc>
        <w:tc>
          <w:tcPr>
            <w:tcW w:type="dxa" w:w="737"/>
            <w:vAlign w:val="top"/>
          </w:tcPr>
          <w:p>
            <w:pPr>
              <w:spacing w:after="20" w:line="252" w:lineRule="auto"/>
              <w:jc w:val="center"/>
            </w:pPr>
            <w:r>
              <w:rPr>
                <w:b w:val="0"/>
                <w:i w:val="0"/>
                <w:sz w:val="16"/>
              </w:rPr>
              <w:t>4</w:t>
            </w:r>
          </w:p>
        </w:tc>
        <w:tc>
          <w:tcPr>
            <w:tcW w:type="dxa" w:w="907"/>
            <w:vAlign w:val="top"/>
          </w:tcPr>
          <w:p>
            <w:pPr>
              <w:spacing w:after="20" w:line="252" w:lineRule="auto"/>
              <w:jc w:val="center"/>
            </w:pPr>
            <w:r>
              <w:rPr>
                <w:b w:val="0"/>
                <w:i w:val="0"/>
                <w:sz w:val="16"/>
              </w:rPr>
              <w:t>16 GB</w:t>
            </w:r>
          </w:p>
        </w:tc>
        <w:tc>
          <w:tcPr>
            <w:tcW w:type="dxa" w:w="1701"/>
            <w:vAlign w:val="top"/>
          </w:tcPr>
          <w:p>
            <w:pPr>
              <w:spacing w:after="20" w:line="252" w:lineRule="auto"/>
            </w:pPr>
            <w:r>
              <w:rPr>
                <w:b w:val="0"/>
                <w:i w:val="0"/>
                <w:sz w:val="16"/>
              </w:rPr>
              <w:t>200 GB SSD</w:t>
            </w:r>
          </w:p>
        </w:tc>
        <w:tc>
          <w:tcPr>
            <w:tcW w:type="dxa" w:w="2211"/>
            <w:vAlign w:val="top"/>
          </w:tcPr>
          <w:p>
            <w:pPr>
              <w:spacing w:after="20" w:line="252" w:lineRule="auto"/>
              <w:jc w:val="right"/>
            </w:pPr>
            <w:r>
              <w:rPr>
                <w:b w:val="0"/>
                <w:i w:val="0"/>
                <w:sz w:val="16"/>
              </w:rPr>
              <w:t>B$ 5,000–9,000</w:t>
            </w:r>
          </w:p>
        </w:tc>
      </w:tr>
      <w:tr>
        <w:trPr>
          <w:cantSplit/>
        </w:trPr>
        <w:tc>
          <w:tcPr>
            <w:tcW w:type="dxa" w:w="2608"/>
            <w:vAlign w:val="top"/>
            <w:shd w:val="clear" w:color="auto" w:fill="FDF0F7"/>
          </w:tcPr>
          <w:p>
            <w:pPr>
              <w:spacing w:after="20" w:line="252" w:lineRule="auto"/>
            </w:pPr>
            <w:r>
              <w:rPr>
                <w:b w:val="0"/>
                <w:i w:val="0"/>
                <w:sz w:val="16"/>
              </w:rPr>
              <w:t>Document store</w:t>
            </w:r>
          </w:p>
        </w:tc>
        <w:tc>
          <w:tcPr>
            <w:tcW w:type="dxa" w:w="1474"/>
            <w:vAlign w:val="top"/>
            <w:shd w:val="clear" w:color="auto" w:fill="FDF0F7"/>
          </w:tcPr>
          <w:p>
            <w:pPr>
              <w:spacing w:after="20" w:line="252" w:lineRule="auto"/>
              <w:jc w:val="center"/>
            </w:pPr>
            <w:r>
              <w:rPr>
                <w:b w:val="0"/>
                <w:i w:val="0"/>
                <w:sz w:val="16"/>
              </w:rPr>
              <w:t>1 share</w:t>
            </w:r>
          </w:p>
        </w:tc>
        <w:tc>
          <w:tcPr>
            <w:tcW w:type="dxa" w:w="737"/>
            <w:vAlign w:val="top"/>
            <w:shd w:val="clear" w:color="auto" w:fill="FDF0F7"/>
          </w:tcPr>
          <w:p>
            <w:pPr>
              <w:spacing w:after="20" w:line="252" w:lineRule="auto"/>
              <w:jc w:val="center"/>
            </w:pPr>
            <w:r>
              <w:rPr>
                <w:b w:val="0"/>
                <w:i w:val="0"/>
                <w:sz w:val="16"/>
              </w:rPr>
              <w:t>–</w:t>
            </w:r>
          </w:p>
        </w:tc>
        <w:tc>
          <w:tcPr>
            <w:tcW w:type="dxa" w:w="907"/>
            <w:vAlign w:val="top"/>
            <w:shd w:val="clear" w:color="auto" w:fill="FDF0F7"/>
          </w:tcPr>
          <w:p>
            <w:pPr>
              <w:spacing w:after="20" w:line="252" w:lineRule="auto"/>
              <w:jc w:val="center"/>
            </w:pPr>
            <w:r>
              <w:rPr>
                <w:b w:val="0"/>
                <w:i w:val="0"/>
                <w:sz w:val="16"/>
              </w:rPr>
              <w:t>–</w:t>
            </w:r>
          </w:p>
        </w:tc>
        <w:tc>
          <w:tcPr>
            <w:tcW w:type="dxa" w:w="1701"/>
            <w:vAlign w:val="top"/>
            <w:shd w:val="clear" w:color="auto" w:fill="FDF0F7"/>
          </w:tcPr>
          <w:p>
            <w:pPr>
              <w:spacing w:after="20" w:line="252" w:lineRule="auto"/>
            </w:pPr>
            <w:r>
              <w:rPr>
                <w:b w:val="0"/>
                <w:i w:val="0"/>
                <w:sz w:val="16"/>
              </w:rPr>
              <w:t>500 GB</w:t>
            </w:r>
          </w:p>
        </w:tc>
        <w:tc>
          <w:tcPr>
            <w:tcW w:type="dxa" w:w="2211"/>
            <w:vAlign w:val="top"/>
            <w:shd w:val="clear" w:color="auto" w:fill="FDF0F7"/>
          </w:tcPr>
          <w:p>
            <w:pPr>
              <w:spacing w:after="20" w:line="252" w:lineRule="auto"/>
              <w:jc w:val="right"/>
            </w:pPr>
            <w:r>
              <w:rPr>
                <w:b w:val="0"/>
                <w:i w:val="0"/>
                <w:sz w:val="16"/>
              </w:rPr>
              <w:t>B$ 1,000–2,000</w:t>
            </w:r>
          </w:p>
        </w:tc>
      </w:tr>
      <w:tr>
        <w:trPr>
          <w:cantSplit/>
        </w:trPr>
        <w:tc>
          <w:tcPr>
            <w:tcW w:type="dxa" w:w="2608"/>
            <w:vAlign w:val="top"/>
          </w:tcPr>
          <w:p>
            <w:pPr>
              <w:spacing w:after="20" w:line="252" w:lineRule="auto"/>
            </w:pPr>
            <w:r>
              <w:rPr>
                <w:b w:val="0"/>
                <w:i w:val="0"/>
                <w:sz w:val="16"/>
              </w:rPr>
              <w:t>Backup repository</w:t>
            </w:r>
          </w:p>
        </w:tc>
        <w:tc>
          <w:tcPr>
            <w:tcW w:type="dxa" w:w="1474"/>
            <w:vAlign w:val="top"/>
          </w:tcPr>
          <w:p>
            <w:pPr>
              <w:spacing w:after="20" w:line="252" w:lineRule="auto"/>
              <w:jc w:val="center"/>
            </w:pPr>
            <w:r>
              <w:rPr>
                <w:b w:val="0"/>
                <w:i w:val="0"/>
                <w:sz w:val="16"/>
              </w:rPr>
              <w:t>1</w:t>
            </w:r>
          </w:p>
        </w:tc>
        <w:tc>
          <w:tcPr>
            <w:tcW w:type="dxa" w:w="73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1701"/>
            <w:vAlign w:val="top"/>
          </w:tcPr>
          <w:p>
            <w:pPr>
              <w:spacing w:after="20" w:line="252" w:lineRule="auto"/>
            </w:pPr>
            <w:r>
              <w:rPr>
                <w:b w:val="0"/>
                <w:i w:val="0"/>
                <w:sz w:val="16"/>
              </w:rPr>
              <w:t>1 TB</w:t>
            </w:r>
          </w:p>
        </w:tc>
        <w:tc>
          <w:tcPr>
            <w:tcW w:type="dxa" w:w="2211"/>
            <w:vAlign w:val="top"/>
          </w:tcPr>
          <w:p>
            <w:pPr>
              <w:spacing w:after="20" w:line="252" w:lineRule="auto"/>
              <w:jc w:val="right"/>
            </w:pPr>
            <w:r>
              <w:rPr>
                <w:b w:val="0"/>
                <w:i w:val="0"/>
                <w:sz w:val="16"/>
              </w:rPr>
              <w:t>B$ 1,500–3,000</w:t>
            </w:r>
          </w:p>
        </w:tc>
      </w:tr>
      <w:tr>
        <w:trPr>
          <w:cantSplit/>
        </w:trPr>
        <w:tc>
          <w:tcPr>
            <w:tcW w:type="dxa" w:w="2608"/>
            <w:vAlign w:val="top"/>
            <w:shd w:val="clear" w:color="auto" w:fill="FDF0F7"/>
          </w:tcPr>
          <w:p>
            <w:pPr>
              <w:spacing w:after="20" w:line="252" w:lineRule="auto"/>
            </w:pPr>
            <w:r>
              <w:rPr>
                <w:b w:val="0"/>
                <w:i w:val="0"/>
                <w:sz w:val="16"/>
              </w:rPr>
              <w:t>Monitoring</w:t>
            </w:r>
          </w:p>
        </w:tc>
        <w:tc>
          <w:tcPr>
            <w:tcW w:type="dxa" w:w="1474"/>
            <w:vAlign w:val="top"/>
            <w:shd w:val="clear" w:color="auto" w:fill="FDF0F7"/>
          </w:tcPr>
          <w:p>
            <w:pPr>
              <w:spacing w:after="20" w:line="252" w:lineRule="auto"/>
              <w:jc w:val="center"/>
            </w:pPr>
            <w:r>
              <w:rPr>
                <w:b w:val="0"/>
                <w:i w:val="0"/>
                <w:sz w:val="16"/>
              </w:rPr>
              <w:t>1 (or existing)</w:t>
            </w:r>
          </w:p>
        </w:tc>
        <w:tc>
          <w:tcPr>
            <w:tcW w:type="dxa" w:w="737"/>
            <w:vAlign w:val="top"/>
            <w:shd w:val="clear" w:color="auto" w:fill="FDF0F7"/>
          </w:tcPr>
          <w:p>
            <w:pPr>
              <w:spacing w:after="20" w:line="252" w:lineRule="auto"/>
              <w:jc w:val="center"/>
            </w:pPr>
            <w:r>
              <w:rPr>
                <w:b w:val="0"/>
                <w:i w:val="0"/>
                <w:sz w:val="16"/>
              </w:rPr>
              <w:t>2</w:t>
            </w:r>
          </w:p>
        </w:tc>
        <w:tc>
          <w:tcPr>
            <w:tcW w:type="dxa" w:w="907"/>
            <w:vAlign w:val="top"/>
            <w:shd w:val="clear" w:color="auto" w:fill="FDF0F7"/>
          </w:tcPr>
          <w:p>
            <w:pPr>
              <w:spacing w:after="20" w:line="252" w:lineRule="auto"/>
              <w:jc w:val="center"/>
            </w:pPr>
            <w:r>
              <w:rPr>
                <w:b w:val="0"/>
                <w:i w:val="0"/>
                <w:sz w:val="16"/>
              </w:rPr>
              <w:t>4 GB</w:t>
            </w:r>
          </w:p>
        </w:tc>
        <w:tc>
          <w:tcPr>
            <w:tcW w:type="dxa" w:w="1701"/>
            <w:vAlign w:val="top"/>
            <w:shd w:val="clear" w:color="auto" w:fill="FDF0F7"/>
          </w:tcPr>
          <w:p>
            <w:pPr>
              <w:spacing w:after="20" w:line="252" w:lineRule="auto"/>
            </w:pPr>
            <w:r>
              <w:rPr>
                <w:b w:val="0"/>
                <w:i w:val="0"/>
                <w:sz w:val="16"/>
              </w:rPr>
              <w:t>100 GB</w:t>
            </w:r>
          </w:p>
        </w:tc>
        <w:tc>
          <w:tcPr>
            <w:tcW w:type="dxa" w:w="2211"/>
            <w:vAlign w:val="top"/>
            <w:shd w:val="clear" w:color="auto" w:fill="FDF0F7"/>
          </w:tcPr>
          <w:p>
            <w:pPr>
              <w:spacing w:after="20" w:line="252" w:lineRule="auto"/>
              <w:jc w:val="right"/>
            </w:pPr>
            <w:r>
              <w:rPr>
                <w:b w:val="0"/>
                <w:i w:val="0"/>
                <w:sz w:val="16"/>
              </w:rPr>
              <w:t>B$ 0–1,500</w:t>
            </w:r>
          </w:p>
        </w:tc>
      </w:tr>
      <w:tr>
        <w:trPr>
          <w:cantSplit/>
        </w:trPr>
        <w:tc>
          <w:tcPr>
            <w:tcW w:type="dxa" w:w="2211"/>
            <w:gridSpan w:val="6"/>
            <w:shd w:val="clear" w:color="auto" w:fill="FEEBDD"/>
          </w:tcPr>
          <w:p>
            <w:pPr>
              <w:spacing w:after="0"/>
            </w:pPr>
            <w:r>
              <w:rPr>
                <w:b/>
                <w:i w:val="0"/>
                <w:color w:val="333333"/>
                <w:sz w:val="16"/>
              </w:rPr>
              <w:t>Non-production</w:t>
            </w:r>
          </w:p>
        </w:tc>
      </w:tr>
      <w:tr>
        <w:trPr>
          <w:cantSplit/>
        </w:trPr>
        <w:tc>
          <w:tcPr>
            <w:tcW w:type="dxa" w:w="2608"/>
            <w:vAlign w:val="top"/>
          </w:tcPr>
          <w:p>
            <w:pPr>
              <w:spacing w:after="20" w:line="252" w:lineRule="auto"/>
            </w:pPr>
            <w:r>
              <w:rPr>
                <w:b w:val="0"/>
                <w:i w:val="0"/>
                <w:sz w:val="16"/>
              </w:rPr>
              <w:t>SIT</w:t>
            </w:r>
          </w:p>
        </w:tc>
        <w:tc>
          <w:tcPr>
            <w:tcW w:type="dxa" w:w="1474"/>
            <w:vAlign w:val="top"/>
          </w:tcPr>
          <w:p>
            <w:pPr>
              <w:spacing w:after="20" w:line="252" w:lineRule="auto"/>
              <w:jc w:val="center"/>
            </w:pPr>
            <w:r>
              <w:rPr>
                <w:b w:val="0"/>
                <w:i w:val="0"/>
                <w:sz w:val="16"/>
              </w:rPr>
              <w:t>1</w:t>
            </w:r>
          </w:p>
        </w:tc>
        <w:tc>
          <w:tcPr>
            <w:tcW w:type="dxa" w:w="737"/>
            <w:vAlign w:val="top"/>
          </w:tcPr>
          <w:p>
            <w:pPr>
              <w:spacing w:after="20" w:line="252" w:lineRule="auto"/>
              <w:jc w:val="center"/>
            </w:pPr>
            <w:r>
              <w:rPr>
                <w:b w:val="0"/>
                <w:i w:val="0"/>
                <w:sz w:val="16"/>
              </w:rPr>
              <w:t>4</w:t>
            </w:r>
          </w:p>
        </w:tc>
        <w:tc>
          <w:tcPr>
            <w:tcW w:type="dxa" w:w="907"/>
            <w:vAlign w:val="top"/>
          </w:tcPr>
          <w:p>
            <w:pPr>
              <w:spacing w:after="20" w:line="252" w:lineRule="auto"/>
              <w:jc w:val="center"/>
            </w:pPr>
            <w:r>
              <w:rPr>
                <w:b w:val="0"/>
                <w:i w:val="0"/>
                <w:sz w:val="16"/>
              </w:rPr>
              <w:t>16 GB</w:t>
            </w:r>
          </w:p>
        </w:tc>
        <w:tc>
          <w:tcPr>
            <w:tcW w:type="dxa" w:w="1701"/>
            <w:vAlign w:val="top"/>
          </w:tcPr>
          <w:p>
            <w:pPr>
              <w:spacing w:after="20" w:line="252" w:lineRule="auto"/>
            </w:pPr>
            <w:r>
              <w:rPr>
                <w:b w:val="0"/>
                <w:i w:val="0"/>
                <w:sz w:val="16"/>
              </w:rPr>
              <w:t>200 GB</w:t>
            </w:r>
          </w:p>
        </w:tc>
        <w:tc>
          <w:tcPr>
            <w:tcW w:type="dxa" w:w="2211"/>
            <w:vAlign w:val="top"/>
          </w:tcPr>
          <w:p>
            <w:pPr>
              <w:spacing w:after="20" w:line="252" w:lineRule="auto"/>
              <w:jc w:val="right"/>
            </w:pPr>
            <w:r>
              <w:rPr>
                <w:b w:val="0"/>
                <w:i w:val="0"/>
                <w:sz w:val="16"/>
              </w:rPr>
              <w:t>B$ 2,000–3,500</w:t>
            </w:r>
          </w:p>
        </w:tc>
      </w:tr>
      <w:tr>
        <w:trPr>
          <w:cantSplit/>
        </w:trPr>
        <w:tc>
          <w:tcPr>
            <w:tcW w:type="dxa" w:w="2608"/>
            <w:vAlign w:val="top"/>
            <w:shd w:val="clear" w:color="auto" w:fill="FDF0F7"/>
          </w:tcPr>
          <w:p>
            <w:pPr>
              <w:spacing w:after="20" w:line="252" w:lineRule="auto"/>
            </w:pPr>
            <w:r>
              <w:rPr>
                <w:b w:val="0"/>
                <w:i w:val="0"/>
                <w:sz w:val="16"/>
              </w:rPr>
              <w:t>UAT</w:t>
            </w:r>
          </w:p>
        </w:tc>
        <w:tc>
          <w:tcPr>
            <w:tcW w:type="dxa" w:w="1474"/>
            <w:vAlign w:val="top"/>
            <w:shd w:val="clear" w:color="auto" w:fill="FDF0F7"/>
          </w:tcPr>
          <w:p>
            <w:pPr>
              <w:spacing w:after="20" w:line="252" w:lineRule="auto"/>
              <w:jc w:val="center"/>
            </w:pPr>
            <w:r>
              <w:rPr>
                <w:b w:val="0"/>
                <w:i w:val="0"/>
                <w:sz w:val="16"/>
              </w:rPr>
              <w:t>1</w:t>
            </w:r>
          </w:p>
        </w:tc>
        <w:tc>
          <w:tcPr>
            <w:tcW w:type="dxa" w:w="737"/>
            <w:vAlign w:val="top"/>
            <w:shd w:val="clear" w:color="auto" w:fill="FDF0F7"/>
          </w:tcPr>
          <w:p>
            <w:pPr>
              <w:spacing w:after="20" w:line="252" w:lineRule="auto"/>
              <w:jc w:val="center"/>
            </w:pPr>
            <w:r>
              <w:rPr>
                <w:b w:val="0"/>
                <w:i w:val="0"/>
                <w:sz w:val="16"/>
              </w:rPr>
              <w:t>4</w:t>
            </w:r>
          </w:p>
        </w:tc>
        <w:tc>
          <w:tcPr>
            <w:tcW w:type="dxa" w:w="907"/>
            <w:vAlign w:val="top"/>
            <w:shd w:val="clear" w:color="auto" w:fill="FDF0F7"/>
          </w:tcPr>
          <w:p>
            <w:pPr>
              <w:spacing w:after="20" w:line="252" w:lineRule="auto"/>
              <w:jc w:val="center"/>
            </w:pPr>
            <w:r>
              <w:rPr>
                <w:b w:val="0"/>
                <w:i w:val="0"/>
                <w:sz w:val="16"/>
              </w:rPr>
              <w:t>16 GB</w:t>
            </w:r>
          </w:p>
        </w:tc>
        <w:tc>
          <w:tcPr>
            <w:tcW w:type="dxa" w:w="1701"/>
            <w:vAlign w:val="top"/>
            <w:shd w:val="clear" w:color="auto" w:fill="FDF0F7"/>
          </w:tcPr>
          <w:p>
            <w:pPr>
              <w:spacing w:after="20" w:line="252" w:lineRule="auto"/>
            </w:pPr>
            <w:r>
              <w:rPr>
                <w:b w:val="0"/>
                <w:i w:val="0"/>
                <w:sz w:val="16"/>
              </w:rPr>
              <w:t>200 GB</w:t>
            </w:r>
          </w:p>
        </w:tc>
        <w:tc>
          <w:tcPr>
            <w:tcW w:type="dxa" w:w="2211"/>
            <w:vAlign w:val="top"/>
            <w:shd w:val="clear" w:color="auto" w:fill="FDF0F7"/>
          </w:tcPr>
          <w:p>
            <w:pPr>
              <w:spacing w:after="20" w:line="252" w:lineRule="auto"/>
              <w:jc w:val="right"/>
            </w:pPr>
            <w:r>
              <w:rPr>
                <w:b w:val="0"/>
                <w:i w:val="0"/>
                <w:sz w:val="16"/>
              </w:rPr>
              <w:t>B$ 2,000–3,500</w:t>
            </w:r>
          </w:p>
        </w:tc>
      </w:tr>
      <w:tr>
        <w:trPr>
          <w:cantSplit/>
        </w:trPr>
        <w:tc>
          <w:tcPr>
            <w:tcW w:type="dxa" w:w="2608"/>
            <w:vAlign w:val="top"/>
          </w:tcPr>
          <w:p>
            <w:pPr>
              <w:spacing w:after="20" w:line="252" w:lineRule="auto"/>
            </w:pPr>
            <w:r>
              <w:rPr>
                <w:b w:val="0"/>
                <w:i w:val="0"/>
                <w:sz w:val="16"/>
              </w:rPr>
              <w:t>DEV</w:t>
            </w:r>
          </w:p>
        </w:tc>
        <w:tc>
          <w:tcPr>
            <w:tcW w:type="dxa" w:w="1474"/>
            <w:vAlign w:val="top"/>
          </w:tcPr>
          <w:p>
            <w:pPr>
              <w:spacing w:after="20" w:line="252" w:lineRule="auto"/>
              <w:jc w:val="center"/>
            </w:pPr>
            <w:r>
              <w:rPr>
                <w:b w:val="0"/>
                <w:i w:val="0"/>
                <w:sz w:val="16"/>
              </w:rPr>
              <w:t>Not required</w:t>
            </w:r>
          </w:p>
        </w:tc>
        <w:tc>
          <w:tcPr>
            <w:tcW w:type="dxa" w:w="73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1701"/>
            <w:vAlign w:val="top"/>
          </w:tcPr>
          <w:p>
            <w:pPr>
              <w:spacing w:after="20" w:line="252" w:lineRule="auto"/>
            </w:pPr>
            <w:r>
              <w:rPr>
                <w:b w:val="0"/>
                <w:i w:val="0"/>
                <w:sz w:val="16"/>
              </w:rPr>
              <w:t>–</w:t>
            </w:r>
          </w:p>
        </w:tc>
        <w:tc>
          <w:tcPr>
            <w:tcW w:type="dxa" w:w="2211"/>
            <w:vAlign w:val="top"/>
          </w:tcPr>
          <w:p>
            <w:pPr>
              <w:spacing w:after="20" w:line="252" w:lineRule="auto"/>
              <w:jc w:val="right"/>
            </w:pPr>
            <w:r>
              <w:rPr>
                <w:b w:val="0"/>
                <w:i w:val="0"/>
                <w:sz w:val="16"/>
              </w:rPr>
              <w:t>B$ 0</w:t>
            </w:r>
          </w:p>
        </w:tc>
      </w:tr>
      <w:tr>
        <w:trPr>
          <w:cantSplit/>
        </w:trPr>
        <w:tc>
          <w:tcPr>
            <w:tcW w:type="dxa" w:w="2211"/>
            <w:gridSpan w:val="6"/>
            <w:shd w:val="clear" w:color="auto" w:fill="FEEBDD"/>
          </w:tcPr>
          <w:p>
            <w:pPr>
              <w:spacing w:after="0"/>
            </w:pPr>
            <w:r>
              <w:rPr>
                <w:b/>
                <w:i w:val="0"/>
                <w:color w:val="333333"/>
                <w:sz w:val="16"/>
              </w:rPr>
              <w:t>DR site</w:t>
            </w:r>
          </w:p>
        </w:tc>
      </w:tr>
      <w:tr>
        <w:trPr>
          <w:cantSplit/>
        </w:trPr>
        <w:tc>
          <w:tcPr>
            <w:tcW w:type="dxa" w:w="2608"/>
            <w:vAlign w:val="top"/>
          </w:tcPr>
          <w:p>
            <w:pPr>
              <w:spacing w:after="20" w:line="252" w:lineRule="auto"/>
            </w:pPr>
            <w:r>
              <w:rPr>
                <w:b w:val="0"/>
                <w:i w:val="0"/>
                <w:sz w:val="16"/>
              </w:rPr>
              <w:t>Application VM</w:t>
            </w:r>
          </w:p>
        </w:tc>
        <w:tc>
          <w:tcPr>
            <w:tcW w:type="dxa" w:w="1474"/>
            <w:vAlign w:val="top"/>
          </w:tcPr>
          <w:p>
            <w:pPr>
              <w:spacing w:after="20" w:line="252" w:lineRule="auto"/>
              <w:jc w:val="center"/>
            </w:pPr>
            <w:r>
              <w:rPr>
                <w:b w:val="0"/>
                <w:i w:val="0"/>
                <w:sz w:val="16"/>
              </w:rPr>
              <w:t>1</w:t>
            </w:r>
          </w:p>
        </w:tc>
        <w:tc>
          <w:tcPr>
            <w:tcW w:type="dxa" w:w="737"/>
            <w:vAlign w:val="top"/>
          </w:tcPr>
          <w:p>
            <w:pPr>
              <w:spacing w:after="20" w:line="252" w:lineRule="auto"/>
              <w:jc w:val="center"/>
            </w:pPr>
            <w:r>
              <w:rPr>
                <w:b w:val="0"/>
                <w:i w:val="0"/>
                <w:sz w:val="16"/>
              </w:rPr>
              <w:t>4</w:t>
            </w:r>
          </w:p>
        </w:tc>
        <w:tc>
          <w:tcPr>
            <w:tcW w:type="dxa" w:w="907"/>
            <w:vAlign w:val="top"/>
          </w:tcPr>
          <w:p>
            <w:pPr>
              <w:spacing w:after="20" w:line="252" w:lineRule="auto"/>
              <w:jc w:val="center"/>
            </w:pPr>
            <w:r>
              <w:rPr>
                <w:b w:val="0"/>
                <w:i w:val="0"/>
                <w:sz w:val="16"/>
              </w:rPr>
              <w:t>8 GB</w:t>
            </w:r>
          </w:p>
        </w:tc>
        <w:tc>
          <w:tcPr>
            <w:tcW w:type="dxa" w:w="1701"/>
            <w:vAlign w:val="top"/>
          </w:tcPr>
          <w:p>
            <w:pPr>
              <w:spacing w:after="20" w:line="252" w:lineRule="auto"/>
            </w:pPr>
            <w:r>
              <w:rPr>
                <w:b w:val="0"/>
                <w:i w:val="0"/>
                <w:sz w:val="16"/>
              </w:rPr>
              <w:t>100 GB</w:t>
            </w:r>
          </w:p>
        </w:tc>
        <w:tc>
          <w:tcPr>
            <w:tcW w:type="dxa" w:w="2211"/>
            <w:vAlign w:val="top"/>
          </w:tcPr>
          <w:p>
            <w:pPr>
              <w:spacing w:after="20" w:line="252" w:lineRule="auto"/>
              <w:jc w:val="right"/>
            </w:pPr>
            <w:r>
              <w:rPr>
                <w:b w:val="0"/>
                <w:i w:val="0"/>
                <w:sz w:val="16"/>
              </w:rPr>
              <w:t>B$ 1,500–3,000</w:t>
            </w:r>
          </w:p>
        </w:tc>
      </w:tr>
      <w:tr>
        <w:trPr>
          <w:cantSplit/>
        </w:trPr>
        <w:tc>
          <w:tcPr>
            <w:tcW w:type="dxa" w:w="2608"/>
            <w:vAlign w:val="top"/>
            <w:shd w:val="clear" w:color="auto" w:fill="FDF0F7"/>
          </w:tcPr>
          <w:p>
            <w:pPr>
              <w:spacing w:after="20" w:line="252" w:lineRule="auto"/>
            </w:pPr>
            <w:r>
              <w:rPr>
                <w:b w:val="0"/>
                <w:i w:val="0"/>
                <w:sz w:val="16"/>
              </w:rPr>
              <w:t>Database VM</w:t>
            </w:r>
          </w:p>
        </w:tc>
        <w:tc>
          <w:tcPr>
            <w:tcW w:type="dxa" w:w="1474"/>
            <w:vAlign w:val="top"/>
            <w:shd w:val="clear" w:color="auto" w:fill="FDF0F7"/>
          </w:tcPr>
          <w:p>
            <w:pPr>
              <w:spacing w:after="20" w:line="252" w:lineRule="auto"/>
              <w:jc w:val="center"/>
            </w:pPr>
            <w:r>
              <w:rPr>
                <w:b w:val="0"/>
                <w:i w:val="0"/>
                <w:sz w:val="16"/>
              </w:rPr>
              <w:t>1</w:t>
            </w:r>
          </w:p>
        </w:tc>
        <w:tc>
          <w:tcPr>
            <w:tcW w:type="dxa" w:w="737"/>
            <w:vAlign w:val="top"/>
            <w:shd w:val="clear" w:color="auto" w:fill="FDF0F7"/>
          </w:tcPr>
          <w:p>
            <w:pPr>
              <w:spacing w:after="20" w:line="252" w:lineRule="auto"/>
              <w:jc w:val="center"/>
            </w:pPr>
            <w:r>
              <w:rPr>
                <w:b w:val="0"/>
                <w:i w:val="0"/>
                <w:sz w:val="16"/>
              </w:rPr>
              <w:t>4</w:t>
            </w:r>
          </w:p>
        </w:tc>
        <w:tc>
          <w:tcPr>
            <w:tcW w:type="dxa" w:w="907"/>
            <w:vAlign w:val="top"/>
            <w:shd w:val="clear" w:color="auto" w:fill="FDF0F7"/>
          </w:tcPr>
          <w:p>
            <w:pPr>
              <w:spacing w:after="20" w:line="252" w:lineRule="auto"/>
              <w:jc w:val="center"/>
            </w:pPr>
            <w:r>
              <w:rPr>
                <w:b w:val="0"/>
                <w:i w:val="0"/>
                <w:sz w:val="16"/>
              </w:rPr>
              <w:t>16 GB</w:t>
            </w:r>
          </w:p>
        </w:tc>
        <w:tc>
          <w:tcPr>
            <w:tcW w:type="dxa" w:w="1701"/>
            <w:vAlign w:val="top"/>
            <w:shd w:val="clear" w:color="auto" w:fill="FDF0F7"/>
          </w:tcPr>
          <w:p>
            <w:pPr>
              <w:spacing w:after="20" w:line="252" w:lineRule="auto"/>
            </w:pPr>
            <w:r>
              <w:rPr>
                <w:b w:val="0"/>
                <w:i w:val="0"/>
                <w:sz w:val="16"/>
              </w:rPr>
              <w:t>200 GB SSD</w:t>
            </w:r>
          </w:p>
        </w:tc>
        <w:tc>
          <w:tcPr>
            <w:tcW w:type="dxa" w:w="2211"/>
            <w:vAlign w:val="top"/>
            <w:shd w:val="clear" w:color="auto" w:fill="FDF0F7"/>
          </w:tcPr>
          <w:p>
            <w:pPr>
              <w:spacing w:after="20" w:line="252" w:lineRule="auto"/>
              <w:jc w:val="right"/>
            </w:pPr>
            <w:r>
              <w:rPr>
                <w:b w:val="0"/>
                <w:i w:val="0"/>
                <w:sz w:val="16"/>
              </w:rPr>
              <w:t>B$ 2,500–4,500</w:t>
            </w:r>
          </w:p>
        </w:tc>
      </w:tr>
      <w:tr>
        <w:trPr>
          <w:cantSplit/>
        </w:trPr>
        <w:tc>
          <w:tcPr>
            <w:tcW w:type="dxa" w:w="2608"/>
            <w:vAlign w:val="top"/>
          </w:tcPr>
          <w:p>
            <w:pPr>
              <w:spacing w:after="20" w:line="252" w:lineRule="auto"/>
            </w:pPr>
            <w:r>
              <w:rPr>
                <w:b w:val="0"/>
                <w:i w:val="0"/>
                <w:sz w:val="16"/>
              </w:rPr>
              <w:t>Document and backup copies</w:t>
            </w:r>
          </w:p>
        </w:tc>
        <w:tc>
          <w:tcPr>
            <w:tcW w:type="dxa" w:w="1474"/>
            <w:vAlign w:val="top"/>
          </w:tcPr>
          <w:p>
            <w:pPr>
              <w:spacing w:after="20" w:line="252" w:lineRule="auto"/>
              <w:jc w:val="center"/>
            </w:pPr>
            <w:r>
              <w:rPr>
                <w:b w:val="0"/>
                <w:i w:val="0"/>
                <w:sz w:val="16"/>
              </w:rPr>
              <w:t>–</w:t>
            </w:r>
          </w:p>
        </w:tc>
        <w:tc>
          <w:tcPr>
            <w:tcW w:type="dxa" w:w="737"/>
            <w:vAlign w:val="top"/>
          </w:tcPr>
          <w:p>
            <w:pPr>
              <w:spacing w:after="20" w:line="252" w:lineRule="auto"/>
              <w:jc w:val="center"/>
            </w:pPr>
            <w:r>
              <w:rPr>
                <w:b w:val="0"/>
                <w:i w:val="0"/>
                <w:sz w:val="16"/>
              </w:rPr>
              <w:t>–</w:t>
            </w:r>
          </w:p>
        </w:tc>
        <w:tc>
          <w:tcPr>
            <w:tcW w:type="dxa" w:w="907"/>
            <w:vAlign w:val="top"/>
          </w:tcPr>
          <w:p>
            <w:pPr>
              <w:spacing w:after="20" w:line="252" w:lineRule="auto"/>
              <w:jc w:val="center"/>
            </w:pPr>
            <w:r>
              <w:rPr>
                <w:b w:val="0"/>
                <w:i w:val="0"/>
                <w:sz w:val="16"/>
              </w:rPr>
              <w:t>–</w:t>
            </w:r>
          </w:p>
        </w:tc>
        <w:tc>
          <w:tcPr>
            <w:tcW w:type="dxa" w:w="1701"/>
            <w:vAlign w:val="top"/>
          </w:tcPr>
          <w:p>
            <w:pPr>
              <w:spacing w:after="20" w:line="252" w:lineRule="auto"/>
            </w:pPr>
            <w:r>
              <w:rPr>
                <w:b w:val="0"/>
                <w:i w:val="0"/>
                <w:sz w:val="16"/>
              </w:rPr>
              <w:t>500 GB + 1 TB</w:t>
            </w:r>
          </w:p>
        </w:tc>
        <w:tc>
          <w:tcPr>
            <w:tcW w:type="dxa" w:w="2211"/>
            <w:vAlign w:val="top"/>
          </w:tcPr>
          <w:p>
            <w:pPr>
              <w:spacing w:after="20" w:line="252" w:lineRule="auto"/>
              <w:jc w:val="right"/>
            </w:pPr>
            <w:r>
              <w:rPr>
                <w:b w:val="0"/>
                <w:i w:val="0"/>
                <w:sz w:val="16"/>
              </w:rPr>
              <w:t>B$ 2,000–4,000</w:t>
            </w:r>
          </w:p>
        </w:tc>
      </w:tr>
      <w:tr>
        <w:trPr>
          <w:cantSplit/>
        </w:trPr>
        <w:tc>
          <w:tcPr>
            <w:tcW w:type="dxa" w:w="2608"/>
            <w:vAlign w:val="top"/>
            <w:shd w:val="clear" w:color="auto" w:fill="FEEBDD"/>
          </w:tcPr>
          <w:p>
            <w:pPr>
              <w:spacing w:after="20" w:line="252" w:lineRule="auto"/>
            </w:pPr>
            <w:r>
              <w:rPr>
                <w:b/>
                <w:i w:val="0"/>
                <w:sz w:val="16"/>
              </w:rPr>
              <w:t>Total, indicative one-time</w:t>
            </w:r>
          </w:p>
        </w:tc>
        <w:tc>
          <w:tcPr>
            <w:tcW w:type="dxa" w:w="1474"/>
            <w:vAlign w:val="top"/>
            <w:shd w:val="clear" w:color="auto" w:fill="FEEBDD"/>
          </w:tcPr>
          <w:p>
            <w:pPr>
              <w:spacing w:after="20" w:line="252" w:lineRule="auto"/>
              <w:jc w:val="center"/>
            </w:pPr>
          </w:p>
        </w:tc>
        <w:tc>
          <w:tcPr>
            <w:tcW w:type="dxa" w:w="737"/>
            <w:vAlign w:val="top"/>
            <w:shd w:val="clear" w:color="auto" w:fill="FEEBDD"/>
          </w:tcPr>
          <w:p>
            <w:pPr>
              <w:spacing w:after="20" w:line="252" w:lineRule="auto"/>
              <w:jc w:val="center"/>
            </w:pPr>
          </w:p>
        </w:tc>
        <w:tc>
          <w:tcPr>
            <w:tcW w:type="dxa" w:w="907"/>
            <w:vAlign w:val="top"/>
            <w:shd w:val="clear" w:color="auto" w:fill="FEEBDD"/>
          </w:tcPr>
          <w:p>
            <w:pPr>
              <w:spacing w:after="20" w:line="252" w:lineRule="auto"/>
              <w:jc w:val="center"/>
            </w:pPr>
          </w:p>
        </w:tc>
        <w:tc>
          <w:tcPr>
            <w:tcW w:type="dxa" w:w="1701"/>
            <w:vAlign w:val="top"/>
            <w:shd w:val="clear" w:color="auto" w:fill="FEEBDD"/>
          </w:tcPr>
          <w:p>
            <w:pPr>
              <w:spacing w:after="20" w:line="252" w:lineRule="auto"/>
            </w:pPr>
          </w:p>
        </w:tc>
        <w:tc>
          <w:tcPr>
            <w:tcW w:type="dxa" w:w="2211"/>
            <w:vAlign w:val="top"/>
            <w:shd w:val="clear" w:color="auto" w:fill="FEEBDD"/>
          </w:tcPr>
          <w:p>
            <w:pPr>
              <w:spacing w:after="20" w:line="252" w:lineRule="auto"/>
              <w:jc w:val="right"/>
            </w:pPr>
            <w:r>
              <w:rPr>
                <w:b/>
                <w:i w:val="0"/>
                <w:sz w:val="16"/>
              </w:rPr>
              <w:t>B$ 20,500–42,000</w:t>
            </w:r>
          </w:p>
        </w:tc>
      </w:tr>
    </w:tbl>
    <w:p>
      <w:pPr>
        <w:pStyle w:val="Caption"/>
        <w:jc w:val="center"/>
      </w:pPr>
      <w:r>
        <w:rPr>
          <w:b w:val="0"/>
          <w:i w:val="0"/>
        </w:rPr>
        <w:t>Table 70: Option A infrastructure, sized as in the Solution Architecture</w:t>
      </w:r>
    </w:p>
    <w:p>
      <w:pPr>
        <w:keepNext w:val="0"/>
      </w:pPr>
      <w:r>
        <w:rPr>
          <w:b w:val="0"/>
          <w:i w:val="0"/>
        </w:rPr>
        <w:t>Operating system: Ubuntu Server 24.04 LTS (no licence fee) or RHEL 9 (B$ 4,500–10,800 a year for 9 VMs). Virtualisation, network, firewall, backup platform and SIEM are existing IITH services. Costs fall where existing IITH capacity is used.</w:t>
      </w:r>
    </w:p>
    <w:p>
      <w:pPr>
        <w:pStyle w:val="Heading3"/>
      </w:pPr>
      <w:r>
        <w:t>Software components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2608"/>
        <w:gridCol w:w="1360"/>
        <w:gridCol w:w="2608"/>
        <w:gridCol w:w="1814"/>
        <w:gridCol w:w="1247"/>
      </w:tblGrid>
      <w:tr>
        <w:trPr>
          <w:cantSplit/>
          <w:tblHeader/>
        </w:trPr>
        <w:tc>
          <w:tcPr>
            <w:tcW w:type="dxa" w:w="2608"/>
            <w:shd w:val="clear" w:color="auto" w:fill="E1058C"/>
            <w:vAlign w:val="center"/>
          </w:tcPr>
          <w:p>
            <w:pPr>
              <w:spacing w:after="0"/>
            </w:pPr>
            <w:r>
              <w:rPr>
                <w:b/>
                <w:i w:val="0"/>
                <w:color w:val="FFFFFF"/>
                <w:sz w:val="15"/>
              </w:rPr>
              <w:t>Component</w:t>
            </w:r>
          </w:p>
        </w:tc>
        <w:tc>
          <w:tcPr>
            <w:tcW w:type="dxa" w:w="1361"/>
            <w:shd w:val="clear" w:color="auto" w:fill="E1058C"/>
            <w:vAlign w:val="center"/>
          </w:tcPr>
          <w:p>
            <w:pPr>
              <w:spacing w:after="0"/>
            </w:pPr>
            <w:r>
              <w:rPr>
                <w:b/>
                <w:i w:val="0"/>
                <w:color w:val="FFFFFF"/>
                <w:sz w:val="15"/>
              </w:rPr>
              <w:t>Version</w:t>
            </w:r>
          </w:p>
        </w:tc>
        <w:tc>
          <w:tcPr>
            <w:tcW w:type="dxa" w:w="2608"/>
            <w:shd w:val="clear" w:color="auto" w:fill="E1058C"/>
            <w:vAlign w:val="center"/>
          </w:tcPr>
          <w:p>
            <w:pPr>
              <w:spacing w:after="0"/>
            </w:pPr>
            <w:r>
              <w:rPr>
                <w:b/>
                <w:i w:val="0"/>
                <w:color w:val="FFFFFF"/>
                <w:sz w:val="15"/>
              </w:rPr>
              <w:t>Role</w:t>
            </w:r>
          </w:p>
        </w:tc>
        <w:tc>
          <w:tcPr>
            <w:tcW w:type="dxa" w:w="1814"/>
            <w:shd w:val="clear" w:color="auto" w:fill="E1058C"/>
            <w:vAlign w:val="center"/>
          </w:tcPr>
          <w:p>
            <w:pPr>
              <w:spacing w:after="0"/>
            </w:pPr>
            <w:r>
              <w:rPr>
                <w:b/>
                <w:i w:val="0"/>
                <w:color w:val="FFFFFF"/>
                <w:sz w:val="15"/>
              </w:rPr>
              <w:t>Licence</w:t>
            </w:r>
          </w:p>
        </w:tc>
        <w:tc>
          <w:tcPr>
            <w:tcW w:type="dxa" w:w="1247"/>
            <w:shd w:val="clear" w:color="auto" w:fill="E1058C"/>
            <w:vAlign w:val="center"/>
          </w:tcPr>
          <w:p>
            <w:pPr>
              <w:spacing w:after="0"/>
            </w:pPr>
            <w:r>
              <w:rPr>
                <w:b/>
                <w:i w:val="0"/>
                <w:color w:val="FFFFFF"/>
                <w:sz w:val="15"/>
              </w:rPr>
              <w:t>Fee</w:t>
            </w:r>
          </w:p>
        </w:tc>
      </w:tr>
      <w:tr>
        <w:trPr>
          <w:cantSplit/>
        </w:trPr>
        <w:tc>
          <w:tcPr>
            <w:tcW w:type="dxa" w:w="2608"/>
            <w:vAlign w:val="top"/>
          </w:tcPr>
          <w:p>
            <w:pPr>
              <w:spacing w:after="20" w:line="252" w:lineRule="auto"/>
            </w:pPr>
            <w:r>
              <w:rPr>
                <w:b w:val="0"/>
                <w:i w:val="0"/>
                <w:sz w:val="15"/>
              </w:rPr>
              <w:t>Node.js</w:t>
            </w:r>
          </w:p>
        </w:tc>
        <w:tc>
          <w:tcPr>
            <w:tcW w:type="dxa" w:w="1361"/>
            <w:vAlign w:val="top"/>
          </w:tcPr>
          <w:p>
            <w:pPr>
              <w:spacing w:after="20" w:line="252" w:lineRule="auto"/>
            </w:pPr>
            <w:r>
              <w:rPr>
                <w:b w:val="0"/>
                <w:i w:val="0"/>
                <w:sz w:val="15"/>
              </w:rPr>
              <w:t>22 LTS</w:t>
            </w:r>
          </w:p>
        </w:tc>
        <w:tc>
          <w:tcPr>
            <w:tcW w:type="dxa" w:w="2608"/>
            <w:vAlign w:val="top"/>
          </w:tcPr>
          <w:p>
            <w:pPr>
              <w:spacing w:after="20" w:line="252" w:lineRule="auto"/>
            </w:pPr>
            <w:r>
              <w:rPr>
                <w:b w:val="0"/>
                <w:i w:val="0"/>
                <w:sz w:val="15"/>
              </w:rPr>
              <w:t>API runtime (inside the container image)</w:t>
            </w:r>
          </w:p>
        </w:tc>
        <w:tc>
          <w:tcPr>
            <w:tcW w:type="dxa" w:w="1814"/>
            <w:vAlign w:val="top"/>
          </w:tcPr>
          <w:p>
            <w:pPr>
              <w:spacing w:after="20" w:line="252" w:lineRule="auto"/>
            </w:pPr>
            <w:r>
              <w:rPr>
                <w:b w:val="0"/>
                <w:i w:val="0"/>
                <w:sz w:val="15"/>
              </w:rPr>
              <w:t>MIT</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NestJS</w:t>
            </w:r>
          </w:p>
        </w:tc>
        <w:tc>
          <w:tcPr>
            <w:tcW w:type="dxa" w:w="1361"/>
            <w:vAlign w:val="top"/>
            <w:shd w:val="clear" w:color="auto" w:fill="FDF0F7"/>
          </w:tcPr>
          <w:p>
            <w:pPr>
              <w:spacing w:after="20" w:line="252" w:lineRule="auto"/>
            </w:pPr>
            <w:r>
              <w:rPr>
                <w:b w:val="0"/>
                <w:i w:val="0"/>
                <w:sz w:val="15"/>
              </w:rPr>
              <w:t>12</w:t>
            </w:r>
          </w:p>
        </w:tc>
        <w:tc>
          <w:tcPr>
            <w:tcW w:type="dxa" w:w="2608"/>
            <w:vAlign w:val="top"/>
            <w:shd w:val="clear" w:color="auto" w:fill="FDF0F7"/>
          </w:tcPr>
          <w:p>
            <w:pPr>
              <w:spacing w:after="20" w:line="252" w:lineRule="auto"/>
            </w:pPr>
            <w:r>
              <w:rPr>
                <w:b w:val="0"/>
                <w:i w:val="0"/>
                <w:sz w:val="15"/>
              </w:rPr>
              <w:t>API framework</w:t>
            </w:r>
          </w:p>
        </w:tc>
        <w:tc>
          <w:tcPr>
            <w:tcW w:type="dxa" w:w="1814"/>
            <w:vAlign w:val="top"/>
            <w:shd w:val="clear" w:color="auto" w:fill="FDF0F7"/>
          </w:tcPr>
          <w:p>
            <w:pPr>
              <w:spacing w:after="20" w:line="252" w:lineRule="auto"/>
            </w:pPr>
            <w:r>
              <w:rPr>
                <w:b w:val="0"/>
                <w:i w:val="0"/>
                <w:sz w:val="15"/>
              </w:rPr>
              <w:t>MIT</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Prisma ORM and PostgreSQL driver adapter</w:t>
            </w:r>
          </w:p>
        </w:tc>
        <w:tc>
          <w:tcPr>
            <w:tcW w:type="dxa" w:w="1361"/>
            <w:vAlign w:val="top"/>
          </w:tcPr>
          <w:p>
            <w:pPr>
              <w:spacing w:after="20" w:line="252" w:lineRule="auto"/>
            </w:pPr>
            <w:r>
              <w:rPr>
                <w:b w:val="0"/>
                <w:i w:val="0"/>
                <w:sz w:val="15"/>
              </w:rPr>
              <w:t>7</w:t>
            </w:r>
          </w:p>
        </w:tc>
        <w:tc>
          <w:tcPr>
            <w:tcW w:type="dxa" w:w="2608"/>
            <w:vAlign w:val="top"/>
          </w:tcPr>
          <w:p>
            <w:pPr>
              <w:spacing w:after="20" w:line="252" w:lineRule="auto"/>
            </w:pPr>
            <w:r>
              <w:rPr>
                <w:b w:val="0"/>
                <w:i w:val="0"/>
                <w:sz w:val="15"/>
              </w:rPr>
              <w:t>Data access and migrations</w:t>
            </w:r>
          </w:p>
        </w:tc>
        <w:tc>
          <w:tcPr>
            <w:tcW w:type="dxa" w:w="1814"/>
            <w:vAlign w:val="top"/>
          </w:tcPr>
          <w:p>
            <w:pPr>
              <w:spacing w:after="20" w:line="252" w:lineRule="auto"/>
            </w:pPr>
            <w:r>
              <w:rPr>
                <w:b w:val="0"/>
                <w:i w:val="0"/>
                <w:sz w:val="15"/>
              </w:rPr>
              <w:t>Apache-2.0</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React and React DOM</w:t>
            </w:r>
          </w:p>
        </w:tc>
        <w:tc>
          <w:tcPr>
            <w:tcW w:type="dxa" w:w="1361"/>
            <w:vAlign w:val="top"/>
            <w:shd w:val="clear" w:color="auto" w:fill="FDF0F7"/>
          </w:tcPr>
          <w:p>
            <w:pPr>
              <w:spacing w:after="20" w:line="252" w:lineRule="auto"/>
            </w:pPr>
            <w:r>
              <w:rPr>
                <w:b w:val="0"/>
                <w:i w:val="0"/>
                <w:sz w:val="15"/>
              </w:rPr>
              <w:t>19</w:t>
            </w:r>
          </w:p>
        </w:tc>
        <w:tc>
          <w:tcPr>
            <w:tcW w:type="dxa" w:w="2608"/>
            <w:vAlign w:val="top"/>
            <w:shd w:val="clear" w:color="auto" w:fill="FDF0F7"/>
          </w:tcPr>
          <w:p>
            <w:pPr>
              <w:spacing w:after="20" w:line="252" w:lineRule="auto"/>
            </w:pPr>
            <w:r>
              <w:rPr>
                <w:b w:val="0"/>
                <w:i w:val="0"/>
                <w:sz w:val="15"/>
              </w:rPr>
              <w:t>Portal and back-office user interface</w:t>
            </w:r>
          </w:p>
        </w:tc>
        <w:tc>
          <w:tcPr>
            <w:tcW w:type="dxa" w:w="1814"/>
            <w:vAlign w:val="top"/>
            <w:shd w:val="clear" w:color="auto" w:fill="FDF0F7"/>
          </w:tcPr>
          <w:p>
            <w:pPr>
              <w:spacing w:after="20" w:line="252" w:lineRule="auto"/>
            </w:pPr>
            <w:r>
              <w:rPr>
                <w:b w:val="0"/>
                <w:i w:val="0"/>
                <w:sz w:val="15"/>
              </w:rPr>
              <w:t>MIT</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Ant Design and Ant Design Icons</w:t>
            </w:r>
          </w:p>
        </w:tc>
        <w:tc>
          <w:tcPr>
            <w:tcW w:type="dxa" w:w="1361"/>
            <w:vAlign w:val="top"/>
          </w:tcPr>
          <w:p>
            <w:pPr>
              <w:spacing w:after="20" w:line="252" w:lineRule="auto"/>
            </w:pPr>
            <w:r>
              <w:rPr>
                <w:b w:val="0"/>
                <w:i w:val="0"/>
                <w:sz w:val="15"/>
              </w:rPr>
              <w:t>6</w:t>
            </w:r>
          </w:p>
        </w:tc>
        <w:tc>
          <w:tcPr>
            <w:tcW w:type="dxa" w:w="2608"/>
            <w:vAlign w:val="top"/>
          </w:tcPr>
          <w:p>
            <w:pPr>
              <w:spacing w:after="20" w:line="252" w:lineRule="auto"/>
            </w:pPr>
            <w:r>
              <w:rPr>
                <w:b w:val="0"/>
                <w:i w:val="0"/>
                <w:sz w:val="15"/>
              </w:rPr>
              <w:t>UI component library</w:t>
            </w:r>
          </w:p>
        </w:tc>
        <w:tc>
          <w:tcPr>
            <w:tcW w:type="dxa" w:w="1814"/>
            <w:vAlign w:val="top"/>
          </w:tcPr>
          <w:p>
            <w:pPr>
              <w:spacing w:after="20" w:line="252" w:lineRule="auto"/>
            </w:pPr>
            <w:r>
              <w:rPr>
                <w:b w:val="0"/>
                <w:i w:val="0"/>
                <w:sz w:val="15"/>
              </w:rPr>
              <w:t>MIT</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TanStack Query, React Router, Recharts, Day.js</w:t>
            </w:r>
          </w:p>
        </w:tc>
        <w:tc>
          <w:tcPr>
            <w:tcW w:type="dxa" w:w="1361"/>
            <w:vAlign w:val="top"/>
            <w:shd w:val="clear" w:color="auto" w:fill="FDF0F7"/>
          </w:tcPr>
          <w:p>
            <w:pPr>
              <w:spacing w:after="20" w:line="252" w:lineRule="auto"/>
            </w:pPr>
            <w:r>
              <w:rPr>
                <w:b w:val="0"/>
                <w:i w:val="0"/>
                <w:sz w:val="15"/>
              </w:rPr>
              <w:t>5 / 7 / 3 / 1</w:t>
            </w:r>
          </w:p>
        </w:tc>
        <w:tc>
          <w:tcPr>
            <w:tcW w:type="dxa" w:w="2608"/>
            <w:vAlign w:val="top"/>
            <w:shd w:val="clear" w:color="auto" w:fill="FDF0F7"/>
          </w:tcPr>
          <w:p>
            <w:pPr>
              <w:spacing w:after="20" w:line="252" w:lineRule="auto"/>
            </w:pPr>
            <w:r>
              <w:rPr>
                <w:b w:val="0"/>
                <w:i w:val="0"/>
                <w:sz w:val="15"/>
              </w:rPr>
              <w:t>UI data, routing, charts, dates</w:t>
            </w:r>
          </w:p>
        </w:tc>
        <w:tc>
          <w:tcPr>
            <w:tcW w:type="dxa" w:w="1814"/>
            <w:vAlign w:val="top"/>
            <w:shd w:val="clear" w:color="auto" w:fill="FDF0F7"/>
          </w:tcPr>
          <w:p>
            <w:pPr>
              <w:spacing w:after="20" w:line="252" w:lineRule="auto"/>
            </w:pPr>
            <w:r>
              <w:rPr>
                <w:b w:val="0"/>
                <w:i w:val="0"/>
                <w:sz w:val="15"/>
              </w:rPr>
              <w:t>MIT</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pdfkit, exceljs</w:t>
            </w:r>
          </w:p>
        </w:tc>
        <w:tc>
          <w:tcPr>
            <w:tcW w:type="dxa" w:w="1361"/>
            <w:vAlign w:val="top"/>
          </w:tcPr>
          <w:p>
            <w:pPr>
              <w:spacing w:after="20" w:line="252" w:lineRule="auto"/>
            </w:pPr>
            <w:r>
              <w:rPr>
                <w:b w:val="0"/>
                <w:i w:val="0"/>
                <w:sz w:val="15"/>
              </w:rPr>
              <w:t>0.20 / 4.4</w:t>
            </w:r>
          </w:p>
        </w:tc>
        <w:tc>
          <w:tcPr>
            <w:tcW w:type="dxa" w:w="2608"/>
            <w:vAlign w:val="top"/>
          </w:tcPr>
          <w:p>
            <w:pPr>
              <w:spacing w:after="20" w:line="252" w:lineRule="auto"/>
            </w:pPr>
            <w:r>
              <w:rPr>
                <w:b w:val="0"/>
                <w:i w:val="0"/>
                <w:sz w:val="15"/>
              </w:rPr>
              <w:t>PDF documents and Excel reports</w:t>
            </w:r>
          </w:p>
        </w:tc>
        <w:tc>
          <w:tcPr>
            <w:tcW w:type="dxa" w:w="1814"/>
            <w:vAlign w:val="top"/>
          </w:tcPr>
          <w:p>
            <w:pPr>
              <w:spacing w:after="20" w:line="252" w:lineRule="auto"/>
            </w:pPr>
            <w:r>
              <w:rPr>
                <w:b w:val="0"/>
                <w:i w:val="0"/>
                <w:sz w:val="15"/>
              </w:rPr>
              <w:t>MIT</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Argon2 (@node-rs/argon2), helmet, express-session</w:t>
            </w:r>
          </w:p>
        </w:tc>
        <w:tc>
          <w:tcPr>
            <w:tcW w:type="dxa" w:w="1361"/>
            <w:vAlign w:val="top"/>
            <w:shd w:val="clear" w:color="auto" w:fill="FDF0F7"/>
          </w:tcPr>
          <w:p>
            <w:pPr>
              <w:spacing w:after="20" w:line="252" w:lineRule="auto"/>
            </w:pPr>
            <w:r>
              <w:rPr>
                <w:b w:val="0"/>
                <w:i w:val="0"/>
                <w:sz w:val="15"/>
              </w:rPr>
              <w:t>2 / 8 / 1</w:t>
            </w:r>
          </w:p>
        </w:tc>
        <w:tc>
          <w:tcPr>
            <w:tcW w:type="dxa" w:w="2608"/>
            <w:vAlign w:val="top"/>
            <w:shd w:val="clear" w:color="auto" w:fill="FDF0F7"/>
          </w:tcPr>
          <w:p>
            <w:pPr>
              <w:spacing w:after="20" w:line="252" w:lineRule="auto"/>
            </w:pPr>
            <w:r>
              <w:rPr>
                <w:b w:val="0"/>
                <w:i w:val="0"/>
                <w:sz w:val="15"/>
              </w:rPr>
              <w:t>Password hashing, security headers, sessions</w:t>
            </w:r>
          </w:p>
        </w:tc>
        <w:tc>
          <w:tcPr>
            <w:tcW w:type="dxa" w:w="1814"/>
            <w:vAlign w:val="top"/>
            <w:shd w:val="clear" w:color="auto" w:fill="FDF0F7"/>
          </w:tcPr>
          <w:p>
            <w:pPr>
              <w:spacing w:after="20" w:line="252" w:lineRule="auto"/>
            </w:pPr>
            <w:r>
              <w:rPr>
                <w:b w:val="0"/>
                <w:i w:val="0"/>
                <w:sz w:val="15"/>
              </w:rPr>
              <w:t>MIT</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pino, prom-client</w:t>
            </w:r>
          </w:p>
        </w:tc>
        <w:tc>
          <w:tcPr>
            <w:tcW w:type="dxa" w:w="1361"/>
            <w:vAlign w:val="top"/>
          </w:tcPr>
          <w:p>
            <w:pPr>
              <w:spacing w:after="20" w:line="252" w:lineRule="auto"/>
            </w:pPr>
            <w:r>
              <w:rPr>
                <w:b w:val="0"/>
                <w:i w:val="0"/>
                <w:sz w:val="15"/>
              </w:rPr>
              <w:t>10 / 15</w:t>
            </w:r>
          </w:p>
        </w:tc>
        <w:tc>
          <w:tcPr>
            <w:tcW w:type="dxa" w:w="2608"/>
            <w:vAlign w:val="top"/>
          </w:tcPr>
          <w:p>
            <w:pPr>
              <w:spacing w:after="20" w:line="252" w:lineRule="auto"/>
            </w:pPr>
            <w:r>
              <w:rPr>
                <w:b w:val="0"/>
                <w:i w:val="0"/>
                <w:sz w:val="15"/>
              </w:rPr>
              <w:t>Structured logs and metrics</w:t>
            </w:r>
          </w:p>
        </w:tc>
        <w:tc>
          <w:tcPr>
            <w:tcW w:type="dxa" w:w="1814"/>
            <w:vAlign w:val="top"/>
          </w:tcPr>
          <w:p>
            <w:pPr>
              <w:spacing w:after="20" w:line="252" w:lineRule="auto"/>
            </w:pPr>
            <w:r>
              <w:rPr>
                <w:b w:val="0"/>
                <w:i w:val="0"/>
                <w:sz w:val="15"/>
              </w:rPr>
              <w:t>MIT / Apache-2.0</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ldapts, nodemailer</w:t>
            </w:r>
          </w:p>
        </w:tc>
        <w:tc>
          <w:tcPr>
            <w:tcW w:type="dxa" w:w="1361"/>
            <w:vAlign w:val="top"/>
            <w:shd w:val="clear" w:color="auto" w:fill="FDF0F7"/>
          </w:tcPr>
          <w:p>
            <w:pPr>
              <w:spacing w:after="20" w:line="252" w:lineRule="auto"/>
            </w:pPr>
            <w:r>
              <w:rPr>
                <w:b w:val="0"/>
                <w:i w:val="0"/>
                <w:sz w:val="15"/>
              </w:rPr>
              <w:t>9 / 10</w:t>
            </w:r>
          </w:p>
        </w:tc>
        <w:tc>
          <w:tcPr>
            <w:tcW w:type="dxa" w:w="2608"/>
            <w:vAlign w:val="top"/>
            <w:shd w:val="clear" w:color="auto" w:fill="FDF0F7"/>
          </w:tcPr>
          <w:p>
            <w:pPr>
              <w:spacing w:after="20" w:line="252" w:lineRule="auto"/>
            </w:pPr>
            <w:r>
              <w:rPr>
                <w:b w:val="0"/>
                <w:i w:val="0"/>
                <w:sz w:val="15"/>
              </w:rPr>
              <w:t>Active Directory and e-mail integration</w:t>
            </w:r>
          </w:p>
        </w:tc>
        <w:tc>
          <w:tcPr>
            <w:tcW w:type="dxa" w:w="1814"/>
            <w:vAlign w:val="top"/>
            <w:shd w:val="clear" w:color="auto" w:fill="FDF0F7"/>
          </w:tcPr>
          <w:p>
            <w:pPr>
              <w:spacing w:after="20" w:line="252" w:lineRule="auto"/>
            </w:pPr>
            <w:r>
              <w:rPr>
                <w:b w:val="0"/>
                <w:i w:val="0"/>
                <w:sz w:val="15"/>
              </w:rPr>
              <w:t>MIT / MIT-0</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PostgreSQL</w:t>
            </w:r>
          </w:p>
        </w:tc>
        <w:tc>
          <w:tcPr>
            <w:tcW w:type="dxa" w:w="1361"/>
            <w:vAlign w:val="top"/>
          </w:tcPr>
          <w:p>
            <w:pPr>
              <w:spacing w:after="20" w:line="252" w:lineRule="auto"/>
            </w:pPr>
            <w:r>
              <w:rPr>
                <w:b w:val="0"/>
                <w:i w:val="0"/>
                <w:sz w:val="15"/>
              </w:rPr>
              <w:t>16</w:t>
            </w:r>
          </w:p>
        </w:tc>
        <w:tc>
          <w:tcPr>
            <w:tcW w:type="dxa" w:w="2608"/>
            <w:vAlign w:val="top"/>
          </w:tcPr>
          <w:p>
            <w:pPr>
              <w:spacing w:after="20" w:line="252" w:lineRule="auto"/>
            </w:pPr>
            <w:r>
              <w:rPr>
                <w:b w:val="0"/>
                <w:i w:val="0"/>
                <w:sz w:val="15"/>
              </w:rPr>
              <w:t>Database</w:t>
            </w:r>
          </w:p>
        </w:tc>
        <w:tc>
          <w:tcPr>
            <w:tcW w:type="dxa" w:w="1814"/>
            <w:vAlign w:val="top"/>
          </w:tcPr>
          <w:p>
            <w:pPr>
              <w:spacing w:after="20" w:line="252" w:lineRule="auto"/>
            </w:pPr>
            <w:r>
              <w:rPr>
                <w:b w:val="0"/>
                <w:i w:val="0"/>
                <w:sz w:val="15"/>
              </w:rPr>
              <w:t>PostgreSQL Licence</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pgBackRest</w:t>
            </w:r>
          </w:p>
        </w:tc>
        <w:tc>
          <w:tcPr>
            <w:tcW w:type="dxa" w:w="1361"/>
            <w:vAlign w:val="top"/>
            <w:shd w:val="clear" w:color="auto" w:fill="FDF0F7"/>
          </w:tcPr>
          <w:p>
            <w:pPr>
              <w:spacing w:after="20" w:line="252" w:lineRule="auto"/>
            </w:pPr>
            <w:r>
              <w:rPr>
                <w:b w:val="0"/>
                <w:i w:val="0"/>
                <w:sz w:val="15"/>
              </w:rPr>
              <w:t>2</w:t>
            </w:r>
          </w:p>
        </w:tc>
        <w:tc>
          <w:tcPr>
            <w:tcW w:type="dxa" w:w="2608"/>
            <w:vAlign w:val="top"/>
            <w:shd w:val="clear" w:color="auto" w:fill="FDF0F7"/>
          </w:tcPr>
          <w:p>
            <w:pPr>
              <w:spacing w:after="20" w:line="252" w:lineRule="auto"/>
            </w:pPr>
            <w:r>
              <w:rPr>
                <w:b w:val="0"/>
                <w:i w:val="0"/>
                <w:sz w:val="15"/>
              </w:rPr>
              <w:t>Database backup and point-in-time recovery</w:t>
            </w:r>
          </w:p>
        </w:tc>
        <w:tc>
          <w:tcPr>
            <w:tcW w:type="dxa" w:w="1814"/>
            <w:vAlign w:val="top"/>
            <w:shd w:val="clear" w:color="auto" w:fill="FDF0F7"/>
          </w:tcPr>
          <w:p>
            <w:pPr>
              <w:spacing w:after="20" w:line="252" w:lineRule="auto"/>
            </w:pPr>
            <w:r>
              <w:rPr>
                <w:b w:val="0"/>
                <w:i w:val="0"/>
                <w:sz w:val="15"/>
              </w:rPr>
              <w:t>MIT</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nginx (unprivileged image)</w:t>
            </w:r>
          </w:p>
        </w:tc>
        <w:tc>
          <w:tcPr>
            <w:tcW w:type="dxa" w:w="1361"/>
            <w:vAlign w:val="top"/>
          </w:tcPr>
          <w:p>
            <w:pPr>
              <w:spacing w:after="20" w:line="252" w:lineRule="auto"/>
            </w:pPr>
            <w:r>
              <w:rPr>
                <w:b w:val="0"/>
                <w:i w:val="0"/>
                <w:sz w:val="15"/>
              </w:rPr>
              <w:t>1.29</w:t>
            </w:r>
          </w:p>
        </w:tc>
        <w:tc>
          <w:tcPr>
            <w:tcW w:type="dxa" w:w="2608"/>
            <w:vAlign w:val="top"/>
          </w:tcPr>
          <w:p>
            <w:pPr>
              <w:spacing w:after="20" w:line="252" w:lineRule="auto"/>
            </w:pPr>
            <w:r>
              <w:rPr>
                <w:b w:val="0"/>
                <w:i w:val="0"/>
                <w:sz w:val="15"/>
              </w:rPr>
              <w:t>Web server for the user interface</w:t>
            </w:r>
          </w:p>
        </w:tc>
        <w:tc>
          <w:tcPr>
            <w:tcW w:type="dxa" w:w="1814"/>
            <w:vAlign w:val="top"/>
          </w:tcPr>
          <w:p>
            <w:pPr>
              <w:spacing w:after="20" w:line="252" w:lineRule="auto"/>
            </w:pPr>
            <w:r>
              <w:rPr>
                <w:b w:val="0"/>
                <w:i w:val="0"/>
                <w:sz w:val="15"/>
              </w:rPr>
              <w:t>BSD-2-Clause</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ClamAV</w:t>
            </w:r>
          </w:p>
        </w:tc>
        <w:tc>
          <w:tcPr>
            <w:tcW w:type="dxa" w:w="1361"/>
            <w:vAlign w:val="top"/>
            <w:shd w:val="clear" w:color="auto" w:fill="FDF0F7"/>
          </w:tcPr>
          <w:p>
            <w:pPr>
              <w:spacing w:after="20" w:line="252" w:lineRule="auto"/>
            </w:pPr>
            <w:r>
              <w:rPr>
                <w:b w:val="0"/>
                <w:i w:val="0"/>
                <w:sz w:val="15"/>
              </w:rPr>
              <w:t>stable</w:t>
            </w:r>
          </w:p>
        </w:tc>
        <w:tc>
          <w:tcPr>
            <w:tcW w:type="dxa" w:w="2608"/>
            <w:vAlign w:val="top"/>
            <w:shd w:val="clear" w:color="auto" w:fill="FDF0F7"/>
          </w:tcPr>
          <w:p>
            <w:pPr>
              <w:spacing w:after="20" w:line="252" w:lineRule="auto"/>
            </w:pPr>
            <w:r>
              <w:rPr>
                <w:b w:val="0"/>
                <w:i w:val="0"/>
                <w:sz w:val="15"/>
              </w:rPr>
              <w:t>Malware scan of uploaded documents (separate container)</w:t>
            </w:r>
          </w:p>
        </w:tc>
        <w:tc>
          <w:tcPr>
            <w:tcW w:type="dxa" w:w="1814"/>
            <w:vAlign w:val="top"/>
            <w:shd w:val="clear" w:color="auto" w:fill="FDF0F7"/>
          </w:tcPr>
          <w:p>
            <w:pPr>
              <w:spacing w:after="20" w:line="252" w:lineRule="auto"/>
            </w:pPr>
            <w:r>
              <w:rPr>
                <w:b w:val="0"/>
                <w:i w:val="0"/>
                <w:sz w:val="15"/>
              </w:rPr>
              <w:t>GPL-2.0</w:t>
            </w:r>
          </w:p>
        </w:tc>
        <w:tc>
          <w:tcPr>
            <w:tcW w:type="dxa" w:w="1247"/>
            <w:vAlign w:val="top"/>
            <w:shd w:val="clear" w:color="auto" w:fill="FDF0F7"/>
          </w:tcPr>
          <w:p>
            <w:pPr>
              <w:spacing w:after="20" w:line="252" w:lineRule="auto"/>
            </w:pPr>
            <w:r>
              <w:rPr>
                <w:b w:val="0"/>
                <w:i w:val="0"/>
                <w:sz w:val="15"/>
              </w:rPr>
              <w:t>B$ 0</w:t>
            </w:r>
          </w:p>
        </w:tc>
      </w:tr>
      <w:tr>
        <w:trPr>
          <w:cantSplit/>
        </w:trPr>
        <w:tc>
          <w:tcPr>
            <w:tcW w:type="dxa" w:w="2608"/>
            <w:vAlign w:val="top"/>
          </w:tcPr>
          <w:p>
            <w:pPr>
              <w:spacing w:after="20" w:line="252" w:lineRule="auto"/>
            </w:pPr>
            <w:r>
              <w:rPr>
                <w:b w:val="0"/>
                <w:i w:val="0"/>
                <w:sz w:val="15"/>
              </w:rPr>
              <w:t>Docker Engine, containerd</w:t>
            </w:r>
          </w:p>
        </w:tc>
        <w:tc>
          <w:tcPr>
            <w:tcW w:type="dxa" w:w="1361"/>
            <w:vAlign w:val="top"/>
          </w:tcPr>
          <w:p>
            <w:pPr>
              <w:spacing w:after="20" w:line="252" w:lineRule="auto"/>
            </w:pPr>
            <w:r>
              <w:rPr>
                <w:b w:val="0"/>
                <w:i w:val="0"/>
                <w:sz w:val="15"/>
              </w:rPr>
              <w:t>27+ / 1.7+</w:t>
            </w:r>
          </w:p>
        </w:tc>
        <w:tc>
          <w:tcPr>
            <w:tcW w:type="dxa" w:w="2608"/>
            <w:vAlign w:val="top"/>
          </w:tcPr>
          <w:p>
            <w:pPr>
              <w:spacing w:after="20" w:line="252" w:lineRule="auto"/>
            </w:pPr>
            <w:r>
              <w:rPr>
                <w:b w:val="0"/>
                <w:i w:val="0"/>
                <w:sz w:val="15"/>
              </w:rPr>
              <w:t>Container runtime</w:t>
            </w:r>
          </w:p>
        </w:tc>
        <w:tc>
          <w:tcPr>
            <w:tcW w:type="dxa" w:w="1814"/>
            <w:vAlign w:val="top"/>
          </w:tcPr>
          <w:p>
            <w:pPr>
              <w:spacing w:after="20" w:line="252" w:lineRule="auto"/>
            </w:pPr>
            <w:r>
              <w:rPr>
                <w:b w:val="0"/>
                <w:i w:val="0"/>
                <w:sz w:val="15"/>
              </w:rPr>
              <w:t>Apache-2.0</w:t>
            </w:r>
          </w:p>
        </w:tc>
        <w:tc>
          <w:tcPr>
            <w:tcW w:type="dxa" w:w="1247"/>
            <w:vAlign w:val="top"/>
          </w:tcPr>
          <w:p>
            <w:pPr>
              <w:spacing w:after="20" w:line="252" w:lineRule="auto"/>
            </w:pPr>
            <w:r>
              <w:rPr>
                <w:b w:val="0"/>
                <w:i w:val="0"/>
                <w:sz w:val="15"/>
              </w:rPr>
              <w:t>B$ 0</w:t>
            </w:r>
          </w:p>
        </w:tc>
      </w:tr>
      <w:tr>
        <w:trPr>
          <w:cantSplit/>
        </w:trPr>
        <w:tc>
          <w:tcPr>
            <w:tcW w:type="dxa" w:w="2608"/>
            <w:vAlign w:val="top"/>
            <w:shd w:val="clear" w:color="auto" w:fill="FDF0F7"/>
          </w:tcPr>
          <w:p>
            <w:pPr>
              <w:spacing w:after="20" w:line="252" w:lineRule="auto"/>
            </w:pPr>
            <w:r>
              <w:rPr>
                <w:b w:val="0"/>
                <w:i w:val="0"/>
                <w:sz w:val="15"/>
              </w:rPr>
              <w:t>Linux operating system</w:t>
            </w:r>
          </w:p>
        </w:tc>
        <w:tc>
          <w:tcPr>
            <w:tcW w:type="dxa" w:w="1361"/>
            <w:vAlign w:val="top"/>
            <w:shd w:val="clear" w:color="auto" w:fill="FDF0F7"/>
          </w:tcPr>
          <w:p>
            <w:pPr>
              <w:spacing w:after="20" w:line="252" w:lineRule="auto"/>
            </w:pPr>
            <w:r>
              <w:rPr>
                <w:b w:val="0"/>
                <w:i w:val="0"/>
                <w:sz w:val="15"/>
              </w:rPr>
              <w:t>Ubuntu Server 24.04 LTS or RHEL 9</w:t>
            </w:r>
          </w:p>
        </w:tc>
        <w:tc>
          <w:tcPr>
            <w:tcW w:type="dxa" w:w="2608"/>
            <w:vAlign w:val="top"/>
            <w:shd w:val="clear" w:color="auto" w:fill="FDF0F7"/>
          </w:tcPr>
          <w:p>
            <w:pPr>
              <w:spacing w:after="20" w:line="252" w:lineRule="auto"/>
            </w:pPr>
            <w:r>
              <w:rPr>
                <w:b w:val="0"/>
                <w:i w:val="0"/>
                <w:sz w:val="15"/>
              </w:rPr>
              <w:t>Server OS</w:t>
            </w:r>
          </w:p>
        </w:tc>
        <w:tc>
          <w:tcPr>
            <w:tcW w:type="dxa" w:w="1814"/>
            <w:vAlign w:val="top"/>
            <w:shd w:val="clear" w:color="auto" w:fill="FDF0F7"/>
          </w:tcPr>
          <w:p>
            <w:pPr>
              <w:spacing w:after="20" w:line="252" w:lineRule="auto"/>
            </w:pPr>
            <w:r>
              <w:rPr>
                <w:b w:val="0"/>
                <w:i w:val="0"/>
                <w:sz w:val="15"/>
              </w:rPr>
              <w:t>Ubuntu: free; RHEL: subscription</w:t>
            </w:r>
          </w:p>
        </w:tc>
        <w:tc>
          <w:tcPr>
            <w:tcW w:type="dxa" w:w="1247"/>
            <w:vAlign w:val="top"/>
            <w:shd w:val="clear" w:color="auto" w:fill="FDF0F7"/>
          </w:tcPr>
          <w:p>
            <w:pPr>
              <w:spacing w:after="20" w:line="252" w:lineRule="auto"/>
            </w:pPr>
            <w:r>
              <w:rPr>
                <w:b w:val="0"/>
                <w:i w:val="0"/>
                <w:sz w:val="15"/>
              </w:rPr>
              <w:t>B$ 0 / RHEL optional</w:t>
            </w:r>
          </w:p>
        </w:tc>
      </w:tr>
      <w:tr>
        <w:trPr>
          <w:cantSplit/>
        </w:trPr>
        <w:tc>
          <w:tcPr>
            <w:tcW w:type="dxa" w:w="2608"/>
            <w:vAlign w:val="top"/>
          </w:tcPr>
          <w:p>
            <w:pPr>
              <w:spacing w:after="20" w:line="252" w:lineRule="auto"/>
            </w:pPr>
            <w:r>
              <w:rPr>
                <w:b w:val="0"/>
                <w:i w:val="0"/>
                <w:sz w:val="15"/>
              </w:rPr>
              <w:t>Prometheus, Grafana, Loki</w:t>
            </w:r>
          </w:p>
        </w:tc>
        <w:tc>
          <w:tcPr>
            <w:tcW w:type="dxa" w:w="1361"/>
            <w:vAlign w:val="top"/>
          </w:tcPr>
          <w:p>
            <w:pPr>
              <w:spacing w:after="20" w:line="252" w:lineRule="auto"/>
            </w:pPr>
            <w:r>
              <w:rPr>
                <w:b w:val="0"/>
                <w:i w:val="0"/>
                <w:sz w:val="15"/>
              </w:rPr>
              <w:t>current</w:t>
            </w:r>
          </w:p>
        </w:tc>
        <w:tc>
          <w:tcPr>
            <w:tcW w:type="dxa" w:w="2608"/>
            <w:vAlign w:val="top"/>
          </w:tcPr>
          <w:p>
            <w:pPr>
              <w:spacing w:after="20" w:line="252" w:lineRule="auto"/>
            </w:pPr>
            <w:r>
              <w:rPr>
                <w:b w:val="0"/>
                <w:i w:val="0"/>
                <w:sz w:val="15"/>
              </w:rPr>
              <w:t>Monitoring, dashboards, log aggregation</w:t>
            </w:r>
          </w:p>
        </w:tc>
        <w:tc>
          <w:tcPr>
            <w:tcW w:type="dxa" w:w="1814"/>
            <w:vAlign w:val="top"/>
          </w:tcPr>
          <w:p>
            <w:pPr>
              <w:spacing w:after="20" w:line="252" w:lineRule="auto"/>
            </w:pPr>
            <w:r>
              <w:rPr>
                <w:b w:val="0"/>
                <w:i w:val="0"/>
                <w:sz w:val="15"/>
              </w:rPr>
              <w:t>Apache-2.0 / AGPL-3.0</w:t>
            </w:r>
          </w:p>
        </w:tc>
        <w:tc>
          <w:tcPr>
            <w:tcW w:type="dxa" w:w="1247"/>
            <w:vAlign w:val="top"/>
          </w:tcPr>
          <w:p>
            <w:pPr>
              <w:spacing w:after="20" w:line="252" w:lineRule="auto"/>
            </w:pPr>
            <w:r>
              <w:rPr>
                <w:b w:val="0"/>
                <w:i w:val="0"/>
                <w:sz w:val="15"/>
              </w:rPr>
              <w:t>B$ 0</w:t>
            </w:r>
          </w:p>
        </w:tc>
      </w:tr>
    </w:tbl>
    <w:p>
      <w:pPr>
        <w:pStyle w:val="Caption"/>
        <w:jc w:val="center"/>
      </w:pPr>
      <w:r>
        <w:rPr>
          <w:b w:val="0"/>
          <w:i w:val="0"/>
        </w:rPr>
        <w:t>Table 71: Runtime software components</w:t>
      </w:r>
    </w:p>
    <w:p>
      <w:pPr>
        <w:pStyle w:val="Heading3"/>
      </w:pPr>
      <w:r>
        <w:t>Third-party services and optional items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3402"/>
        <w:gridCol w:w="2041"/>
        <w:gridCol w:w="2041"/>
        <w:gridCol w:w="2154"/>
      </w:tblGrid>
      <w:tr>
        <w:trPr>
          <w:cantSplit/>
          <w:tblHeader/>
        </w:trPr>
        <w:tc>
          <w:tcPr>
            <w:tcW w:type="dxa" w:w="3402"/>
            <w:shd w:val="clear" w:color="auto" w:fill="E1058C"/>
            <w:vAlign w:val="center"/>
          </w:tcPr>
          <w:p>
            <w:pPr>
              <w:spacing w:after="0"/>
            </w:pPr>
            <w:r>
              <w:rPr>
                <w:b/>
                <w:i w:val="0"/>
                <w:color w:val="FFFFFF"/>
                <w:sz w:val="15"/>
              </w:rPr>
              <w:t>Item</w:t>
            </w:r>
          </w:p>
        </w:tc>
        <w:tc>
          <w:tcPr>
            <w:tcW w:type="dxa" w:w="2041"/>
            <w:shd w:val="clear" w:color="auto" w:fill="E1058C"/>
            <w:vAlign w:val="center"/>
          </w:tcPr>
          <w:p>
            <w:pPr>
              <w:spacing w:after="0"/>
            </w:pPr>
            <w:r>
              <w:rPr>
                <w:b/>
                <w:i w:val="0"/>
                <w:color w:val="FFFFFF"/>
                <w:sz w:val="15"/>
              </w:rPr>
              <w:t>Option A</w:t>
            </w:r>
          </w:p>
        </w:tc>
        <w:tc>
          <w:tcPr>
            <w:tcW w:type="dxa" w:w="2041"/>
            <w:shd w:val="clear" w:color="auto" w:fill="E1058C"/>
            <w:vAlign w:val="center"/>
          </w:tcPr>
          <w:p>
            <w:pPr>
              <w:spacing w:after="0"/>
            </w:pPr>
            <w:r>
              <w:rPr>
                <w:b/>
                <w:i w:val="0"/>
                <w:color w:val="FFFFFF"/>
                <w:sz w:val="15"/>
              </w:rPr>
              <w:t>Option B</w:t>
            </w:r>
          </w:p>
        </w:tc>
        <w:tc>
          <w:tcPr>
            <w:tcW w:type="dxa" w:w="2154"/>
            <w:shd w:val="clear" w:color="auto" w:fill="E1058C"/>
            <w:vAlign w:val="center"/>
          </w:tcPr>
          <w:p>
            <w:pPr>
              <w:spacing w:after="0"/>
            </w:pPr>
            <w:r>
              <w:rPr>
                <w:b/>
                <w:i w:val="0"/>
                <w:color w:val="FFFFFF"/>
                <w:sz w:val="15"/>
              </w:rPr>
              <w:t>Indicative cost (B$)</w:t>
            </w:r>
          </w:p>
        </w:tc>
      </w:tr>
      <w:tr>
        <w:trPr>
          <w:cantSplit/>
        </w:trPr>
        <w:tc>
          <w:tcPr>
            <w:tcW w:type="dxa" w:w="3402"/>
            <w:vAlign w:val="top"/>
          </w:tcPr>
          <w:p>
            <w:pPr>
              <w:spacing w:after="20" w:line="252" w:lineRule="auto"/>
            </w:pPr>
            <w:r>
              <w:rPr>
                <w:b w:val="0"/>
                <w:i w:val="0"/>
                <w:sz w:val="15"/>
              </w:rPr>
              <w:t>SSL/TLS certificates</w:t>
            </w:r>
          </w:p>
        </w:tc>
        <w:tc>
          <w:tcPr>
            <w:tcW w:type="dxa" w:w="2041"/>
            <w:vAlign w:val="top"/>
          </w:tcPr>
          <w:p>
            <w:pPr>
              <w:spacing w:after="20" w:line="252" w:lineRule="auto"/>
            </w:pPr>
            <w:r>
              <w:rPr>
                <w:b w:val="0"/>
                <w:i w:val="0"/>
                <w:sz w:val="15"/>
              </w:rPr>
              <w:t>IIFT procures</w:t>
            </w:r>
          </w:p>
        </w:tc>
        <w:tc>
          <w:tcPr>
            <w:tcW w:type="dxa" w:w="2041"/>
            <w:vAlign w:val="top"/>
          </w:tcPr>
          <w:p>
            <w:pPr>
              <w:spacing w:after="20" w:line="252" w:lineRule="auto"/>
            </w:pPr>
            <w:r>
              <w:rPr>
                <w:b w:val="0"/>
                <w:i w:val="0"/>
                <w:sz w:val="15"/>
              </w:rPr>
              <w:t>Pass-through at cost</w:t>
            </w:r>
          </w:p>
        </w:tc>
        <w:tc>
          <w:tcPr>
            <w:tcW w:type="dxa" w:w="2154"/>
            <w:vAlign w:val="top"/>
          </w:tcPr>
          <w:p>
            <w:pPr>
              <w:spacing w:after="20" w:line="252" w:lineRule="auto"/>
            </w:pPr>
            <w:r>
              <w:rPr>
                <w:b w:val="0"/>
                <w:i w:val="0"/>
                <w:sz w:val="15"/>
              </w:rPr>
              <w:t>300–1,000 a year</w:t>
            </w:r>
          </w:p>
        </w:tc>
      </w:tr>
      <w:tr>
        <w:trPr>
          <w:cantSplit/>
        </w:trPr>
        <w:tc>
          <w:tcPr>
            <w:tcW w:type="dxa" w:w="3402"/>
            <w:vAlign w:val="top"/>
            <w:shd w:val="clear" w:color="auto" w:fill="FDF0F7"/>
          </w:tcPr>
          <w:p>
            <w:pPr>
              <w:spacing w:after="20" w:line="252" w:lineRule="auto"/>
            </w:pPr>
            <w:r>
              <w:rPr>
                <w:b w:val="0"/>
                <w:i w:val="0"/>
                <w:sz w:val="15"/>
              </w:rPr>
              <w:t>SMS gateway</w:t>
            </w:r>
          </w:p>
        </w:tc>
        <w:tc>
          <w:tcPr>
            <w:tcW w:type="dxa" w:w="2041"/>
            <w:vAlign w:val="top"/>
            <w:shd w:val="clear" w:color="auto" w:fill="FDF0F7"/>
          </w:tcPr>
          <w:p>
            <w:pPr>
              <w:spacing w:after="20" w:line="252" w:lineRule="auto"/>
            </w:pPr>
            <w:r>
              <w:rPr>
                <w:b w:val="0"/>
                <w:i w:val="0"/>
                <w:sz w:val="15"/>
              </w:rPr>
              <w:t>IIFT procures</w:t>
            </w:r>
          </w:p>
        </w:tc>
        <w:tc>
          <w:tcPr>
            <w:tcW w:type="dxa" w:w="2041"/>
            <w:vAlign w:val="top"/>
            <w:shd w:val="clear" w:color="auto" w:fill="FDF0F7"/>
          </w:tcPr>
          <w:p>
            <w:pPr>
              <w:spacing w:after="20" w:line="252" w:lineRule="auto"/>
            </w:pPr>
            <w:r>
              <w:rPr>
                <w:b w:val="0"/>
                <w:i w:val="0"/>
                <w:sz w:val="15"/>
              </w:rPr>
              <w:t>IIFT procures</w:t>
            </w:r>
          </w:p>
        </w:tc>
        <w:tc>
          <w:tcPr>
            <w:tcW w:type="dxa" w:w="2154"/>
            <w:vAlign w:val="top"/>
            <w:shd w:val="clear" w:color="auto" w:fill="FDF0F7"/>
          </w:tcPr>
          <w:p>
            <w:pPr>
              <w:spacing w:after="20" w:line="252" w:lineRule="auto"/>
            </w:pPr>
            <w:r>
              <w:rPr>
                <w:b w:val="0"/>
                <w:i w:val="0"/>
                <w:sz w:val="15"/>
              </w:rPr>
              <w:t>300–600 a year</w:t>
            </w:r>
          </w:p>
        </w:tc>
      </w:tr>
      <w:tr>
        <w:trPr>
          <w:cantSplit/>
        </w:trPr>
        <w:tc>
          <w:tcPr>
            <w:tcW w:type="dxa" w:w="3402"/>
            <w:vAlign w:val="top"/>
          </w:tcPr>
          <w:p>
            <w:pPr>
              <w:spacing w:after="20" w:line="252" w:lineRule="auto"/>
            </w:pPr>
            <w:r>
              <w:rPr>
                <w:b w:val="0"/>
                <w:i w:val="0"/>
                <w:sz w:val="15"/>
              </w:rPr>
              <w:t>AML screening data / service</w:t>
            </w:r>
          </w:p>
        </w:tc>
        <w:tc>
          <w:tcPr>
            <w:tcW w:type="dxa" w:w="2041"/>
            <w:vAlign w:val="top"/>
          </w:tcPr>
          <w:p>
            <w:pPr>
              <w:spacing w:after="20" w:line="252" w:lineRule="auto"/>
            </w:pPr>
            <w:r>
              <w:rPr>
                <w:b w:val="0"/>
                <w:i w:val="0"/>
                <w:sz w:val="15"/>
              </w:rPr>
              <w:t>IIFT procures</w:t>
            </w:r>
          </w:p>
        </w:tc>
        <w:tc>
          <w:tcPr>
            <w:tcW w:type="dxa" w:w="2041"/>
            <w:vAlign w:val="top"/>
          </w:tcPr>
          <w:p>
            <w:pPr>
              <w:spacing w:after="20" w:line="252" w:lineRule="auto"/>
            </w:pPr>
            <w:r>
              <w:rPr>
                <w:b w:val="0"/>
                <w:i w:val="0"/>
                <w:sz w:val="15"/>
              </w:rPr>
              <w:t>IIFT procures</w:t>
            </w:r>
          </w:p>
        </w:tc>
        <w:tc>
          <w:tcPr>
            <w:tcW w:type="dxa" w:w="2154"/>
            <w:vAlign w:val="top"/>
          </w:tcPr>
          <w:p>
            <w:pPr>
              <w:spacing w:after="20" w:line="252" w:lineRule="auto"/>
            </w:pPr>
            <w:r>
              <w:rPr>
                <w:b w:val="0"/>
                <w:i w:val="0"/>
                <w:sz w:val="15"/>
              </w:rPr>
              <w:t>0–3,000 a year</w:t>
            </w:r>
          </w:p>
        </w:tc>
      </w:tr>
      <w:tr>
        <w:trPr>
          <w:cantSplit/>
        </w:trPr>
        <w:tc>
          <w:tcPr>
            <w:tcW w:type="dxa" w:w="3402"/>
            <w:vAlign w:val="top"/>
            <w:shd w:val="clear" w:color="auto" w:fill="FDF0F7"/>
          </w:tcPr>
          <w:p>
            <w:pPr>
              <w:spacing w:after="20" w:line="252" w:lineRule="auto"/>
            </w:pPr>
            <w:r>
              <w:rPr>
                <w:b w:val="0"/>
                <w:i w:val="0"/>
                <w:sz w:val="15"/>
              </w:rPr>
              <w:t>E-mail relay</w:t>
            </w:r>
          </w:p>
        </w:tc>
        <w:tc>
          <w:tcPr>
            <w:tcW w:type="dxa" w:w="2041"/>
            <w:vAlign w:val="top"/>
            <w:shd w:val="clear" w:color="auto" w:fill="FDF0F7"/>
          </w:tcPr>
          <w:p>
            <w:pPr>
              <w:spacing w:after="20" w:line="252" w:lineRule="auto"/>
            </w:pPr>
            <w:r>
              <w:rPr>
                <w:b w:val="0"/>
                <w:i w:val="0"/>
                <w:sz w:val="15"/>
              </w:rPr>
              <w:t>IIFT procures</w:t>
            </w:r>
          </w:p>
        </w:tc>
        <w:tc>
          <w:tcPr>
            <w:tcW w:type="dxa" w:w="2041"/>
            <w:vAlign w:val="top"/>
            <w:shd w:val="clear" w:color="auto" w:fill="FDF0F7"/>
          </w:tcPr>
          <w:p>
            <w:pPr>
              <w:spacing w:after="20" w:line="252" w:lineRule="auto"/>
            </w:pPr>
            <w:r>
              <w:rPr>
                <w:b w:val="0"/>
                <w:i w:val="0"/>
                <w:sz w:val="15"/>
              </w:rPr>
              <w:t>IIFT procures</w:t>
            </w:r>
          </w:p>
        </w:tc>
        <w:tc>
          <w:tcPr>
            <w:tcW w:type="dxa" w:w="2154"/>
            <w:vAlign w:val="top"/>
            <w:shd w:val="clear" w:color="auto" w:fill="FDF0F7"/>
          </w:tcPr>
          <w:p>
            <w:pPr>
              <w:spacing w:after="20" w:line="252" w:lineRule="auto"/>
            </w:pPr>
            <w:r>
              <w:rPr>
                <w:b w:val="0"/>
                <w:i w:val="0"/>
                <w:sz w:val="15"/>
              </w:rPr>
              <w:t>0–120 a year</w:t>
            </w:r>
          </w:p>
        </w:tc>
      </w:tr>
      <w:tr>
        <w:trPr>
          <w:cantSplit/>
        </w:trPr>
        <w:tc>
          <w:tcPr>
            <w:tcW w:type="dxa" w:w="3402"/>
            <w:vAlign w:val="top"/>
          </w:tcPr>
          <w:p>
            <w:pPr>
              <w:spacing w:after="20" w:line="252" w:lineRule="auto"/>
            </w:pPr>
            <w:r>
              <w:rPr>
                <w:b w:val="0"/>
                <w:i w:val="0"/>
                <w:sz w:val="15"/>
              </w:rPr>
              <w:t>Commercial PostgreSQL support (EDB or similar) (optional)</w:t>
            </w:r>
          </w:p>
        </w:tc>
        <w:tc>
          <w:tcPr>
            <w:tcW w:type="dxa" w:w="2041"/>
            <w:vAlign w:val="top"/>
          </w:tcPr>
          <w:p>
            <w:pPr>
              <w:spacing w:after="20" w:line="252" w:lineRule="auto"/>
            </w:pPr>
            <w:r>
              <w:rPr>
                <w:b w:val="0"/>
                <w:i w:val="0"/>
                <w:sz w:val="15"/>
              </w:rPr>
              <w:t>IIFT procures</w:t>
            </w:r>
          </w:p>
        </w:tc>
        <w:tc>
          <w:tcPr>
            <w:tcW w:type="dxa" w:w="2041"/>
            <w:vAlign w:val="top"/>
          </w:tcPr>
          <w:p>
            <w:pPr>
              <w:spacing w:after="20" w:line="252" w:lineRule="auto"/>
            </w:pPr>
            <w:r>
              <w:rPr>
                <w:b w:val="0"/>
                <w:i w:val="0"/>
                <w:sz w:val="15"/>
              </w:rPr>
              <w:t>Not required</w:t>
            </w:r>
          </w:p>
        </w:tc>
        <w:tc>
          <w:tcPr>
            <w:tcW w:type="dxa" w:w="2154"/>
            <w:vAlign w:val="top"/>
          </w:tcPr>
          <w:p>
            <w:pPr>
              <w:spacing w:after="20" w:line="252" w:lineRule="auto"/>
            </w:pPr>
            <w:r>
              <w:rPr>
                <w:b w:val="0"/>
                <w:i w:val="0"/>
                <w:sz w:val="15"/>
              </w:rPr>
              <w:t>5,000–10,000 a year</w:t>
            </w:r>
          </w:p>
        </w:tc>
      </w:tr>
      <w:tr>
        <w:trPr>
          <w:cantSplit/>
        </w:trPr>
        <w:tc>
          <w:tcPr>
            <w:tcW w:type="dxa" w:w="3402"/>
            <w:vAlign w:val="top"/>
            <w:shd w:val="clear" w:color="auto" w:fill="FDF0F7"/>
          </w:tcPr>
          <w:p>
            <w:pPr>
              <w:spacing w:after="20" w:line="252" w:lineRule="auto"/>
            </w:pPr>
            <w:r>
              <w:rPr>
                <w:b w:val="0"/>
                <w:i w:val="0"/>
                <w:sz w:val="15"/>
              </w:rPr>
              <w:t>Red Hat Enterprise Linux subscriptions (optional)</w:t>
            </w:r>
          </w:p>
        </w:tc>
        <w:tc>
          <w:tcPr>
            <w:tcW w:type="dxa" w:w="2041"/>
            <w:vAlign w:val="top"/>
            <w:shd w:val="clear" w:color="auto" w:fill="FDF0F7"/>
          </w:tcPr>
          <w:p>
            <w:pPr>
              <w:spacing w:after="20" w:line="252" w:lineRule="auto"/>
            </w:pPr>
            <w:r>
              <w:rPr>
                <w:b w:val="0"/>
                <w:i w:val="0"/>
                <w:sz w:val="15"/>
              </w:rPr>
              <w:t>IIFT procures</w:t>
            </w:r>
          </w:p>
        </w:tc>
        <w:tc>
          <w:tcPr>
            <w:tcW w:type="dxa" w:w="2041"/>
            <w:vAlign w:val="top"/>
            <w:shd w:val="clear" w:color="auto" w:fill="FDF0F7"/>
          </w:tcPr>
          <w:p>
            <w:pPr>
              <w:spacing w:after="20" w:line="252" w:lineRule="auto"/>
            </w:pPr>
            <w:r>
              <w:rPr>
                <w:b w:val="0"/>
                <w:i w:val="0"/>
                <w:sz w:val="15"/>
              </w:rPr>
              <w:t>Not required</w:t>
            </w:r>
          </w:p>
        </w:tc>
        <w:tc>
          <w:tcPr>
            <w:tcW w:type="dxa" w:w="2154"/>
            <w:vAlign w:val="top"/>
            <w:shd w:val="clear" w:color="auto" w:fill="FDF0F7"/>
          </w:tcPr>
          <w:p>
            <w:pPr>
              <w:spacing w:after="20" w:line="252" w:lineRule="auto"/>
            </w:pPr>
            <w:r>
              <w:rPr>
                <w:b w:val="0"/>
                <w:i w:val="0"/>
                <w:sz w:val="15"/>
              </w:rPr>
              <w:t>4,500–10,800 a year</w:t>
            </w:r>
          </w:p>
        </w:tc>
      </w:tr>
      <w:tr>
        <w:trPr>
          <w:cantSplit/>
        </w:trPr>
        <w:tc>
          <w:tcPr>
            <w:tcW w:type="dxa" w:w="3402"/>
            <w:vAlign w:val="top"/>
          </w:tcPr>
          <w:p>
            <w:pPr>
              <w:spacing w:after="20" w:line="252" w:lineRule="auto"/>
            </w:pPr>
            <w:r>
              <w:rPr>
                <w:b w:val="0"/>
                <w:i w:val="0"/>
                <w:sz w:val="15"/>
              </w:rPr>
              <w:t>Source code escrow agent (optional)</w:t>
            </w:r>
          </w:p>
        </w:tc>
        <w:tc>
          <w:tcPr>
            <w:tcW w:type="dxa" w:w="2041"/>
            <w:vAlign w:val="top"/>
          </w:tcPr>
          <w:p>
            <w:pPr>
              <w:spacing w:after="20" w:line="252" w:lineRule="auto"/>
            </w:pPr>
            <w:r>
              <w:rPr>
                <w:b w:val="0"/>
                <w:i w:val="0"/>
                <w:sz w:val="15"/>
              </w:rPr>
              <w:t>Pass-through at cost</w:t>
            </w:r>
          </w:p>
        </w:tc>
        <w:tc>
          <w:tcPr>
            <w:tcW w:type="dxa" w:w="2041"/>
            <w:vAlign w:val="top"/>
          </w:tcPr>
          <w:p>
            <w:pPr>
              <w:spacing w:after="20" w:line="252" w:lineRule="auto"/>
            </w:pPr>
            <w:r>
              <w:rPr>
                <w:b w:val="0"/>
                <w:i w:val="0"/>
                <w:sz w:val="15"/>
              </w:rPr>
              <w:t>Pass-through at cost</w:t>
            </w:r>
          </w:p>
        </w:tc>
        <w:tc>
          <w:tcPr>
            <w:tcW w:type="dxa" w:w="2154"/>
            <w:vAlign w:val="top"/>
          </w:tcPr>
          <w:p>
            <w:pPr>
              <w:spacing w:after="20" w:line="252" w:lineRule="auto"/>
            </w:pPr>
            <w:r>
              <w:rPr>
                <w:b w:val="0"/>
                <w:i w:val="0"/>
                <w:sz w:val="15"/>
              </w:rPr>
              <w:t>2,500–4,000 a year</w:t>
            </w:r>
          </w:p>
        </w:tc>
      </w:tr>
      <w:tr>
        <w:trPr>
          <w:cantSplit/>
        </w:trPr>
        <w:tc>
          <w:tcPr>
            <w:tcW w:type="dxa" w:w="3402"/>
            <w:vAlign w:val="top"/>
            <w:shd w:val="clear" w:color="auto" w:fill="FDF0F7"/>
          </w:tcPr>
          <w:p>
            <w:pPr>
              <w:spacing w:after="20" w:line="252" w:lineRule="auto"/>
            </w:pPr>
            <w:r>
              <w:rPr>
                <w:b w:val="0"/>
                <w:i w:val="0"/>
                <w:sz w:val="15"/>
              </w:rPr>
              <w:t>Independent VAPT and re-test</w:t>
            </w:r>
          </w:p>
        </w:tc>
        <w:tc>
          <w:tcPr>
            <w:tcW w:type="dxa" w:w="2041"/>
            <w:vAlign w:val="top"/>
            <w:shd w:val="clear" w:color="auto" w:fill="FDF0F7"/>
          </w:tcPr>
          <w:p>
            <w:pPr>
              <w:spacing w:after="20" w:line="252" w:lineRule="auto"/>
            </w:pPr>
            <w:r>
              <w:rPr>
                <w:b w:val="0"/>
                <w:i w:val="0"/>
                <w:sz w:val="15"/>
              </w:rPr>
              <w:t>Included in iorta fee</w:t>
            </w:r>
          </w:p>
        </w:tc>
        <w:tc>
          <w:tcPr>
            <w:tcW w:type="dxa" w:w="2041"/>
            <w:vAlign w:val="top"/>
            <w:shd w:val="clear" w:color="auto" w:fill="FDF0F7"/>
          </w:tcPr>
          <w:p>
            <w:pPr>
              <w:spacing w:after="20" w:line="252" w:lineRule="auto"/>
            </w:pPr>
            <w:r>
              <w:rPr>
                <w:b w:val="0"/>
                <w:i w:val="0"/>
                <w:sz w:val="15"/>
              </w:rPr>
              <w:t>Included in iorta fee</w:t>
            </w:r>
          </w:p>
        </w:tc>
        <w:tc>
          <w:tcPr>
            <w:tcW w:type="dxa" w:w="2154"/>
            <w:vAlign w:val="top"/>
            <w:shd w:val="clear" w:color="auto" w:fill="FDF0F7"/>
          </w:tcPr>
          <w:p>
            <w:pPr>
              <w:spacing w:after="20" w:line="252" w:lineRule="auto"/>
            </w:pPr>
            <w:r>
              <w:rPr>
                <w:b w:val="0"/>
                <w:i w:val="0"/>
                <w:sz w:val="15"/>
              </w:rPr>
              <w:t>Included</w:t>
            </w:r>
          </w:p>
        </w:tc>
      </w:tr>
      <w:tr>
        <w:trPr>
          <w:cantSplit/>
        </w:trPr>
        <w:tc>
          <w:tcPr>
            <w:tcW w:type="dxa" w:w="3402"/>
            <w:vAlign w:val="top"/>
          </w:tcPr>
          <w:p>
            <w:pPr>
              <w:spacing w:after="20" w:line="252" w:lineRule="auto"/>
            </w:pPr>
            <w:r>
              <w:rPr>
                <w:b w:val="0"/>
                <w:i w:val="0"/>
                <w:sz w:val="15"/>
              </w:rPr>
              <w:t>Backup software</w:t>
            </w:r>
          </w:p>
        </w:tc>
        <w:tc>
          <w:tcPr>
            <w:tcW w:type="dxa" w:w="2041"/>
            <w:vAlign w:val="top"/>
          </w:tcPr>
          <w:p>
            <w:pPr>
              <w:spacing w:after="20" w:line="252" w:lineRule="auto"/>
            </w:pPr>
            <w:r>
              <w:rPr>
                <w:b w:val="0"/>
                <w:i w:val="0"/>
                <w:sz w:val="15"/>
              </w:rPr>
              <w:t>IIFT procures</w:t>
            </w:r>
          </w:p>
        </w:tc>
        <w:tc>
          <w:tcPr>
            <w:tcW w:type="dxa" w:w="2041"/>
            <w:vAlign w:val="top"/>
          </w:tcPr>
          <w:p>
            <w:pPr>
              <w:spacing w:after="20" w:line="252" w:lineRule="auto"/>
            </w:pPr>
            <w:r>
              <w:rPr>
                <w:b w:val="0"/>
                <w:i w:val="0"/>
                <w:sz w:val="15"/>
              </w:rPr>
              <w:t>Pass-through at cost</w:t>
            </w:r>
          </w:p>
        </w:tc>
        <w:tc>
          <w:tcPr>
            <w:tcW w:type="dxa" w:w="2154"/>
            <w:vAlign w:val="top"/>
          </w:tcPr>
          <w:p>
            <w:pPr>
              <w:spacing w:after="20" w:line="252" w:lineRule="auto"/>
            </w:pPr>
            <w:r>
              <w:rPr>
                <w:b w:val="0"/>
                <w:i w:val="0"/>
                <w:sz w:val="15"/>
              </w:rPr>
              <w:t>–</w:t>
            </w:r>
          </w:p>
        </w:tc>
      </w:tr>
      <w:tr>
        <w:trPr>
          <w:cantSplit/>
        </w:trPr>
        <w:tc>
          <w:tcPr>
            <w:tcW w:type="dxa" w:w="3402"/>
            <w:vAlign w:val="top"/>
            <w:shd w:val="clear" w:color="auto" w:fill="FDF0F7"/>
          </w:tcPr>
          <w:p>
            <w:pPr>
              <w:spacing w:after="20" w:line="252" w:lineRule="auto"/>
            </w:pPr>
            <w:r>
              <w:rPr>
                <w:b w:val="0"/>
                <w:i w:val="0"/>
                <w:sz w:val="15"/>
              </w:rPr>
              <w:t>SIEM / security monitoring</w:t>
            </w:r>
          </w:p>
        </w:tc>
        <w:tc>
          <w:tcPr>
            <w:tcW w:type="dxa" w:w="2041"/>
            <w:vAlign w:val="top"/>
            <w:shd w:val="clear" w:color="auto" w:fill="FDF0F7"/>
          </w:tcPr>
          <w:p>
            <w:pPr>
              <w:spacing w:after="20" w:line="252" w:lineRule="auto"/>
            </w:pPr>
            <w:r>
              <w:rPr>
                <w:b w:val="0"/>
                <w:i w:val="0"/>
                <w:sz w:val="15"/>
              </w:rPr>
              <w:t>IIFT procures</w:t>
            </w:r>
          </w:p>
        </w:tc>
        <w:tc>
          <w:tcPr>
            <w:tcW w:type="dxa" w:w="2041"/>
            <w:vAlign w:val="top"/>
            <w:shd w:val="clear" w:color="auto" w:fill="FDF0F7"/>
          </w:tcPr>
          <w:p>
            <w:pPr>
              <w:spacing w:after="20" w:line="252" w:lineRule="auto"/>
            </w:pPr>
            <w:r>
              <w:rPr>
                <w:b w:val="0"/>
                <w:i w:val="0"/>
                <w:sz w:val="15"/>
              </w:rPr>
              <w:t>Pass-through at cost</w:t>
            </w:r>
          </w:p>
        </w:tc>
        <w:tc>
          <w:tcPr>
            <w:tcW w:type="dxa" w:w="2154"/>
            <w:vAlign w:val="top"/>
            <w:shd w:val="clear" w:color="auto" w:fill="FDF0F7"/>
          </w:tcPr>
          <w:p>
            <w:pPr>
              <w:spacing w:after="20" w:line="252" w:lineRule="auto"/>
            </w:pPr>
            <w:r>
              <w:rPr>
                <w:b w:val="0"/>
                <w:i w:val="0"/>
                <w:sz w:val="15"/>
              </w:rPr>
              <w:t>–</w:t>
            </w:r>
          </w:p>
        </w:tc>
      </w:tr>
      <w:tr>
        <w:trPr>
          <w:cantSplit/>
        </w:trPr>
        <w:tc>
          <w:tcPr>
            <w:tcW w:type="dxa" w:w="3402"/>
            <w:vAlign w:val="top"/>
          </w:tcPr>
          <w:p>
            <w:pPr>
              <w:spacing w:after="20" w:line="252" w:lineRule="auto"/>
            </w:pPr>
            <w:r>
              <w:rPr>
                <w:b w:val="0"/>
                <w:i w:val="0"/>
                <w:sz w:val="15"/>
              </w:rPr>
              <w:t>Virtualisation, network, firewall, DNS</w:t>
            </w:r>
          </w:p>
        </w:tc>
        <w:tc>
          <w:tcPr>
            <w:tcW w:type="dxa" w:w="2041"/>
            <w:vAlign w:val="top"/>
          </w:tcPr>
          <w:p>
            <w:pPr>
              <w:spacing w:after="20" w:line="252" w:lineRule="auto"/>
            </w:pPr>
            <w:r>
              <w:rPr>
                <w:b w:val="0"/>
                <w:i w:val="0"/>
                <w:sz w:val="15"/>
              </w:rPr>
              <w:t>IIFT procures</w:t>
            </w:r>
          </w:p>
        </w:tc>
        <w:tc>
          <w:tcPr>
            <w:tcW w:type="dxa" w:w="2041"/>
            <w:vAlign w:val="top"/>
          </w:tcPr>
          <w:p>
            <w:pPr>
              <w:spacing w:after="20" w:line="252" w:lineRule="auto"/>
            </w:pPr>
            <w:r>
              <w:rPr>
                <w:b w:val="0"/>
                <w:i w:val="0"/>
                <w:sz w:val="15"/>
              </w:rPr>
              <w:t>IIFT procures</w:t>
            </w:r>
          </w:p>
        </w:tc>
        <w:tc>
          <w:tcPr>
            <w:tcW w:type="dxa" w:w="2154"/>
            <w:vAlign w:val="top"/>
          </w:tcPr>
          <w:p>
            <w:pPr>
              <w:spacing w:after="20" w:line="252" w:lineRule="auto"/>
            </w:pPr>
            <w:r>
              <w:rPr>
                <w:b w:val="0"/>
                <w:i w:val="0"/>
                <w:sz w:val="15"/>
              </w:rPr>
              <w:t>–</w:t>
            </w:r>
          </w:p>
        </w:tc>
      </w:tr>
      <w:tr>
        <w:trPr>
          <w:cantSplit/>
        </w:trPr>
        <w:tc>
          <w:tcPr>
            <w:tcW w:type="dxa" w:w="3402"/>
            <w:vAlign w:val="top"/>
            <w:shd w:val="clear" w:color="auto" w:fill="FDF0F7"/>
          </w:tcPr>
          <w:p>
            <w:pPr>
              <w:spacing w:after="20" w:line="252" w:lineRule="auto"/>
            </w:pPr>
            <w:r>
              <w:rPr>
                <w:b w:val="0"/>
                <w:i w:val="0"/>
                <w:sz w:val="15"/>
              </w:rPr>
              <w:t>Source code repository and CI/CD</w:t>
            </w:r>
          </w:p>
        </w:tc>
        <w:tc>
          <w:tcPr>
            <w:tcW w:type="dxa" w:w="2041"/>
            <w:vAlign w:val="top"/>
            <w:shd w:val="clear" w:color="auto" w:fill="FDF0F7"/>
          </w:tcPr>
          <w:p>
            <w:pPr>
              <w:spacing w:after="20" w:line="252" w:lineRule="auto"/>
            </w:pPr>
            <w:r>
              <w:rPr>
                <w:b w:val="0"/>
                <w:i w:val="0"/>
                <w:sz w:val="15"/>
              </w:rPr>
              <w:t>Included in iorta fee</w:t>
            </w:r>
          </w:p>
        </w:tc>
        <w:tc>
          <w:tcPr>
            <w:tcW w:type="dxa" w:w="2041"/>
            <w:vAlign w:val="top"/>
            <w:shd w:val="clear" w:color="auto" w:fill="FDF0F7"/>
          </w:tcPr>
          <w:p>
            <w:pPr>
              <w:spacing w:after="20" w:line="252" w:lineRule="auto"/>
            </w:pPr>
            <w:r>
              <w:rPr>
                <w:b w:val="0"/>
                <w:i w:val="0"/>
                <w:sz w:val="15"/>
              </w:rPr>
              <w:t>Included in iorta fee</w:t>
            </w:r>
          </w:p>
        </w:tc>
        <w:tc>
          <w:tcPr>
            <w:tcW w:type="dxa" w:w="2154"/>
            <w:vAlign w:val="top"/>
            <w:shd w:val="clear" w:color="auto" w:fill="FDF0F7"/>
          </w:tcPr>
          <w:p>
            <w:pPr>
              <w:spacing w:after="20" w:line="252" w:lineRule="auto"/>
            </w:pPr>
            <w:r>
              <w:rPr>
                <w:b w:val="0"/>
                <w:i w:val="0"/>
                <w:sz w:val="15"/>
              </w:rPr>
              <w:t>Included</w:t>
            </w:r>
          </w:p>
        </w:tc>
      </w:tr>
      <w:tr>
        <w:trPr>
          <w:cantSplit/>
        </w:trPr>
        <w:tc>
          <w:tcPr>
            <w:tcW w:type="dxa" w:w="3402"/>
            <w:vAlign w:val="top"/>
          </w:tcPr>
          <w:p>
            <w:pPr>
              <w:spacing w:after="20" w:line="252" w:lineRule="auto"/>
            </w:pPr>
            <w:r>
              <w:rPr>
                <w:b w:val="0"/>
                <w:i w:val="0"/>
                <w:sz w:val="15"/>
              </w:rPr>
              <w:t>Monitoring stack (Prometheus, Grafana, Loki)</w:t>
            </w:r>
          </w:p>
        </w:tc>
        <w:tc>
          <w:tcPr>
            <w:tcW w:type="dxa" w:w="2041"/>
            <w:vAlign w:val="top"/>
          </w:tcPr>
          <w:p>
            <w:pPr>
              <w:spacing w:after="20" w:line="252" w:lineRule="auto"/>
            </w:pPr>
            <w:r>
              <w:rPr>
                <w:b w:val="0"/>
                <w:i w:val="0"/>
                <w:sz w:val="15"/>
              </w:rPr>
              <w:t>Included in iorta fee</w:t>
            </w:r>
          </w:p>
        </w:tc>
        <w:tc>
          <w:tcPr>
            <w:tcW w:type="dxa" w:w="2041"/>
            <w:vAlign w:val="top"/>
          </w:tcPr>
          <w:p>
            <w:pPr>
              <w:spacing w:after="20" w:line="252" w:lineRule="auto"/>
            </w:pPr>
            <w:r>
              <w:rPr>
                <w:b w:val="0"/>
                <w:i w:val="0"/>
                <w:sz w:val="15"/>
              </w:rPr>
              <w:t>Included in iorta fee</w:t>
            </w:r>
          </w:p>
        </w:tc>
        <w:tc>
          <w:tcPr>
            <w:tcW w:type="dxa" w:w="2154"/>
            <w:vAlign w:val="top"/>
          </w:tcPr>
          <w:p>
            <w:pPr>
              <w:spacing w:after="20" w:line="252" w:lineRule="auto"/>
            </w:pPr>
            <w:r>
              <w:rPr>
                <w:b w:val="0"/>
                <w:i w:val="0"/>
                <w:sz w:val="15"/>
              </w:rPr>
              <w:t>Included</w:t>
            </w:r>
          </w:p>
        </w:tc>
      </w:tr>
      <w:tr>
        <w:trPr>
          <w:cantSplit/>
        </w:trPr>
        <w:tc>
          <w:tcPr>
            <w:tcW w:type="dxa" w:w="3402"/>
            <w:vAlign w:val="top"/>
            <w:shd w:val="clear" w:color="auto" w:fill="FDF0F7"/>
          </w:tcPr>
          <w:p>
            <w:pPr>
              <w:spacing w:after="20" w:line="252" w:lineRule="auto"/>
            </w:pPr>
            <w:r>
              <w:rPr>
                <w:b w:val="0"/>
                <w:i w:val="0"/>
                <w:sz w:val="15"/>
              </w:rPr>
              <w:t>PKI digital signature certificates (optional)</w:t>
            </w:r>
          </w:p>
        </w:tc>
        <w:tc>
          <w:tcPr>
            <w:tcW w:type="dxa" w:w="2041"/>
            <w:vAlign w:val="top"/>
            <w:shd w:val="clear" w:color="auto" w:fill="FDF0F7"/>
          </w:tcPr>
          <w:p>
            <w:pPr>
              <w:spacing w:after="20" w:line="252" w:lineRule="auto"/>
            </w:pPr>
            <w:r>
              <w:rPr>
                <w:b w:val="0"/>
                <w:i w:val="0"/>
                <w:sz w:val="15"/>
              </w:rPr>
              <w:t>Not required</w:t>
            </w:r>
          </w:p>
        </w:tc>
        <w:tc>
          <w:tcPr>
            <w:tcW w:type="dxa" w:w="2041"/>
            <w:vAlign w:val="top"/>
            <w:shd w:val="clear" w:color="auto" w:fill="FDF0F7"/>
          </w:tcPr>
          <w:p>
            <w:pPr>
              <w:spacing w:after="20" w:line="252" w:lineRule="auto"/>
            </w:pPr>
            <w:r>
              <w:rPr>
                <w:b w:val="0"/>
                <w:i w:val="0"/>
                <w:sz w:val="15"/>
              </w:rPr>
              <w:t>Not required</w:t>
            </w:r>
          </w:p>
        </w:tc>
        <w:tc>
          <w:tcPr>
            <w:tcW w:type="dxa" w:w="2154"/>
            <w:vAlign w:val="top"/>
            <w:shd w:val="clear" w:color="auto" w:fill="FDF0F7"/>
          </w:tcPr>
          <w:p>
            <w:pPr>
              <w:spacing w:after="20" w:line="252" w:lineRule="auto"/>
            </w:pPr>
            <w:r>
              <w:rPr>
                <w:b w:val="0"/>
                <w:i w:val="0"/>
                <w:sz w:val="15"/>
              </w:rPr>
              <w:t>–</w:t>
            </w:r>
          </w:p>
        </w:tc>
      </w:tr>
      <w:tr>
        <w:trPr>
          <w:cantSplit/>
        </w:trPr>
        <w:tc>
          <w:tcPr>
            <w:tcW w:type="dxa" w:w="3402"/>
            <w:vAlign w:val="top"/>
          </w:tcPr>
          <w:p>
            <w:pPr>
              <w:spacing w:after="20" w:line="252" w:lineRule="auto"/>
            </w:pPr>
            <w:r>
              <w:rPr>
                <w:b w:val="0"/>
                <w:i w:val="0"/>
                <w:sz w:val="15"/>
              </w:rPr>
              <w:t>Payment gateway (optional)</w:t>
            </w:r>
          </w:p>
        </w:tc>
        <w:tc>
          <w:tcPr>
            <w:tcW w:type="dxa" w:w="2041"/>
            <w:vAlign w:val="top"/>
          </w:tcPr>
          <w:p>
            <w:pPr>
              <w:spacing w:after="20" w:line="252" w:lineRule="auto"/>
            </w:pPr>
            <w:r>
              <w:rPr>
                <w:b w:val="0"/>
                <w:i w:val="0"/>
                <w:sz w:val="15"/>
              </w:rPr>
              <w:t>Not required</w:t>
            </w:r>
          </w:p>
        </w:tc>
        <w:tc>
          <w:tcPr>
            <w:tcW w:type="dxa" w:w="2041"/>
            <w:vAlign w:val="top"/>
          </w:tcPr>
          <w:p>
            <w:pPr>
              <w:spacing w:after="20" w:line="252" w:lineRule="auto"/>
            </w:pPr>
            <w:r>
              <w:rPr>
                <w:b w:val="0"/>
                <w:i w:val="0"/>
                <w:sz w:val="15"/>
              </w:rPr>
              <w:t>Not required</w:t>
            </w:r>
          </w:p>
        </w:tc>
        <w:tc>
          <w:tcPr>
            <w:tcW w:type="dxa" w:w="2154"/>
            <w:vAlign w:val="top"/>
          </w:tcPr>
          <w:p>
            <w:pPr>
              <w:spacing w:after="20" w:line="252" w:lineRule="auto"/>
            </w:pPr>
            <w:r>
              <w:rPr>
                <w:b w:val="0"/>
                <w:i w:val="0"/>
                <w:sz w:val="15"/>
              </w:rPr>
              <w:t>–</w:t>
            </w:r>
          </w:p>
        </w:tc>
      </w:tr>
    </w:tbl>
    <w:p>
      <w:pPr>
        <w:pStyle w:val="Caption"/>
        <w:jc w:val="center"/>
      </w:pPr>
      <w:r>
        <w:rPr>
          <w:b w:val="0"/>
          <w:i w:val="0"/>
        </w:rPr>
        <w:t>Table 72: Third-party services and treatment</w:t>
      </w:r>
    </w:p>
    <w:p>
      <w:pPr>
        <w:pStyle w:val="Heading3"/>
      </w:pPr>
      <w:r>
        <w:t>Network flows and storage growth</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268"/>
        <w:gridCol w:w="2494"/>
        <w:gridCol w:w="2494"/>
        <w:gridCol w:w="2381"/>
      </w:tblGrid>
      <w:tr>
        <w:trPr>
          <w:cantSplit/>
          <w:tblHeader/>
        </w:trPr>
        <w:tc>
          <w:tcPr>
            <w:tcW w:type="dxa" w:w="2268"/>
            <w:shd w:val="clear" w:color="auto" w:fill="E1058C"/>
            <w:vAlign w:val="center"/>
          </w:tcPr>
          <w:p>
            <w:pPr>
              <w:spacing w:after="0"/>
            </w:pPr>
            <w:r>
              <w:rPr>
                <w:b/>
                <w:i w:val="0"/>
                <w:color w:val="FFFFFF"/>
                <w:sz w:val="16"/>
              </w:rPr>
              <w:t>From</w:t>
            </w:r>
          </w:p>
        </w:tc>
        <w:tc>
          <w:tcPr>
            <w:tcW w:type="dxa" w:w="2494"/>
            <w:shd w:val="clear" w:color="auto" w:fill="E1058C"/>
            <w:vAlign w:val="center"/>
          </w:tcPr>
          <w:p>
            <w:pPr>
              <w:spacing w:after="0"/>
            </w:pPr>
            <w:r>
              <w:rPr>
                <w:b/>
                <w:i w:val="0"/>
                <w:color w:val="FFFFFF"/>
                <w:sz w:val="16"/>
              </w:rPr>
              <w:t>To</w:t>
            </w:r>
          </w:p>
        </w:tc>
        <w:tc>
          <w:tcPr>
            <w:tcW w:type="dxa" w:w="2494"/>
            <w:shd w:val="clear" w:color="auto" w:fill="E1058C"/>
            <w:vAlign w:val="center"/>
          </w:tcPr>
          <w:p>
            <w:pPr>
              <w:spacing w:after="0"/>
            </w:pPr>
            <w:r>
              <w:rPr>
                <w:b/>
                <w:i w:val="0"/>
                <w:color w:val="FFFFFF"/>
                <w:sz w:val="16"/>
              </w:rPr>
              <w:t>Port / protocol</w:t>
            </w:r>
          </w:p>
        </w:tc>
        <w:tc>
          <w:tcPr>
            <w:tcW w:type="dxa" w:w="2381"/>
            <w:shd w:val="clear" w:color="auto" w:fill="E1058C"/>
            <w:vAlign w:val="center"/>
          </w:tcPr>
          <w:p>
            <w:pPr>
              <w:spacing w:after="0"/>
            </w:pPr>
            <w:r>
              <w:rPr>
                <w:b/>
                <w:i w:val="0"/>
                <w:color w:val="FFFFFF"/>
                <w:sz w:val="16"/>
              </w:rPr>
              <w:t>Purpose</w:t>
            </w:r>
          </w:p>
        </w:tc>
      </w:tr>
      <w:tr>
        <w:trPr>
          <w:cantSplit/>
        </w:trPr>
        <w:tc>
          <w:tcPr>
            <w:tcW w:type="dxa" w:w="2268"/>
            <w:vAlign w:val="top"/>
          </w:tcPr>
          <w:p>
            <w:pPr>
              <w:spacing w:after="20" w:line="252" w:lineRule="auto"/>
            </w:pPr>
            <w:r>
              <w:rPr>
                <w:b w:val="0"/>
                <w:i w:val="0"/>
                <w:sz w:val="16"/>
              </w:rPr>
              <w:t>Internet / bank network</w:t>
            </w:r>
          </w:p>
        </w:tc>
        <w:tc>
          <w:tcPr>
            <w:tcW w:type="dxa" w:w="2494"/>
            <w:vAlign w:val="top"/>
          </w:tcPr>
          <w:p>
            <w:pPr>
              <w:spacing w:after="20" w:line="252" w:lineRule="auto"/>
            </w:pPr>
            <w:r>
              <w:rPr>
                <w:b w:val="0"/>
                <w:i w:val="0"/>
                <w:sz w:val="16"/>
              </w:rPr>
              <w:t>WAF / load balancer</w:t>
            </w:r>
          </w:p>
        </w:tc>
        <w:tc>
          <w:tcPr>
            <w:tcW w:type="dxa" w:w="2494"/>
            <w:vAlign w:val="top"/>
          </w:tcPr>
          <w:p>
            <w:pPr>
              <w:spacing w:after="20" w:line="252" w:lineRule="auto"/>
            </w:pPr>
            <w:r>
              <w:rPr>
                <w:b w:val="0"/>
                <w:i w:val="0"/>
                <w:sz w:val="16"/>
              </w:rPr>
              <w:t>443 (HTTPS)</w:t>
            </w:r>
          </w:p>
        </w:tc>
        <w:tc>
          <w:tcPr>
            <w:tcW w:type="dxa" w:w="2381"/>
            <w:vAlign w:val="top"/>
          </w:tcPr>
          <w:p>
            <w:pPr>
              <w:spacing w:after="20" w:line="252" w:lineRule="auto"/>
            </w:pPr>
            <w:r>
              <w:rPr>
                <w:b w:val="0"/>
                <w:i w:val="0"/>
                <w:sz w:val="16"/>
              </w:rPr>
              <w:t>Portal and e-sign</w:t>
            </w:r>
          </w:p>
        </w:tc>
      </w:tr>
      <w:tr>
        <w:trPr>
          <w:cantSplit/>
        </w:trPr>
        <w:tc>
          <w:tcPr>
            <w:tcW w:type="dxa" w:w="2268"/>
            <w:vAlign w:val="top"/>
            <w:shd w:val="clear" w:color="auto" w:fill="FDF0F7"/>
          </w:tcPr>
          <w:p>
            <w:pPr>
              <w:spacing w:after="20" w:line="252" w:lineRule="auto"/>
            </w:pPr>
            <w:r>
              <w:rPr>
                <w:b w:val="0"/>
                <w:i w:val="0"/>
                <w:sz w:val="16"/>
              </w:rPr>
              <w:t>IIFT LAN</w:t>
            </w:r>
          </w:p>
        </w:tc>
        <w:tc>
          <w:tcPr>
            <w:tcW w:type="dxa" w:w="2494"/>
            <w:vAlign w:val="top"/>
            <w:shd w:val="clear" w:color="auto" w:fill="FDF0F7"/>
          </w:tcPr>
          <w:p>
            <w:pPr>
              <w:spacing w:after="20" w:line="252" w:lineRule="auto"/>
            </w:pPr>
            <w:r>
              <w:rPr>
                <w:b w:val="0"/>
                <w:i w:val="0"/>
                <w:sz w:val="16"/>
              </w:rPr>
              <w:t>Internal reverse proxy</w:t>
            </w:r>
          </w:p>
        </w:tc>
        <w:tc>
          <w:tcPr>
            <w:tcW w:type="dxa" w:w="2494"/>
            <w:vAlign w:val="top"/>
            <w:shd w:val="clear" w:color="auto" w:fill="FDF0F7"/>
          </w:tcPr>
          <w:p>
            <w:pPr>
              <w:spacing w:after="20" w:line="252" w:lineRule="auto"/>
            </w:pPr>
            <w:r>
              <w:rPr>
                <w:b w:val="0"/>
                <w:i w:val="0"/>
                <w:sz w:val="16"/>
              </w:rPr>
              <w:t>443 (HTTPS)</w:t>
            </w:r>
          </w:p>
        </w:tc>
        <w:tc>
          <w:tcPr>
            <w:tcW w:type="dxa" w:w="2381"/>
            <w:vAlign w:val="top"/>
            <w:shd w:val="clear" w:color="auto" w:fill="FDF0F7"/>
          </w:tcPr>
          <w:p>
            <w:pPr>
              <w:spacing w:after="20" w:line="252" w:lineRule="auto"/>
            </w:pPr>
            <w:r>
              <w:rPr>
                <w:b w:val="0"/>
                <w:i w:val="0"/>
                <w:sz w:val="16"/>
              </w:rPr>
              <w:t>Back-office</w:t>
            </w:r>
          </w:p>
        </w:tc>
      </w:tr>
      <w:tr>
        <w:trPr>
          <w:cantSplit/>
        </w:trPr>
        <w:tc>
          <w:tcPr>
            <w:tcW w:type="dxa" w:w="2268"/>
            <w:vAlign w:val="top"/>
          </w:tcPr>
          <w:p>
            <w:pPr>
              <w:spacing w:after="20" w:line="252" w:lineRule="auto"/>
            </w:pPr>
            <w:r>
              <w:rPr>
                <w:b w:val="0"/>
                <w:i w:val="0"/>
                <w:sz w:val="16"/>
              </w:rPr>
              <w:t>Load balancer / proxy</w:t>
            </w:r>
          </w:p>
        </w:tc>
        <w:tc>
          <w:tcPr>
            <w:tcW w:type="dxa" w:w="2494"/>
            <w:vAlign w:val="top"/>
          </w:tcPr>
          <w:p>
            <w:pPr>
              <w:spacing w:after="20" w:line="252" w:lineRule="auto"/>
            </w:pPr>
            <w:r>
              <w:rPr>
                <w:b w:val="0"/>
                <w:i w:val="0"/>
                <w:sz w:val="16"/>
              </w:rPr>
              <w:t>Application VMs</w:t>
            </w:r>
          </w:p>
        </w:tc>
        <w:tc>
          <w:tcPr>
            <w:tcW w:type="dxa" w:w="2494"/>
            <w:vAlign w:val="top"/>
          </w:tcPr>
          <w:p>
            <w:pPr>
              <w:spacing w:after="20" w:line="252" w:lineRule="auto"/>
            </w:pPr>
            <w:r>
              <w:rPr>
                <w:b w:val="0"/>
                <w:i w:val="0"/>
                <w:sz w:val="16"/>
              </w:rPr>
              <w:t>8080 (HTTP, internal only) or 443</w:t>
            </w:r>
          </w:p>
        </w:tc>
        <w:tc>
          <w:tcPr>
            <w:tcW w:type="dxa" w:w="2381"/>
            <w:vAlign w:val="top"/>
          </w:tcPr>
          <w:p>
            <w:pPr>
              <w:spacing w:after="20" w:line="252" w:lineRule="auto"/>
            </w:pPr>
            <w:r>
              <w:rPr>
                <w:b w:val="0"/>
                <w:i w:val="0"/>
                <w:sz w:val="16"/>
              </w:rPr>
              <w:t>Application traffic</w:t>
            </w:r>
          </w:p>
        </w:tc>
      </w:tr>
      <w:tr>
        <w:trPr>
          <w:cantSplit/>
        </w:trPr>
        <w:tc>
          <w:tcPr>
            <w:tcW w:type="dxa" w:w="2268"/>
            <w:vAlign w:val="top"/>
            <w:shd w:val="clear" w:color="auto" w:fill="FDF0F7"/>
          </w:tcPr>
          <w:p>
            <w:pPr>
              <w:spacing w:after="20" w:line="252" w:lineRule="auto"/>
            </w:pPr>
            <w:r>
              <w:rPr>
                <w:b w:val="0"/>
                <w:i w:val="0"/>
                <w:sz w:val="16"/>
              </w:rPr>
              <w:t>Application VMs</w:t>
            </w:r>
          </w:p>
        </w:tc>
        <w:tc>
          <w:tcPr>
            <w:tcW w:type="dxa" w:w="2494"/>
            <w:vAlign w:val="top"/>
            <w:shd w:val="clear" w:color="auto" w:fill="FDF0F7"/>
          </w:tcPr>
          <w:p>
            <w:pPr>
              <w:spacing w:after="20" w:line="252" w:lineRule="auto"/>
            </w:pPr>
            <w:r>
              <w:rPr>
                <w:b w:val="0"/>
                <w:i w:val="0"/>
                <w:sz w:val="16"/>
              </w:rPr>
              <w:t>PostgreSQL</w:t>
            </w:r>
          </w:p>
        </w:tc>
        <w:tc>
          <w:tcPr>
            <w:tcW w:type="dxa" w:w="2494"/>
            <w:vAlign w:val="top"/>
            <w:shd w:val="clear" w:color="auto" w:fill="FDF0F7"/>
          </w:tcPr>
          <w:p>
            <w:pPr>
              <w:spacing w:after="20" w:line="252" w:lineRule="auto"/>
            </w:pPr>
            <w:r>
              <w:rPr>
                <w:b w:val="0"/>
                <w:i w:val="0"/>
                <w:sz w:val="16"/>
              </w:rPr>
              <w:t>5432 (TLS)</w:t>
            </w:r>
          </w:p>
        </w:tc>
        <w:tc>
          <w:tcPr>
            <w:tcW w:type="dxa" w:w="2381"/>
            <w:vAlign w:val="top"/>
            <w:shd w:val="clear" w:color="auto" w:fill="FDF0F7"/>
          </w:tcPr>
          <w:p>
            <w:pPr>
              <w:spacing w:after="20" w:line="252" w:lineRule="auto"/>
            </w:pPr>
            <w:r>
              <w:rPr>
                <w:b w:val="0"/>
                <w:i w:val="0"/>
                <w:sz w:val="16"/>
              </w:rPr>
              <w:t>Database</w:t>
            </w:r>
          </w:p>
        </w:tc>
      </w:tr>
      <w:tr>
        <w:trPr>
          <w:cantSplit/>
        </w:trPr>
        <w:tc>
          <w:tcPr>
            <w:tcW w:type="dxa" w:w="2268"/>
            <w:vAlign w:val="top"/>
          </w:tcPr>
          <w:p>
            <w:pPr>
              <w:spacing w:after="20" w:line="252" w:lineRule="auto"/>
            </w:pPr>
            <w:r>
              <w:rPr>
                <w:b w:val="0"/>
                <w:i w:val="0"/>
                <w:sz w:val="16"/>
              </w:rPr>
              <w:t>Application VMs</w:t>
            </w:r>
          </w:p>
        </w:tc>
        <w:tc>
          <w:tcPr>
            <w:tcW w:type="dxa" w:w="2494"/>
            <w:vAlign w:val="top"/>
          </w:tcPr>
          <w:p>
            <w:pPr>
              <w:spacing w:after="20" w:line="252" w:lineRule="auto"/>
            </w:pPr>
            <w:r>
              <w:rPr>
                <w:b w:val="0"/>
                <w:i w:val="0"/>
                <w:sz w:val="16"/>
              </w:rPr>
              <w:t>Active Directory</w:t>
            </w:r>
          </w:p>
        </w:tc>
        <w:tc>
          <w:tcPr>
            <w:tcW w:type="dxa" w:w="2494"/>
            <w:vAlign w:val="top"/>
          </w:tcPr>
          <w:p>
            <w:pPr>
              <w:spacing w:after="20" w:line="252" w:lineRule="auto"/>
            </w:pPr>
            <w:r>
              <w:rPr>
                <w:b w:val="0"/>
                <w:i w:val="0"/>
                <w:sz w:val="16"/>
              </w:rPr>
              <w:t>636 (LDAPS)</w:t>
            </w:r>
          </w:p>
        </w:tc>
        <w:tc>
          <w:tcPr>
            <w:tcW w:type="dxa" w:w="2381"/>
            <w:vAlign w:val="top"/>
          </w:tcPr>
          <w:p>
            <w:pPr>
              <w:spacing w:after="20" w:line="252" w:lineRule="auto"/>
            </w:pPr>
            <w:r>
              <w:rPr>
                <w:b w:val="0"/>
                <w:i w:val="0"/>
                <w:sz w:val="16"/>
              </w:rPr>
              <w:t>Back-office SSO</w:t>
            </w:r>
          </w:p>
        </w:tc>
      </w:tr>
      <w:tr>
        <w:trPr>
          <w:cantSplit/>
        </w:trPr>
        <w:tc>
          <w:tcPr>
            <w:tcW w:type="dxa" w:w="2268"/>
            <w:vAlign w:val="top"/>
            <w:shd w:val="clear" w:color="auto" w:fill="FDF0F7"/>
          </w:tcPr>
          <w:p>
            <w:pPr>
              <w:spacing w:after="20" w:line="252" w:lineRule="auto"/>
            </w:pPr>
            <w:r>
              <w:rPr>
                <w:b w:val="0"/>
                <w:i w:val="0"/>
                <w:sz w:val="16"/>
              </w:rPr>
              <w:t>Application VMs</w:t>
            </w:r>
          </w:p>
        </w:tc>
        <w:tc>
          <w:tcPr>
            <w:tcW w:type="dxa" w:w="2494"/>
            <w:vAlign w:val="top"/>
            <w:shd w:val="clear" w:color="auto" w:fill="FDF0F7"/>
          </w:tcPr>
          <w:p>
            <w:pPr>
              <w:spacing w:after="20" w:line="252" w:lineRule="auto"/>
            </w:pPr>
            <w:r>
              <w:rPr>
                <w:b w:val="0"/>
                <w:i w:val="0"/>
                <w:sz w:val="16"/>
              </w:rPr>
              <w:t>SMTP relay</w:t>
            </w:r>
          </w:p>
        </w:tc>
        <w:tc>
          <w:tcPr>
            <w:tcW w:type="dxa" w:w="2494"/>
            <w:vAlign w:val="top"/>
            <w:shd w:val="clear" w:color="auto" w:fill="FDF0F7"/>
          </w:tcPr>
          <w:p>
            <w:pPr>
              <w:spacing w:after="20" w:line="252" w:lineRule="auto"/>
            </w:pPr>
            <w:r>
              <w:rPr>
                <w:b w:val="0"/>
                <w:i w:val="0"/>
                <w:sz w:val="16"/>
              </w:rPr>
              <w:t>587 (STARTTLS)</w:t>
            </w:r>
          </w:p>
        </w:tc>
        <w:tc>
          <w:tcPr>
            <w:tcW w:type="dxa" w:w="2381"/>
            <w:vAlign w:val="top"/>
            <w:shd w:val="clear" w:color="auto" w:fill="FDF0F7"/>
          </w:tcPr>
          <w:p>
            <w:pPr>
              <w:spacing w:after="20" w:line="252" w:lineRule="auto"/>
            </w:pPr>
            <w:r>
              <w:rPr>
                <w:b w:val="0"/>
                <w:i w:val="0"/>
                <w:sz w:val="16"/>
              </w:rPr>
              <w:t>E-mail</w:t>
            </w:r>
          </w:p>
        </w:tc>
      </w:tr>
      <w:tr>
        <w:trPr>
          <w:cantSplit/>
        </w:trPr>
        <w:tc>
          <w:tcPr>
            <w:tcW w:type="dxa" w:w="2268"/>
            <w:vAlign w:val="top"/>
          </w:tcPr>
          <w:p>
            <w:pPr>
              <w:spacing w:after="20" w:line="252" w:lineRule="auto"/>
            </w:pPr>
            <w:r>
              <w:rPr>
                <w:b w:val="0"/>
                <w:i w:val="0"/>
                <w:sz w:val="16"/>
              </w:rPr>
              <w:t>Application VMs</w:t>
            </w:r>
          </w:p>
        </w:tc>
        <w:tc>
          <w:tcPr>
            <w:tcW w:type="dxa" w:w="2494"/>
            <w:vAlign w:val="top"/>
          </w:tcPr>
          <w:p>
            <w:pPr>
              <w:spacing w:after="20" w:line="252" w:lineRule="auto"/>
            </w:pPr>
            <w:r>
              <w:rPr>
                <w:b w:val="0"/>
                <w:i w:val="0"/>
                <w:sz w:val="16"/>
              </w:rPr>
              <w:t>Core / FIN / AML / SMS</w:t>
            </w:r>
          </w:p>
        </w:tc>
        <w:tc>
          <w:tcPr>
            <w:tcW w:type="dxa" w:w="2494"/>
            <w:vAlign w:val="top"/>
          </w:tcPr>
          <w:p>
            <w:pPr>
              <w:spacing w:after="20" w:line="252" w:lineRule="auto"/>
            </w:pPr>
            <w:r>
              <w:rPr>
                <w:b w:val="0"/>
                <w:i w:val="0"/>
                <w:sz w:val="16"/>
              </w:rPr>
              <w:t>443 (HTTPS) or 22 (SFTP)</w:t>
            </w:r>
          </w:p>
        </w:tc>
        <w:tc>
          <w:tcPr>
            <w:tcW w:type="dxa" w:w="2381"/>
            <w:vAlign w:val="top"/>
          </w:tcPr>
          <w:p>
            <w:pPr>
              <w:spacing w:after="20" w:line="252" w:lineRule="auto"/>
            </w:pPr>
            <w:r>
              <w:rPr>
                <w:b w:val="0"/>
                <w:i w:val="0"/>
                <w:sz w:val="16"/>
              </w:rPr>
              <w:t>Integrations</w:t>
            </w:r>
          </w:p>
        </w:tc>
      </w:tr>
      <w:tr>
        <w:trPr>
          <w:cantSplit/>
        </w:trPr>
        <w:tc>
          <w:tcPr>
            <w:tcW w:type="dxa" w:w="2268"/>
            <w:vAlign w:val="top"/>
            <w:shd w:val="clear" w:color="auto" w:fill="FDF0F7"/>
          </w:tcPr>
          <w:p>
            <w:pPr>
              <w:spacing w:after="20" w:line="252" w:lineRule="auto"/>
            </w:pPr>
            <w:r>
              <w:rPr>
                <w:b w:val="0"/>
                <w:i w:val="0"/>
                <w:sz w:val="16"/>
              </w:rPr>
              <w:t>Monitoring server</w:t>
            </w:r>
          </w:p>
        </w:tc>
        <w:tc>
          <w:tcPr>
            <w:tcW w:type="dxa" w:w="2494"/>
            <w:vAlign w:val="top"/>
            <w:shd w:val="clear" w:color="auto" w:fill="FDF0F7"/>
          </w:tcPr>
          <w:p>
            <w:pPr>
              <w:spacing w:after="20" w:line="252" w:lineRule="auto"/>
            </w:pPr>
            <w:r>
              <w:rPr>
                <w:b w:val="0"/>
                <w:i w:val="0"/>
                <w:sz w:val="16"/>
              </w:rPr>
              <w:t>Application VMs</w:t>
            </w:r>
          </w:p>
        </w:tc>
        <w:tc>
          <w:tcPr>
            <w:tcW w:type="dxa" w:w="2494"/>
            <w:vAlign w:val="top"/>
            <w:shd w:val="clear" w:color="auto" w:fill="FDF0F7"/>
          </w:tcPr>
          <w:p>
            <w:pPr>
              <w:spacing w:after="20" w:line="252" w:lineRule="auto"/>
            </w:pPr>
            <w:r>
              <w:rPr>
                <w:b w:val="0"/>
                <w:i w:val="0"/>
                <w:sz w:val="16"/>
              </w:rPr>
              <w:t>9100 / 9464 (metrics)</w:t>
            </w:r>
          </w:p>
        </w:tc>
        <w:tc>
          <w:tcPr>
            <w:tcW w:type="dxa" w:w="2381"/>
            <w:vAlign w:val="top"/>
            <w:shd w:val="clear" w:color="auto" w:fill="FDF0F7"/>
          </w:tcPr>
          <w:p>
            <w:pPr>
              <w:spacing w:after="20" w:line="252" w:lineRule="auto"/>
            </w:pPr>
            <w:r>
              <w:rPr>
                <w:b w:val="0"/>
                <w:i w:val="0"/>
                <w:sz w:val="16"/>
              </w:rPr>
              <w:t>Monitoring</w:t>
            </w:r>
          </w:p>
        </w:tc>
      </w:tr>
      <w:tr>
        <w:trPr>
          <w:cantSplit/>
        </w:trPr>
        <w:tc>
          <w:tcPr>
            <w:tcW w:type="dxa" w:w="2268"/>
            <w:vAlign w:val="top"/>
          </w:tcPr>
          <w:p>
            <w:pPr>
              <w:spacing w:after="20" w:line="252" w:lineRule="auto"/>
            </w:pPr>
            <w:r>
              <w:rPr>
                <w:b w:val="0"/>
                <w:i w:val="0"/>
                <w:sz w:val="16"/>
              </w:rPr>
              <w:t>PostgreSQL primary</w:t>
            </w:r>
          </w:p>
        </w:tc>
        <w:tc>
          <w:tcPr>
            <w:tcW w:type="dxa" w:w="2494"/>
            <w:vAlign w:val="top"/>
          </w:tcPr>
          <w:p>
            <w:pPr>
              <w:spacing w:after="20" w:line="252" w:lineRule="auto"/>
            </w:pPr>
            <w:r>
              <w:rPr>
                <w:b w:val="0"/>
                <w:i w:val="0"/>
                <w:sz w:val="16"/>
              </w:rPr>
              <w:t>Standby / DR replica</w:t>
            </w:r>
          </w:p>
        </w:tc>
        <w:tc>
          <w:tcPr>
            <w:tcW w:type="dxa" w:w="2494"/>
            <w:vAlign w:val="top"/>
          </w:tcPr>
          <w:p>
            <w:pPr>
              <w:spacing w:after="20" w:line="252" w:lineRule="auto"/>
            </w:pPr>
            <w:r>
              <w:rPr>
                <w:b w:val="0"/>
                <w:i w:val="0"/>
                <w:sz w:val="16"/>
              </w:rPr>
              <w:t>5432 (TLS)</w:t>
            </w:r>
          </w:p>
        </w:tc>
        <w:tc>
          <w:tcPr>
            <w:tcW w:type="dxa" w:w="2381"/>
            <w:vAlign w:val="top"/>
          </w:tcPr>
          <w:p>
            <w:pPr>
              <w:spacing w:after="20" w:line="252" w:lineRule="auto"/>
            </w:pPr>
            <w:r>
              <w:rPr>
                <w:b w:val="0"/>
                <w:i w:val="0"/>
                <w:sz w:val="16"/>
              </w:rPr>
              <w:t>Replication</w:t>
            </w:r>
          </w:p>
        </w:tc>
      </w:tr>
    </w:tbl>
    <w:p>
      <w:pPr>
        <w:pStyle w:val="Caption"/>
        <w:jc w:val="center"/>
      </w:pPr>
      <w:r>
        <w:rPr>
          <w:b w:val="0"/>
          <w:i w:val="0"/>
        </w:rPr>
        <w:t>Table 73: Network flows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1474"/>
        <w:gridCol w:w="1474"/>
        <w:gridCol w:w="4082"/>
      </w:tblGrid>
      <w:tr>
        <w:trPr>
          <w:cantSplit/>
          <w:tblHeader/>
        </w:trPr>
        <w:tc>
          <w:tcPr>
            <w:tcW w:type="dxa" w:w="2608"/>
            <w:shd w:val="clear" w:color="auto" w:fill="E1058C"/>
            <w:vAlign w:val="center"/>
          </w:tcPr>
          <w:p>
            <w:pPr>
              <w:spacing w:after="0"/>
            </w:pPr>
            <w:r>
              <w:rPr>
                <w:b/>
                <w:i w:val="0"/>
                <w:color w:val="FFFFFF"/>
                <w:sz w:val="16"/>
              </w:rPr>
              <w:t>Data</w:t>
            </w:r>
          </w:p>
        </w:tc>
        <w:tc>
          <w:tcPr>
            <w:tcW w:type="dxa" w:w="1474"/>
            <w:shd w:val="clear" w:color="auto" w:fill="E1058C"/>
            <w:vAlign w:val="center"/>
          </w:tcPr>
          <w:p>
            <w:pPr>
              <w:spacing w:after="0"/>
            </w:pPr>
            <w:r>
              <w:rPr>
                <w:b/>
                <w:i w:val="0"/>
                <w:color w:val="FFFFFF"/>
                <w:sz w:val="16"/>
              </w:rPr>
              <w:t>Year 1</w:t>
            </w:r>
          </w:p>
        </w:tc>
        <w:tc>
          <w:tcPr>
            <w:tcW w:type="dxa" w:w="1474"/>
            <w:shd w:val="clear" w:color="auto" w:fill="E1058C"/>
            <w:vAlign w:val="center"/>
          </w:tcPr>
          <w:p>
            <w:pPr>
              <w:spacing w:after="0"/>
            </w:pPr>
            <w:r>
              <w:rPr>
                <w:b/>
                <w:i w:val="0"/>
                <w:color w:val="FFFFFF"/>
                <w:sz w:val="16"/>
              </w:rPr>
              <w:t>Year 5</w:t>
            </w:r>
          </w:p>
        </w:tc>
        <w:tc>
          <w:tcPr>
            <w:tcW w:type="dxa" w:w="4082"/>
            <w:shd w:val="clear" w:color="auto" w:fill="E1058C"/>
            <w:vAlign w:val="center"/>
          </w:tcPr>
          <w:p>
            <w:pPr>
              <w:spacing w:after="0"/>
            </w:pPr>
            <w:r>
              <w:rPr>
                <w:b/>
                <w:i w:val="0"/>
                <w:color w:val="FFFFFF"/>
                <w:sz w:val="16"/>
              </w:rPr>
              <w:t>Notes</w:t>
            </w:r>
          </w:p>
        </w:tc>
      </w:tr>
      <w:tr>
        <w:trPr>
          <w:cantSplit/>
        </w:trPr>
        <w:tc>
          <w:tcPr>
            <w:tcW w:type="dxa" w:w="2608"/>
            <w:vAlign w:val="top"/>
          </w:tcPr>
          <w:p>
            <w:pPr>
              <w:spacing w:after="20" w:line="252" w:lineRule="auto"/>
            </w:pPr>
            <w:r>
              <w:rPr>
                <w:b w:val="0"/>
                <w:i w:val="0"/>
                <w:sz w:val="16"/>
              </w:rPr>
              <w:t>Structured data (PostgreSQL)</w:t>
            </w:r>
          </w:p>
        </w:tc>
        <w:tc>
          <w:tcPr>
            <w:tcW w:type="dxa" w:w="1474"/>
            <w:vAlign w:val="top"/>
          </w:tcPr>
          <w:p>
            <w:pPr>
              <w:spacing w:after="20" w:line="252" w:lineRule="auto"/>
            </w:pPr>
            <w:r>
              <w:rPr>
                <w:b w:val="0"/>
                <w:i w:val="0"/>
                <w:sz w:val="16"/>
              </w:rPr>
              <w:t>&lt; 1 GB</w:t>
            </w:r>
          </w:p>
        </w:tc>
        <w:tc>
          <w:tcPr>
            <w:tcW w:type="dxa" w:w="1474"/>
            <w:vAlign w:val="top"/>
          </w:tcPr>
          <w:p>
            <w:pPr>
              <w:spacing w:after="20" w:line="252" w:lineRule="auto"/>
            </w:pPr>
            <w:r>
              <w:rPr>
                <w:b w:val="0"/>
                <w:i w:val="0"/>
                <w:sz w:val="16"/>
              </w:rPr>
              <w:t>&lt; 5 GB</w:t>
            </w:r>
          </w:p>
        </w:tc>
        <w:tc>
          <w:tcPr>
            <w:tcW w:type="dxa" w:w="4082"/>
            <w:vAlign w:val="top"/>
          </w:tcPr>
          <w:p>
            <w:pPr>
              <w:spacing w:after="20" w:line="252" w:lineRule="auto"/>
            </w:pPr>
            <w:r>
              <w:rPr>
                <w:b w:val="0"/>
                <w:i w:val="0"/>
                <w:sz w:val="16"/>
              </w:rPr>
              <w:t>Policies, participants, payments, audit</w:t>
            </w:r>
          </w:p>
        </w:tc>
      </w:tr>
      <w:tr>
        <w:trPr>
          <w:cantSplit/>
        </w:trPr>
        <w:tc>
          <w:tcPr>
            <w:tcW w:type="dxa" w:w="2608"/>
            <w:vAlign w:val="top"/>
            <w:shd w:val="clear" w:color="auto" w:fill="FDF0F7"/>
          </w:tcPr>
          <w:p>
            <w:pPr>
              <w:spacing w:after="20" w:line="252" w:lineRule="auto"/>
            </w:pPr>
            <w:r>
              <w:rPr>
                <w:b w:val="0"/>
                <w:i w:val="0"/>
                <w:sz w:val="16"/>
              </w:rPr>
              <w:t>Documents</w:t>
            </w:r>
          </w:p>
        </w:tc>
        <w:tc>
          <w:tcPr>
            <w:tcW w:type="dxa" w:w="1474"/>
            <w:vAlign w:val="top"/>
            <w:shd w:val="clear" w:color="auto" w:fill="FDF0F7"/>
          </w:tcPr>
          <w:p>
            <w:pPr>
              <w:spacing w:after="20" w:line="252" w:lineRule="auto"/>
            </w:pPr>
            <w:r>
              <w:rPr>
                <w:b w:val="0"/>
                <w:i w:val="0"/>
                <w:sz w:val="16"/>
              </w:rPr>
              <w:t>10–20 GB</w:t>
            </w:r>
          </w:p>
        </w:tc>
        <w:tc>
          <w:tcPr>
            <w:tcW w:type="dxa" w:w="1474"/>
            <w:vAlign w:val="top"/>
            <w:shd w:val="clear" w:color="auto" w:fill="FDF0F7"/>
          </w:tcPr>
          <w:p>
            <w:pPr>
              <w:spacing w:after="20" w:line="252" w:lineRule="auto"/>
            </w:pPr>
            <w:r>
              <w:rPr>
                <w:b w:val="0"/>
                <w:i w:val="0"/>
                <w:sz w:val="16"/>
              </w:rPr>
              <w:t>50–100 GB</w:t>
            </w:r>
          </w:p>
        </w:tc>
        <w:tc>
          <w:tcPr>
            <w:tcW w:type="dxa" w:w="4082"/>
            <w:vAlign w:val="top"/>
            <w:shd w:val="clear" w:color="auto" w:fill="FDF0F7"/>
          </w:tcPr>
          <w:p>
            <w:pPr>
              <w:spacing w:after="20" w:line="252" w:lineRule="auto"/>
            </w:pPr>
            <w:r>
              <w:rPr>
                <w:b w:val="0"/>
                <w:i w:val="0"/>
                <w:sz w:val="16"/>
              </w:rPr>
              <w:t>Uploads and system-produced PDFs</w:t>
            </w:r>
          </w:p>
        </w:tc>
      </w:tr>
      <w:tr>
        <w:trPr>
          <w:cantSplit/>
        </w:trPr>
        <w:tc>
          <w:tcPr>
            <w:tcW w:type="dxa" w:w="2608"/>
            <w:vAlign w:val="top"/>
          </w:tcPr>
          <w:p>
            <w:pPr>
              <w:spacing w:after="20" w:line="252" w:lineRule="auto"/>
            </w:pPr>
            <w:r>
              <w:rPr>
                <w:b w:val="0"/>
                <w:i w:val="0"/>
                <w:sz w:val="16"/>
              </w:rPr>
              <w:t>Logs (online)</w:t>
            </w:r>
          </w:p>
        </w:tc>
        <w:tc>
          <w:tcPr>
            <w:tcW w:type="dxa" w:w="1474"/>
            <w:vAlign w:val="top"/>
          </w:tcPr>
          <w:p>
            <w:pPr>
              <w:spacing w:after="20" w:line="252" w:lineRule="auto"/>
            </w:pPr>
            <w:r>
              <w:rPr>
                <w:b w:val="0"/>
                <w:i w:val="0"/>
                <w:sz w:val="16"/>
              </w:rPr>
              <w:t>About 20 GB</w:t>
            </w:r>
          </w:p>
        </w:tc>
        <w:tc>
          <w:tcPr>
            <w:tcW w:type="dxa" w:w="1474"/>
            <w:vAlign w:val="top"/>
          </w:tcPr>
          <w:p>
            <w:pPr>
              <w:spacing w:after="20" w:line="252" w:lineRule="auto"/>
            </w:pPr>
            <w:r>
              <w:rPr>
                <w:b w:val="0"/>
                <w:i w:val="0"/>
                <w:sz w:val="16"/>
              </w:rPr>
              <w:t>About 20 GB</w:t>
            </w:r>
          </w:p>
        </w:tc>
        <w:tc>
          <w:tcPr>
            <w:tcW w:type="dxa" w:w="4082"/>
            <w:vAlign w:val="top"/>
          </w:tcPr>
          <w:p>
            <w:pPr>
              <w:spacing w:after="20" w:line="252" w:lineRule="auto"/>
            </w:pPr>
            <w:r>
              <w:rPr>
                <w:b w:val="0"/>
                <w:i w:val="0"/>
                <w:sz w:val="16"/>
              </w:rPr>
              <w:t>Rolling retention; archived to backup</w:t>
            </w:r>
          </w:p>
        </w:tc>
      </w:tr>
      <w:tr>
        <w:trPr>
          <w:cantSplit/>
        </w:trPr>
        <w:tc>
          <w:tcPr>
            <w:tcW w:type="dxa" w:w="2608"/>
            <w:vAlign w:val="top"/>
            <w:shd w:val="clear" w:color="auto" w:fill="FDF0F7"/>
          </w:tcPr>
          <w:p>
            <w:pPr>
              <w:spacing w:after="20" w:line="252" w:lineRule="auto"/>
            </w:pPr>
            <w:r>
              <w:rPr>
                <w:b w:val="0"/>
                <w:i w:val="0"/>
                <w:sz w:val="16"/>
              </w:rPr>
              <w:t>Backups</w:t>
            </w:r>
          </w:p>
        </w:tc>
        <w:tc>
          <w:tcPr>
            <w:tcW w:type="dxa" w:w="1474"/>
            <w:vAlign w:val="top"/>
            <w:shd w:val="clear" w:color="auto" w:fill="FDF0F7"/>
          </w:tcPr>
          <w:p>
            <w:pPr>
              <w:spacing w:after="20" w:line="252" w:lineRule="auto"/>
            </w:pPr>
            <w:r>
              <w:rPr>
                <w:b w:val="0"/>
                <w:i w:val="0"/>
                <w:sz w:val="16"/>
              </w:rPr>
              <w:t>About 150 GB</w:t>
            </w:r>
          </w:p>
        </w:tc>
        <w:tc>
          <w:tcPr>
            <w:tcW w:type="dxa" w:w="1474"/>
            <w:vAlign w:val="top"/>
            <w:shd w:val="clear" w:color="auto" w:fill="FDF0F7"/>
          </w:tcPr>
          <w:p>
            <w:pPr>
              <w:spacing w:after="20" w:line="252" w:lineRule="auto"/>
            </w:pPr>
            <w:r>
              <w:rPr>
                <w:b w:val="0"/>
                <w:i w:val="0"/>
                <w:sz w:val="16"/>
              </w:rPr>
              <w:t>About 600 GB</w:t>
            </w:r>
          </w:p>
        </w:tc>
        <w:tc>
          <w:tcPr>
            <w:tcW w:type="dxa" w:w="4082"/>
            <w:vAlign w:val="top"/>
            <w:shd w:val="clear" w:color="auto" w:fill="FDF0F7"/>
          </w:tcPr>
          <w:p>
            <w:pPr>
              <w:spacing w:after="20" w:line="252" w:lineRule="auto"/>
            </w:pPr>
            <w:r>
              <w:rPr>
                <w:b w:val="0"/>
                <w:i w:val="0"/>
                <w:sz w:val="16"/>
              </w:rPr>
              <w:t>35 days online plus monthly copies</w:t>
            </w:r>
          </w:p>
        </w:tc>
      </w:tr>
    </w:tbl>
    <w:p>
      <w:pPr>
        <w:pStyle w:val="Caption"/>
        <w:jc w:val="center"/>
      </w:pPr>
      <w:r>
        <w:rPr>
          <w:b w:val="0"/>
          <w:i w:val="0"/>
        </w:rPr>
        <w:t>Table 74: Storage growth estimate</w:t>
      </w:r>
    </w:p>
    <w:p>
      <w:pPr>
        <w:pStyle w:val="Heading1"/>
        <w:pageBreakBefore/>
        <w:pBdr>
          <w:bottom w:val="single" w:sz="12" w:space="4" w:color="F58220"/>
        </w:pBdr>
      </w:pPr>
      <w:r>
        <w:t>Annex D – Glossary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494"/>
        <w:gridCol w:w="7144"/>
      </w:tblGrid>
      <w:tr>
        <w:trPr>
          <w:cantSplit/>
          <w:tblHeader/>
        </w:trPr>
        <w:tc>
          <w:tcPr>
            <w:tcW w:type="dxa" w:w="2494"/>
            <w:shd w:val="clear" w:color="auto" w:fill="E1058C"/>
            <w:vAlign w:val="center"/>
          </w:tcPr>
          <w:p>
            <w:pPr>
              <w:spacing w:after="0"/>
            </w:pPr>
            <w:r>
              <w:rPr>
                <w:b/>
                <w:i w:val="0"/>
                <w:color w:val="FFFFFF"/>
                <w:sz w:val="16"/>
              </w:rPr>
              <w:t>Term</w:t>
            </w:r>
          </w:p>
        </w:tc>
        <w:tc>
          <w:tcPr>
            <w:tcW w:type="dxa" w:w="7143"/>
            <w:shd w:val="clear" w:color="auto" w:fill="E1058C"/>
            <w:vAlign w:val="center"/>
          </w:tcPr>
          <w:p>
            <w:pPr>
              <w:spacing w:after="0"/>
            </w:pPr>
            <w:r>
              <w:rPr>
                <w:b/>
                <w:i w:val="0"/>
                <w:color w:val="FFFFFF"/>
                <w:sz w:val="16"/>
              </w:rPr>
              <w:t>Meaning</w:t>
            </w:r>
          </w:p>
        </w:tc>
      </w:tr>
      <w:tr>
        <w:trPr>
          <w:cantSplit/>
        </w:trPr>
        <w:tc>
          <w:tcPr>
            <w:tcW w:type="dxa" w:w="2494"/>
            <w:vAlign w:val="top"/>
          </w:tcPr>
          <w:p>
            <w:pPr>
              <w:spacing w:after="20" w:line="252" w:lineRule="auto"/>
            </w:pPr>
            <w:r>
              <w:rPr>
                <w:b/>
                <w:i w:val="0"/>
                <w:sz w:val="16"/>
              </w:rPr>
              <w:t>Takaful</w:t>
            </w:r>
          </w:p>
        </w:tc>
        <w:tc>
          <w:tcPr>
            <w:tcW w:type="dxa" w:w="7143"/>
            <w:vAlign w:val="top"/>
          </w:tcPr>
          <w:p>
            <w:pPr>
              <w:spacing w:after="20" w:line="252" w:lineRule="auto"/>
            </w:pPr>
            <w:r>
              <w:rPr>
                <w:b w:val="0"/>
                <w:i w:val="0"/>
                <w:sz w:val="16"/>
              </w:rPr>
              <w:t>Islamic insurance based on mutual co-operation and shared responsibility, in which participants contribute to a common fund to help one another against defined risks.</w:t>
            </w:r>
          </w:p>
        </w:tc>
      </w:tr>
      <w:tr>
        <w:trPr>
          <w:cantSplit/>
        </w:trPr>
        <w:tc>
          <w:tcPr>
            <w:tcW w:type="dxa" w:w="2494"/>
            <w:vAlign w:val="top"/>
            <w:shd w:val="clear" w:color="auto" w:fill="FDF0F7"/>
          </w:tcPr>
          <w:p>
            <w:pPr>
              <w:spacing w:after="20" w:line="252" w:lineRule="auto"/>
            </w:pPr>
            <w:r>
              <w:rPr>
                <w:b/>
                <w:i w:val="0"/>
                <w:sz w:val="16"/>
              </w:rPr>
              <w:t>Takaful operator</w:t>
            </w:r>
          </w:p>
        </w:tc>
        <w:tc>
          <w:tcPr>
            <w:tcW w:type="dxa" w:w="7143"/>
            <w:vAlign w:val="top"/>
            <w:shd w:val="clear" w:color="auto" w:fill="FDF0F7"/>
          </w:tcPr>
          <w:p>
            <w:pPr>
              <w:spacing w:after="20" w:line="252" w:lineRule="auto"/>
            </w:pPr>
            <w:r>
              <w:rPr>
                <w:b w:val="0"/>
                <w:i w:val="0"/>
                <w:sz w:val="16"/>
              </w:rPr>
              <w:t>The company (here IIFT) that manages the Takaful fund on behalf of participants.</w:t>
            </w:r>
          </w:p>
        </w:tc>
      </w:tr>
      <w:tr>
        <w:trPr>
          <w:cantSplit/>
        </w:trPr>
        <w:tc>
          <w:tcPr>
            <w:tcW w:type="dxa" w:w="2494"/>
            <w:vAlign w:val="top"/>
          </w:tcPr>
          <w:p>
            <w:pPr>
              <w:spacing w:after="20" w:line="252" w:lineRule="auto"/>
            </w:pPr>
            <w:r>
              <w:rPr>
                <w:b/>
                <w:i w:val="0"/>
                <w:sz w:val="16"/>
              </w:rPr>
              <w:t>Participant</w:t>
            </w:r>
          </w:p>
        </w:tc>
        <w:tc>
          <w:tcPr>
            <w:tcW w:type="dxa" w:w="7143"/>
            <w:vAlign w:val="top"/>
          </w:tcPr>
          <w:p>
            <w:pPr>
              <w:spacing w:after="20" w:line="252" w:lineRule="auto"/>
            </w:pPr>
            <w:r>
              <w:rPr>
                <w:b w:val="0"/>
                <w:i w:val="0"/>
                <w:sz w:val="16"/>
              </w:rPr>
              <w:t>The person or entity that joins a Takaful plan and makes contributions (the Takaful equivalent of a policyholder).</w:t>
            </w:r>
          </w:p>
        </w:tc>
      </w:tr>
      <w:tr>
        <w:trPr>
          <w:cantSplit/>
        </w:trPr>
        <w:tc>
          <w:tcPr>
            <w:tcW w:type="dxa" w:w="2494"/>
            <w:vAlign w:val="top"/>
            <w:shd w:val="clear" w:color="auto" w:fill="FDF0F7"/>
          </w:tcPr>
          <w:p>
            <w:pPr>
              <w:spacing w:after="20" w:line="252" w:lineRule="auto"/>
            </w:pPr>
            <w:r>
              <w:rPr>
                <w:b/>
                <w:i w:val="0"/>
                <w:sz w:val="16"/>
              </w:rPr>
              <w:t>Contribution</w:t>
            </w:r>
          </w:p>
        </w:tc>
        <w:tc>
          <w:tcPr>
            <w:tcW w:type="dxa" w:w="7143"/>
            <w:vAlign w:val="top"/>
            <w:shd w:val="clear" w:color="auto" w:fill="FDF0F7"/>
          </w:tcPr>
          <w:p>
            <w:pPr>
              <w:spacing w:after="20" w:line="252" w:lineRule="auto"/>
            </w:pPr>
            <w:r>
              <w:rPr>
                <w:b w:val="0"/>
                <w:i w:val="0"/>
                <w:sz w:val="16"/>
              </w:rPr>
              <w:t>The amount paid by the participant for Takaful cover (the Takaful equivalent of a premium).</w:t>
            </w:r>
          </w:p>
        </w:tc>
      </w:tr>
      <w:tr>
        <w:trPr>
          <w:cantSplit/>
        </w:trPr>
        <w:tc>
          <w:tcPr>
            <w:tcW w:type="dxa" w:w="2494"/>
            <w:vAlign w:val="top"/>
          </w:tcPr>
          <w:p>
            <w:pPr>
              <w:spacing w:after="20" w:line="252" w:lineRule="auto"/>
            </w:pPr>
            <w:r>
              <w:rPr>
                <w:b/>
                <w:i w:val="0"/>
                <w:sz w:val="16"/>
              </w:rPr>
              <w:t>Tabarru'</w:t>
            </w:r>
          </w:p>
        </w:tc>
        <w:tc>
          <w:tcPr>
            <w:tcW w:type="dxa" w:w="7143"/>
            <w:vAlign w:val="top"/>
          </w:tcPr>
          <w:p>
            <w:pPr>
              <w:spacing w:after="20" w:line="252" w:lineRule="auto"/>
            </w:pPr>
            <w:r>
              <w:rPr>
                <w:b w:val="0"/>
                <w:i w:val="0"/>
                <w:sz w:val="16"/>
              </w:rPr>
              <w:t>The portion of the contribution donated to the participants' risk fund to help fellow participants who suffer a covered loss.</w:t>
            </w:r>
          </w:p>
        </w:tc>
      </w:tr>
      <w:tr>
        <w:trPr>
          <w:cantSplit/>
        </w:trPr>
        <w:tc>
          <w:tcPr>
            <w:tcW w:type="dxa" w:w="2494"/>
            <w:vAlign w:val="top"/>
            <w:shd w:val="clear" w:color="auto" w:fill="FDF0F7"/>
          </w:tcPr>
          <w:p>
            <w:pPr>
              <w:spacing w:after="20" w:line="252" w:lineRule="auto"/>
            </w:pPr>
            <w:r>
              <w:rPr>
                <w:b/>
                <w:i w:val="0"/>
                <w:sz w:val="16"/>
              </w:rPr>
              <w:t>Wakalah</w:t>
            </w:r>
          </w:p>
        </w:tc>
        <w:tc>
          <w:tcPr>
            <w:tcW w:type="dxa" w:w="7143"/>
            <w:vAlign w:val="top"/>
            <w:shd w:val="clear" w:color="auto" w:fill="FDF0F7"/>
          </w:tcPr>
          <w:p>
            <w:pPr>
              <w:spacing w:after="20" w:line="252" w:lineRule="auto"/>
            </w:pPr>
            <w:r>
              <w:rPr>
                <w:b w:val="0"/>
                <w:i w:val="0"/>
                <w:sz w:val="16"/>
              </w:rPr>
              <w:t>An agency contract under which the Takaful operator manages the fund for a fee (wakalah fee).</w:t>
            </w:r>
          </w:p>
        </w:tc>
      </w:tr>
      <w:tr>
        <w:trPr>
          <w:cantSplit/>
        </w:trPr>
        <w:tc>
          <w:tcPr>
            <w:tcW w:type="dxa" w:w="2494"/>
            <w:vAlign w:val="top"/>
          </w:tcPr>
          <w:p>
            <w:pPr>
              <w:spacing w:after="20" w:line="252" w:lineRule="auto"/>
            </w:pPr>
            <w:r>
              <w:rPr>
                <w:b/>
                <w:i w:val="0"/>
                <w:sz w:val="16"/>
              </w:rPr>
              <w:t>Participants' risk fund</w:t>
            </w:r>
          </w:p>
        </w:tc>
        <w:tc>
          <w:tcPr>
            <w:tcW w:type="dxa" w:w="7143"/>
            <w:vAlign w:val="top"/>
          </w:tcPr>
          <w:p>
            <w:pPr>
              <w:spacing w:after="20" w:line="252" w:lineRule="auto"/>
            </w:pPr>
            <w:r>
              <w:rPr>
                <w:b w:val="0"/>
                <w:i w:val="0"/>
                <w:sz w:val="16"/>
              </w:rPr>
              <w:t>The fund made up of tabarru' contributions from which claims are paid.</w:t>
            </w:r>
          </w:p>
        </w:tc>
      </w:tr>
      <w:tr>
        <w:trPr>
          <w:cantSplit/>
        </w:trPr>
        <w:tc>
          <w:tcPr>
            <w:tcW w:type="dxa" w:w="2494"/>
            <w:vAlign w:val="top"/>
            <w:shd w:val="clear" w:color="auto" w:fill="FDF0F7"/>
          </w:tcPr>
          <w:p>
            <w:pPr>
              <w:spacing w:after="20" w:line="252" w:lineRule="auto"/>
            </w:pPr>
            <w:r>
              <w:rPr>
                <w:b/>
                <w:i w:val="0"/>
                <w:sz w:val="16"/>
              </w:rPr>
              <w:t>Nominee / beneficiary / executor</w:t>
            </w:r>
          </w:p>
        </w:tc>
        <w:tc>
          <w:tcPr>
            <w:tcW w:type="dxa" w:w="7143"/>
            <w:vAlign w:val="top"/>
            <w:shd w:val="clear" w:color="auto" w:fill="FDF0F7"/>
          </w:tcPr>
          <w:p>
            <w:pPr>
              <w:spacing w:after="20" w:line="252" w:lineRule="auto"/>
            </w:pPr>
            <w:r>
              <w:rPr>
                <w:b w:val="0"/>
                <w:i w:val="0"/>
                <w:sz w:val="16"/>
              </w:rPr>
              <w:t>Persons designated to receive Takaful benefits or administer them on the participant's behalf.</w:t>
            </w:r>
          </w:p>
        </w:tc>
      </w:tr>
      <w:tr>
        <w:trPr>
          <w:cantSplit/>
        </w:trPr>
        <w:tc>
          <w:tcPr>
            <w:tcW w:type="dxa" w:w="2494"/>
            <w:vAlign w:val="top"/>
          </w:tcPr>
          <w:p>
            <w:pPr>
              <w:spacing w:after="20" w:line="252" w:lineRule="auto"/>
            </w:pPr>
            <w:r>
              <w:rPr>
                <w:b/>
                <w:i w:val="0"/>
                <w:sz w:val="16"/>
              </w:rPr>
              <w:t>Mortgage Takaful</w:t>
            </w:r>
          </w:p>
        </w:tc>
        <w:tc>
          <w:tcPr>
            <w:tcW w:type="dxa" w:w="7143"/>
            <w:vAlign w:val="top"/>
          </w:tcPr>
          <w:p>
            <w:pPr>
              <w:spacing w:after="20" w:line="252" w:lineRule="auto"/>
            </w:pPr>
            <w:r>
              <w:rPr>
                <w:b w:val="0"/>
                <w:i w:val="0"/>
                <w:sz w:val="16"/>
              </w:rPr>
              <w:t>Decreasing-term Takaful protecting a financing facility (hire purchase or property).</w:t>
            </w:r>
          </w:p>
        </w:tc>
      </w:tr>
      <w:tr>
        <w:trPr>
          <w:cantSplit/>
        </w:trPr>
        <w:tc>
          <w:tcPr>
            <w:tcW w:type="dxa" w:w="2494"/>
            <w:vAlign w:val="top"/>
            <w:shd w:val="clear" w:color="auto" w:fill="FDF0F7"/>
          </w:tcPr>
          <w:p>
            <w:pPr>
              <w:spacing w:after="20" w:line="252" w:lineRule="auto"/>
            </w:pPr>
            <w:r>
              <w:rPr>
                <w:b/>
                <w:i w:val="0"/>
                <w:sz w:val="16"/>
              </w:rPr>
              <w:t>Banca / bancassurance</w:t>
            </w:r>
          </w:p>
        </w:tc>
        <w:tc>
          <w:tcPr>
            <w:tcW w:type="dxa" w:w="7143"/>
            <w:vAlign w:val="top"/>
            <w:shd w:val="clear" w:color="auto" w:fill="FDF0F7"/>
          </w:tcPr>
          <w:p>
            <w:pPr>
              <w:spacing w:after="20" w:line="252" w:lineRule="auto"/>
            </w:pPr>
            <w:r>
              <w:rPr>
                <w:b w:val="0"/>
                <w:i w:val="0"/>
                <w:sz w:val="16"/>
              </w:rPr>
              <w:t>Distribution of Takaful products through bank partners and bank officers.</w:t>
            </w:r>
          </w:p>
        </w:tc>
      </w:tr>
      <w:tr>
        <w:trPr>
          <w:cantSplit/>
        </w:trPr>
        <w:tc>
          <w:tcPr>
            <w:tcW w:type="dxa" w:w="2494"/>
            <w:vAlign w:val="top"/>
          </w:tcPr>
          <w:p>
            <w:pPr>
              <w:spacing w:after="20" w:line="252" w:lineRule="auto"/>
            </w:pPr>
            <w:r>
              <w:rPr>
                <w:b/>
                <w:i w:val="0"/>
                <w:sz w:val="16"/>
              </w:rPr>
              <w:t>Main agent / sub-agent</w:t>
            </w:r>
          </w:p>
        </w:tc>
        <w:tc>
          <w:tcPr>
            <w:tcW w:type="dxa" w:w="7143"/>
            <w:vAlign w:val="top"/>
          </w:tcPr>
          <w:p>
            <w:pPr>
              <w:spacing w:after="20" w:line="252" w:lineRule="auto"/>
            </w:pPr>
            <w:r>
              <w:rPr>
                <w:b w:val="0"/>
                <w:i w:val="0"/>
                <w:sz w:val="16"/>
              </w:rPr>
              <w:t>Hierarchical agency relationship in which a main agent supervises sub-agents.</w:t>
            </w:r>
          </w:p>
        </w:tc>
      </w:tr>
      <w:tr>
        <w:trPr>
          <w:cantSplit/>
        </w:trPr>
        <w:tc>
          <w:tcPr>
            <w:tcW w:type="dxa" w:w="2494"/>
            <w:vAlign w:val="top"/>
            <w:shd w:val="clear" w:color="auto" w:fill="FDF0F7"/>
          </w:tcPr>
          <w:p>
            <w:pPr>
              <w:spacing w:after="20" w:line="252" w:lineRule="auto"/>
            </w:pPr>
            <w:r>
              <w:rPr>
                <w:b/>
                <w:i w:val="0"/>
                <w:sz w:val="16"/>
              </w:rPr>
              <w:t>e-Policy / e-Receipt</w:t>
            </w:r>
          </w:p>
        </w:tc>
        <w:tc>
          <w:tcPr>
            <w:tcW w:type="dxa" w:w="7143"/>
            <w:vAlign w:val="top"/>
            <w:shd w:val="clear" w:color="auto" w:fill="FDF0F7"/>
          </w:tcPr>
          <w:p>
            <w:pPr>
              <w:spacing w:after="20" w:line="252" w:lineRule="auto"/>
            </w:pPr>
            <w:r>
              <w:rPr>
                <w:b w:val="0"/>
                <w:i w:val="0"/>
                <w:sz w:val="16"/>
              </w:rPr>
              <w:t>Electronic policy document and receipt issued to the participant.</w:t>
            </w:r>
          </w:p>
        </w:tc>
      </w:tr>
      <w:tr>
        <w:trPr>
          <w:cantSplit/>
        </w:trPr>
        <w:tc>
          <w:tcPr>
            <w:tcW w:type="dxa" w:w="2494"/>
            <w:vAlign w:val="top"/>
          </w:tcPr>
          <w:p>
            <w:pPr>
              <w:spacing w:after="20" w:line="252" w:lineRule="auto"/>
            </w:pPr>
            <w:r>
              <w:rPr>
                <w:b/>
                <w:i w:val="0"/>
                <w:sz w:val="16"/>
              </w:rPr>
              <w:t>Grace period</w:t>
            </w:r>
          </w:p>
        </w:tc>
        <w:tc>
          <w:tcPr>
            <w:tcW w:type="dxa" w:w="7143"/>
            <w:vAlign w:val="top"/>
          </w:tcPr>
          <w:p>
            <w:pPr>
              <w:spacing w:after="20" w:line="252" w:lineRule="auto"/>
            </w:pPr>
            <w:r>
              <w:rPr>
                <w:b w:val="0"/>
                <w:i w:val="0"/>
                <w:sz w:val="16"/>
              </w:rPr>
              <w:t>Period (seven days) within which payment for an issued policy must be submitted before the agency's issuance is blocked.</w:t>
            </w:r>
          </w:p>
        </w:tc>
      </w:tr>
      <w:tr>
        <w:trPr>
          <w:cantSplit/>
        </w:trPr>
        <w:tc>
          <w:tcPr>
            <w:tcW w:type="dxa" w:w="2494"/>
            <w:vAlign w:val="top"/>
            <w:shd w:val="clear" w:color="auto" w:fill="FDF0F7"/>
          </w:tcPr>
          <w:p>
            <w:pPr>
              <w:spacing w:after="20" w:line="252" w:lineRule="auto"/>
            </w:pPr>
            <w:r>
              <w:rPr>
                <w:b/>
                <w:i w:val="0"/>
                <w:sz w:val="16"/>
              </w:rPr>
              <w:t>Maker-checker</w:t>
            </w:r>
          </w:p>
        </w:tc>
        <w:tc>
          <w:tcPr>
            <w:tcW w:type="dxa" w:w="7143"/>
            <w:vAlign w:val="top"/>
            <w:shd w:val="clear" w:color="auto" w:fill="FDF0F7"/>
          </w:tcPr>
          <w:p>
            <w:pPr>
              <w:spacing w:after="20" w:line="252" w:lineRule="auto"/>
            </w:pPr>
            <w:r>
              <w:rPr>
                <w:b w:val="0"/>
                <w:i w:val="0"/>
                <w:sz w:val="16"/>
              </w:rPr>
              <w:t>Control in which a transaction prepared by one user (maker) must be approved by another (checker) before it takes effect.</w:t>
            </w:r>
          </w:p>
        </w:tc>
      </w:tr>
      <w:tr>
        <w:trPr>
          <w:cantSplit/>
        </w:trPr>
        <w:tc>
          <w:tcPr>
            <w:tcW w:type="dxa" w:w="2494"/>
            <w:vAlign w:val="top"/>
          </w:tcPr>
          <w:p>
            <w:pPr>
              <w:spacing w:after="20" w:line="252" w:lineRule="auto"/>
            </w:pPr>
            <w:r>
              <w:rPr>
                <w:b/>
                <w:i w:val="0"/>
                <w:sz w:val="16"/>
              </w:rPr>
              <w:t>Quality check (QC)</w:t>
            </w:r>
          </w:p>
        </w:tc>
        <w:tc>
          <w:tcPr>
            <w:tcW w:type="dxa" w:w="7143"/>
            <w:vAlign w:val="top"/>
          </w:tcPr>
          <w:p>
            <w:pPr>
              <w:spacing w:after="20" w:line="252" w:lineRule="auto"/>
            </w:pPr>
            <w:r>
              <w:rPr>
                <w:b w:val="0"/>
                <w:i w:val="0"/>
                <w:sz w:val="16"/>
              </w:rPr>
              <w:t>Review of an application by IIFT before contract issuance.</w:t>
            </w:r>
          </w:p>
        </w:tc>
      </w:tr>
      <w:tr>
        <w:trPr>
          <w:cantSplit/>
        </w:trPr>
        <w:tc>
          <w:tcPr>
            <w:tcW w:type="dxa" w:w="2494"/>
            <w:vAlign w:val="top"/>
            <w:shd w:val="clear" w:color="auto" w:fill="FDF0F7"/>
          </w:tcPr>
          <w:p>
            <w:pPr>
              <w:spacing w:after="20" w:line="252" w:lineRule="auto"/>
            </w:pPr>
            <w:r>
              <w:rPr>
                <w:b/>
                <w:i w:val="0"/>
                <w:sz w:val="16"/>
              </w:rPr>
              <w:t>End-of-day (EOD)</w:t>
            </w:r>
          </w:p>
        </w:tc>
        <w:tc>
          <w:tcPr>
            <w:tcW w:type="dxa" w:w="7143"/>
            <w:vAlign w:val="top"/>
            <w:shd w:val="clear" w:color="auto" w:fill="FDF0F7"/>
          </w:tcPr>
          <w:p>
            <w:pPr>
              <w:spacing w:after="20" w:line="252" w:lineRule="auto"/>
            </w:pPr>
            <w:r>
              <w:rPr>
                <w:b w:val="0"/>
                <w:i w:val="0"/>
                <w:sz w:val="16"/>
              </w:rPr>
              <w:t>Daily batch that produces issuance reports, interfaces postings to FIN and reconciles with BRR.</w:t>
            </w:r>
          </w:p>
        </w:tc>
      </w:tr>
      <w:tr>
        <w:trPr>
          <w:cantSplit/>
        </w:trPr>
        <w:tc>
          <w:tcPr>
            <w:tcW w:type="dxa" w:w="2494"/>
            <w:vAlign w:val="top"/>
          </w:tcPr>
          <w:p>
            <w:pPr>
              <w:spacing w:after="20" w:line="252" w:lineRule="auto"/>
            </w:pPr>
            <w:r>
              <w:rPr>
                <w:b/>
                <w:i w:val="0"/>
                <w:sz w:val="16"/>
              </w:rPr>
              <w:t>Transactional outbox</w:t>
            </w:r>
          </w:p>
        </w:tc>
        <w:tc>
          <w:tcPr>
            <w:tcW w:type="dxa" w:w="7143"/>
            <w:vAlign w:val="top"/>
          </w:tcPr>
          <w:p>
            <w:pPr>
              <w:spacing w:after="20" w:line="252" w:lineRule="auto"/>
            </w:pPr>
            <w:r>
              <w:rPr>
                <w:b w:val="0"/>
                <w:i w:val="0"/>
                <w:sz w:val="16"/>
              </w:rPr>
              <w:t>Integration pattern in which outbound messages are stored in the same database transaction as the business change and delivered asynchronously, guaranteeing no loss.</w:t>
            </w:r>
          </w:p>
        </w:tc>
      </w:tr>
      <w:tr>
        <w:trPr>
          <w:cantSplit/>
        </w:trPr>
        <w:tc>
          <w:tcPr>
            <w:tcW w:type="dxa" w:w="2494"/>
            <w:vAlign w:val="top"/>
            <w:shd w:val="clear" w:color="auto" w:fill="FDF0F7"/>
          </w:tcPr>
          <w:p>
            <w:pPr>
              <w:spacing w:after="20" w:line="252" w:lineRule="auto"/>
            </w:pPr>
            <w:r>
              <w:rPr>
                <w:b/>
                <w:i w:val="0"/>
                <w:sz w:val="16"/>
              </w:rPr>
              <w:t>Dead-letter</w:t>
            </w:r>
          </w:p>
        </w:tc>
        <w:tc>
          <w:tcPr>
            <w:tcW w:type="dxa" w:w="7143"/>
            <w:vAlign w:val="top"/>
            <w:shd w:val="clear" w:color="auto" w:fill="FDF0F7"/>
          </w:tcPr>
          <w:p>
            <w:pPr>
              <w:spacing w:after="20" w:line="252" w:lineRule="auto"/>
            </w:pPr>
            <w:r>
              <w:rPr>
                <w:b w:val="0"/>
                <w:i w:val="0"/>
                <w:sz w:val="16"/>
              </w:rPr>
              <w:t>Holding area for messages that could not be delivered after the maximum number of retries.</w:t>
            </w:r>
          </w:p>
        </w:tc>
      </w:tr>
      <w:tr>
        <w:trPr>
          <w:cantSplit/>
        </w:trPr>
        <w:tc>
          <w:tcPr>
            <w:tcW w:type="dxa" w:w="2494"/>
            <w:vAlign w:val="top"/>
          </w:tcPr>
          <w:p>
            <w:pPr>
              <w:spacing w:after="20" w:line="252" w:lineRule="auto"/>
            </w:pPr>
            <w:r>
              <w:rPr>
                <w:b/>
                <w:i w:val="0"/>
                <w:sz w:val="16"/>
              </w:rPr>
              <w:t>Blind index</w:t>
            </w:r>
          </w:p>
        </w:tc>
        <w:tc>
          <w:tcPr>
            <w:tcW w:type="dxa" w:w="7143"/>
            <w:vAlign w:val="top"/>
          </w:tcPr>
          <w:p>
            <w:pPr>
              <w:spacing w:after="20" w:line="252" w:lineRule="auto"/>
            </w:pPr>
            <w:r>
              <w:rPr>
                <w:b w:val="0"/>
                <w:i w:val="0"/>
                <w:sz w:val="16"/>
              </w:rPr>
              <w:t>Keyed hash of an encrypted value that allows exact-match search without decrypting data.</w:t>
            </w:r>
          </w:p>
        </w:tc>
      </w:tr>
      <w:tr>
        <w:trPr>
          <w:cantSplit/>
        </w:trPr>
        <w:tc>
          <w:tcPr>
            <w:tcW w:type="dxa" w:w="2494"/>
            <w:vAlign w:val="top"/>
            <w:shd w:val="clear" w:color="auto" w:fill="FDF0F7"/>
          </w:tcPr>
          <w:p>
            <w:pPr>
              <w:spacing w:after="20" w:line="252" w:lineRule="auto"/>
            </w:pPr>
            <w:r>
              <w:rPr>
                <w:b/>
                <w:i w:val="0"/>
                <w:sz w:val="16"/>
              </w:rPr>
              <w:t>Modular monolith</w:t>
            </w:r>
          </w:p>
        </w:tc>
        <w:tc>
          <w:tcPr>
            <w:tcW w:type="dxa" w:w="7143"/>
            <w:vAlign w:val="top"/>
            <w:shd w:val="clear" w:color="auto" w:fill="FDF0F7"/>
          </w:tcPr>
          <w:p>
            <w:pPr>
              <w:spacing w:after="20" w:line="252" w:lineRule="auto"/>
            </w:pPr>
            <w:r>
              <w:rPr>
                <w:b w:val="0"/>
                <w:i w:val="0"/>
                <w:sz w:val="16"/>
              </w:rPr>
              <w:t>Single deployable application internally divided into independent modules with clear boundaries.</w:t>
            </w:r>
          </w:p>
        </w:tc>
      </w:tr>
      <w:tr>
        <w:trPr>
          <w:cantSplit/>
        </w:trPr>
        <w:tc>
          <w:tcPr>
            <w:tcW w:type="dxa" w:w="2494"/>
            <w:vAlign w:val="top"/>
          </w:tcPr>
          <w:p>
            <w:pPr>
              <w:spacing w:after="20" w:line="252" w:lineRule="auto"/>
            </w:pPr>
            <w:r>
              <w:rPr>
                <w:b/>
                <w:i w:val="0"/>
                <w:sz w:val="16"/>
              </w:rPr>
              <w:t>Hypercare</w:t>
            </w:r>
          </w:p>
        </w:tc>
        <w:tc>
          <w:tcPr>
            <w:tcW w:type="dxa" w:w="7143"/>
            <w:vAlign w:val="top"/>
          </w:tcPr>
          <w:p>
            <w:pPr>
              <w:spacing w:after="20" w:line="252" w:lineRule="auto"/>
            </w:pPr>
            <w:r>
              <w:rPr>
                <w:b w:val="0"/>
                <w:i w:val="0"/>
                <w:sz w:val="16"/>
              </w:rPr>
              <w:t>Period of intensified support immediately after go-live.</w:t>
            </w:r>
          </w:p>
        </w:tc>
      </w:tr>
      <w:tr>
        <w:trPr>
          <w:cantSplit/>
        </w:trPr>
        <w:tc>
          <w:tcPr>
            <w:tcW w:type="dxa" w:w="2494"/>
            <w:vAlign w:val="top"/>
            <w:shd w:val="clear" w:color="auto" w:fill="FDF0F7"/>
          </w:tcPr>
          <w:p>
            <w:pPr>
              <w:spacing w:after="20" w:line="252" w:lineRule="auto"/>
            </w:pPr>
            <w:r>
              <w:rPr>
                <w:b/>
                <w:i w:val="0"/>
                <w:sz w:val="16"/>
              </w:rPr>
              <w:t>Point-in-time recovery</w:t>
            </w:r>
          </w:p>
        </w:tc>
        <w:tc>
          <w:tcPr>
            <w:tcW w:type="dxa" w:w="7143"/>
            <w:vAlign w:val="top"/>
            <w:shd w:val="clear" w:color="auto" w:fill="FDF0F7"/>
          </w:tcPr>
          <w:p>
            <w:pPr>
              <w:spacing w:after="20" w:line="252" w:lineRule="auto"/>
            </w:pPr>
            <w:r>
              <w:rPr>
                <w:b w:val="0"/>
                <w:i w:val="0"/>
                <w:sz w:val="16"/>
              </w:rPr>
              <w:t>Ability to restore the database to any moment using base backups and transaction logs.</w:t>
            </w:r>
          </w:p>
        </w:tc>
      </w:tr>
      <w:tr>
        <w:trPr>
          <w:cantSplit/>
        </w:trPr>
        <w:tc>
          <w:tcPr>
            <w:tcW w:type="dxa" w:w="2494"/>
            <w:vAlign w:val="top"/>
          </w:tcPr>
          <w:p>
            <w:pPr>
              <w:spacing w:after="20" w:line="252" w:lineRule="auto"/>
            </w:pPr>
            <w:r>
              <w:rPr>
                <w:b/>
                <w:i w:val="0"/>
                <w:sz w:val="16"/>
              </w:rPr>
              <w:t>Perpetual licence</w:t>
            </w:r>
          </w:p>
        </w:tc>
        <w:tc>
          <w:tcPr>
            <w:tcW w:type="dxa" w:w="7143"/>
            <w:vAlign w:val="top"/>
          </w:tcPr>
          <w:p>
            <w:pPr>
              <w:spacing w:after="20" w:line="252" w:lineRule="auto"/>
            </w:pPr>
            <w:r>
              <w:rPr>
                <w:b w:val="0"/>
                <w:i w:val="0"/>
                <w:sz w:val="16"/>
              </w:rPr>
              <w:t>A licence with no end date, paid once; maintenance (AMC) is charged separately.</w:t>
            </w:r>
          </w:p>
        </w:tc>
      </w:tr>
      <w:tr>
        <w:trPr>
          <w:cantSplit/>
        </w:trPr>
        <w:tc>
          <w:tcPr>
            <w:tcW w:type="dxa" w:w="2494"/>
            <w:vAlign w:val="top"/>
            <w:shd w:val="clear" w:color="auto" w:fill="FDF0F7"/>
          </w:tcPr>
          <w:p>
            <w:pPr>
              <w:spacing w:after="20" w:line="252" w:lineRule="auto"/>
            </w:pPr>
            <w:r>
              <w:rPr>
                <w:b/>
                <w:i w:val="0"/>
                <w:sz w:val="16"/>
              </w:rPr>
              <w:t>Subscription</w:t>
            </w:r>
          </w:p>
        </w:tc>
        <w:tc>
          <w:tcPr>
            <w:tcW w:type="dxa" w:w="7143"/>
            <w:vAlign w:val="top"/>
            <w:shd w:val="clear" w:color="auto" w:fill="FDF0F7"/>
          </w:tcPr>
          <w:p>
            <w:pPr>
              <w:spacing w:after="20" w:line="252" w:lineRule="auto"/>
            </w:pPr>
            <w:r>
              <w:rPr>
                <w:b w:val="0"/>
                <w:i w:val="0"/>
                <w:sz w:val="16"/>
              </w:rPr>
              <w:t>A right to use software for a term, paid periodically, with maintenance included.</w:t>
            </w:r>
          </w:p>
        </w:tc>
      </w:tr>
      <w:tr>
        <w:trPr>
          <w:cantSplit/>
        </w:trPr>
        <w:tc>
          <w:tcPr>
            <w:tcW w:type="dxa" w:w="2494"/>
            <w:vAlign w:val="top"/>
          </w:tcPr>
          <w:p>
            <w:pPr>
              <w:spacing w:after="20" w:line="252" w:lineRule="auto"/>
            </w:pPr>
            <w:r>
              <w:rPr>
                <w:b/>
                <w:i w:val="0"/>
                <w:sz w:val="16"/>
              </w:rPr>
              <w:t>Annual maintenance charge (AMC)</w:t>
            </w:r>
          </w:p>
        </w:tc>
        <w:tc>
          <w:tcPr>
            <w:tcW w:type="dxa" w:w="7143"/>
            <w:vAlign w:val="top"/>
          </w:tcPr>
          <w:p>
            <w:pPr>
              <w:spacing w:after="20" w:line="252" w:lineRule="auto"/>
            </w:pPr>
            <w:r>
              <w:rPr>
                <w:b w:val="0"/>
                <w:i w:val="0"/>
                <w:sz w:val="16"/>
              </w:rPr>
              <w:t>Yearly fee for support, maintenance, patches and upgrades of licensed software, here 22% of the licence and customisation fees.</w:t>
            </w:r>
          </w:p>
        </w:tc>
      </w:tr>
      <w:tr>
        <w:trPr>
          <w:cantSplit/>
        </w:trPr>
        <w:tc>
          <w:tcPr>
            <w:tcW w:type="dxa" w:w="2494"/>
            <w:vAlign w:val="top"/>
            <w:shd w:val="clear" w:color="auto" w:fill="FDF0F7"/>
          </w:tcPr>
          <w:p>
            <w:pPr>
              <w:spacing w:after="20" w:line="252" w:lineRule="auto"/>
            </w:pPr>
            <w:r>
              <w:rPr>
                <w:b/>
                <w:i w:val="0"/>
                <w:sz w:val="16"/>
              </w:rPr>
              <w:t>At actuals / pass-through</w:t>
            </w:r>
          </w:p>
        </w:tc>
        <w:tc>
          <w:tcPr>
            <w:tcW w:type="dxa" w:w="7143"/>
            <w:vAlign w:val="top"/>
            <w:shd w:val="clear" w:color="auto" w:fill="FDF0F7"/>
          </w:tcPr>
          <w:p>
            <w:pPr>
              <w:spacing w:after="20" w:line="252" w:lineRule="auto"/>
            </w:pPr>
            <w:r>
              <w:rPr>
                <w:b w:val="0"/>
                <w:i w:val="0"/>
                <w:sz w:val="16"/>
              </w:rPr>
              <w:t>A cost re-charged at the amount the provider invoices, without mark-up.</w:t>
            </w:r>
          </w:p>
        </w:tc>
      </w:tr>
      <w:tr>
        <w:trPr>
          <w:cantSplit/>
        </w:trPr>
        <w:tc>
          <w:tcPr>
            <w:tcW w:type="dxa" w:w="2494"/>
            <w:vAlign w:val="top"/>
          </w:tcPr>
          <w:p>
            <w:pPr>
              <w:spacing w:after="20" w:line="252" w:lineRule="auto"/>
            </w:pPr>
            <w:r>
              <w:rPr>
                <w:b/>
                <w:i w:val="0"/>
                <w:sz w:val="16"/>
              </w:rPr>
              <w:t>Per diem</w:t>
            </w:r>
          </w:p>
        </w:tc>
        <w:tc>
          <w:tcPr>
            <w:tcW w:type="dxa" w:w="7143"/>
            <w:vAlign w:val="top"/>
          </w:tcPr>
          <w:p>
            <w:pPr>
              <w:spacing w:after="20" w:line="252" w:lineRule="auto"/>
            </w:pPr>
            <w:r>
              <w:rPr>
                <w:b w:val="0"/>
                <w:i w:val="0"/>
                <w:sz w:val="16"/>
              </w:rPr>
              <w:t>Fixed daily allowance for meals and local transport during onsite work.</w:t>
            </w:r>
          </w:p>
        </w:tc>
      </w:tr>
      <w:tr>
        <w:trPr>
          <w:cantSplit/>
        </w:trPr>
        <w:tc>
          <w:tcPr>
            <w:tcW w:type="dxa" w:w="2494"/>
            <w:vAlign w:val="top"/>
            <w:shd w:val="clear" w:color="auto" w:fill="FDF0F7"/>
          </w:tcPr>
          <w:p>
            <w:pPr>
              <w:spacing w:after="20" w:line="252" w:lineRule="auto"/>
            </w:pPr>
            <w:r>
              <w:rPr>
                <w:b/>
                <w:i w:val="0"/>
                <w:sz w:val="16"/>
              </w:rPr>
              <w:t>Source code escrow</w:t>
            </w:r>
          </w:p>
        </w:tc>
        <w:tc>
          <w:tcPr>
            <w:tcW w:type="dxa" w:w="7143"/>
            <w:vAlign w:val="top"/>
            <w:shd w:val="clear" w:color="auto" w:fill="FDF0F7"/>
          </w:tcPr>
          <w:p>
            <w:pPr>
              <w:spacing w:after="20" w:line="252" w:lineRule="auto"/>
            </w:pPr>
            <w:r>
              <w:rPr>
                <w:b w:val="0"/>
                <w:i w:val="0"/>
                <w:sz w:val="16"/>
              </w:rPr>
              <w:t>Deposit of source code with an independent agent, released to the customer only on agreed events such as the supplier's insolvency.</w:t>
            </w:r>
          </w:p>
        </w:tc>
      </w:tr>
    </w:tbl>
    <w:p>
      <w:pPr>
        <w:spacing w:after="0" w:before="0"/>
      </w:pPr>
      <w:r>
        <w:rPr>
          <w:sz w:val="8"/>
        </w:rPr>
      </w:r>
    </w:p>
    <w:sectPr w:rsidR="00FC693F" w:rsidRPr="0006063C" w:rsidSect="00034616">
      <w:headerReference w:type="default" r:id="rId56"/>
      <w:footerReference w:type="default" r:id="rId57"/>
      <w:pgSz w:w="11906" w:h="16838"/>
      <w:pgMar w:top="1247"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725105" cy="2232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725105" cy="223200"/>
                  </a:xfrm>
                  <a:prstGeom prst="rect"/>
                </pic:spPr>
              </pic:pic>
            </a:graphicData>
          </a:graphic>
        </wp:inline>
      </w:drawing>
    </w:r>
    <w:r>
      <w:tab/>
    </w:r>
    <w:r>
      <w:rPr>
        <w:b w:val="0"/>
        <w:i w:val="0"/>
        <w:color w:val="6B6B6B"/>
        <w:sz w:val="16"/>
      </w:rPr>
      <w:t>iorta TechNXT | Proposal – IIFT Agent/Banca Portal &amp; Back-office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14570" w:val="right"/>
      </w:tabs>
      <w:spacing w:after="0"/>
      <w:jc w:val="left"/>
      <w:pBdr>
        <w:bottom w:val="single" w:sz="6" w:space="2" w:color="F58220"/>
      </w:pBdr>
    </w:pPr>
    <w:r>
      <w:drawing>
        <wp:inline xmlns:a="http://schemas.openxmlformats.org/drawingml/2006/main" xmlns:pic="http://schemas.openxmlformats.org/drawingml/2006/picture">
          <wp:extent cx="725105" cy="2232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725105" cy="223200"/>
                  </a:xfrm>
                  <a:prstGeom prst="rect"/>
                </pic:spPr>
              </pic:pic>
            </a:graphicData>
          </a:graphic>
        </wp:inline>
      </w:drawing>
    </w:r>
    <w:r>
      <w:tab/>
    </w:r>
    <w:r>
      <w:rPr>
        <w:b w:val="0"/>
        <w:i w:val="0"/>
        <w:color w:val="6B6B6B"/>
        <w:sz w:val="16"/>
      </w:rPr>
      <w:t>iorta TechNXT | Proposal – IIFT Agent/Banca Portal &amp; Back-office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725105" cy="2232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725105" cy="223200"/>
                  </a:xfrm>
                  <a:prstGeom prst="rect"/>
                </pic:spPr>
              </pic:pic>
            </a:graphicData>
          </a:graphic>
        </wp:inline>
      </w:drawing>
    </w:r>
    <w:r>
      <w:tab/>
    </w:r>
    <w:r>
      <w:rPr>
        <w:b w:val="0"/>
        <w:i w:val="0"/>
        <w:color w:val="6B6B6B"/>
        <w:sz w:val="16"/>
      </w:rPr>
      <w:t>iorta TechNXT | Proposal – IIFT Agent/Banca Portal &amp; Back-office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header" Target="header2.xml"/><Relationship Id="rId55" Type="http://schemas.openxmlformats.org/officeDocument/2006/relationships/footer" Target="footer2.xml"/><Relationship Id="rId56" Type="http://schemas.openxmlformats.org/officeDocument/2006/relationships/header" Target="header3.xml"/><Relationship Id="rId5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Agent/Banca Portal &amp; Back-office Solution</dc:title>
  <dc:subject>SalesVerse 2.0 proposal to Insurans Islam Family Takaful Sendirian Berhad</dc:subject>
  <dc:creator>iorta TechNXT</dc:creator>
  <cp:keywords>IIFT; Takaful; SalesVerse 2.0; Agent Portal; Bancassurance; Back-office; Proposal</cp:keywords>
  <dc:description/>
  <cp:lastModifiedBy>iorta TechNXT</cp:lastModifiedBy>
  <cp:revision>1</cp:revision>
  <dcterms:created xsi:type="dcterms:W3CDTF">2026-10-02T21:18:06Z</dcterms:created>
  <dcterms:modified xsi:type="dcterms:W3CDTF">2026-10-02T21:18:06Z</dcterms:modified>
  <cp:category>Commercial-in-Confidence</cp:category>
</cp:coreProperties>
</file>