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Architecture documentation — TASCO Growth Platform</w:t>
      </w:r>
    </w:p>
    <w:p>
      <w:pPr>
        <w:pStyle w:val="Subtitle"/>
      </w:pPr>
      <w:r>
        <w:t xml:space="preserve">TASCO Insurance × VETC Growth Platform — Architecture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TASCO Insurance × VETC motor insurance growth platform (new business, renewals, partners, claims FNOL), built by iorta TechNXT.</w:t>
      </w:r>
      <w:r>
        <w:t xml:space="preserve"> </w:t>
      </w:r>
      <w:r>
        <w:t xml:space="preserve">Runtime: Node.js 22, PostgreSQL 16 (or in-memory for dev/demo), one runtime dependency (</w:t>
      </w:r>
      <w:r>
        <w:rPr>
          <w:rStyle w:val="VerbatimChar"/>
        </w:rPr>
        <w:t xml:space="preserve">pg</w:t>
      </w:r>
      <w:r>
        <w:t xml:space="preserve">).</w:t>
      </w:r>
    </w:p>
    <w:p>
      <w:pPr>
        <w:pStyle w:val="BodyText"/>
      </w:pPr>
      <w:r>
        <w:t xml:space="preserve">Everything here is written from the source code. Each document cites the files it describes, so a reviewer can check every claim. Where the platform currently uses a</w:t>
      </w:r>
      <w:r>
        <w:t xml:space="preserve"> </w:t>
      </w:r>
      <w:r>
        <w:rPr>
          <w:bCs/>
          <w:b/>
        </w:rPr>
        <w:t xml:space="preserve">sandbox</w:t>
      </w:r>
      <w:r>
        <w:t xml:space="preserve"> </w:t>
      </w:r>
      <w:r>
        <w:t xml:space="preserve">adapter rather than a production integration, the document says so. Regulatory statements are flagged</w:t>
      </w:r>
      <w:r>
        <w:t xml:space="preserve"> </w:t>
      </w:r>
      <w:r>
        <w:rPr>
          <w:bCs/>
          <w:b/>
        </w:rPr>
        <w:t xml:space="preserve">"confirm with TASCO legal"</w:t>
      </w:r>
      <w:r>
        <w:t xml:space="preserve">.</w:t>
      </w:r>
    </w:p>
    <w:bookmarkStart w:id="40" w:name="documents"/>
    <w:p>
      <w:pPr>
        <w:pStyle w:val="Heading2"/>
      </w:pPr>
      <w:r>
        <w:t xml:space="preserve">Documents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Audience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it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Solution architecture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CTO, architects, delivery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Principles, C4 views, hexagonal layering, key flows, event catalogue, configurability model, scaling to 6M vehicles,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Architecture decision records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Architects, tech leads, auditors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12 decisions that shape the platform, with alternatives and consequences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Integration architecture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Integration teams (VETC, TASCO core, Zalo, telco, voice-AI vendor, partners)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port: contract, protocol, auth, idempotency, resilience, SLA, sandbox vs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Deployment &amp; infrastructure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Platform/SRE, InfoSec,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Environments, Kubernetes topology, network zones, Postgres HA, secrets, CI/CD, capacity and cost, observability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Data architecture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office, DPO, data stewards,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ERD, data dictionary, MDM/golden record, data quality, lineage, retention, migration, analytics 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Security architecture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CISO, InfoSec, pen-testers, auditors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STRIDE threat model, OWASP Top 10 and ASVS L2 mapping, RBAC/ABAC, crypto and keys, known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AI governance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Compliance, model risk, CX,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bot principles, script lifecycle, lead-score model risk, LLM policy, monitoring, RACI</w:t>
            </w:r>
          </w:p>
        </w:tc>
      </w:tr>
    </w:tbl>
    <w:bookmarkStart w:id="39" w:name="adr-index"/>
    <w:p>
      <w:pPr>
        <w:pStyle w:val="Heading3"/>
      </w:pPr>
      <w:r>
        <w:t xml:space="preserve">ADR index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ADR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Decision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ADR-001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Hexagonal / Clean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ADR-002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Node.js 22, minimal dependencies (</w:t>
            </w:r>
            <w:r>
              <w:rPr>
                <w:rStyle w:val="VerbatimChar"/>
              </w:rPr>
              <w:t xml:space="preserve">pg</w:t>
            </w:r>
            <w:r>
              <w:t xml:space="preserve"> </w:t>
            </w:r>
            <w:r>
              <w:t xml:space="preserve">only at runtime), JavaScript + JSDoc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ADR-003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JSON Logic rules engine with maker-checker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ADR-004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PostgreSQL document + indexed-columns pattern; in-memory adapter with the same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ADR-005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Outbox table +</w:t>
            </w:r>
            <w:r>
              <w:t xml:space="preserve"> </w:t>
            </w:r>
            <w:r>
              <w:rPr>
                <w:rStyle w:val="VerbatimChar"/>
              </w:rPr>
              <w:t xml:space="preserve">SKIP LOCKED</w:t>
            </w:r>
            <w:r>
              <w:t xml:space="preserve"> </w:t>
            </w:r>
            <w:r>
              <w:t xml:space="preserve">relay now, message broker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(gap noted)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ADR-006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Field-level AES-256-GCM encryption + HMAC blind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ADR-007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Local JWT + TOTP now; OIDC federation to TASCO IdP as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(interim)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ADR-008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Hash-chained, append-only 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ADR-009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Deterministic voice bot dialogue with a governed script; LLM only as an optional classifier behind a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ADR-010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API-first route table that generates OpenAPI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ADR-011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Vanilla JS SPA + design tokens (no framework, strict CSP)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ADR-012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Containers; Kubernetes as primary target; Railway for pilots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</w:tbl>
    <w:bookmarkEnd w:id="39"/>
    <w:bookmarkEnd w:id="40"/>
    <w:bookmarkStart w:id="44" w:name="system-at-a-glance"/>
    <w:p>
      <w:pPr>
        <w:pStyle w:val="Heading2"/>
      </w:pPr>
      <w:r>
        <w:t xml:space="preserve">System at a glance</w:t>
      </w:r>
    </w:p>
    <w:p>
      <w:pPr>
        <w:pStyle w:val="FirstParagraph"/>
      </w:pPr>
      <w:r>
        <w:drawing>
          <wp:inline>
            <wp:extent cx="6119999" cy="3453428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README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3453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source-map"/>
    <w:p>
      <w:pPr>
        <w:pStyle w:val="Heading2"/>
      </w:pPr>
      <w:r>
        <w:t xml:space="preserve">Source 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Layer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Path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kernel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src/shared/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(12-factor,</w:t>
            </w:r>
            <w:r>
              <w:t xml:space="preserve"> </w:t>
            </w:r>
            <w:r>
              <w:rPr>
                <w:rStyle w:val="VerbatimChar"/>
              </w:rPr>
              <w:t xml:space="preserve">*_FILE</w:t>
            </w:r>
            <w:r>
              <w:t xml:space="preserve"> </w:t>
            </w:r>
            <w:r>
              <w:t xml:space="preserve">secrets), logger (PII redaction), crypto, validation, resilience, metrics, errors,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src/rules/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jsonLogic.js</w:t>
            </w:r>
            <w:r>
              <w:t xml:space="preserve"> </w:t>
            </w:r>
            <w:r>
              <w:t xml:space="preserve">(safe subset),</w:t>
            </w:r>
            <w:r>
              <w:t xml:space="preserve"> </w:t>
            </w:r>
            <w:r>
              <w:rPr>
                <w:rStyle w:val="VerbatimChar"/>
              </w:rPr>
              <w:t xml:space="preserve">decisionTable.js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validators.js</w:t>
            </w:r>
            <w:r>
              <w:t xml:space="preserve"> </w:t>
            </w:r>
            <w:r>
              <w:t xml:space="preserve">(per-kind validation, copy guard, statutory commission caps)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src/domain/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enrichment.js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leads.js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rating.js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contactPolicy.js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voicebot.js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src/application/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service per use-case area, plus</w:t>
            </w:r>
            <w:r>
              <w:t xml:space="preserve"> </w:t>
            </w:r>
            <w:r>
              <w:rPr>
                <w:rStyle w:val="VerbatimChar"/>
              </w:rPr>
              <w:t xml:space="preserve">accessPolicy.js</w:t>
            </w:r>
            <w:r>
              <w:t xml:space="preserve"> </w:t>
            </w:r>
            <w:r>
              <w:t xml:space="preserve">(RBAC + ABAC + masking) and</w:t>
            </w:r>
            <w:r>
              <w:t xml:space="preserve"> </w:t>
            </w:r>
            <w:r>
              <w:rPr>
                <w:rStyle w:val="VerbatimChar"/>
              </w:rPr>
              <w:t xml:space="preserve">rulesService.js</w:t>
            </w:r>
            <w:r>
              <w:t xml:space="preserve"> </w:t>
            </w:r>
            <w:r>
              <w:t xml:space="preserve">(versioning, maker-checker)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 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src/bootstrap/container.js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Chooses adapters, wires services, registers event subscribers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 adapters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src/adapters/persistence/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schema.js</w:t>
            </w:r>
            <w:r>
              <w:t xml:space="preserve"> </w:t>
            </w:r>
            <w:r>
              <w:t xml:space="preserve">(collection registry),</w:t>
            </w:r>
            <w:r>
              <w:t xml:space="preserve"> </w:t>
            </w:r>
            <w:r>
              <w:rPr>
                <w:rStyle w:val="VerbatimChar"/>
              </w:rPr>
              <w:t xml:space="preserve">codec.js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memoryStore.js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postgresStore.js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auditChain.js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query.js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Messaging adapter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src/adapters/messaging/outboxEventBus.js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 publish / relay / 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adapters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src/adapters/integrations/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VETC wallet, TASCO core, notifications, simulated caller, synthetic VETC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adapter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src/adapters/http/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</w:t>
            </w:r>
            <w:r>
              <w:t xml:space="preserve"> </w:t>
            </w:r>
            <w:r>
              <w:t xml:space="preserve">(pipeline),</w:t>
            </w:r>
            <w:r>
              <w:t xml:space="preserve"> </w:t>
            </w:r>
            <w:r>
              <w:rPr>
                <w:rStyle w:val="VerbatimChar"/>
              </w:rPr>
              <w:t xml:space="preserve">routes.js</w:t>
            </w:r>
            <w:r>
              <w:t xml:space="preserve"> </w:t>
            </w:r>
            <w:r>
              <w:t xml:space="preserve">(73 routes),</w:t>
            </w:r>
            <w:r>
              <w:t xml:space="preserve"> </w:t>
            </w:r>
            <w:r>
              <w:rPr>
                <w:rStyle w:val="VerbatimChar"/>
              </w:rPr>
              <w:t xml:space="preserve">router.js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openapi.js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src/jobs/cli.js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server with outbox relay and graceful shutdown; batch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config/rules/*.json</w:t>
            </w:r>
            <w:r>
              <w:t xml:space="preserve"> </w:t>
            </w:r>
            <w:r>
              <w:t xml:space="preserve">(20 rule kinds),</w:t>
            </w:r>
            <w:r>
              <w:t xml:space="preserve"> </w:t>
            </w:r>
            <w:r>
              <w:rPr>
                <w:rStyle w:val="VerbatimChar"/>
              </w:rPr>
              <w:t xml:space="preserve">config/security/rbac.json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rules seeded as version 1; RBAC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db/migrations/001_init.sql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collection tables +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deploy/k8s/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railway.json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.github/workflows/ci.yml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the deployment document</w:t>
            </w:r>
          </w:p>
        </w:tc>
      </w:tr>
    </w:tbl>
    <w:bookmarkEnd w:id="45"/>
    <w:bookmarkStart w:id="46" w:name="conventions-used-in-these-documents"/>
    <w:p>
      <w:pPr>
        <w:pStyle w:val="Heading2"/>
      </w:pPr>
      <w:r>
        <w:t xml:space="preserve">Conventions used in these documents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Implemented</w:t>
      </w:r>
      <w:r>
        <w:t xml:space="preserve">: present in the code at the cited path.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Sandbox</w:t>
      </w:r>
      <w:r>
        <w:t xml:space="preserve">: the port and the calling code are real; the adapter behind the port simulates the external system (</w:t>
      </w:r>
      <w:r>
        <w:rPr>
          <w:rStyle w:val="VerbatimChar"/>
        </w:rPr>
        <w:t xml:space="preserve">src/adapters/integrations/*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Planned / target</w:t>
      </w:r>
      <w:r>
        <w:t xml:space="preserve">: a design commitment that is not in the code yet. Each one names an owner phase in the roadmap.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</w:t>
      </w:r>
      <w:r>
        <w:t xml:space="preserve">: a control delivered by the platform (Kubernetes, WAF, managed Postgres, CI) rather than by application code.</w:t>
      </w:r>
    </w:p>
    <w:bookmarkEnd w:id="46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21A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121A33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21A33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21A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13368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21A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1" Type="http://schemas.openxmlformats.org/officeDocument/2006/relationships/image" Target="media/rId41.png"/><Relationship Id="rId21" Type="http://schemas.openxmlformats.org/officeDocument/2006/relationships/hyperlink" Target="adr/" TargetMode="External"/><Relationship Id="rId27" Type="http://schemas.openxmlformats.org/officeDocument/2006/relationships/hyperlink" Target="adr/ADR-001-hexagonal-architecture.docx" TargetMode="External"/><Relationship Id="rId28" Type="http://schemas.openxmlformats.org/officeDocument/2006/relationships/hyperlink" Target="adr/ADR-002-nodejs-minimal-dependencies.docx" TargetMode="External"/><Relationship Id="rId29" Type="http://schemas.openxmlformats.org/officeDocument/2006/relationships/hyperlink" Target="adr/ADR-003-rules-engine-maker-checker.docx" TargetMode="External"/><Relationship Id="rId30" Type="http://schemas.openxmlformats.org/officeDocument/2006/relationships/hyperlink" Target="adr/ADR-004-persistence.docx" TargetMode="External"/><Relationship Id="rId31" Type="http://schemas.openxmlformats.org/officeDocument/2006/relationships/hyperlink" Target="adr/ADR-005-transactional-outbox.docx" TargetMode="External"/><Relationship Id="rId32" Type="http://schemas.openxmlformats.org/officeDocument/2006/relationships/hyperlink" Target="adr/ADR-006-field-encryption-blind-index.docx" TargetMode="External"/><Relationship Id="rId33" Type="http://schemas.openxmlformats.org/officeDocument/2006/relationships/hyperlink" Target="adr/ADR-007-authentication-identity.docx" TargetMode="External"/><Relationship Id="rId34" Type="http://schemas.openxmlformats.org/officeDocument/2006/relationships/hyperlink" Target="adr/ADR-008-hash-chained-audit.docx" TargetMode="External"/><Relationship Id="rId35" Type="http://schemas.openxmlformats.org/officeDocument/2006/relationships/hyperlink" Target="adr/ADR-009-voice-bot-dialogue.docx" TargetMode="External"/><Relationship Id="rId36" Type="http://schemas.openxmlformats.org/officeDocument/2006/relationships/hyperlink" Target="adr/ADR-010-api-first-openapi.docx" TargetMode="External"/><Relationship Id="rId37" Type="http://schemas.openxmlformats.org/officeDocument/2006/relationships/hyperlink" Target="adr/ADR-011-vanilla-spa-design-tokens.docx" TargetMode="External"/><Relationship Id="rId38" Type="http://schemas.openxmlformats.org/officeDocument/2006/relationships/hyperlink" Target="adr/ADR-012-deployment-containers-k8s.docx" TargetMode="External"/><Relationship Id="rId26" Type="http://schemas.openxmlformats.org/officeDocument/2006/relationships/hyperlink" Target="ai-governance.docx" TargetMode="External"/><Relationship Id="rId24" Type="http://schemas.openxmlformats.org/officeDocument/2006/relationships/hyperlink" Target="data-architecture.docx" TargetMode="External"/><Relationship Id="rId23" Type="http://schemas.openxmlformats.org/officeDocument/2006/relationships/hyperlink" Target="deployment-and-infrastructure-architecture.docx" TargetMode="External"/><Relationship Id="rId22" Type="http://schemas.openxmlformats.org/officeDocument/2006/relationships/hyperlink" Target="integration-architecture.docx" TargetMode="External"/><Relationship Id="rId25" Type="http://schemas.openxmlformats.org/officeDocument/2006/relationships/hyperlink" Target="security-architecture.docx" TargetMode="External"/><Relationship Id="rId20" Type="http://schemas.openxmlformats.org/officeDocument/2006/relationships/hyperlink" Target="solution-architecture.docx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dr/" TargetMode="External"/><Relationship Id="rId27" Type="http://schemas.openxmlformats.org/officeDocument/2006/relationships/hyperlink" Target="adr/ADR-001-hexagonal-architecture.docx" TargetMode="External"/><Relationship Id="rId28" Type="http://schemas.openxmlformats.org/officeDocument/2006/relationships/hyperlink" Target="adr/ADR-002-nodejs-minimal-dependencies.docx" TargetMode="External"/><Relationship Id="rId29" Type="http://schemas.openxmlformats.org/officeDocument/2006/relationships/hyperlink" Target="adr/ADR-003-rules-engine-maker-checker.docx" TargetMode="External"/><Relationship Id="rId30" Type="http://schemas.openxmlformats.org/officeDocument/2006/relationships/hyperlink" Target="adr/ADR-004-persistence.docx" TargetMode="External"/><Relationship Id="rId31" Type="http://schemas.openxmlformats.org/officeDocument/2006/relationships/hyperlink" Target="adr/ADR-005-transactional-outbox.docx" TargetMode="External"/><Relationship Id="rId32" Type="http://schemas.openxmlformats.org/officeDocument/2006/relationships/hyperlink" Target="adr/ADR-006-field-encryption-blind-index.docx" TargetMode="External"/><Relationship Id="rId33" Type="http://schemas.openxmlformats.org/officeDocument/2006/relationships/hyperlink" Target="adr/ADR-007-authentication-identity.docx" TargetMode="External"/><Relationship Id="rId34" Type="http://schemas.openxmlformats.org/officeDocument/2006/relationships/hyperlink" Target="adr/ADR-008-hash-chained-audit.docx" TargetMode="External"/><Relationship Id="rId35" Type="http://schemas.openxmlformats.org/officeDocument/2006/relationships/hyperlink" Target="adr/ADR-009-voice-bot-dialogue.docx" TargetMode="External"/><Relationship Id="rId36" Type="http://schemas.openxmlformats.org/officeDocument/2006/relationships/hyperlink" Target="adr/ADR-010-api-first-openapi.docx" TargetMode="External"/><Relationship Id="rId37" Type="http://schemas.openxmlformats.org/officeDocument/2006/relationships/hyperlink" Target="adr/ADR-011-vanilla-spa-design-tokens.docx" TargetMode="External"/><Relationship Id="rId38" Type="http://schemas.openxmlformats.org/officeDocument/2006/relationships/hyperlink" Target="adr/ADR-012-deployment-containers-k8s.docx" TargetMode="External"/><Relationship Id="rId26" Type="http://schemas.openxmlformats.org/officeDocument/2006/relationships/hyperlink" Target="ai-governance.docx" TargetMode="External"/><Relationship Id="rId24" Type="http://schemas.openxmlformats.org/officeDocument/2006/relationships/hyperlink" Target="data-architecture.docx" TargetMode="External"/><Relationship Id="rId23" Type="http://schemas.openxmlformats.org/officeDocument/2006/relationships/hyperlink" Target="deployment-and-infrastructure-architecture.docx" TargetMode="External"/><Relationship Id="rId22" Type="http://schemas.openxmlformats.org/officeDocument/2006/relationships/hyperlink" Target="integration-architecture.docx" TargetMode="External"/><Relationship Id="rId25" Type="http://schemas.openxmlformats.org/officeDocument/2006/relationships/hyperlink" Target="security-architecture.docx" TargetMode="External"/><Relationship Id="rId20" Type="http://schemas.openxmlformats.org/officeDocument/2006/relationships/hyperlink" Target="solution-architectur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documentation — TASCO Growth Platform</dc:title>
  <dc:creator>iorta TechNXT</dc:creator>
  <cp:keywords/>
  <dcterms:created xsi:type="dcterms:W3CDTF">2026-10-07T17:45:13Z</dcterms:created>
  <dcterms:modified xsi:type="dcterms:W3CDTF">2026-10-07T17:45:13Z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Architecture</vt:lpwstr>
  </property>
</Properties>
</file>