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ADR-002: Node.js 22, minimal dependencies (`pg` only at runtime), JavaScript with JSDoc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ADR-001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ADR-010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ADR-011</w:t>
        </w:r>
      </w:hyperlink>
    </w:p>
    <w:bookmarkStart w:id="23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platform processes personal data for about 6 M vehicle owners and moves money through the VETC wallet. Software supply-chain compromise is a top risk: typosquatting, maintainer takeover, transitive vulnerabilities. Insurers and their regulators expect a defensible SBOM and patch cadence. The team also needs fast delivery and easy onboarding.</w:t>
      </w:r>
    </w:p>
    <w:bookmarkEnd w:id="23"/>
    <w:bookmarkStart w:id="24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2"/>
        </w:numPr>
        <w:pStyle w:val="Compact"/>
      </w:pPr>
      <w:r>
        <w:t xml:space="preserve">Minimise attack surface and the transitive dependency count.</w:t>
      </w:r>
    </w:p>
    <w:p>
      <w:pPr>
        <w:numPr>
          <w:ilvl w:val="0"/>
          <w:numId w:val="1002"/>
        </w:numPr>
        <w:pStyle w:val="Compact"/>
      </w:pPr>
      <w:r>
        <w:t xml:space="preserve">Use an LTS runtime with a long support window.</w:t>
      </w:r>
    </w:p>
    <w:p>
      <w:pPr>
        <w:numPr>
          <w:ilvl w:val="0"/>
          <w:numId w:val="1002"/>
        </w:numPr>
        <w:pStyle w:val="Compact"/>
      </w:pPr>
      <w:r>
        <w:t xml:space="preserve">Fast startup and low memory for containers and CronJobs.</w:t>
      </w:r>
    </w:p>
    <w:p>
      <w:pPr>
        <w:numPr>
          <w:ilvl w:val="0"/>
          <w:numId w:val="1002"/>
        </w:numPr>
        <w:pStyle w:val="Compact"/>
      </w:pPr>
      <w:r>
        <w:t xml:space="preserve">Keep a single language across server, jobs and SPA.</w:t>
      </w:r>
    </w:p>
    <w:bookmarkEnd w:id="24"/>
    <w:bookmarkStart w:id="25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Node.js 22 LTS, standard library first,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pg</w:t>
      </w:r>
      <w:r>
        <w:rPr>
          <w:bCs/>
          <w:b/>
        </w:rPr>
        <w:t xml:space="preserve"> </w:t>
      </w:r>
      <w:r>
        <w:rPr>
          <w:bCs/>
          <w:b/>
        </w:rPr>
        <w:t xml:space="preserve">as the only runtime dependency, JavaScript with JSDoc types.</w:t>
      </w:r>
    </w:p>
    <w:p>
      <w:pPr>
        <w:numPr>
          <w:ilvl w:val="0"/>
          <w:numId w:val="1003"/>
        </w:numPr>
        <w:pStyle w:val="Compact"/>
      </w:pPr>
      <w:r>
        <w:t xml:space="preserve">Node.js + TypeScript + framework stack (Express/Nest, Prisma/TypeORM, Joi/Zod, jsonwebtoken, prom-client).</w:t>
      </w:r>
    </w:p>
    <w:p>
      <w:pPr>
        <w:numPr>
          <w:ilvl w:val="0"/>
          <w:numId w:val="1003"/>
        </w:numPr>
        <w:pStyle w:val="Compact"/>
      </w:pPr>
      <w:r>
        <w:t xml:space="preserve">Java / Spring Boot.</w:t>
      </w:r>
    </w:p>
    <w:bookmarkEnd w:id="25"/>
    <w:bookmarkStart w:id="28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"engines": {"node": "&gt;=22.12"}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"dependencies": {"pg": "^8.23.1"}</w:t>
      </w:r>
      <w:r>
        <w:t xml:space="preserve">. Dev dependencies are lint-only (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@eslint/js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globals</w:t>
      </w:r>
      <w:r>
        <w:t xml:space="preserve">).</w:t>
      </w:r>
    </w:p>
    <w:p>
      <w:pPr>
        <w:pStyle w:val="BodyText"/>
      </w:pPr>
      <w:r>
        <w:t xml:space="preserve">Capabilities are built on</w:t>
      </w:r>
      <w:r>
        <w:t xml:space="preserve"> </w:t>
      </w:r>
      <w:r>
        <w:rPr>
          <w:rStyle w:val="VerbatimChar"/>
        </w:rPr>
        <w:t xml:space="preserve">node:*</w:t>
      </w:r>
      <w:r>
        <w:t xml:space="preserve"> </w:t>
      </w:r>
      <w:r>
        <w:t xml:space="preserve">built-ins: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server,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src/adapters/http/router.js</w:t>
            </w:r>
            <w:r>
              <w:t xml:space="preserve"> </w:t>
            </w:r>
            <w:r>
              <w:t xml:space="preserve">(about 35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(AES-GCM, HMAC, scrypt, JWT HS256, TOTP)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node:crypto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src/shared/crypto.js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(allow-list)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src/shared/validation.js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 (Prometheus text format)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src/shared/metrics.js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and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--experimental-test-coverage</w:t>
            </w:r>
            <w:r>
              <w:t xml:space="preserve"> </w:t>
            </w:r>
            <w:r>
              <w:t xml:space="preserve">with gates (lines 80 %, branches 70 %, functions 80 %)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Loaded lazily in</w:t>
            </w:r>
            <w:r>
              <w:t xml:space="preserve"> </w:t>
            </w:r>
            <w:r>
              <w:rPr>
                <w:rStyle w:val="VerbatimChar"/>
              </w:rPr>
              <w:t xml:space="preserve">postgresStore.js</w:t>
            </w:r>
            <w:r>
              <w:t xml:space="preserve">, so in-memory mode has zero runtime dependencies</w:t>
            </w:r>
          </w:p>
        </w:tc>
      </w:tr>
    </w:tbl>
    <w:bookmarkStart w:id="27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4"/>
        </w:numPr>
        <w:pStyle w:val="Compact"/>
      </w:pPr>
      <w:r>
        <w:t xml:space="preserve">Good: a very small SBOM,</w:t>
      </w:r>
      <w:r>
        <w:t xml:space="preserve"> </w:t>
      </w:r>
      <w:r>
        <w:rPr>
          <w:rStyle w:val="VerbatimChar"/>
        </w:rPr>
        <w:t xml:space="preserve">npm audit --omit=dev</w:t>
      </w:r>
      <w:r>
        <w:t xml:space="preserve"> </w:t>
      </w:r>
      <w:r>
        <w:t xml:space="preserve">stays meaningful, and Dependabot/Trivy noise stays low.</w:t>
      </w:r>
    </w:p>
    <w:p>
      <w:pPr>
        <w:numPr>
          <w:ilvl w:val="0"/>
          <w:numId w:val="1004"/>
        </w:numPr>
        <w:pStyle w:val="Compact"/>
      </w:pPr>
      <w:r>
        <w:t xml:space="preserve">Good: hand-written primitives are short enough to review line by line. Each one is pinned to a standard: RFC 7519 (JWT), RFC 6238 (TOTP) and OWASP ASVS. JWT verification pins</w:t>
      </w:r>
      <w:r>
        <w:t xml:space="preserve"> </w:t>
      </w:r>
      <w:r>
        <w:rPr>
          <w:rStyle w:val="VerbatimChar"/>
        </w:rPr>
        <w:t xml:space="preserve">alg</w:t>
      </w:r>
      <w:r>
        <w:t xml:space="preserve"> </w:t>
      </w:r>
      <w:r>
        <w:t xml:space="preserve">to HS256 and uses a constant-time comparison.</w:t>
      </w:r>
    </w:p>
    <w:p>
      <w:pPr>
        <w:numPr>
          <w:ilvl w:val="0"/>
          <w:numId w:val="1004"/>
        </w:numPr>
        <w:pStyle w:val="Compact"/>
      </w:pPr>
      <w:r>
        <w:t xml:space="preserve">Bad: home-grown security primitives carry implementation risk.</w:t>
      </w:r>
      <w:r>
        <w:t xml:space="preserve"> </w:t>
      </w:r>
      <w:r>
        <w:rPr>
          <w:bCs/>
          <w:b/>
        </w:rPr>
        <w:t xml:space="preserve">Mitigations:</w:t>
      </w:r>
    </w:p>
    <w:p>
      <w:pPr>
        <w:numPr>
          <w:ilvl w:val="1"/>
          <w:numId w:val="1005"/>
        </w:numPr>
        <w:pStyle w:val="Compact"/>
      </w:pPr>
      <w:r>
        <w:t xml:space="preserve">unit tests with RFC test vectors (TOTP);</w:t>
      </w:r>
    </w:p>
    <w:p>
      <w:pPr>
        <w:numPr>
          <w:ilvl w:val="1"/>
          <w:numId w:val="1005"/>
        </w:numPr>
        <w:pStyle w:val="Compact"/>
      </w:pPr>
      <w:r>
        <w:t xml:space="preserve">external pen-test scope includes the auth module;</w:t>
      </w:r>
    </w:p>
    <w:p>
      <w:pPr>
        <w:numPr>
          <w:ilvl w:val="1"/>
          <w:numId w:val="1005"/>
        </w:numPr>
        <w:pStyle w:val="Compact"/>
      </w:pPr>
      <w:hyperlink r:id="rId26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moves token issuance to the IdP (OIDC), which retires the local JWT signer for staff.</w:t>
      </w:r>
    </w:p>
    <w:p>
      <w:pPr>
        <w:numPr>
          <w:ilvl w:val="0"/>
          <w:numId w:val="1004"/>
        </w:numPr>
        <w:pStyle w:val="Compact"/>
      </w:pPr>
      <w:r>
        <w:t xml:space="preserve">Bad: there is no compile-time type safety.</w:t>
      </w:r>
      <w:r>
        <w:t xml:space="preserve"> </w:t>
      </w:r>
      <w:r>
        <w:rPr>
          <w:bCs/>
          <w:b/>
        </w:rPr>
        <w:t xml:space="preserve">Mitigations:</w:t>
      </w:r>
      <w:r>
        <w:t xml:space="preserve"> </w:t>
      </w:r>
      <w:r>
        <w:t xml:space="preserve">JSDoc on public functions, ESLint, high test coverage, and an option to enable</w:t>
      </w:r>
      <w:r>
        <w:t xml:space="preserve"> </w:t>
      </w:r>
      <w:r>
        <w:rPr>
          <w:rStyle w:val="VerbatimChar"/>
        </w:rPr>
        <w:t xml:space="preserve">// @ts-check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in CI without changing the runtime.</w:t>
      </w:r>
    </w:p>
    <w:p>
      <w:pPr>
        <w:numPr>
          <w:ilvl w:val="0"/>
          <w:numId w:val="1004"/>
        </w:numPr>
        <w:pStyle w:val="Compact"/>
      </w:pPr>
      <w:r>
        <w:t xml:space="preserve">Bad: features that frameworks provide for free are missing: streaming body parsing, content negotiation, HTTP/2. These are acceptable for a JSON API behind an ingress.</w:t>
      </w:r>
    </w:p>
    <w:bookmarkEnd w:id="27"/>
    <w:bookmarkEnd w:id="28"/>
    <w:bookmarkStart w:id="29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TypeScript and frameworks.</w:t>
      </w:r>
      <w:r>
        <w:t xml:space="preserve"> </w:t>
      </w:r>
      <w:r>
        <w:t xml:space="preserve">Better ergonomics and typing. However, they add hundreds of transitive packages, increasing supply-chain and patching load.</w:t>
      </w:r>
    </w:p>
    <w:p>
      <w:pPr>
        <w:pStyle w:val="BodyText"/>
      </w:pPr>
      <w:r>
        <w:rPr>
          <w:bCs/>
          <w:b/>
        </w:rPr>
        <w:t xml:space="preserve">Java / Spring.</w:t>
      </w:r>
      <w:r>
        <w:t xml:space="preserve"> </w:t>
      </w:r>
      <w:r>
        <w:t xml:space="preserve">Mature in insurance IT. However, it brings a heavier runtime, slower iteration for the pilot, and a different skill set from the SPA.</w:t>
      </w:r>
    </w:p>
    <w:bookmarkEnd w:id="2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ADR-001-hexagonal-architecture.docx" TargetMode="External"/><Relationship Id="rId26" Type="http://schemas.openxmlformats.org/officeDocument/2006/relationships/hyperlink" Target="ADR-007-authentication-identity.docx" TargetMode="External"/><Relationship Id="rId21" Type="http://schemas.openxmlformats.org/officeDocument/2006/relationships/hyperlink" Target="ADR-010-api-first-openapi.docx" TargetMode="External"/><Relationship Id="rId22" Type="http://schemas.openxmlformats.org/officeDocument/2006/relationships/hyperlink" Target="ADR-011-vanilla-spa-design-tokens.docx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DR-001-hexagonal-architecture.docx" TargetMode="External"/><Relationship Id="rId26" Type="http://schemas.openxmlformats.org/officeDocument/2006/relationships/hyperlink" Target="ADR-007-authentication-identity.docx" TargetMode="External"/><Relationship Id="rId21" Type="http://schemas.openxmlformats.org/officeDocument/2006/relationships/hyperlink" Target="ADR-010-api-first-openapi.docx" TargetMode="External"/><Relationship Id="rId22" Type="http://schemas.openxmlformats.org/officeDocument/2006/relationships/hyperlink" Target="ADR-011-vanilla-spa-design-toke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ADR-002: Node.js 22, minimal dependencies (`pg` only at runtime), JavaScript with JSDoc</dc:title>
  <dc:creator>iorta TechNXT</dc:creator>
  <cp:keywords/>
  <dcterms:created xsi:type="dcterms:W3CDTF">2026-10-07T17:45:13Z</dcterms:created>
  <dcterms:modified xsi:type="dcterms:W3CDTF">2026-10-07T17:45:13Z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