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ADR-004: Persistence — PostgreSQL document + indexed-columns pattern, with an in-memory adapter that behaves the same</w:t>
      </w:r>
    </w:p>
    <w:p>
      <w:pPr>
        <w:pStyle w:val="Subtitle"/>
      </w:pPr>
      <w:r>
        <w:t xml:space="preserve">TASCO Insurance × VETC Growth Platform — Architecture Decision Record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2026-10-07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Related:</w:t>
      </w:r>
      <w:r>
        <w:t xml:space="preserve"> </w:t>
      </w:r>
      <w:hyperlink r:id="rId20">
        <w:r>
          <w:rPr>
            <w:rStyle w:val="Hyperlink"/>
          </w:rPr>
          <w:t xml:space="preserve">ADR-005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ADR-006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ADR-008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Data architecture</w:t>
        </w:r>
      </w:hyperlink>
    </w:p>
    <w:bookmarkStart w:id="24" w:name="context-and-problem-statement"/>
    <w:p>
      <w:pPr>
        <w:pStyle w:val="Heading2"/>
      </w:pPr>
      <w:r>
        <w:t xml:space="preserve">Context and problem statement</w:t>
      </w:r>
    </w:p>
    <w:p>
      <w:pPr>
        <w:pStyle w:val="FirstParagraph"/>
      </w:pPr>
      <w:r>
        <w:t xml:space="preserve">The aggregates are document-shaped and evolve quickly. A golden profile carries nested vehicle, policy, engagement, channel, consent, lineage and expiry-candidate structures. Leads, quotes and voice sessions are similar. Queries filter on a small, known set of attributes: tier, score, region, expiry date, status and similar.</w:t>
      </w:r>
    </w:p>
    <w:p>
      <w:pPr>
        <w:pStyle w:val="BodyText"/>
      </w:pPr>
      <w:r>
        <w:t xml:space="preserve">The platform also needs:</w:t>
      </w:r>
    </w:p>
    <w:p>
      <w:pPr>
        <w:numPr>
          <w:ilvl w:val="0"/>
          <w:numId w:val="1002"/>
        </w:numPr>
        <w:pStyle w:val="Compact"/>
      </w:pPr>
      <w:r>
        <w:t xml:space="preserve">ACID transactions, row locking for the outbox, PITR backups and a managed HA option acceptable to TASCO InfoSec;</w:t>
      </w:r>
    </w:p>
    <w:p>
      <w:pPr>
        <w:numPr>
          <w:ilvl w:val="0"/>
          <w:numId w:val="1002"/>
        </w:numPr>
        <w:pStyle w:val="Compact"/>
      </w:pPr>
      <w:r>
        <w:t xml:space="preserve">per-field encryption of PII before it reaches the database;</w:t>
      </w:r>
    </w:p>
    <w:p>
      <w:pPr>
        <w:numPr>
          <w:ilvl w:val="0"/>
          <w:numId w:val="1002"/>
        </w:numPr>
        <w:pStyle w:val="Compact"/>
      </w:pPr>
      <w:r>
        <w:t xml:space="preserve">a zero-dependency store for unit tests, demos and pilots.</w:t>
      </w:r>
    </w:p>
    <w:bookmarkEnd w:id="24"/>
    <w:bookmarkStart w:id="25" w:name="decision-drivers"/>
    <w:p>
      <w:pPr>
        <w:pStyle w:val="Heading2"/>
      </w:pPr>
      <w:r>
        <w:t xml:space="preserve">Decision drivers</w:t>
      </w:r>
    </w:p>
    <w:p>
      <w:pPr>
        <w:numPr>
          <w:ilvl w:val="0"/>
          <w:numId w:val="1003"/>
        </w:numPr>
        <w:pStyle w:val="Compact"/>
      </w:pPr>
      <w:r>
        <w:t xml:space="preserve">Agility of the document schema, combined with indexed, typed filtering.</w:t>
      </w:r>
    </w:p>
    <w:p>
      <w:pPr>
        <w:numPr>
          <w:ilvl w:val="0"/>
          <w:numId w:val="1003"/>
        </w:numPr>
        <w:pStyle w:val="Compact"/>
      </w:pPr>
      <w:r>
        <w:t xml:space="preserve">Injection-proof querying by construction.</w:t>
      </w:r>
    </w:p>
    <w:p>
      <w:pPr>
        <w:numPr>
          <w:ilvl w:val="0"/>
          <w:numId w:val="1003"/>
        </w:numPr>
        <w:pStyle w:val="Compact"/>
      </w:pPr>
      <w:r>
        <w:t xml:space="preserve">One encryption and indexing code path for every store.</w:t>
      </w:r>
    </w:p>
    <w:p>
      <w:pPr>
        <w:numPr>
          <w:ilvl w:val="0"/>
          <w:numId w:val="1003"/>
        </w:numPr>
        <w:pStyle w:val="Compact"/>
      </w:pPr>
      <w:r>
        <w:t xml:space="preserve">Managed Postgres is available on every target cloud and on Railway.</w:t>
      </w:r>
    </w:p>
    <w:bookmarkEnd w:id="25"/>
    <w:bookmarkStart w:id="26" w:name="considered-options"/>
    <w:p>
      <w:pPr>
        <w:pStyle w:val="Heading2"/>
      </w:pPr>
      <w:r>
        <w:t xml:space="preserve">Considered options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PostgreSQL: one table per collection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version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 jsonb</w:t>
      </w:r>
      <w:r>
        <w:rPr>
          <w:bCs/>
          <w:b/>
        </w:rPr>
        <w:t xml:space="preserve">, typed indexed columns extracted from the document,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created_at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updated_at</w:t>
      </w:r>
      <w:r>
        <w:rPr>
          <w:bCs/>
          <w:b/>
        </w:rPr>
        <w:t xml:space="preserve">. An in-memory adapter implements the same port and shares the codec.</w:t>
      </w:r>
    </w:p>
    <w:p>
      <w:pPr>
        <w:numPr>
          <w:ilvl w:val="0"/>
          <w:numId w:val="1004"/>
        </w:numPr>
        <w:pStyle w:val="Compact"/>
      </w:pPr>
      <w:r>
        <w:t xml:space="preserve">A fully normalised relational schema with an ORM.</w:t>
      </w:r>
    </w:p>
    <w:p>
      <w:pPr>
        <w:numPr>
          <w:ilvl w:val="0"/>
          <w:numId w:val="1004"/>
        </w:numPr>
        <w:pStyle w:val="Compact"/>
      </w:pPr>
      <w:r>
        <w:t xml:space="preserve">A document database (MongoDB/DocumentDB).</w:t>
      </w:r>
    </w:p>
    <w:p>
      <w:pPr>
        <w:numPr>
          <w:ilvl w:val="0"/>
          <w:numId w:val="1004"/>
        </w:numPr>
        <w:pStyle w:val="Compact"/>
      </w:pPr>
      <w:r>
        <w:t xml:space="preserve">JSONB with GIN indexes only (no extracted columns).</w:t>
      </w:r>
    </w:p>
    <w:bookmarkEnd w:id="26"/>
    <w:bookmarkStart w:id="28" w:name="decision-outcome"/>
    <w:p>
      <w:pPr>
        <w:pStyle w:val="Heading2"/>
      </w:pPr>
      <w:r>
        <w:t xml:space="preserve">Decision outcome</w:t>
      </w:r>
    </w:p>
    <w:p>
      <w:pPr>
        <w:pStyle w:val="FirstParagraph"/>
      </w:pPr>
      <w:r>
        <w:t xml:space="preserve">Chosen option:</w:t>
      </w:r>
      <w:r>
        <w:t xml:space="preserve"> </w:t>
      </w:r>
      <w:r>
        <w:rPr>
          <w:bCs/>
          <w:b/>
        </w:rPr>
        <w:t xml:space="preserve">1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Collection registry.</w:t>
      </w:r>
      <w:r>
        <w:t xml:space="preserve"> </w:t>
      </w:r>
      <w:r>
        <w:rPr>
          <w:rStyle w:val="VerbatimChar"/>
        </w:rPr>
        <w:t xml:space="preserve">src/adapters/persistence/schema.js</w:t>
      </w:r>
      <w:r>
        <w:t xml:space="preserve"> </w:t>
      </w:r>
      <w:r>
        <w:t xml:space="preserve">is the single source of truth. It holds 19 collections, and each declares: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indexes: {column: {path, type}}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pii: [fields]</w:t>
      </w:r>
      <w:r>
        <w:t xml:space="preserve"> </w:t>
      </w:r>
      <w:r>
        <w:t xml:space="preserve">(encrypted);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blind: {column: field}</w:t>
      </w:r>
      <w:r>
        <w:t xml:space="preserve"> </w:t>
      </w:r>
      <w:r>
        <w:t xml:space="preserve">(HMAC blind index).</w:t>
      </w:r>
    </w:p>
    <w:p>
      <w:pPr>
        <w:numPr>
          <w:ilvl w:val="0"/>
          <w:numId w:val="1000"/>
        </w:numPr>
      </w:pPr>
      <w:r>
        <w:t xml:space="preserve">Collection and column names must match</w:t>
      </w:r>
      <w:r>
        <w:t xml:space="preserve"> </w:t>
      </w:r>
      <w:r>
        <w:rPr>
          <w:rStyle w:val="VerbatimChar"/>
        </w:rPr>
        <w:t xml:space="preserve">^[a-z][a-z0-9_]*$</w:t>
      </w:r>
      <w:r>
        <w:t xml:space="preserve"> </w:t>
      </w:r>
      <w:r>
        <w:t xml:space="preserve">(checked at module load).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Migrations.</w:t>
      </w:r>
      <w:r>
        <w:t xml:space="preserve"> </w:t>
      </w:r>
      <w:r>
        <w:t xml:space="preserve">Numbered SQL files in</w:t>
      </w:r>
      <w:r>
        <w:t xml:space="preserve"> </w:t>
      </w:r>
      <w:r>
        <w:rPr>
          <w:rStyle w:val="VerbatimChar"/>
        </w:rPr>
        <w:t xml:space="preserve">db/migrations/</w:t>
      </w:r>
      <w:r>
        <w:t xml:space="preserve"> </w:t>
      </w:r>
      <w:r>
        <w:t xml:space="preserve">(</w:t>
      </w:r>
      <w:r>
        <w:rPr>
          <w:rStyle w:val="VerbatimChar"/>
        </w:rPr>
        <w:t xml:space="preserve">001_init.sql</w:t>
      </w:r>
      <w:r>
        <w:t xml:space="preserve">). The DDL is generated by</w:t>
      </w:r>
      <w:r>
        <w:t xml:space="preserve"> </w:t>
      </w:r>
      <w:r>
        <w:rPr>
          <w:rStyle w:val="VerbatimChar"/>
        </w:rPr>
        <w:t xml:space="preserve">schemaSql.js</w:t>
      </w:r>
      <w:r>
        <w:t xml:space="preserve"> </w:t>
      </w:r>
      <w:r>
        <w:t xml:space="preserve">and a schema test keeps the migration and the registry in step. Applied migrations are recorded in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, and each runs in its own transaction (</w:t>
      </w:r>
      <w:r>
        <w:rPr>
          <w:rStyle w:val="VerbatimChar"/>
        </w:rPr>
        <w:t xml:space="preserve">postgresStore.migrate</w:t>
      </w:r>
      <w:r>
        <w:t xml:space="preserve">). Never edit an applied migration; add a new numbered file.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Codec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codec.js</w:t>
      </w:r>
      <w:r>
        <w:t xml:space="preserve">). Shared by both stores. It encrypts</w:t>
      </w:r>
      <w:r>
        <w:t xml:space="preserve"> </w:t>
      </w:r>
      <w:r>
        <w:rPr>
          <w:rStyle w:val="VerbatimChar"/>
        </w:rPr>
        <w:t xml:space="preserve">pii</w:t>
      </w:r>
      <w:r>
        <w:t xml:space="preserve"> </w:t>
      </w:r>
      <w:r>
        <w:t xml:space="preserve">fields, computes blind indexes, and extracts index column values from document paths. Indexed columns are therefore never PII (by convention: review new indexes).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Query safety.</w:t>
      </w:r>
      <w:r>
        <w:t xml:space="preserve"> </w:t>
      </w:r>
      <w:r>
        <w:t xml:space="preserve">Every statement uses</w:t>
      </w:r>
      <w:r>
        <w:t xml:space="preserve"> </w:t>
      </w:r>
      <w:r>
        <w:rPr>
          <w:rStyle w:val="VerbatimChar"/>
        </w:rPr>
        <w:t xml:space="preserve">$n</w:t>
      </w:r>
      <w:r>
        <w:t xml:space="preserve"> </w:t>
      </w:r>
      <w:r>
        <w:t xml:space="preserve">bind parameters. Identifiers come only from the registry.</w:t>
      </w:r>
      <w:r>
        <w:t xml:space="preserve"> </w:t>
      </w:r>
      <w:r>
        <w:rPr>
          <w:rStyle w:val="VerbatimChar"/>
        </w:rPr>
        <w:t xml:space="preserve">assertColumns()</w:t>
      </w:r>
      <w:r>
        <w:t xml:space="preserve"> </w:t>
      </w:r>
      <w:r>
        <w:t xml:space="preserve">(</w:t>
      </w:r>
      <w:r>
        <w:rPr>
          <w:rStyle w:val="VerbatimChar"/>
        </w:rPr>
        <w:t xml:space="preserve">query.js</w:t>
      </w:r>
      <w:r>
        <w:t xml:space="preserve">) allows filtering and sorting only on declared columns plus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 Operators are limited to</w:t>
      </w:r>
      <w:r>
        <w:t xml:space="preserve"> </w:t>
      </w:r>
      <w:r>
        <w:rPr>
          <w:rStyle w:val="VerbatimChar"/>
        </w:rPr>
        <w:t xml:space="preserve">in, gte, lte, gt, lt, ne, isNull</w:t>
      </w:r>
      <w:r>
        <w:t xml:space="preserve">.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is capped at 5,000.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Optimistic concurrency.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t xml:space="preserve">increments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and, when the caller passes the version it read, adds</w:t>
      </w:r>
      <w:r>
        <w:t xml:space="preserve"> </w:t>
      </w:r>
      <w:r>
        <w:rPr>
          <w:rStyle w:val="VerbatimChar"/>
        </w:rPr>
        <w:t xml:space="preserve">AND version = $n</w:t>
      </w:r>
      <w:r>
        <w:t xml:space="preserve">. A mismatch raises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.</w:t>
      </w:r>
      <w:r>
        <w:t xml:space="preserve"> </w:t>
      </w:r>
      <w:r>
        <w:rPr>
          <w:rStyle w:val="VerbatimChar"/>
        </w:rPr>
        <w:t xml:space="preserve">upsert()</w:t>
      </w:r>
      <w:r>
        <w:t xml:space="preserve"> </w:t>
      </w:r>
      <w:r>
        <w:t xml:space="preserve">is last-writer-wins by design (used for idempotent rebuilds).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In-memory adapter</w:t>
      </w:r>
      <w:r>
        <w:t xml:space="preserve"> </w:t>
      </w:r>
      <w:r>
        <w:t xml:space="preserve">(</w:t>
      </w:r>
      <w:r>
        <w:rPr>
          <w:rStyle w:val="VerbatimChar"/>
        </w:rPr>
        <w:t xml:space="preserve">memoryStore.js</w:t>
      </w:r>
      <w:r>
        <w:t xml:space="preserve">). Implements the same port with identical semantics (codec,</w:t>
      </w:r>
      <w:r>
        <w:t xml:space="preserve"> </w:t>
      </w:r>
      <w:r>
        <w:rPr>
          <w:rStyle w:val="VerbatimChar"/>
        </w:rPr>
        <w:t xml:space="preserve">matches()</w:t>
      </w:r>
      <w:r>
        <w:t xml:space="preserve">, version checks, audit chain).</w:t>
      </w:r>
      <w:r>
        <w:t xml:space="preserve"> </w:t>
      </w:r>
      <w:r>
        <w:rPr>
          <w:rStyle w:val="VerbatimChar"/>
        </w:rPr>
        <w:t xml:space="preserve">transaction(fn)</w:t>
      </w:r>
      <w:r>
        <w:t xml:space="preserve"> </w:t>
      </w:r>
      <w:r>
        <w:t xml:space="preserve">simply runs</w:t>
      </w:r>
      <w:r>
        <w:t xml:space="preserve"> </w:t>
      </w:r>
      <w:r>
        <w:rPr>
          <w:rStyle w:val="VerbatimChar"/>
        </w:rPr>
        <w:t xml:space="preserve">fn(this)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claimEvents</w:t>
      </w:r>
      <w:r>
        <w:t xml:space="preserve"> </w:t>
      </w:r>
      <w:r>
        <w:t xml:space="preserve">marks rows as processing.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Connection.</w:t>
      </w:r>
      <w:r>
        <w:t xml:space="preserve"> </w:t>
      </w:r>
      <w:r>
        <w:rPr>
          <w:rStyle w:val="VerbatimChar"/>
        </w:rPr>
        <w:t xml:space="preserve">pg.Pool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max = DB_POOL_MAX</w:t>
      </w:r>
      <w:r>
        <w:t xml:space="preserve"> </w:t>
      </w:r>
      <w:r>
        <w:t xml:space="preserve">(default 10),</w:t>
      </w:r>
      <w:r>
        <w:t xml:space="preserve"> </w:t>
      </w:r>
      <w:r>
        <w:rPr>
          <w:rStyle w:val="VerbatimChar"/>
        </w:rPr>
        <w:t xml:space="preserve">statement_timeout 15 s</w:t>
      </w:r>
      <w:r>
        <w:t xml:space="preserve">, idle timeout 30 s, and TLS with</w:t>
      </w:r>
      <w:r>
        <w:t xml:space="preserve"> </w:t>
      </w:r>
      <w:r>
        <w:rPr>
          <w:rStyle w:val="VerbatimChar"/>
        </w:rPr>
        <w:t xml:space="preserve">rejectUnauthorized: true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DATABASE_SSL</w:t>
      </w:r>
      <w:r>
        <w:t xml:space="preserve"> </w:t>
      </w:r>
      <w:r>
        <w:t xml:space="preserve">is set (the default in production).</w:t>
      </w:r>
    </w:p>
    <w:bookmarkStart w:id="27" w:name="consequences"/>
    <w:p>
      <w:pPr>
        <w:pStyle w:val="Heading3"/>
      </w:pPr>
      <w:r>
        <w:t xml:space="preserve">Consequences</w:t>
      </w:r>
    </w:p>
    <w:p>
      <w:pPr>
        <w:numPr>
          <w:ilvl w:val="0"/>
          <w:numId w:val="1007"/>
        </w:numPr>
        <w:pStyle w:val="Compact"/>
      </w:pPr>
      <w:r>
        <w:t xml:space="preserve">Good: schema evolution inside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needs no migration. A new filter column needs a new numbered migration plus a registry entry.</w:t>
      </w:r>
    </w:p>
    <w:p>
      <w:pPr>
        <w:numPr>
          <w:ilvl w:val="0"/>
          <w:numId w:val="1007"/>
        </w:numPr>
        <w:pStyle w:val="Compact"/>
      </w:pPr>
      <w:r>
        <w:t xml:space="preserve">Good: SQL injection is structurally excluded. No dynamic SQL is built from input.</w:t>
      </w:r>
    </w:p>
    <w:p>
      <w:pPr>
        <w:numPr>
          <w:ilvl w:val="0"/>
          <w:numId w:val="1007"/>
        </w:numPr>
        <w:pStyle w:val="Compact"/>
      </w:pPr>
      <w:r>
        <w:t xml:space="preserve">Good: tests run against memory, and</w:t>
      </w:r>
      <w:r>
        <w:t xml:space="preserve"> </w:t>
      </w:r>
      <w:r>
        <w:rPr>
          <w:rStyle w:val="VerbatimChar"/>
        </w:rPr>
        <w:t xml:space="preserve">test:pg</w:t>
      </w:r>
      <w:r>
        <w:t xml:space="preserve"> </w:t>
      </w:r>
      <w:r>
        <w:t xml:space="preserve">runs the same suites against real Postgres in CI.</w:t>
      </w:r>
    </w:p>
    <w:p>
      <w:pPr>
        <w:numPr>
          <w:ilvl w:val="0"/>
          <w:numId w:val="1007"/>
        </w:numPr>
        <w:pStyle w:val="Compact"/>
      </w:pPr>
      <w:r>
        <w:t xml:space="preserve">Bad: the data is duplicated (the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jsonb plus extracted columns). Columns are recomputed on every write, so they cannot drift.</w:t>
      </w:r>
    </w:p>
    <w:p>
      <w:pPr>
        <w:numPr>
          <w:ilvl w:val="0"/>
          <w:numId w:val="1007"/>
        </w:numPr>
        <w:pStyle w:val="Compact"/>
      </w:pPr>
      <w:r>
        <w:t xml:space="preserve">Bad: there are no foreign keys between collections, so referential integrity is enforced in services and checked by</w:t>
      </w:r>
      <w:r>
        <w:t xml:space="preserve"> </w:t>
      </w:r>
      <w:r>
        <w:rPr>
          <w:rStyle w:val="VerbatimChar"/>
        </w:rPr>
        <w:t xml:space="preserve">opsService.reconcile</w:t>
      </w:r>
      <w:r>
        <w:t xml:space="preserve">. For an analytical relational view, see the</w:t>
      </w:r>
      <w:r>
        <w:t xml:space="preserve"> </w:t>
      </w:r>
      <w:hyperlink r:id="rId23">
        <w:r>
          <w:rPr>
            <w:rStyle w:val="Hyperlink"/>
          </w:rPr>
          <w:t xml:space="preserve">data architecture</w:t>
        </w:r>
      </w:hyperlink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Bad / gaps: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  <w:bCs/>
          <w:b/>
        </w:rPr>
        <w:t xml:space="preserve">store.transaction()</w:t>
      </w:r>
      <w:r>
        <w:rPr>
          <w:bCs/>
          <w:b/>
        </w:rPr>
        <w:t xml:space="preserve"> </w:t>
      </w:r>
      <w:r>
        <w:rPr>
          <w:bCs/>
          <w:b/>
        </w:rPr>
        <w:t xml:space="preserve">exists but no application service uses it yet.</w:t>
      </w:r>
      <w:r>
        <w:t xml:space="preserve"> </w:t>
      </w:r>
      <w:r>
        <w:t xml:space="preserve">Multi-write use cases are not atomic: purchase, rule approval, erase, and state change + outbox publish (</w:t>
      </w:r>
      <w:hyperlink r:id="rId20">
        <w:r>
          <w:rPr>
            <w:rStyle w:val="Hyperlink"/>
          </w:rPr>
          <w:t xml:space="preserve">ADR-005</w:t>
        </w:r>
      </w:hyperlink>
      <w:r>
        <w:t xml:space="preserve">).</w:t>
      </w:r>
      <w:r>
        <w:t xml:space="preserve"> </w:t>
      </w:r>
      <w:r>
        <w:rPr>
          <w:bCs/>
          <w:b/>
        </w:rPr>
        <w:t xml:space="preserve">Fix in phase 2:</w:t>
      </w:r>
      <w:r>
        <w:t xml:space="preserve"> </w:t>
      </w:r>
      <w:r>
        <w:t xml:space="preserve">pass the transactional store into those use cases.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  <w:bCs/>
          <w:b/>
        </w:rPr>
        <w:t xml:space="preserve">migrate()</w:t>
      </w:r>
      <w:r>
        <w:rPr>
          <w:bCs/>
          <w:b/>
        </w:rPr>
        <w:t xml:space="preserve"> </w:t>
      </w:r>
      <w:r>
        <w:rPr>
          <w:bCs/>
          <w:b/>
        </w:rPr>
        <w:t xml:space="preserve">has no advisory lock.</w:t>
      </w:r>
      <w:r>
        <w:t xml:space="preserve"> </w:t>
      </w:r>
      <w:r>
        <w:t xml:space="preserve">Run migrations only from the single K8s migration Job, and set</w:t>
      </w:r>
      <w:r>
        <w:t xml:space="preserve"> </w:t>
      </w:r>
      <w:r>
        <w:rPr>
          <w:rStyle w:val="VerbatimChar"/>
        </w:rPr>
        <w:t xml:space="preserve">MIGRATE_ON_START=false</w:t>
      </w:r>
      <w:r>
        <w:t xml:space="preserve"> </w:t>
      </w:r>
      <w:r>
        <w:t xml:space="preserve">in multi-replica deployments.</w:t>
      </w:r>
    </w:p>
    <w:p>
      <w:pPr>
        <w:numPr>
          <w:ilvl w:val="1"/>
          <w:numId w:val="1008"/>
        </w:numPr>
        <w:pStyle w:val="Compact"/>
      </w:pPr>
      <w:r>
        <w:t xml:space="preserve">The full-table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paging used by batch jobs must move to keyset paging at 6 M rows.</w:t>
      </w:r>
    </w:p>
    <w:bookmarkEnd w:id="27"/>
    <w:bookmarkEnd w:id="28"/>
    <w:bookmarkStart w:id="29" w:name="pros-and-cons-of-the-options"/>
    <w:p>
      <w:pPr>
        <w:pStyle w:val="Heading2"/>
      </w:pPr>
      <w:r>
        <w:t xml:space="preserve">Pros and cons of the options</w:t>
      </w:r>
    </w:p>
    <w:p>
      <w:pPr>
        <w:pStyle w:val="FirstParagraph"/>
      </w:pPr>
      <w:r>
        <w:rPr>
          <w:bCs/>
          <w:b/>
        </w:rPr>
        <w:t xml:space="preserve">Normalised schema + ORM.</w:t>
      </w:r>
      <w:r>
        <w:t xml:space="preserve"> </w:t>
      </w:r>
      <w:r>
        <w:t xml:space="preserve">Strong integrity. However, every attribute change becomes a heavy migration, the ORM adds dependencies, and encrypted fields complicate ORM mapping.</w:t>
      </w:r>
    </w:p>
    <w:p>
      <w:pPr>
        <w:pStyle w:val="BodyText"/>
      </w:pPr>
      <w:r>
        <w:rPr>
          <w:bCs/>
          <w:b/>
        </w:rPr>
        <w:t xml:space="preserve">MongoDB.</w:t>
      </w:r>
      <w:r>
        <w:t xml:space="preserve"> </w:t>
      </w:r>
      <w:r>
        <w:t xml:space="preserve">A natural document fit. However, it would add a second operational database (Postgres is still needed for the outbox, audit and BI), and InfoSec familiarity is lower.</w:t>
      </w:r>
    </w:p>
    <w:p>
      <w:pPr>
        <w:pStyle w:val="BodyText"/>
      </w:pPr>
      <w:r>
        <w:rPr>
          <w:bCs/>
          <w:b/>
        </w:rPr>
        <w:t xml:space="preserve">JSONB + GIN only.</w:t>
      </w:r>
      <w:r>
        <w:t xml:space="preserve"> </w:t>
      </w:r>
      <w:r>
        <w:t xml:space="preserve">Simpler. However, it weakens typed comparisons (date and int ranges) and planner statistics, and it makes the "only declared fields are filterable" guard harder to enforce.</w:t>
      </w:r>
    </w:p>
    <w:bookmarkEnd w:id="29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21A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color w:val="121A33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121A33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121A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13368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121A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3" Type="http://schemas.openxmlformats.org/officeDocument/2006/relationships/hyperlink" Target="../data-architecture.docx" TargetMode="External"/><Relationship Id="rId20" Type="http://schemas.openxmlformats.org/officeDocument/2006/relationships/hyperlink" Target="ADR-005-transactional-outbox.docx" TargetMode="External"/><Relationship Id="rId21" Type="http://schemas.openxmlformats.org/officeDocument/2006/relationships/hyperlink" Target="ADR-006-field-encryption-blind-index.docx" TargetMode="External"/><Relationship Id="rId22" Type="http://schemas.openxmlformats.org/officeDocument/2006/relationships/hyperlink" Target="ADR-008-hash-chained-audit.docx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../data-architecture.docx" TargetMode="External"/><Relationship Id="rId20" Type="http://schemas.openxmlformats.org/officeDocument/2006/relationships/hyperlink" Target="ADR-005-transactional-outbox.docx" TargetMode="External"/><Relationship Id="rId21" Type="http://schemas.openxmlformats.org/officeDocument/2006/relationships/hyperlink" Target="ADR-006-field-encryption-blind-index.docx" TargetMode="External"/><Relationship Id="rId22" Type="http://schemas.openxmlformats.org/officeDocument/2006/relationships/hyperlink" Target="ADR-008-hash-chained-audit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ADR-004: Persistence — PostgreSQL document + indexed-columns pattern, with an in-memory adapter that behaves the same</dc:title>
  <dc:creator>iorta TechNXT</dc:creator>
  <cp:keywords/>
  <dcterms:created xsi:type="dcterms:W3CDTF">2026-10-07T17:45:14Z</dcterms:created>
  <dcterms:modified xsi:type="dcterms:W3CDTF">2026-10-07T17:45:14Z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Architecture Decision Record</vt:lpwstr>
  </property>
</Properties>
</file>