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ADR-005: Outbox table with a `SKIP LOCKED` relay now; message broker later</w:t>
      </w:r>
    </w:p>
    <w:p>
      <w:pPr>
        <w:pStyle w:val="Subtitle"/>
      </w:pPr>
      <w:r>
        <w:t xml:space="preserve">TASCO Insurance × VETC Growth Platform — Architecture Decision Record</w:t>
      </w:r>
    </w:p>
    <w:p>
      <w:pPr>
        <w:pStyle w:val="Author"/>
      </w:pPr>
      <w:r>
        <w:t xml:space="preserve">iorta TechNXT</w:t>
      </w:r>
    </w:p>
    <w:p>
      <w:pPr>
        <w:pStyle w:val="Date"/>
      </w:pPr>
      <w:r>
        <w:t xml:space="preserve">Version 1.0 · 07 October 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Status:</w:t>
      </w:r>
      <w:r>
        <w:t xml:space="preserve"> </w:t>
      </w:r>
      <w:r>
        <w:t xml:space="preserve">Accepted, with an implementation gap noted below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Date:</w:t>
      </w:r>
      <w:r>
        <w:t xml:space="preserve"> </w:t>
      </w:r>
      <w:r>
        <w:t xml:space="preserve">2026-10-07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Related:</w:t>
      </w:r>
      <w:r>
        <w:t xml:space="preserve"> </w:t>
      </w:r>
      <w:hyperlink r:id="rId20">
        <w:r>
          <w:rPr>
            <w:rStyle w:val="Hyperlink"/>
          </w:rPr>
          <w:t xml:space="preserve">ADR-004</w:t>
        </w:r>
      </w:hyperlink>
      <w:r>
        <w:t xml:space="preserve">,</w:t>
      </w:r>
      <w:r>
        <w:t xml:space="preserve"> </w:t>
      </w:r>
      <w:hyperlink r:id="rId21">
        <w:r>
          <w:rPr>
            <w:rStyle w:val="Hyperlink"/>
          </w:rPr>
          <w:t xml:space="preserve">Solution architecture §8</w:t>
        </w:r>
      </w:hyperlink>
    </w:p>
    <w:bookmarkStart w:id="22" w:name="context-and-problem-statement"/>
    <w:p>
      <w:pPr>
        <w:pStyle w:val="Heading2"/>
      </w:pPr>
      <w:r>
        <w:t xml:space="preserve">Context and problem statement</w:t>
      </w:r>
    </w:p>
    <w:p>
      <w:pPr>
        <w:pStyle w:val="FirstParagraph"/>
      </w:pPr>
      <w:r>
        <w:t xml:space="preserve">Several reactions should not run inside the caller's request:</w:t>
      </w:r>
    </w:p>
    <w:p>
      <w:pPr>
        <w:numPr>
          <w:ilvl w:val="0"/>
          <w:numId w:val="1002"/>
        </w:numPr>
        <w:pStyle w:val="Compact"/>
      </w:pPr>
      <w:r>
        <w:t xml:space="preserve">re-scoring after ingestion, consent change or a call outcome;</w:t>
      </w:r>
    </w:p>
    <w:p>
      <w:pPr>
        <w:numPr>
          <w:ilvl w:val="0"/>
          <w:numId w:val="1002"/>
        </w:numPr>
        <w:pStyle w:val="Compact"/>
      </w:pPr>
      <w:r>
        <w:t xml:space="preserve">stopping journeys and sending confirmations after a policy is issued;</w:t>
      </w:r>
    </w:p>
    <w:p>
      <w:pPr>
        <w:numPr>
          <w:ilvl w:val="0"/>
          <w:numId w:val="1002"/>
        </w:numPr>
        <w:pStyle w:val="Compact"/>
      </w:pPr>
      <w:r>
        <w:t xml:space="preserve">sending a renewal link the customer asked for;</w:t>
      </w:r>
    </w:p>
    <w:p>
      <w:pPr>
        <w:numPr>
          <w:ilvl w:val="0"/>
          <w:numId w:val="1002"/>
        </w:numPr>
        <w:pStyle w:val="Compact"/>
      </w:pPr>
      <w:r>
        <w:t xml:space="preserve">invalidating the rules cache.</w:t>
      </w:r>
    </w:p>
    <w:p>
      <w:pPr>
        <w:pStyle w:val="FirstParagraph"/>
      </w:pPr>
      <w:r>
        <w:t xml:space="preserve">These reactions must not be lost if a downstream service or replica fails. A message broker (Kafka) is not yet operated by TASCO/VETC for this workload, and adding one for the pilot means more infrastructure to run and secure.</w:t>
      </w:r>
    </w:p>
    <w:bookmarkEnd w:id="22"/>
    <w:bookmarkStart w:id="23" w:name="decision-drivers"/>
    <w:p>
      <w:pPr>
        <w:pStyle w:val="Heading2"/>
      </w:pPr>
      <w:r>
        <w:t xml:space="preserve">Decision drivers</w:t>
      </w:r>
    </w:p>
    <w:p>
      <w:pPr>
        <w:numPr>
          <w:ilvl w:val="0"/>
          <w:numId w:val="1003"/>
        </w:numPr>
        <w:pStyle w:val="Compact"/>
      </w:pPr>
      <w:r>
        <w:t xml:space="preserve">At-least-once delivery that survives restarts.</w:t>
      </w:r>
    </w:p>
    <w:p>
      <w:pPr>
        <w:numPr>
          <w:ilvl w:val="0"/>
          <w:numId w:val="1003"/>
        </w:numPr>
        <w:pStyle w:val="Compact"/>
      </w:pPr>
      <w:r>
        <w:t xml:space="preserve">Run safely on N replicas without a leader.</w:t>
      </w:r>
    </w:p>
    <w:p>
      <w:pPr>
        <w:numPr>
          <w:ilvl w:val="0"/>
          <w:numId w:val="1003"/>
        </w:numPr>
        <w:pStyle w:val="Compact"/>
      </w:pPr>
      <w:r>
        <w:t xml:space="preserve">No new infrastructure for the pilot.</w:t>
      </w:r>
    </w:p>
    <w:p>
      <w:pPr>
        <w:numPr>
          <w:ilvl w:val="0"/>
          <w:numId w:val="1003"/>
        </w:numPr>
        <w:pStyle w:val="Compact"/>
      </w:pPr>
      <w:r>
        <w:t xml:space="preserve">Publishers must not change when a broker is introduced.</w:t>
      </w:r>
    </w:p>
    <w:bookmarkEnd w:id="23"/>
    <w:bookmarkStart w:id="24" w:name="considered-options"/>
    <w:p>
      <w:pPr>
        <w:pStyle w:val="Heading2"/>
      </w:pPr>
      <w:r>
        <w:t xml:space="preserve">Considered options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Outbox table in Postgres (</w:t>
      </w:r>
      <w:r>
        <w:rPr>
          <w:rStyle w:val="VerbatimChar"/>
          <w:bCs/>
          <w:b/>
        </w:rPr>
        <w:t xml:space="preserve">domain_events</w:t>
      </w:r>
      <w:r>
        <w:rPr>
          <w:bCs/>
          <w:b/>
        </w:rPr>
        <w:t xml:space="preserve">), relay that claims with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FOR UPDATE SKIP LOCKED</w:t>
      </w:r>
      <w:r>
        <w:rPr>
          <w:bCs/>
          <w:b/>
        </w:rPr>
        <w:t xml:space="preserve">, named idempotent subscribers, dead-letter after N attempts. Forward to a broker later.</w:t>
      </w:r>
    </w:p>
    <w:p>
      <w:pPr>
        <w:numPr>
          <w:ilvl w:val="0"/>
          <w:numId w:val="1004"/>
        </w:numPr>
        <w:pStyle w:val="Compact"/>
      </w:pPr>
      <w:r>
        <w:t xml:space="preserve">Kafka (or managed Pub/Sub / SNS+SQS) from day one.</w:t>
      </w:r>
    </w:p>
    <w:p>
      <w:pPr>
        <w:numPr>
          <w:ilvl w:val="0"/>
          <w:numId w:val="1004"/>
        </w:numPr>
        <w:pStyle w:val="Compact"/>
      </w:pPr>
      <w:r>
        <w:t xml:space="preserve">In-process</w:t>
      </w:r>
      <w:r>
        <w:t xml:space="preserve"> </w:t>
      </w:r>
      <w:r>
        <w:rPr>
          <w:rStyle w:val="VerbatimChar"/>
        </w:rPr>
        <w:t xml:space="preserve">EventEmitter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t xml:space="preserve">Postgres</w:t>
      </w:r>
      <w:r>
        <w:t xml:space="preserve"> </w:t>
      </w:r>
      <w:r>
        <w:rPr>
          <w:rStyle w:val="VerbatimChar"/>
        </w:rPr>
        <w:t xml:space="preserve">LISTEN/NOTIFY</w:t>
      </w:r>
      <w:r>
        <w:t xml:space="preserve">.</w:t>
      </w:r>
    </w:p>
    <w:bookmarkEnd w:id="24"/>
    <w:bookmarkStart w:id="26" w:name="decision-outcome"/>
    <w:p>
      <w:pPr>
        <w:pStyle w:val="Heading2"/>
      </w:pPr>
      <w:r>
        <w:t xml:space="preserve">Decision outcome</w:t>
      </w:r>
    </w:p>
    <w:p>
      <w:pPr>
        <w:pStyle w:val="FirstParagraph"/>
      </w:pPr>
      <w:r>
        <w:t xml:space="preserve">Chosen option:</w:t>
      </w:r>
      <w:r>
        <w:t xml:space="preserve"> </w:t>
      </w:r>
      <w:r>
        <w:rPr>
          <w:bCs/>
          <w:b/>
        </w:rPr>
        <w:t xml:space="preserve">1</w:t>
      </w:r>
      <w:r>
        <w:t xml:space="preserve">, implemented in</w:t>
      </w:r>
      <w:r>
        <w:t xml:space="preserve"> </w:t>
      </w:r>
      <w:r>
        <w:rPr>
          <w:rStyle w:val="VerbatimChar"/>
        </w:rPr>
        <w:t xml:space="preserve">src/adapters/messaging/outboxEventBus.js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postgresStore.claimEvents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publish(type, payload, {actor, correlationId})</w:t>
      </w:r>
      <w:r>
        <w:t xml:space="preserve"> </w:t>
      </w:r>
      <w:r>
        <w:t xml:space="preserve">inserts an event</w:t>
      </w:r>
      <w:r>
        <w:t xml:space="preserve"> </w:t>
      </w:r>
      <w:r>
        <w:rPr>
          <w:rStyle w:val="VerbatimChar"/>
        </w:rPr>
        <w:t xml:space="preserve">{id, type, payload, actor, correlationId, occurredAt, status: 'pending', attempts: 0}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claimEvents(limit)</w:t>
      </w:r>
      <w:r>
        <w:t xml:space="preserve"> </w:t>
      </w:r>
      <w:r>
        <w:t xml:space="preserve">runs in a short transaction:</w:t>
      </w:r>
      <w:r>
        <w:t xml:space="preserve"> </w:t>
      </w:r>
      <w:r>
        <w:rPr>
          <w:rStyle w:val="VerbatimChar"/>
        </w:rPr>
        <w:t xml:space="preserve">UPDATE domain_events SET status='processing' … WHERE id IN (SELECT id … WHERE status='pending' ORDER BY occurred_at LIMIT $1 FOR UPDATE SKIP LOCKED) RETURNING …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relay()</w:t>
      </w:r>
      <w:r>
        <w:t xml:space="preserve"> </w:t>
      </w:r>
      <w:r>
        <w:t xml:space="preserve">dispatches to the subscribers of that type and of</w:t>
      </w:r>
      <w:r>
        <w:t xml:space="preserve"> </w:t>
      </w:r>
      <w:r>
        <w:rPr>
          <w:rStyle w:val="VerbatimChar"/>
        </w:rPr>
        <w:t xml:space="preserve">*</w:t>
      </w:r>
      <w:r>
        <w:t xml:space="preserve">. It records successful handler names in</w:t>
      </w:r>
      <w:r>
        <w:t xml:space="preserve"> </w:t>
      </w:r>
      <w:r>
        <w:rPr>
          <w:rStyle w:val="VerbatimChar"/>
        </w:rPr>
        <w:t xml:space="preserve">handled[]</w:t>
      </w:r>
      <w:r>
        <w:t xml:space="preserve"> </w:t>
      </w:r>
      <w:r>
        <w:t xml:space="preserve">so a retry runs only the failed ones. It stops at the first failure. With</w:t>
      </w:r>
      <w:r>
        <w:t xml:space="preserve"> </w:t>
      </w:r>
      <w:r>
        <w:rPr>
          <w:rStyle w:val="VerbatimChar"/>
        </w:rPr>
        <w:t xml:space="preserve">attempts ≥ 5</w:t>
      </w:r>
      <w:r>
        <w:t xml:space="preserve"> </w:t>
      </w:r>
      <w:r>
        <w:t xml:space="preserve">the event becomes</w:t>
      </w:r>
      <w:r>
        <w:t xml:space="preserve"> </w:t>
      </w:r>
      <w:r>
        <w:rPr>
          <w:rStyle w:val="VerbatimChar"/>
        </w:rPr>
        <w:t xml:space="preserve">dead_letter</w:t>
      </w:r>
      <w:r>
        <w:t xml:space="preserve">, otherwise it goes back to</w:t>
      </w:r>
      <w:r>
        <w:t xml:space="preserve"> </w:t>
      </w:r>
      <w:r>
        <w:rPr>
          <w:rStyle w:val="VerbatimChar"/>
        </w:rPr>
        <w:t xml:space="preserve">pending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t xml:space="preserve">The relay is driven by three things:</w:t>
      </w:r>
    </w:p>
    <w:p>
      <w:pPr>
        <w:numPr>
          <w:ilvl w:val="1"/>
          <w:numId w:val="1006"/>
        </w:numPr>
        <w:pStyle w:val="Compact"/>
      </w:pPr>
      <w:r>
        <w:t xml:space="preserve">a 1 s interval in every API replica (</w:t>
      </w:r>
      <w:r>
        <w:rPr>
          <w:rStyle w:val="VerbatimChar"/>
        </w:rPr>
        <w:t xml:space="preserve">src/server.js</w:t>
      </w:r>
      <w:r>
        <w:t xml:space="preserve">);</w:t>
      </w:r>
    </w:p>
    <w:p>
      <w:pPr>
        <w:numPr>
          <w:ilvl w:val="1"/>
          <w:numId w:val="1006"/>
        </w:numPr>
        <w:pStyle w:val="Compact"/>
      </w:pPr>
      <w:r>
        <w:t xml:space="preserve">the</w:t>
      </w:r>
      <w:r>
        <w:t xml:space="preserve"> </w:t>
      </w:r>
      <w:r>
        <w:rPr>
          <w:rStyle w:val="VerbatimChar"/>
        </w:rPr>
        <w:t xml:space="preserve">relay</w:t>
      </w:r>
      <w:r>
        <w:t xml:space="preserve"> </w:t>
      </w:r>
      <w:r>
        <w:t xml:space="preserve">CronJob;</w:t>
      </w:r>
    </w:p>
    <w:p>
      <w:pPr>
        <w:numPr>
          <w:ilvl w:val="1"/>
          <w:numId w:val="1006"/>
        </w:numPr>
        <w:pStyle w:val="Compact"/>
      </w:pPr>
      <w:r>
        <w:rPr>
          <w:rStyle w:val="VerbatimChar"/>
        </w:rPr>
        <w:t xml:space="preserve">events.drain()</w:t>
      </w:r>
      <w:r>
        <w:t xml:space="preserve"> </w:t>
      </w:r>
      <w:r>
        <w:t xml:space="preserve">at the end of interactive requests that need read-your-writes.</w:t>
      </w:r>
    </w:p>
    <w:bookmarkStart w:id="25" w:name="consequences"/>
    <w:p>
      <w:pPr>
        <w:pStyle w:val="Heading3"/>
      </w:pPr>
      <w:r>
        <w:t xml:space="preserve">Consequences</w:t>
      </w:r>
    </w:p>
    <w:p>
      <w:pPr>
        <w:numPr>
          <w:ilvl w:val="0"/>
          <w:numId w:val="1007"/>
        </w:numPr>
        <w:pStyle w:val="Compact"/>
      </w:pPr>
      <w:r>
        <w:t xml:space="preserve">Good: no broker to operate. The relay scales horizontally, and events are queryable with SQL (</w:t>
      </w:r>
      <w:r>
        <w:rPr>
          <w:rStyle w:val="VerbatimChar"/>
        </w:rPr>
        <w:t xml:space="preserve">/api/ops/status</w:t>
      </w:r>
      <w:r>
        <w:t xml:space="preserve"> </w:t>
      </w:r>
      <w:r>
        <w:t xml:space="preserve">shows the backlog by status).</w:t>
      </w:r>
    </w:p>
    <w:p>
      <w:pPr>
        <w:numPr>
          <w:ilvl w:val="0"/>
          <w:numId w:val="1007"/>
        </w:numPr>
        <w:pStyle w:val="Compact"/>
      </w:pPr>
      <w:r>
        <w:t xml:space="preserve">Good: when a broker arrives, the relay becomes a forwarder (outbox → topic) and subscribers become consumers.</w:t>
      </w:r>
      <w:r>
        <w:t xml:space="preserve"> </w:t>
      </w:r>
      <w:r>
        <w:rPr>
          <w:rStyle w:val="VerbatimChar"/>
        </w:rPr>
        <w:t xml:space="preserve">events.publish</w:t>
      </w:r>
      <w:r>
        <w:t xml:space="preserve"> </w:t>
      </w:r>
      <w:r>
        <w:t xml:space="preserve">call sites do not change.</w:t>
      </w:r>
    </w:p>
    <w:p>
      <w:pPr>
        <w:numPr>
          <w:ilvl w:val="0"/>
          <w:numId w:val="1007"/>
        </w:numPr>
        <w:pStyle w:val="Compact"/>
      </w:pPr>
      <w:r>
        <w:t xml:space="preserve">Bad / gaps (honest list):</w:t>
      </w:r>
    </w:p>
    <w:p>
      <w:pPr>
        <w:numPr>
          <w:ilvl w:val="1"/>
          <w:numId w:val="1008"/>
        </w:numPr>
        <w:pStyle w:val="Compact"/>
      </w:pPr>
      <w:r>
        <w:rPr>
          <w:bCs/>
          <w:b/>
        </w:rPr>
        <w:t xml:space="preserve">It is not yet transactional with the state change.</w:t>
      </w:r>
      <w:r>
        <w:t xml:space="preserve"> </w:t>
      </w:r>
      <w:r>
        <w:rPr>
          <w:rStyle w:val="VerbatimChar"/>
        </w:rPr>
        <w:t xml:space="preserve">publish()</w:t>
      </w:r>
      <w:r>
        <w:t xml:space="preserve"> </w:t>
      </w:r>
      <w:r>
        <w:t xml:space="preserve">is a separate insert after the business write. A crash between the two loses the event while the state change persists. The reverse case cannot occur, because the event is written after the state.</w:t>
      </w:r>
      <w:r>
        <w:t xml:space="preserve"> </w:t>
      </w:r>
      <w:r>
        <w:rPr>
          <w:bCs/>
          <w:b/>
        </w:rPr>
        <w:t xml:space="preserve">Fix:</w:t>
      </w:r>
      <w:r>
        <w:t xml:space="preserve"> </w:t>
      </w:r>
      <w:r>
        <w:t xml:space="preserve">run use cases inside</w:t>
      </w:r>
      <w:r>
        <w:t xml:space="preserve"> </w:t>
      </w:r>
      <w:r>
        <w:rPr>
          <w:rStyle w:val="VerbatimChar"/>
        </w:rPr>
        <w:t xml:space="preserve">store.transaction(tx =&gt; …)</w:t>
      </w:r>
      <w:r>
        <w:t xml:space="preserve"> </w:t>
      </w:r>
      <w:r>
        <w:t xml:space="preserve">with a transactional event bus bound to</w:t>
      </w:r>
      <w:r>
        <w:t xml:space="preserve"> </w:t>
      </w:r>
      <w:r>
        <w:rPr>
          <w:rStyle w:val="VerbatimChar"/>
        </w:rPr>
        <w:t xml:space="preserve">tx</w:t>
      </w:r>
      <w:r>
        <w:t xml:space="preserve"> </w:t>
      </w:r>
      <w:r>
        <w:t xml:space="preserve">(the port already exists).</w:t>
      </w:r>
    </w:p>
    <w:p>
      <w:pPr>
        <w:numPr>
          <w:ilvl w:val="1"/>
          <w:numId w:val="1008"/>
        </w:numPr>
        <w:pStyle w:val="Compact"/>
      </w:pPr>
      <w:r>
        <w:rPr>
          <w:bCs/>
          <w:b/>
        </w:rPr>
        <w:t xml:space="preserve">Stuck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processing</w:t>
      </w:r>
      <w:r>
        <w:rPr>
          <w:bCs/>
          <w:b/>
        </w:rPr>
        <w:t xml:space="preserve"> </w:t>
      </w:r>
      <w:r>
        <w:rPr>
          <w:bCs/>
          <w:b/>
        </w:rPr>
        <w:t xml:space="preserve">rows.</w:t>
      </w:r>
      <w:r>
        <w:t xml:space="preserve"> </w:t>
      </w:r>
      <w:r>
        <w:t xml:space="preserve">If a relay process dies after the claim commits and before the final upsert, the event stays</w:t>
      </w:r>
      <w:r>
        <w:t xml:space="preserve"> </w:t>
      </w:r>
      <w:r>
        <w:rPr>
          <w:rStyle w:val="VerbatimChar"/>
        </w:rPr>
        <w:t xml:space="preserve">processing</w:t>
      </w:r>
      <w:r>
        <w:t xml:space="preserve"> </w:t>
      </w:r>
      <w:r>
        <w:t xml:space="preserve">forever.</w:t>
      </w:r>
      <w:r>
        <w:t xml:space="preserve"> </w:t>
      </w:r>
      <w:r>
        <w:rPr>
          <w:bCs/>
          <w:b/>
        </w:rPr>
        <w:t xml:space="preserve">Fix: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claimed_at</w:t>
      </w:r>
      <w:r>
        <w:t xml:space="preserve"> </w:t>
      </w:r>
      <w:r>
        <w:t xml:space="preserve">and a lease.</w:t>
      </w:r>
      <w:r>
        <w:t xml:space="preserve"> </w:t>
      </w:r>
      <w:r>
        <w:rPr>
          <w:rStyle w:val="VerbatimChar"/>
        </w:rPr>
        <w:t xml:space="preserve">claimEvents</w:t>
      </w:r>
      <w:r>
        <w:t xml:space="preserve"> </w:t>
      </w:r>
      <w:r>
        <w:t xml:space="preserve">should also reclaim</w:t>
      </w:r>
      <w:r>
        <w:t xml:space="preserve"> </w:t>
      </w:r>
      <w:r>
        <w:rPr>
          <w:rStyle w:val="VerbatimChar"/>
        </w:rPr>
        <w:t xml:space="preserve">processing</w:t>
      </w:r>
      <w:r>
        <w:t xml:space="preserve"> </w:t>
      </w:r>
      <w:r>
        <w:t xml:space="preserve">rows older than the lease (for example 5 min). Alert on the age of the oldest</w:t>
      </w:r>
      <w:r>
        <w:t xml:space="preserve"> </w:t>
      </w:r>
      <w:r>
        <w:rPr>
          <w:rStyle w:val="VerbatimChar"/>
        </w:rPr>
        <w:t xml:space="preserve">processing</w:t>
      </w:r>
      <w:r>
        <w:t xml:space="preserve"> </w:t>
      </w:r>
      <w:r>
        <w:t xml:space="preserve">row.</w:t>
      </w:r>
    </w:p>
    <w:p>
      <w:pPr>
        <w:numPr>
          <w:ilvl w:val="1"/>
          <w:numId w:val="1008"/>
        </w:numPr>
        <w:pStyle w:val="Compact"/>
      </w:pPr>
      <w:r>
        <w:rPr>
          <w:bCs/>
          <w:b/>
        </w:rPr>
        <w:t xml:space="preserve">No backoff between attempts.</w:t>
      </w:r>
      <w:r>
        <w:t xml:space="preserve"> </w:t>
      </w:r>
      <w:r>
        <w:t xml:space="preserve">A failed event is retried on the next relay tick (about 1 s), so 5 attempts can be used up in seconds during a short outage.</w:t>
      </w:r>
      <w:r>
        <w:t xml:space="preserve"> </w:t>
      </w:r>
      <w:r>
        <w:rPr>
          <w:bCs/>
          <w:b/>
        </w:rPr>
        <w:t xml:space="preserve">Fix:</w:t>
      </w:r>
      <w:r>
        <w:t xml:space="preserve"> </w:t>
      </w:r>
      <w:r>
        <w:rPr>
          <w:rStyle w:val="VerbatimChar"/>
        </w:rPr>
        <w:t xml:space="preserve">next_attempt_at = now() + 2^attempts × base</w:t>
      </w:r>
      <w:r>
        <w:t xml:space="preserve">.</w:t>
      </w:r>
    </w:p>
    <w:p>
      <w:pPr>
        <w:numPr>
          <w:ilvl w:val="1"/>
          <w:numId w:val="1008"/>
        </w:numPr>
        <w:pStyle w:val="Compact"/>
      </w:pPr>
      <w:r>
        <w:rPr>
          <w:bCs/>
          <w:b/>
        </w:rPr>
        <w:t xml:space="preserve">Ordering</w:t>
      </w:r>
      <w:r>
        <w:t xml:space="preserve"> </w:t>
      </w:r>
      <w:r>
        <w:t xml:space="preserve">is by</w:t>
      </w:r>
      <w:r>
        <w:t xml:space="preserve"> </w:t>
      </w:r>
      <w:r>
        <w:rPr>
          <w:rStyle w:val="VerbatimChar"/>
        </w:rPr>
        <w:t xml:space="preserve">occurred_at</w:t>
      </w:r>
      <w:r>
        <w:t xml:space="preserve"> </w:t>
      </w:r>
      <w:r>
        <w:t xml:space="preserve">per claim batch only. Handlers must not assume ordering across events. Current handlers recompute from state, so they are order-insensitive.</w:t>
      </w:r>
    </w:p>
    <w:p>
      <w:pPr>
        <w:numPr>
          <w:ilvl w:val="1"/>
          <w:numId w:val="1008"/>
        </w:numPr>
        <w:pStyle w:val="Compact"/>
      </w:pPr>
      <w:r>
        <w:rPr>
          <w:bCs/>
          <w:b/>
        </w:rPr>
        <w:t xml:space="preserve">Growth.</w:t>
      </w:r>
      <w:r>
        <w:t xml:space="preserve"> </w:t>
      </w:r>
      <w:r>
        <w:rPr>
          <w:rStyle w:val="VerbatimChar"/>
        </w:rPr>
        <w:t xml:space="preserve">done</w:t>
      </w:r>
      <w:r>
        <w:t xml:space="preserve"> </w:t>
      </w:r>
      <w:r>
        <w:t xml:space="preserve">rows are never purged. Add</w:t>
      </w:r>
      <w:r>
        <w:t xml:space="preserve"> </w:t>
      </w:r>
      <w:r>
        <w:rPr>
          <w:rStyle w:val="VerbatimChar"/>
        </w:rPr>
        <w:t xml:space="preserve">domain_events</w:t>
      </w:r>
      <w:r>
        <w:t xml:space="preserve"> </w:t>
      </w:r>
      <w:r>
        <w:t xml:space="preserve">to the retention job (for example 30 days) or use monthly partitions.</w:t>
      </w:r>
    </w:p>
    <w:p>
      <w:pPr>
        <w:numPr>
          <w:ilvl w:val="1"/>
          <w:numId w:val="1008"/>
        </w:numPr>
        <w:pStyle w:val="Compact"/>
      </w:pPr>
      <w:r>
        <w:t xml:space="preserve">Some side-effecting handlers (</w:t>
      </w:r>
      <w:r>
        <w:rPr>
          <w:rStyle w:val="VerbatimChar"/>
        </w:rPr>
        <w:t xml:space="preserve">send-link</w:t>
      </w:r>
      <w:r>
        <w:t xml:space="preserve">, the confirmation message) create a new message id per execution, so a replay after partial failure could send twice.</w:t>
      </w:r>
      <w:r>
        <w:t xml:space="preserve"> </w:t>
      </w:r>
      <w:r>
        <w:rPr>
          <w:bCs/>
          <w:b/>
        </w:rPr>
        <w:t xml:space="preserve">Fix:</w:t>
      </w:r>
      <w:r>
        <w:t xml:space="preserve"> </w:t>
      </w:r>
      <w:r>
        <w:t xml:space="preserve">derive the message id from</w:t>
      </w:r>
      <w:r>
        <w:t xml:space="preserve"> </w:t>
      </w:r>
      <w:r>
        <w:rPr>
          <w:rStyle w:val="VerbatimChar"/>
        </w:rPr>
        <w:t xml:space="preserve">eventId + channel</w:t>
      </w:r>
      <w:r>
        <w:t xml:space="preserve">.</w:t>
      </w:r>
    </w:p>
    <w:bookmarkEnd w:id="25"/>
    <w:bookmarkEnd w:id="26"/>
    <w:bookmarkStart w:id="27" w:name="pros-and-cons-of-the-options"/>
    <w:p>
      <w:pPr>
        <w:pStyle w:val="Heading2"/>
      </w:pPr>
      <w:r>
        <w:t xml:space="preserve">Pros and cons of the options</w:t>
      </w:r>
    </w:p>
    <w:p>
      <w:pPr>
        <w:pStyle w:val="FirstParagraph"/>
      </w:pPr>
      <w:r>
        <w:rPr>
          <w:bCs/>
          <w:b/>
        </w:rPr>
        <w:t xml:space="preserve">Kafka from day one.</w:t>
      </w:r>
      <w:r>
        <w:t xml:space="preserve"> </w:t>
      </w:r>
      <w:r>
        <w:t xml:space="preserve">Durable, replayable, high-throughput. However, it is heavy to operate for pilot volumes, and it still needs an outbox to avoid dual writes.</w:t>
      </w:r>
    </w:p>
    <w:p>
      <w:pPr>
        <w:pStyle w:val="BodyText"/>
      </w:pPr>
      <w:r>
        <w:rPr>
          <w:rStyle w:val="VerbatimChar"/>
          <w:bCs/>
          <w:b/>
        </w:rPr>
        <w:t xml:space="preserve">EventEmitter</w:t>
      </w:r>
      <w:r>
        <w:rPr>
          <w:bCs/>
          <w:b/>
        </w:rPr>
        <w:t xml:space="preserve">.</w:t>
      </w:r>
      <w:r>
        <w:t xml:space="preserve"> </w:t>
      </w:r>
      <w:r>
        <w:t xml:space="preserve">Trivial. However, events are lost on crash and it does not work across replicas.</w:t>
      </w:r>
    </w:p>
    <w:p>
      <w:pPr>
        <w:pStyle w:val="BodyText"/>
      </w:pPr>
      <w:r>
        <w:rPr>
          <w:rStyle w:val="VerbatimChar"/>
          <w:bCs/>
          <w:b/>
        </w:rPr>
        <w:t xml:space="preserve">LISTEN/NOTIFY</w:t>
      </w:r>
      <w:r>
        <w:rPr>
          <w:bCs/>
          <w:b/>
        </w:rPr>
        <w:t xml:space="preserve">.</w:t>
      </w:r>
      <w:r>
        <w:t xml:space="preserve"> </w:t>
      </w:r>
      <w:r>
        <w:t xml:space="preserve">Low latency. However, it is not durable (notifications are lost while disconnected), so a table is still needed. It can be added later as a wake-up hint for the relay.</w:t>
      </w:r>
    </w:p>
    <w:bookmarkEnd w:id="27"/>
    <w:sectPr>
      <w:headerReference r:id="rId9" w:type="default"/>
      <w:footerReference r:id="rId10" w:type="default"/>
      <w:pgSz w:h="16838" w:w="11906"/>
      <w:pgMar w:bottom="1020" w:left="1020" w:right="1020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sz w:val="16"/>
      </w:rPr>
      <w:t xml:space="preserve">Prepared by iorta TechNXT · Confidential · Page </w:t>
    </w:r>
    <w:r>
      <w:rPr>
        <w:sz w:val="16"/>
      </w:rPr>
      <w:fldChar w:fldCharType="begin"/>
      <w:instrText>PAGE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213368"/>
        <w:sz w:val="16"/>
      </w:rPr>
      <w:t>TASCO Insurance × VETC — Growth Platform</w:t>
    </w:r>
  </w:p>
</w:hdr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cs="Arial" w:eastAsia="Arial" w:hAnsi="Arial"/>
      <w:color w:val="121A33"/>
      <w:sz w:val="21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Arial" w:cs="Arial" w:eastAsia="Arial" w:hAnsi="Arial"/>
      <w:color w:val="121A33"/>
      <w:sz w:val="21"/>
    </w:rPr>
  </w:style>
  <w:style w:customStyle="1" w:styleId="FirstParagraph" w:type="paragraph">
    <w:name w:val="First Paragraph"/>
    <w:basedOn w:val="BodyText"/>
    <w:next w:val="BodyText"/>
    <w:qFormat/>
    <w:rPr>
      <w:rFonts w:ascii="Arial" w:cs="Arial" w:eastAsia="Arial" w:hAnsi="Arial"/>
      <w:color w:val="121A33"/>
      <w:sz w:val="21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Arial" w:cs="Arial" w:eastAsia="Arial" w:hAnsi="Arial"/>
      <w:color w:val="121A33"/>
      <w:sz w:val="21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Arial" w:asciiTheme="majorHAnsi" w:cs="Arial" w:cstheme="majorBidi" w:eastAsia="Arial" w:eastAsiaTheme="majorEastAsia" w:hAnsi="Arial" w:hAnsiTheme="majorHAnsi"/>
      <w:b/>
      <w:bCs/>
      <w:color w:val="213368"/>
      <w:sz w:val="48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Arial" w:cs="Arial" w:eastAsia="Arial" w:hAnsi="Arial"/>
      <w:b w:val="0"/>
      <w:color w:val="0B6B66"/>
      <w:sz w:val="26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Arial" w:cs="Arial" w:eastAsia="Arial" w:hAnsi="Arial"/>
      <w:color w:val="121A33"/>
      <w:sz w:val="21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rPr>
      <w:rFonts w:ascii="Arial" w:cs="Arial" w:eastAsia="Arial" w:hAnsi="Arial"/>
      <w:sz w:val="18"/>
    </w:rPr>
    <w:tblPr>
      <w:tblInd w:type="dxa" w:w="0"/>
      <w:tblCellMar>
        <w:top w:type="dxa" w:w="0"/>
        <w:left w:type="dxa" w:w="108"/>
        <w:bottom w:type="dxa" w:w="0"/>
        <w:right w:type="dxa" w:w="108"/>
      </w:tblCellMar>
      <w:tblBorders>
        <w:top w:color="C9D1E0" w:sz="4" w:val="single"/>
        <w:left w:color="C9D1E0" w:sz="4" w:val="single"/>
        <w:bottom w:color="C9D1E0" w:sz="4" w:val="single"/>
        <w:right w:color="C9D1E0" w:sz="4" w:val="single"/>
        <w:insideH w:color="C9D1E0" w:sz="4" w:val="single"/>
        <w:insideV w:color="C9D1E0" w:sz="4" w:val="single"/>
      </w:tblBorders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cs="Consolas" w:eastAsia="Consolas" w:hAnsi="Consolas"/>
      <w:sz w:val="17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val="0B6B66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21" Type="http://schemas.openxmlformats.org/officeDocument/2006/relationships/hyperlink" Target="../solution-architecture.docx" TargetMode="External"/><Relationship Id="rId20" Type="http://schemas.openxmlformats.org/officeDocument/2006/relationships/hyperlink" Target="ADR-004-persistence.docx" TargetMode="External"/></Relationships>
</file>

<file path=word/_rels/footnotes.xml.rels><?xml version='1.0' encoding='UTF-8' standalone='yes'?>
<Relationships xmlns="http://schemas.openxmlformats.org/package/2006/relationships"><Relationship Id="rId21" Type="http://schemas.openxmlformats.org/officeDocument/2006/relationships/hyperlink" Target="../solution-architecture.docx" TargetMode="External"/><Relationship Id="rId20" Type="http://schemas.openxmlformats.org/officeDocument/2006/relationships/hyperlink" Target="ADR-004-persistence.doc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ADR-005: Outbox table with a `SKIP LOCKED` relay now; message broker later</dc:title>
  <dc:creator>iorta TechNXT</dc:creator>
  <cp:keywords/>
  <dcterms:created xsi:type="dcterms:W3CDTF">2026-10-07T17:45:14Z</dcterms:created>
  <dcterms:modified xsi:type="dcterms:W3CDTF">2026-10-07T17:45:14Z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Version 1.0 · 07 October 2026</vt:lpwstr>
  </property>
  <property fmtid="{D5CDD505-2E9C-101B-9397-08002B2CF9AE}" pid="3" name="subtitle">
    <vt:lpwstr>TASCO Insurance × VETC Growth Platform — Architecture Decision Record</vt:lpwstr>
  </property>
</Properties>
</file>