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ADR-006: Field-level encryption (AES-256-GCM, key ids) + HMAC blind index</w:t>
      </w:r>
    </w:p>
    <w:p>
      <w:pPr>
        <w:pStyle w:val="Subtitle"/>
      </w:pPr>
      <w:r>
        <w:t xml:space="preserve">TASCO Insurance × VETC Growth Platform — Architecture Decision Record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2026-10-07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ADR-004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Security architecture §9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Data architecture</w:t>
        </w:r>
      </w:hyperlink>
    </w:p>
    <w:bookmarkStart w:id="23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The platform holds personal data on millions of Vietnamese vehicle owners: names, phone numbers, call transcripts, claim descriptions and locations, and staff TOTP secrets. Vietnam's personal data protection regime requires appropriate technical protection of personal data: Decree 13/2023/ND-CP and the Law on Personal Data Protection (Law No. 91/2025/QH15, effective 1 Jan 2026) (</w:t>
      </w:r>
      <w:r>
        <w:rPr>
          <w:bCs/>
          <w:b/>
        </w:rPr>
        <w:t xml:space="preserve">confirm with TASCO legal</w:t>
      </w:r>
      <w:r>
        <w:t xml:space="preserve">). Disk and TDE encryption alone do not protect against:</w:t>
      </w:r>
    </w:p>
    <w:p>
      <w:pPr>
        <w:numPr>
          <w:ilvl w:val="0"/>
          <w:numId w:val="1002"/>
        </w:numPr>
        <w:pStyle w:val="Compact"/>
      </w:pPr>
      <w:r>
        <w:t xml:space="preserve">a database operator or DBA reading data;</w:t>
      </w:r>
    </w:p>
    <w:p>
      <w:pPr>
        <w:numPr>
          <w:ilvl w:val="0"/>
          <w:numId w:val="1002"/>
        </w:numPr>
        <w:pStyle w:val="Compact"/>
      </w:pPr>
      <w:r>
        <w:t xml:space="preserve">leaked backups or replicas;</w:t>
      </w:r>
    </w:p>
    <w:p>
      <w:pPr>
        <w:numPr>
          <w:ilvl w:val="0"/>
          <w:numId w:val="1002"/>
        </w:numPr>
        <w:pStyle w:val="Compact"/>
      </w:pPr>
      <w:r>
        <w:t xml:space="preserve">SQL-level exfiltration through a compromised read path.</w:t>
      </w:r>
    </w:p>
    <w:p>
      <w:pPr>
        <w:pStyle w:val="FirstParagraph"/>
      </w:pPr>
      <w:r>
        <w:t xml:space="preserve">Equality lookup by phone is still needed, for example to match an inbound call or a duplicate-detection key.</w:t>
      </w:r>
    </w:p>
    <w:bookmarkEnd w:id="23"/>
    <w:bookmarkStart w:id="25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3"/>
        </w:numPr>
        <w:pStyle w:val="Compact"/>
      </w:pPr>
      <w:r>
        <w:t xml:space="preserve">PII must be unreadable at rest without the application key, including in backups, replicas and BI extracts.</w:t>
      </w:r>
    </w:p>
    <w:p>
      <w:pPr>
        <w:numPr>
          <w:ilvl w:val="0"/>
          <w:numId w:val="1003"/>
        </w:numPr>
        <w:pStyle w:val="Compact"/>
      </w:pPr>
      <w:r>
        <w:t xml:space="preserve">Keys must be rotatable without downtime.</w:t>
      </w:r>
    </w:p>
    <w:p>
      <w:pPr>
        <w:numPr>
          <w:ilvl w:val="0"/>
          <w:numId w:val="1003"/>
        </w:numPr>
        <w:pStyle w:val="Compact"/>
      </w:pPr>
      <w:r>
        <w:t xml:space="preserve">Equality search on selected PII must be possible without decryption.</w:t>
      </w:r>
    </w:p>
    <w:p>
      <w:pPr>
        <w:numPr>
          <w:ilvl w:val="0"/>
          <w:numId w:val="1003"/>
        </w:numPr>
        <w:pStyle w:val="Compact"/>
      </w:pPr>
      <w:r>
        <w:t xml:space="preserve">No third-party crypto library (</w:t>
      </w:r>
      <w:hyperlink r:id="rId24">
        <w:r>
          <w:rPr>
            <w:rStyle w:val="Hyperlink"/>
          </w:rPr>
          <w:t xml:space="preserve">ADR-002</w:t>
        </w:r>
      </w:hyperlink>
      <w:r>
        <w:t xml:space="preserve">).</w:t>
      </w:r>
    </w:p>
    <w:bookmarkEnd w:id="25"/>
    <w:bookmarkStart w:id="26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Application-level AES-256-GCM per field with key ids in the ciphertext, plus HMAC-SHA256 blind index columns.</w:t>
      </w:r>
    </w:p>
    <w:p>
      <w:pPr>
        <w:numPr>
          <w:ilvl w:val="0"/>
          <w:numId w:val="1004"/>
        </w:numPr>
        <w:pStyle w:val="Compact"/>
      </w:pPr>
      <w:r>
        <w:t xml:space="preserve">Storage/TDE encryption only (managed disk encryption).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pgcrypto</w:t>
      </w:r>
      <w:r>
        <w:t xml:space="preserve"> </w:t>
      </w:r>
      <w:r>
        <w:t xml:space="preserve">in the database.</w:t>
      </w:r>
    </w:p>
    <w:p>
      <w:pPr>
        <w:numPr>
          <w:ilvl w:val="0"/>
          <w:numId w:val="1004"/>
        </w:numPr>
        <w:pStyle w:val="Compact"/>
      </w:pPr>
      <w:r>
        <w:t xml:space="preserve">A cloud KMS envelope per record (encrypt via a KMS API call).</w:t>
      </w:r>
    </w:p>
    <w:bookmarkEnd w:id="26"/>
    <w:bookmarkStart w:id="29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rPr>
          <w:bCs/>
          <w:b/>
        </w:rPr>
        <w:t xml:space="preserve">1</w:t>
      </w:r>
      <w:r>
        <w:t xml:space="preserve">, with infrastructure encryption at rest</w:t>
      </w:r>
      <w:r>
        <w:t xml:space="preserve"> </w:t>
      </w:r>
      <w:r>
        <w:rPr>
          <w:bCs/>
          <w:b/>
        </w:rPr>
        <w:t xml:space="preserve">in addition</w:t>
      </w:r>
      <w:r>
        <w:t xml:space="preserve"> </w:t>
      </w:r>
      <w:r>
        <w:t xml:space="preserve">(managed Postgres storage encryption and TLS in transit).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Format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src/shared/crypto.js#createFieldCipher</w:t>
      </w:r>
      <w:r>
        <w:t xml:space="preserve">):</w:t>
      </w:r>
      <w:r>
        <w:t xml:space="preserve"> </w:t>
      </w:r>
      <w:r>
        <w:rPr>
          <w:rStyle w:val="VerbatimChar"/>
        </w:rPr>
        <w:t xml:space="preserve">enc:v1:&lt;keyId&gt;:&lt;base64(iv[12] ‖ tag[16] ‖ ciphertext)&gt;</w:t>
      </w:r>
      <w:r>
        <w:t xml:space="preserve">. The IV is random per encryption. The plaintext is</w:t>
      </w:r>
      <w:r>
        <w:t xml:space="preserve"> </w:t>
      </w:r>
      <w:r>
        <w:rPr>
          <w:rStyle w:val="VerbatimChar"/>
        </w:rPr>
        <w:t xml:space="preserve">JSON.stringify(value)</w:t>
      </w:r>
      <w:r>
        <w:t xml:space="preserve">, so arrays and objects work, for example</w:t>
      </w:r>
      <w:r>
        <w:t xml:space="preserve"> </w:t>
      </w:r>
      <w:r>
        <w:rPr>
          <w:rStyle w:val="VerbatimChar"/>
        </w:rPr>
        <w:t xml:space="preserve">altPhones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transcript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Keys.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DATA_KEYS="k1:&lt;b64 32B&gt;,k2:&lt;b64 32B&gt;"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DATA_KEYS_FILE</w:t>
      </w:r>
      <w:r>
        <w:t xml:space="preserve">). The active key is</w:t>
      </w:r>
      <w:r>
        <w:t xml:space="preserve"> </w:t>
      </w:r>
      <w:r>
        <w:rPr>
          <w:rStyle w:val="VerbatimChar"/>
        </w:rPr>
        <w:t xml:space="preserve">DATA_KEY_ACTIVE</w:t>
      </w:r>
      <w:r>
        <w:t xml:space="preserve">, defaulting to the last listed key.</w:t>
      </w:r>
    </w:p>
    <w:p>
      <w:pPr>
        <w:numPr>
          <w:ilvl w:val="1"/>
          <w:numId w:val="1006"/>
        </w:numPr>
        <w:pStyle w:val="Compact"/>
      </w:pPr>
      <w:r>
        <w:t xml:space="preserve">Production refuses to start without keys (</w:t>
      </w:r>
      <w:r>
        <w:rPr>
          <w:rStyle w:val="VerbatimChar"/>
        </w:rPr>
        <w:t xml:space="preserve">src/shared/config.js</w:t>
      </w:r>
      <w:r>
        <w:t xml:space="preserve">). Each key must decode to exactly 32 bytes.</w:t>
      </w:r>
    </w:p>
    <w:p>
      <w:pPr>
        <w:numPr>
          <w:ilvl w:val="1"/>
          <w:numId w:val="1006"/>
        </w:numPr>
        <w:pStyle w:val="Compact"/>
      </w:pPr>
      <w:r>
        <w:t xml:space="preserve">Decryption selects the key by the id embedded in the value.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Rotation.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k2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DATA_KEYS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DATA_KEY_ACTIVE=k2</w:t>
      </w:r>
      <w:r>
        <w:t xml:space="preserve">. New writes use k2 and old values still decrypt with k1. Records re-encrypt lazily on their next write. Once a</w:t>
      </w:r>
      <w:r>
        <w:t xml:space="preserve"> </w:t>
      </w:r>
      <w:r>
        <w:rPr>
          <w:bCs/>
          <w:b/>
        </w:rPr>
        <w:t xml:space="preserve">re-key job</w:t>
      </w:r>
      <w:r>
        <w:t xml:space="preserve"> </w:t>
      </w:r>
      <w:r>
        <w:t xml:space="preserve">has rewritten all rows, remove k1. The re-key job is</w:t>
      </w:r>
      <w:r>
        <w:t xml:space="preserve"> </w:t>
      </w:r>
      <w:r>
        <w:rPr>
          <w:bCs/>
          <w:b/>
        </w:rPr>
        <w:t xml:space="preserve">planned</w:t>
      </w:r>
      <w:r>
        <w:t xml:space="preserve">: iterate each collection with keyset paging and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each document.</w:t>
      </w:r>
      <w:r>
        <w:t xml:space="preserve"> </w:t>
      </w:r>
      <w:r>
        <w:rPr>
          <w:rStyle w:val="VerbatimChar"/>
        </w:rPr>
        <w:t xml:space="preserve">cipher.keyIdOf()</w:t>
      </w:r>
      <w:r>
        <w:t xml:space="preserve"> </w:t>
      </w:r>
      <w:r>
        <w:t xml:space="preserve">already exists for progress reporting.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Fields encrypted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schema.js</w:t>
      </w:r>
      <w:r>
        <w:t xml:space="preserve"> </w:t>
      </w:r>
      <w:r>
        <w:rPr>
          <w:rStyle w:val="VerbatimChar"/>
        </w:rPr>
        <w:t xml:space="preserve">pii</w:t>
      </w:r>
      <w:r>
        <w:t xml:space="preserve">):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source_records.{phoneRaw, fullName}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profiles.{name, phone, altPhones}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messages.to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voice_sessions.transcript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handoffs.name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claims.{description, location}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users.{totpSecret, displayName}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Blind index.</w:t>
      </w:r>
      <w:r>
        <w:t xml:space="preserve"> </w:t>
      </w:r>
      <w:r>
        <w:rPr>
          <w:rStyle w:val="VerbatimChar"/>
        </w:rPr>
        <w:t xml:space="preserve">profiles.phone_bidx = HMAC-SHA256(BLIND_INDEX_KEY, lower(phone))</w:t>
      </w:r>
      <w:r>
        <w:t xml:space="preserve">. It is a separate key, so it does not encrypt and is not derived from a data key. It is computed in</w:t>
      </w:r>
      <w:r>
        <w:t xml:space="preserve"> </w:t>
      </w:r>
      <w:r>
        <w:rPr>
          <w:rStyle w:val="VerbatimChar"/>
        </w:rPr>
        <w:t xml:space="preserve">codec.encode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Indexed columns</w:t>
      </w:r>
      <w:r>
        <w:t xml:space="preserve"> </w:t>
      </w:r>
      <w:r>
        <w:t xml:space="preserve">are never PII by convention. They hold region, dates, status, scores and the plate key (see the note below).</w:t>
      </w:r>
    </w:p>
    <w:bookmarkStart w:id="28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8"/>
        </w:numPr>
        <w:pStyle w:val="Compact"/>
      </w:pPr>
      <w:r>
        <w:t xml:space="preserve">Good: DB dumps, replicas and logs contain ciphertext for PII. The JSON logger additionally redacts PII keys (</w:t>
      </w:r>
      <w:r>
        <w:rPr>
          <w:rStyle w:val="VerbatimChar"/>
        </w:rPr>
        <w:t xml:space="preserve">src/shared/logger.js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Good: rotation does not stop the platform.</w:t>
      </w:r>
    </w:p>
    <w:p>
      <w:pPr>
        <w:numPr>
          <w:ilvl w:val="0"/>
          <w:numId w:val="1008"/>
        </w:numPr>
        <w:pStyle w:val="Compact"/>
      </w:pPr>
      <w:r>
        <w:t xml:space="preserve">Bad: no range, prefix or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search on encrypted fields. This is acceptable because search is by plate.</w:t>
      </w:r>
    </w:p>
    <w:p>
      <w:pPr>
        <w:numPr>
          <w:ilvl w:val="0"/>
          <w:numId w:val="1008"/>
        </w:numPr>
        <w:pStyle w:val="Compact"/>
      </w:pPr>
      <w:r>
        <w:t xml:space="preserve">Bad: the blind index is deterministic. Equal phone numbers are linkable inside the database, and the small Vietnamese mobile number space (about 10⁹) is brute-forceable</w:t>
      </w:r>
      <w:r>
        <w:t xml:space="preserve"> </w:t>
      </w:r>
      <w:r>
        <w:rPr>
          <w:bCs/>
          <w:b/>
        </w:rPr>
        <w:t xml:space="preserve">if</w:t>
      </w:r>
      <w:r>
        <w:t xml:space="preserve"> </w:t>
      </w:r>
      <w:r>
        <w:rPr>
          <w:rStyle w:val="VerbatimChar"/>
        </w:rPr>
        <w:t xml:space="preserve">BLIND_INDEX_KEY</w:t>
      </w:r>
      <w:r>
        <w:t xml:space="preserve"> </w:t>
      </w:r>
      <w:r>
        <w:t xml:space="preserve">leaks. Keep that key in the secret store with the same protection as data keys. Rotating it requires recomputing every</w:t>
      </w:r>
      <w:r>
        <w:t xml:space="preserve"> </w:t>
      </w:r>
      <w:r>
        <w:rPr>
          <w:rStyle w:val="VerbatimChar"/>
        </w:rPr>
        <w:t xml:space="preserve">*_bidx</w:t>
      </w:r>
      <w:r>
        <w:t xml:space="preserve"> </w:t>
      </w:r>
      <w:r>
        <w:t xml:space="preserve">column (planned job). Today</w:t>
      </w:r>
      <w:r>
        <w:t xml:space="preserve"> </w:t>
      </w:r>
      <w:r>
        <w:rPr>
          <w:rStyle w:val="VerbatimChar"/>
        </w:rPr>
        <w:t xml:space="preserve">phone_bidx</w:t>
      </w:r>
      <w:r>
        <w:t xml:space="preserve"> </w:t>
      </w:r>
      <w:r>
        <w:t xml:space="preserve">is written but</w:t>
      </w:r>
      <w:r>
        <w:t xml:space="preserve"> </w:t>
      </w:r>
      <w:r>
        <w:rPr>
          <w:bCs/>
          <w:b/>
        </w:rPr>
        <w:t xml:space="preserve">not yet queried</w:t>
      </w:r>
      <w:r>
        <w:t xml:space="preserve"> </w:t>
      </w:r>
      <w:r>
        <w:t xml:space="preserve">by any use case.</w:t>
      </w:r>
    </w:p>
    <w:p>
      <w:pPr>
        <w:numPr>
          <w:ilvl w:val="0"/>
          <w:numId w:val="1008"/>
        </w:numPr>
        <w:pStyle w:val="Compact"/>
      </w:pPr>
      <w:r>
        <w:t xml:space="preserve">Bad: the keys live in application memory. A KMS envelope (DEKs wrapped by a KMS KEK, unwrapped at boot) is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in production (</w:t>
      </w:r>
      <w:hyperlink r:id="rId27">
        <w:r>
          <w:rPr>
            <w:rStyle w:val="Hyperlink"/>
          </w:rPr>
          <w:t xml:space="preserve">deployment §8</w:t>
        </w:r>
      </w:hyperlink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Note — licence plate.</w:t>
      </w:r>
      <w:r>
        <w:t xml:space="preserve"> </w:t>
      </w:r>
      <w:r>
        <w:t xml:space="preserve">The plate is the MDM match key and the profile</w:t>
      </w:r>
      <w:r>
        <w:t xml:space="preserve"> </w:t>
      </w:r>
      <w:r>
        <w:rPr>
          <w:rStyle w:val="VerbatimChar"/>
        </w:rPr>
        <w:t xml:space="preserve">id</w:t>
      </w:r>
      <w:r>
        <w:t xml:space="preserve">, so it is stored in clear: in</w:t>
      </w:r>
      <w:r>
        <w:t xml:space="preserve"> </w:t>
      </w:r>
      <w:r>
        <w:rPr>
          <w:rStyle w:val="VerbatimChar"/>
        </w:rPr>
        <w:t xml:space="preserve">profiles.id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policies.plate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quotes.plate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handoffs.plate</w:t>
      </w:r>
      <w:r>
        <w:t xml:space="preserve">, message texts and event payloads. A plate can identify a natural person indirectly.</w:t>
      </w:r>
      <w:r>
        <w:t xml:space="preserve"> </w:t>
      </w:r>
      <w:r>
        <w:rPr>
          <w:bCs/>
          <w:b/>
        </w:rPr>
        <w:t xml:space="preserve">Confirm with TASCO legal / DPO</w:t>
      </w:r>
      <w:r>
        <w:t xml:space="preserve"> </w:t>
      </w:r>
      <w:r>
        <w:t xml:space="preserve">whether plates are treated as personal data. If so, the target is to use a keyed pseudonym (</w:t>
      </w:r>
      <w:r>
        <w:rPr>
          <w:rStyle w:val="VerbatimChar"/>
        </w:rPr>
        <w:t xml:space="preserve">HMAC(plate)</w:t>
      </w:r>
      <w:r>
        <w:t xml:space="preserve">) as the id, and to keep the display plate encrypted.</w:t>
      </w:r>
    </w:p>
    <w:bookmarkEnd w:id="28"/>
    <w:bookmarkEnd w:id="29"/>
    <w:bookmarkStart w:id="30" w:name="pros-and-cons-of-the-options"/>
    <w:p>
      <w:pPr>
        <w:pStyle w:val="Heading2"/>
      </w:pPr>
      <w:r>
        <w:t xml:space="preserve">Pros and cons of the options</w:t>
      </w:r>
    </w:p>
    <w:p>
      <w:pPr>
        <w:pStyle w:val="FirstParagraph"/>
      </w:pPr>
      <w:r>
        <w:rPr>
          <w:bCs/>
          <w:b/>
        </w:rPr>
        <w:t xml:space="preserve">TDE only.</w:t>
      </w:r>
      <w:r>
        <w:t xml:space="preserve"> </w:t>
      </w:r>
      <w:r>
        <w:t xml:space="preserve">Transparent. However, it does nothing against DBA access or logical dumps.</w:t>
      </w:r>
    </w:p>
    <w:p>
      <w:pPr>
        <w:pStyle w:val="BodyText"/>
      </w:pPr>
      <w:r>
        <w:rPr>
          <w:rStyle w:val="VerbatimChar"/>
          <w:bCs/>
          <w:b/>
        </w:rPr>
        <w:t xml:space="preserve">pgcrypto</w:t>
      </w:r>
      <w:r>
        <w:rPr>
          <w:bCs/>
          <w:b/>
        </w:rPr>
        <w:t xml:space="preserve">.</w:t>
      </w:r>
      <w:r>
        <w:t xml:space="preserve"> </w:t>
      </w:r>
      <w:r>
        <w:t xml:space="preserve">Keys travel to the DB in SQL statements (visible in logs and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), and it couples the code to Postgres.</w:t>
      </w:r>
    </w:p>
    <w:p>
      <w:pPr>
        <w:pStyle w:val="BodyText"/>
      </w:pPr>
      <w:r>
        <w:rPr>
          <w:bCs/>
          <w:b/>
        </w:rPr>
        <w:t xml:space="preserve">KMS per record.</w:t>
      </w:r>
      <w:r>
        <w:t xml:space="preserve"> </w:t>
      </w:r>
      <w:r>
        <w:t xml:space="preserve">The strongest key custody. However, it adds latency and cost per field at millions of records. Use KMS for the KEK only.</w:t>
      </w:r>
    </w:p>
    <w:bookmarkEnd w:id="30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hyperlink" Target="../data-architecture.docx" TargetMode="External"/><Relationship Id="rId27" Type="http://schemas.openxmlformats.org/officeDocument/2006/relationships/hyperlink" Target="../deployment-and-infrastructure-architecture.docx" TargetMode="External"/><Relationship Id="rId21" Type="http://schemas.openxmlformats.org/officeDocument/2006/relationships/hyperlink" Target="../security-architecture.docx" TargetMode="External"/><Relationship Id="rId24" Type="http://schemas.openxmlformats.org/officeDocument/2006/relationships/hyperlink" Target="ADR-002-nodejs-minimal-dependencies.docx" TargetMode="External"/><Relationship Id="rId20" Type="http://schemas.openxmlformats.org/officeDocument/2006/relationships/hyperlink" Target="ADR-004-persistence.docx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../data-architecture.docx" TargetMode="External"/><Relationship Id="rId27" Type="http://schemas.openxmlformats.org/officeDocument/2006/relationships/hyperlink" Target="../deployment-and-infrastructure-architecture.docx" TargetMode="External"/><Relationship Id="rId21" Type="http://schemas.openxmlformats.org/officeDocument/2006/relationships/hyperlink" Target="../security-architecture.docx" TargetMode="External"/><Relationship Id="rId24" Type="http://schemas.openxmlformats.org/officeDocument/2006/relationships/hyperlink" Target="ADR-002-nodejs-minimal-dependencies.docx" TargetMode="External"/><Relationship Id="rId20" Type="http://schemas.openxmlformats.org/officeDocument/2006/relationships/hyperlink" Target="ADR-004-persistenc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ADR-006: Field-level encryption (AES-256-GCM, key ids) + HMAC blind index</dc:title>
  <dc:creator>iorta TechNXT</dc:creator>
  <cp:keywords/>
  <dcterms:created xsi:type="dcterms:W3CDTF">2026-10-07T17:45:14Z</dcterms:created>
  <dcterms:modified xsi:type="dcterms:W3CDTF">2026-10-07T17:45:14Z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 Decision Record</vt:lpwstr>
  </property>
</Properties>
</file>