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ADR-007: Authentication — local JWT + TOTP now; OIDC federation to the TASCO IdP as target</w:t>
      </w:r>
    </w:p>
    <w:p>
      <w:pPr>
        <w:pStyle w:val="Subtitle"/>
      </w:pPr>
      <w:r>
        <w:t xml:space="preserve">TASCO Insurance × VETC Growth Platform — Architecture Decision Record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 (interim for pilot and UAT; target state defined)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Date:</w:t>
      </w:r>
      <w:r>
        <w:t xml:space="preserve"> </w:t>
      </w:r>
      <w:r>
        <w:t xml:space="preserve">2026-10-07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Related:</w:t>
      </w:r>
      <w:r>
        <w:t xml:space="preserve"> </w:t>
      </w:r>
      <w:hyperlink r:id="rId20">
        <w:r>
          <w:rPr>
            <w:rStyle w:val="Hyperlink"/>
          </w:rPr>
          <w:t xml:space="preserve">Security architecture §7–8</w:t>
        </w:r>
      </w:hyperlink>
    </w:p>
    <w:bookmarkStart w:id="21" w:name="context-and-problem-statement"/>
    <w:p>
      <w:pPr>
        <w:pStyle w:val="Heading2"/>
      </w:pPr>
      <w:r>
        <w:t xml:space="preserve">Context and problem statement</w:t>
      </w:r>
    </w:p>
    <w:p>
      <w:pPr>
        <w:pStyle w:val="FirstParagraph"/>
      </w:pPr>
      <w:r>
        <w:t xml:space="preserve">Four kinds of principal call the platform: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Staff</w:t>
      </w:r>
      <w:r>
        <w:t xml:space="preserve"> </w:t>
      </w:r>
      <w:r>
        <w:t xml:space="preserve">(13 roles) from TASCO and VETC, using the console;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Customers</w:t>
      </w:r>
      <w:r>
        <w:t xml:space="preserve"> </w:t>
      </w:r>
      <w:r>
        <w:t xml:space="preserve">inside the VETC app or Zalo mini app;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Partner systems</w:t>
      </w:r>
      <w:r>
        <w:t xml:space="preserve">, server to server;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Batch jobs</w:t>
      </w:r>
      <w:r>
        <w:t xml:space="preserve">.</w:t>
      </w:r>
    </w:p>
    <w:p>
      <w:pPr>
        <w:pStyle w:val="FirstParagraph"/>
      </w:pPr>
      <w:r>
        <w:t xml:space="preserve">The TASCO enterprise IdP (Azure AD / Keycloak) and VETC app SSO cannot be integrated in the pilot timeframe. MFA is still required for privileged roles, and joiner-mover-leaver must be controlled.</w:t>
      </w:r>
    </w:p>
    <w:bookmarkEnd w:id="21"/>
    <w:bookmarkStart w:id="22" w:name="decision-drivers"/>
    <w:p>
      <w:pPr>
        <w:pStyle w:val="Heading2"/>
      </w:pPr>
      <w:r>
        <w:t xml:space="preserve">Decision drivers</w:t>
      </w:r>
    </w:p>
    <w:p>
      <w:pPr>
        <w:numPr>
          <w:ilvl w:val="0"/>
          <w:numId w:val="1003"/>
        </w:numPr>
        <w:pStyle w:val="Compact"/>
      </w:pPr>
      <w:r>
        <w:t xml:space="preserve">MFA for privileged roles from day one.</w:t>
      </w:r>
    </w:p>
    <w:p>
      <w:pPr>
        <w:numPr>
          <w:ilvl w:val="0"/>
          <w:numId w:val="1003"/>
        </w:numPr>
        <w:pStyle w:val="Compact"/>
      </w:pPr>
      <w:r>
        <w:t xml:space="preserve">The principal contract</w:t>
      </w:r>
      <w:r>
        <w:t xml:space="preserve"> </w:t>
      </w:r>
      <w:r>
        <w:rPr>
          <w:rStyle w:val="VerbatimChar"/>
        </w:rPr>
        <w:t xml:space="preserve">{id, roles, region, customerId?}</w:t>
      </w:r>
      <w:r>
        <w:t xml:space="preserve"> </w:t>
      </w:r>
      <w:r>
        <w:t xml:space="preserve">must not change when the IdP arrives.</w:t>
      </w:r>
    </w:p>
    <w:p>
      <w:pPr>
        <w:numPr>
          <w:ilvl w:val="0"/>
          <w:numId w:val="1003"/>
        </w:numPr>
        <w:pStyle w:val="Compact"/>
      </w:pPr>
      <w:r>
        <w:t xml:space="preserve">Short-lived tokens; lockout against brute force.</w:t>
      </w:r>
    </w:p>
    <w:p>
      <w:pPr>
        <w:numPr>
          <w:ilvl w:val="0"/>
          <w:numId w:val="1003"/>
        </w:numPr>
        <w:pStyle w:val="Compact"/>
      </w:pPr>
      <w:r>
        <w:t xml:space="preserve">Partners get revocable machine credentials.</w:t>
      </w:r>
    </w:p>
    <w:bookmarkEnd w:id="22"/>
    <w:bookmarkStart w:id="23" w:name="considered-options"/>
    <w:p>
      <w:pPr>
        <w:pStyle w:val="Heading2"/>
      </w:pPr>
      <w:r>
        <w:t xml:space="preserve">Considered options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Local users (scrypt) + TOTP + short-lived HS256 JWT now. Target: OIDC with the TASCO IdP for staff, token exchange with VETC SSO for customers, and API keys moving to OAuth2 client credentials or mTLS for partners.</w:t>
      </w:r>
    </w:p>
    <w:p>
      <w:pPr>
        <w:numPr>
          <w:ilvl w:val="0"/>
          <w:numId w:val="1004"/>
        </w:numPr>
        <w:pStyle w:val="Compact"/>
      </w:pPr>
      <w:r>
        <w:t xml:space="preserve">Integrate the IdP before the pilot.</w:t>
      </w:r>
    </w:p>
    <w:p>
      <w:pPr>
        <w:numPr>
          <w:ilvl w:val="0"/>
          <w:numId w:val="1004"/>
        </w:numPr>
        <w:pStyle w:val="Compact"/>
      </w:pPr>
      <w:r>
        <w:t xml:space="preserve">Server-side sessions with cookies.</w:t>
      </w:r>
    </w:p>
    <w:bookmarkEnd w:id="23"/>
    <w:bookmarkStart w:id="28" w:name="decision-outcome"/>
    <w:p>
      <w:pPr>
        <w:pStyle w:val="Heading2"/>
      </w:pPr>
      <w:r>
        <w:t xml:space="preserve">Decision outcome</w:t>
      </w:r>
    </w:p>
    <w:p>
      <w:pPr>
        <w:pStyle w:val="FirstParagraph"/>
      </w:pPr>
      <w:r>
        <w:t xml:space="preserve">Chosen option:</w:t>
      </w:r>
      <w:r>
        <w:t xml:space="preserve"> </w:t>
      </w:r>
      <w:r>
        <w:rPr>
          <w:bCs/>
          <w:b/>
        </w:rPr>
        <w:t xml:space="preserve">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Current implementation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Principal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Mechanism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Username + password (scrypt N=16384, r=8, p=1, 16 B salt, 64 B hash) → if the role is in</w:t>
            </w:r>
            <w:r>
              <w:t xml:space="preserve"> </w:t>
            </w:r>
            <w:r>
              <w:rPr>
                <w:rStyle w:val="VerbatimChar"/>
              </w:rPr>
              <w:t xml:space="preserve">MFA_REQUIRED_ROLES</w:t>
            </w:r>
            <w:r>
              <w:t xml:space="preserve"> </w:t>
            </w:r>
            <w:r>
              <w:t xml:space="preserve">(default admin, rule_approver, compliance_officer, data_steward) or the user is enrolled →</w:t>
            </w:r>
            <w:r>
              <w:t xml:space="preserve"> </w:t>
            </w:r>
            <w:r>
              <w:rPr>
                <w:rStyle w:val="VerbatimChar"/>
              </w:rPr>
              <w:t xml:space="preserve">mfaToken</w:t>
            </w:r>
            <w:r>
              <w:t xml:space="preserve"> </w:t>
            </w:r>
            <w:r>
              <w:t xml:space="preserve">(JWT</w:t>
            </w:r>
            <w:r>
              <w:t xml:space="preserve"> </w:t>
            </w:r>
            <w:r>
              <w:rPr>
                <w:rStyle w:val="VerbatimChar"/>
              </w:rPr>
              <w:t xml:space="preserve">aud=mfa</w:t>
            </w:r>
            <w:r>
              <w:t xml:space="preserve">, 5 min) → TOTP (RFC 6238, SHA-1, 6 digits, ±1 step) → access JWT (</w:t>
            </w:r>
            <w:r>
              <w:rPr>
                <w:rStyle w:val="VerbatimChar"/>
              </w:rPr>
              <w:t xml:space="preserve">aud=staff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  <w:r>
              <w:t xml:space="preserve">, TTL</w:t>
            </w:r>
            <w:r>
              <w:t xml:space="preserve"> </w:t>
            </w:r>
            <w:r>
              <w:rPr>
                <w:rStyle w:val="VerbatimChar"/>
              </w:rPr>
              <w:t xml:space="preserve">JWT_TTL_SECONDS</w:t>
            </w:r>
            <w:r>
              <w:t xml:space="preserve"> </w:t>
            </w:r>
            <w:r>
              <w:t xml:space="preserve">= 1,800 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identityService.js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failures (</w:t>
            </w:r>
            <w:r>
              <w:rPr>
                <w:rStyle w:val="VerbatimChar"/>
              </w:rPr>
              <w:t xml:space="preserve">LOCKOUT_MAX_FAILURES</w:t>
            </w:r>
            <w:r>
              <w:t xml:space="preserve">) → locked for 15 min (</w:t>
            </w:r>
            <w:r>
              <w:rPr>
                <w:rStyle w:val="VerbatimChar"/>
              </w:rPr>
              <w:t xml:space="preserve">LOCKOUT_MINUTES</w:t>
            </w:r>
            <w:r>
              <w:t xml:space="preserve">). Failures are audited. Unknown users get a timing-equalised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identityService.login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verifyJwt</w:t>
            </w:r>
            <w:r>
              <w:t xml:space="preserve"> </w:t>
            </w:r>
            <w:r>
              <w:t xml:space="preserve">pins</w:t>
            </w:r>
            <w:r>
              <w:t xml:space="preserve"> </w:t>
            </w:r>
            <w:r>
              <w:rPr>
                <w:rStyle w:val="VerbatimChar"/>
              </w:rPr>
              <w:t xml:space="preserve">alg=HS256</w:t>
            </w:r>
            <w:r>
              <w:t xml:space="preserve">, uses a constant-time signature comparison and checks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. The user is reloaded on every request, so a disabled account or changed roles take effect immediately. The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  <w:r>
              <w:t xml:space="preserve"> </w:t>
            </w:r>
            <w:r>
              <w:t xml:space="preserve">revocation list is checked on logout.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identityService.authenticate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signed renewal link (</w:t>
            </w:r>
            <w:r>
              <w:rPr>
                <w:rStyle w:val="VerbatimChar"/>
              </w:rPr>
              <w:t xml:space="preserve">profileId.HMAC16</w:t>
            </w:r>
            <w:r>
              <w:t xml:space="preserve">) or, in demo, a profile id → customer JWT</w:t>
            </w:r>
            <w:r>
              <w:t xml:space="preserve"> </w:t>
            </w:r>
            <w:r>
              <w:rPr>
                <w:rStyle w:val="VerbatimChar"/>
              </w:rPr>
              <w:t xml:space="preserve">aud=customer</w:t>
            </w:r>
            <w:r>
              <w:t xml:space="preserve">, 1 h. Target: VETC SSO token exchange.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routes.js /api/customer/session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customerService.issueCustomerToken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X-Api-Key: tpk_&lt;24 random bytes&gt;</w:t>
            </w:r>
            <w:r>
              <w:t xml:space="preserve">. Only the SHA-256 is stored, with a prefix for support. Revocable. The partner must be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partnerService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12–128 characters (ASVS V2.1, length over complexity)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checkPasswordPolicy</w:t>
            </w:r>
          </w:p>
        </w:tc>
      </w:tr>
    </w:tbl>
    <w:p>
      <w:pPr>
        <w:pStyle w:val="BodyText"/>
      </w:pPr>
      <w:r>
        <w:rPr>
          <w:bCs/>
          <w:b/>
        </w:rPr>
        <w:t xml:space="preserve">Target state (phase 2)</w:t>
      </w:r>
    </w:p>
    <w:p>
      <w:pPr>
        <w:pStyle w:val="BodyText"/>
      </w:pPr>
      <w:r>
        <w:drawing>
          <wp:inline>
            <wp:extent cx="6119999" cy="270504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adr__ADR-007-authentication-identity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2705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pStyle w:val="Compact"/>
      </w:pPr>
      <w:r>
        <w:t xml:space="preserve">Customers: the VETC app exchanges its SSO token for a platform customer token (RFC 8693 token exchange or a signed assertion). Customer-authorised wallet debits use VETC's in-app confirmation.</w:t>
      </w:r>
    </w:p>
    <w:p>
      <w:pPr>
        <w:numPr>
          <w:ilvl w:val="0"/>
          <w:numId w:val="1005"/>
        </w:numPr>
        <w:pStyle w:val="Compact"/>
      </w:pPr>
      <w:r>
        <w:t xml:space="preserve">Partners: OAuth2 client credentials with scopes (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policies:read</w:t>
      </w:r>
      <w:r>
        <w:t xml:space="preserve">) or mTLS at the gateway. API keys are retained only for small partners.</w:t>
      </w:r>
    </w:p>
    <w:bookmarkStart w:id="27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6"/>
        </w:numPr>
        <w:pStyle w:val="Compact"/>
      </w:pPr>
      <w:r>
        <w:t xml:space="preserve">Good: privileged roles are MFA-protected today, and the principal contract is stable across the migration.</w:t>
      </w:r>
    </w:p>
    <w:p>
      <w:pPr>
        <w:numPr>
          <w:ilvl w:val="0"/>
          <w:numId w:val="1006"/>
        </w:numPr>
        <w:pStyle w:val="Compact"/>
      </w:pPr>
      <w:r>
        <w:t xml:space="preserve">Good: there is no session state on the server. Tokens are short-lived.</w:t>
      </w:r>
    </w:p>
    <w:p>
      <w:pPr>
        <w:numPr>
          <w:ilvl w:val="0"/>
          <w:numId w:val="1006"/>
        </w:numPr>
        <w:pStyle w:val="Compact"/>
      </w:pPr>
      <w:r>
        <w:t xml:space="preserve">Bad / gaps:</w:t>
      </w:r>
    </w:p>
    <w:p>
      <w:pPr>
        <w:numPr>
          <w:ilvl w:val="1"/>
          <w:numId w:val="1007"/>
        </w:numPr>
        <w:pStyle w:val="Compact"/>
      </w:pPr>
      <w:r>
        <w:t xml:space="preserve">HS256 uses one shared secret (</w:t>
      </w:r>
      <w:r>
        <w:rPr>
          <w:rStyle w:val="VerbatimChar"/>
        </w:rPr>
        <w:t xml:space="preserve">JWT_SECRET</w:t>
      </w:r>
      <w:r>
        <w:t xml:space="preserve">) for staff, customer and MFA tokens; they are separated only by</w:t>
      </w:r>
      <w:r>
        <w:t xml:space="preserve"> </w:t>
      </w:r>
      <w:r>
        <w:rPr>
          <w:rStyle w:val="VerbatimChar"/>
        </w:rPr>
        <w:t xml:space="preserve">aud</w:t>
      </w:r>
      <w:r>
        <w:t xml:space="preserve">. Any holder of the secret can mint any token. The target is asymmetric RS256/ES256 from the IdP.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The revocation list is in-process, per replica.</w:t>
      </w:r>
      <w:r>
        <w:t xml:space="preserve"> </w:t>
      </w:r>
      <w:r>
        <w:t xml:space="preserve">Logout is only guaranteed on the replica that handled it, until the token expires (≤ 30 min). The target is a shared denylist (Redis) or short TTLs plus IdP session revocation.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  <w:bCs/>
          <w:b/>
        </w:rPr>
        <w:t xml:space="preserve">verifyMfa</w:t>
      </w:r>
      <w:r>
        <w:rPr>
          <w:bCs/>
          <w:b/>
        </w:rPr>
        <w:t xml:space="preserve"> </w:t>
      </w:r>
      <w:r>
        <w:rPr>
          <w:bCs/>
          <w:b/>
        </w:rPr>
        <w:t xml:space="preserve">does not check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lockedUntil</w:t>
      </w:r>
      <w:r>
        <w:rPr>
          <w:bCs/>
          <w:b/>
        </w:rPr>
        <w:t xml:space="preserve">.</w:t>
      </w:r>
      <w:r>
        <w:t xml:space="preserve"> </w:t>
      </w:r>
      <w:r>
        <w:t xml:space="preserve">The failure counter increments, but a locked account can keep submitting TOTP codes while its</w:t>
      </w:r>
      <w:r>
        <w:t xml:space="preserve"> </w:t>
      </w:r>
      <w:r>
        <w:rPr>
          <w:rStyle w:val="VerbatimChar"/>
        </w:rPr>
        <w:t xml:space="preserve">mfaToken</w:t>
      </w:r>
      <w:r>
        <w:t xml:space="preserve"> </w:t>
      </w:r>
      <w:r>
        <w:t xml:space="preserve">is valid (5 min). Only the per-IP login rate limit applies, and it is spoofable via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(see the security gaps).</w:t>
      </w:r>
      <w:r>
        <w:t xml:space="preserve"> </w:t>
      </w:r>
      <w:r>
        <w:rPr>
          <w:bCs/>
          <w:b/>
        </w:rPr>
        <w:t xml:space="preserve">Fix:</w:t>
      </w:r>
      <w:r>
        <w:t xml:space="preserve"> </w:t>
      </w:r>
      <w:r>
        <w:t xml:space="preserve">check the lock in</w:t>
      </w:r>
      <w:r>
        <w:t xml:space="preserve"> </w:t>
      </w:r>
      <w:r>
        <w:rPr>
          <w:rStyle w:val="VerbatimChar"/>
        </w:rPr>
        <w:t xml:space="preserve">verifyMfa</w:t>
      </w:r>
      <w:r>
        <w:t xml:space="preserve">, and bind the</w:t>
      </w:r>
      <w:r>
        <w:t xml:space="preserve"> </w:t>
      </w:r>
      <w:r>
        <w:rPr>
          <w:rStyle w:val="VerbatimChar"/>
        </w:rPr>
        <w:t xml:space="preserve">mfaToken</w:t>
      </w:r>
      <w:r>
        <w:t xml:space="preserve"> </w:t>
      </w:r>
      <w:r>
        <w:t xml:space="preserve">to a single-use nonce.</w:t>
      </w:r>
    </w:p>
    <w:p>
      <w:pPr>
        <w:numPr>
          <w:ilvl w:val="1"/>
          <w:numId w:val="1007"/>
        </w:numPr>
        <w:pStyle w:val="Compact"/>
      </w:pPr>
      <w:r>
        <w:t xml:space="preserve">TOTP codes can be replayed within the ±30 s window, because no last-used step is stored (ASVS 2.8.4).</w:t>
      </w:r>
      <w:r>
        <w:t xml:space="preserve"> </w:t>
      </w:r>
      <w:r>
        <w:rPr>
          <w:bCs/>
          <w:b/>
        </w:rPr>
        <w:t xml:space="preserve">Fix:</w:t>
      </w:r>
      <w:r>
        <w:t xml:space="preserve"> </w:t>
      </w:r>
      <w:r>
        <w:t xml:space="preserve">persist</w:t>
      </w:r>
      <w:r>
        <w:t xml:space="preserve"> </w:t>
      </w:r>
      <w:r>
        <w:rPr>
          <w:rStyle w:val="VerbatimChar"/>
        </w:rPr>
        <w:t xml:space="preserve">lastTotpStep</w:t>
      </w:r>
      <w:r>
        <w:t xml:space="preserve">.</w:t>
      </w:r>
    </w:p>
    <w:p>
      <w:pPr>
        <w:numPr>
          <w:ilvl w:val="1"/>
          <w:numId w:val="1007"/>
        </w:numPr>
        <w:pStyle w:val="Compact"/>
      </w:pPr>
      <w:r>
        <w:t xml:space="preserve">Changing a password does not revoke outstanding tokens.</w:t>
      </w:r>
      <w:r>
        <w:t xml:space="preserve"> </w:t>
      </w:r>
      <w:r>
        <w:rPr>
          <w:bCs/>
          <w:b/>
        </w:rPr>
        <w:t xml:space="preserve">Fix:</w:t>
      </w:r>
      <w:r>
        <w:t xml:space="preserve"> </w:t>
      </w:r>
      <w:r>
        <w:t xml:space="preserve">store 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passwordChangedAt</w:t>
      </w:r>
      <w:r>
        <w:t xml:space="preserve"> </w:t>
      </w:r>
      <w:r>
        <w:t xml:space="preserve">and reject older</w:t>
      </w:r>
      <w:r>
        <w:t xml:space="preserve"> </w:t>
      </w:r>
      <w:r>
        <w:rPr>
          <w:rStyle w:val="VerbatimChar"/>
        </w:rPr>
        <w:t xml:space="preserve">iat</w:t>
      </w:r>
      <w:r>
        <w:t xml:space="preserve">.</w:t>
      </w:r>
    </w:p>
    <w:p>
      <w:pPr>
        <w:numPr>
          <w:ilvl w:val="1"/>
          <w:numId w:val="1007"/>
        </w:numPr>
        <w:pStyle w:val="Compact"/>
      </w:pPr>
      <w:r>
        <w:t xml:space="preserve">Renewal links do not expire, and they embed the plate key.</w:t>
      </w:r>
      <w:r>
        <w:t xml:space="preserve"> </w:t>
      </w:r>
      <w:r>
        <w:rPr>
          <w:bCs/>
          <w:b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and a nonce, and use a pseudonymous id.</w:t>
      </w:r>
    </w:p>
    <w:p>
      <w:pPr>
        <w:numPr>
          <w:ilvl w:val="1"/>
          <w:numId w:val="1007"/>
        </w:numPr>
        <w:pStyle w:val="Compact"/>
      </w:pPr>
      <w:r>
        <w:t xml:space="preserve">Partner API key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are stored but</w:t>
      </w:r>
      <w:r>
        <w:t xml:space="preserve"> </w:t>
      </w:r>
      <w:r>
        <w:rPr>
          <w:bCs/>
          <w:b/>
        </w:rPr>
        <w:t xml:space="preserve">not enforced</w:t>
      </w:r>
      <w:r>
        <w:t xml:space="preserve">. All partner routes check only</w:t>
      </w:r>
      <w:r>
        <w:t xml:space="preserve"> </w:t>
      </w:r>
      <w:r>
        <w:rPr>
          <w:rStyle w:val="VerbatimChar"/>
        </w:rPr>
        <w:t xml:space="preserve">partner:transact</w:t>
      </w:r>
      <w:r>
        <w:t xml:space="preserve">.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GET /api/demo/totp/:username</w:t>
      </w:r>
      <w:r>
        <w:t xml:space="preserve"> </w:t>
      </w:r>
      <w:r>
        <w:t xml:space="preserve">returns live TOTP codes whenever</w:t>
      </w:r>
      <w:r>
        <w:t xml:space="preserve"> </w:t>
      </w:r>
      <w:r>
        <w:rPr>
          <w:rStyle w:val="VerbatimChar"/>
        </w:rPr>
        <w:t xml:space="preserve">DEMO_MODE</w:t>
      </w:r>
      <w:r>
        <w:t xml:space="preserve"> </w:t>
      </w:r>
      <w:r>
        <w:t xml:space="preserve">is on.</w:t>
      </w:r>
      <w:r>
        <w:t xml:space="preserve"> </w:t>
      </w:r>
      <w:r>
        <w:rPr>
          <w:rStyle w:val="VerbatimChar"/>
        </w:rPr>
        <w:t xml:space="preserve">DEMO_MODE</w:t>
      </w:r>
      <w:r>
        <w:t xml:space="preserve"> </w:t>
      </w:r>
      <w:r>
        <w:t xml:space="preserve">defaults to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whenever</w:t>
      </w:r>
      <w:r>
        <w:t xml:space="preserve"> </w:t>
      </w:r>
      <w:r>
        <w:rPr>
          <w:rStyle w:val="VerbatimChar"/>
        </w:rPr>
        <w:t xml:space="preserve">NODE_ENV ≠ production</w:t>
      </w:r>
      <w:r>
        <w:t xml:space="preserve">. SIT, UAT and perf environments must set</w:t>
      </w:r>
      <w:r>
        <w:t xml:space="preserve"> </w:t>
      </w:r>
      <w:r>
        <w:rPr>
          <w:rStyle w:val="VerbatimChar"/>
        </w:rPr>
        <w:t xml:space="preserve">DEMO_MODE=false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, unless they are explicitly demo environments.</w:t>
      </w:r>
    </w:p>
    <w:bookmarkEnd w:id="27"/>
    <w:bookmarkEnd w:id="28"/>
    <w:bookmarkStart w:id="29" w:name="pros-and-cons-of-the-options"/>
    <w:p>
      <w:pPr>
        <w:pStyle w:val="Heading2"/>
      </w:pPr>
      <w:r>
        <w:t xml:space="preserve">Pros and cons of the options</w:t>
      </w:r>
    </w:p>
    <w:p>
      <w:pPr>
        <w:pStyle w:val="FirstParagraph"/>
      </w:pPr>
      <w:r>
        <w:rPr>
          <w:bCs/>
          <w:b/>
        </w:rPr>
        <w:t xml:space="preserve">IdP first.</w:t>
      </w:r>
      <w:r>
        <w:t xml:space="preserve"> </w:t>
      </w:r>
      <w:r>
        <w:t xml:space="preserve">The best end state. However, it would block the pilot on enterprise onboarding lead time.</w:t>
      </w:r>
    </w:p>
    <w:p>
      <w:pPr>
        <w:pStyle w:val="BodyText"/>
      </w:pPr>
      <w:r>
        <w:rPr>
          <w:bCs/>
          <w:b/>
        </w:rPr>
        <w:t xml:space="preserve">Cookie sessions.</w:t>
      </w:r>
      <w:r>
        <w:t xml:space="preserve"> </w:t>
      </w:r>
      <w:r>
        <w:t xml:space="preserve">Revocation is easy. However, they need sticky or shared session storage plus CSRF protections, and they suit partners and app embedding less well.</w:t>
      </w:r>
    </w:p>
    <w:bookmarkEnd w:id="29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4" Type="http://schemas.openxmlformats.org/officeDocument/2006/relationships/image" Target="media/rId24.png"/><Relationship Id="rId20" Type="http://schemas.openxmlformats.org/officeDocument/2006/relationships/hyperlink" Target="../security-architecture.docx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../security-architectur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ADR-007: Authentication — local JWT + TOTP now; OIDC federation to the TASCO IdP as target</dc:title>
  <dc:creator>iorta TechNXT</dc:creator>
  <cp:keywords/>
  <dcterms:created xsi:type="dcterms:W3CDTF">2026-10-07T17:45:14Z</dcterms:created>
  <dcterms:modified xsi:type="dcterms:W3CDTF">2026-10-07T17:45:14Z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Architecture Decision Record</vt:lpwstr>
  </property>
</Properties>
</file>