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&amp; prompt governance</w:t>
      </w:r>
    </w:p>
    <w:p>
      <w:pPr>
        <w:pStyle w:val="Subtitle"/>
      </w:pPr>
      <w:r>
        <w:t xml:space="preserve">TASCO Insurance × VETC Growth Platform — Architecture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Scope: every automated decision or AI component that affects customers on the platform.</w:t>
      </w:r>
    </w:p>
    <w:p>
      <w:pPr>
        <w:numPr>
          <w:ilvl w:val="0"/>
          <w:numId w:val="1001"/>
        </w:numPr>
        <w:pStyle w:val="Compact"/>
      </w:pPr>
      <w:r>
        <w:t xml:space="preserve">The voice bot: dialogue policy, intent classifier, and the vendor's ASR/TTS.</w:t>
      </w:r>
    </w:p>
    <w:p>
      <w:pPr>
        <w:numPr>
          <w:ilvl w:val="0"/>
          <w:numId w:val="1001"/>
        </w:numPr>
        <w:pStyle w:val="Compact"/>
      </w:pPr>
      <w:r>
        <w:t xml:space="preserve">The lead score, next-best action and journey assignment.</w:t>
      </w:r>
    </w:p>
    <w:p>
      <w:pPr>
        <w:numPr>
          <w:ilvl w:val="0"/>
          <w:numId w:val="1001"/>
        </w:numPr>
        <w:pStyle w:val="Compact"/>
      </w:pPr>
      <w:r>
        <w:t xml:space="preserve">MDM inference of policy expiry and vehicle category.</w:t>
      </w:r>
    </w:p>
    <w:p>
      <w:pPr>
        <w:numPr>
          <w:ilvl w:val="0"/>
          <w:numId w:val="1001"/>
        </w:numPr>
        <w:pStyle w:val="Compact"/>
      </w:pPr>
      <w:r>
        <w:t xml:space="preserve">Any future LLM or ML model.</w:t>
      </w:r>
    </w:p>
    <w:p>
      <w:pPr>
        <w:pStyle w:val="BlockText"/>
      </w:pPr>
      <w: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ADR-003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ADR-009</w:t>
        </w:r>
      </w:hyperlink>
      <w:r>
        <w:t xml:space="preserve">. Regulatory statements are flagged</w:t>
      </w:r>
      <w:r>
        <w:t xml:space="preserve"> </w:t>
      </w:r>
      <w:r>
        <w:rPr>
          <w:bCs/>
          <w:b/>
        </w:rPr>
        <w:t xml:space="preserve">"confirm with TASCO legal"</w:t>
      </w:r>
      <w:r>
        <w:t xml:space="preserve">.</w:t>
      </w:r>
    </w:p>
    <w:bookmarkStart w:id="23" w:name="Xf47165b9ea044d4545e3b9bd97ada644b3ce2c9"/>
    <w:p>
      <w:pPr>
        <w:pStyle w:val="Heading2"/>
      </w:pPr>
      <w:r>
        <w:t xml:space="preserve">1. AI inventory and risk tiering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/ config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Customer impact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Risk tier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bot dialogue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state machine + governed 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src/domain/voicebot.js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config/rules/content.voicebot.json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Speaks to customers; captures opt-out; hands off to 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  <w:r>
              <w:t xml:space="preserve"> </w:t>
            </w:r>
            <w:r>
              <w:t xml:space="preserve">(direct interaction, vishing 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 NLU (default); LLM optional (future)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keywordClassifier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voicebot.js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intent leads to a wrong path (a missed opt-out is critical)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 lead + model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ASR /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ML (Vietnamese)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Telephony port (</w:t>
            </w:r>
            <w:hyperlink r:id="rId22">
              <w:r>
                <w:rPr>
                  <w:rStyle w:val="Hyperlink"/>
                </w:rPr>
                <w:t xml:space="preserve">integration §3.5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Mis-transcription → plate mismatch or wrong 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+ 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score +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Explainable weighted rules (white-box)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src/domain/leads.js#score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config/rules/scoring.json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gets contacted, how often, on which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Next-best action, journey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tables / JSON 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nba.json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choice, suppression, B2B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Campaign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Evidence-weighted inference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src/domain/enrichment.js#inferExpiry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enrichment.json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of reminders; quote 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category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enrichment.categoryTable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Regulated premium amount</w:t>
            </w:r>
            <w:r>
              <w:t xml:space="preserve"> </w:t>
            </w:r>
            <w:r>
              <w:t xml:space="preserve">if not confirmed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  <w:r>
              <w:t xml:space="preserve"> </w:t>
            </w:r>
            <w:r>
              <w:t xml:space="preserve">for pricing correctness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office + underwriting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Benefits 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Logic relevance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leads.js#benefitsFor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value-adds are shown (only</w:t>
            </w:r>
            <w:r>
              <w:t xml:space="preserve"> </w:t>
            </w:r>
            <w:r>
              <w:rPr>
                <w:rStyle w:val="VerbatimChar"/>
              </w:rPr>
              <w:t xml:space="preserve">legalStatus=approved</w:t>
            </w:r>
            <w:r>
              <w:t xml:space="preserve"> </w:t>
            </w:r>
            <w:r>
              <w:t xml:space="preserve">items to customers)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Future: LLM classifier / agent assist; propensity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ML/LLM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Assessed before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risk</w:t>
            </w:r>
          </w:p>
        </w:tc>
      </w:tr>
    </w:tbl>
    <w:bookmarkEnd w:id="23"/>
    <w:bookmarkStart w:id="24" w:name="Xc568233e37f64b92a23b40a2de744b075fdeeeb"/>
    <w:p>
      <w:pPr>
        <w:pStyle w:val="Heading2"/>
      </w:pPr>
      <w:r>
        <w:t xml:space="preserve">2. Voice bot design principles</w:t>
      </w:r>
    </w:p>
    <w:p>
      <w:pPr>
        <w:pStyle w:val="FirstParagraph"/>
      </w:pPr>
      <w:r>
        <w:t xml:space="preserve">Each principle is enforced in code or governed content.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Principle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How it is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Disclose automation and recording</w:t>
            </w:r>
            <w:r>
              <w:t xml:space="preserve"> </w:t>
            </w:r>
            <w:r>
              <w:t xml:space="preserve">at call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intro</w:t>
            </w:r>
            <w:r>
              <w:t xml:space="preserve"> </w:t>
            </w:r>
            <w:r>
              <w:t xml:space="preserve">line: "đây là trợ lý tự động của VETC … Cuộc gọi được ghi âm" ("this is VETC's automated assistant … this call is recorded"). Payload</w:t>
            </w:r>
            <w:r>
              <w:t xml:space="preserve"> </w:t>
            </w:r>
            <w:r>
              <w:rPr>
                <w:rStyle w:val="VerbatimChar"/>
              </w:rPr>
              <w:t xml:space="preserve">disclosure: "automated_assistant"</w:t>
            </w:r>
            <w:r>
              <w:t xml:space="preserve">. Governance dashboard states the disclosure. Recording-notice wording:</w:t>
            </w:r>
            <w:r>
              <w:t xml:space="preserve"> </w:t>
            </w:r>
            <w:r>
              <w:rPr>
                <w:bCs/>
                <w:b/>
              </w:rPr>
              <w:t xml:space="preserve">confirm with TASCO legal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ask for an OTP, card or payment</w:t>
            </w:r>
            <w:r>
              <w:t xml:space="preserve"> </w:t>
            </w:r>
            <w:r>
              <w:t xml:space="preserve">on a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in</w:t>
            </w:r>
            <w:r>
              <w:t xml:space="preserve"> </w:t>
            </w:r>
            <w:r>
              <w:rPr>
                <w:rStyle w:val="VerbatimChar"/>
              </w:rPr>
              <w:t xml:space="preserve">intro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 </w:t>
            </w:r>
            <w:r>
              <w:t xml:space="preserve">line. The dialogue has no state that collects such data. Payment happens only in the VETC app (</w:t>
            </w:r>
            <w:r>
              <w:rPr>
                <w:rStyle w:val="VerbatimChar"/>
              </w:rPr>
              <w:t xml:space="preserve">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handoff</w:t>
            </w:r>
            <w:r>
              <w:t xml:space="preserve"> </w:t>
            </w:r>
            <w:r>
              <w:t xml:space="preserve">lines).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Plate-first verification.</w:t>
            </w:r>
            <w:r>
              <w:t xml:space="preserve"> </w:t>
            </w:r>
            <w:r>
              <w:t xml:space="preserve">The customer says the plate; the bot never reads it out.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  <w:r>
              <w:t xml:space="preserve"> </w:t>
            </w:r>
            <w:r>
              <w:rPr>
                <w:rStyle w:val="VerbatimChar"/>
              </w:rPr>
              <w:t xml:space="preserve">verify_plate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extractPlateFromSpeech</w:t>
            </w:r>
            <w:r>
              <w:t xml:space="preserve"> </w:t>
            </w:r>
            <w:r>
              <w:t xml:space="preserve">must equal the profile key. A mismatch ends the call (</w:t>
            </w:r>
            <w:r>
              <w:rPr>
                <w:rStyle w:val="VerbatimChar"/>
              </w:rPr>
              <w:t xml:space="preserve">plate_mismatch</w:t>
            </w:r>
            <w:r>
              <w:t xml:space="preserve">), and after</w:t>
            </w:r>
            <w:r>
              <w:t xml:space="preserve"> </w:t>
            </w:r>
            <w:r>
              <w:rPr>
                <w:rStyle w:val="VerbatimChar"/>
              </w:rPr>
              <w:t xml:space="preserve">maxPlateAttempts</w:t>
            </w:r>
            <w:r>
              <w:t xml:space="preserve"> </w:t>
            </w:r>
            <w:r>
              <w:t xml:space="preserve">(3) the call ends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. Afterwards the bot refers to the vehicle only by</w:t>
            </w:r>
            <w:r>
              <w:t xml:space="preserve"> </w:t>
            </w:r>
            <w:r>
              <w:rPr>
                <w:rStyle w:val="VerbatimChar"/>
              </w:rPr>
              <w:t xml:space="preserve">plateMasked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30A-***.45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Truthful about price.</w:t>
            </w:r>
            <w:r>
              <w:t xml:space="preserve"> </w:t>
            </w:r>
            <w:r>
              <w:t xml:space="preserve">The premium is regulated and identical everywhere; no discounts.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line states the regulated premium incl. VAT and pivots to service value. The copy guard bans</w:t>
            </w:r>
            <w:r>
              <w:t xml:space="preserve"> </w:t>
            </w:r>
            <w:r>
              <w:rPr>
                <w:rStyle w:val="VerbatimChar"/>
              </w:rPr>
              <w:t xml:space="preserve">giảm giá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chiết khấu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hoàn tiền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cashback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rebate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cheaper</w:t>
            </w:r>
            <w:r>
              <w:t xml:space="preserve">, … (</w:t>
            </w:r>
            <w:r>
              <w:rPr>
                <w:rStyle w:val="VerbatimChar"/>
              </w:rPr>
              <w:t xml:space="preserve">copy_guard.json</w:t>
            </w:r>
            <w:r>
              <w:t xml:space="preserve">). Validation fails if a line contains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Respect opt-out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opt_out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Cs/>
                <w:b/>
              </w:rPr>
              <w:t xml:space="preserve">global</w:t>
            </w:r>
            <w:r>
              <w:t xml:space="preserve"> </w:t>
            </w:r>
            <w:r>
              <w:t xml:space="preserve">intent checked before any state logic. It ends the call, sets</w:t>
            </w:r>
            <w:r>
              <w:t xml:space="preserve"> </w:t>
            </w:r>
            <w:r>
              <w:rPr>
                <w:rStyle w:val="VerbatimChar"/>
              </w:rPr>
              <w:t xml:space="preserve">consent.call=false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dnc=true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consentOverrides</w:t>
            </w:r>
            <w:r>
              <w:t xml:space="preserve"> </w:t>
            </w:r>
            <w:r>
              <w:t xml:space="preserve">(which survive data rebuilds), audits</w:t>
            </w:r>
            <w:r>
              <w:t xml:space="preserve"> </w:t>
            </w:r>
            <w:r>
              <w:rPr>
                <w:rStyle w:val="VerbatimChar"/>
              </w:rPr>
              <w:t xml:space="preserve">consent.withdrawn</w:t>
            </w:r>
            <w:r>
              <w:t xml:space="preserve"> </w:t>
            </w:r>
            <w:r>
              <w:t xml:space="preserve">and triggers a lead recompute (</w:t>
            </w:r>
            <w:r>
              <w:rPr>
                <w:rStyle w:val="VerbatimChar"/>
              </w:rPr>
              <w:t xml:space="preserve">zeroWhen: consent.dnc</w:t>
            </w:r>
            <w:r>
              <w:t xml:space="preserve"> </w:t>
            </w:r>
            <w:r>
              <w:t xml:space="preserve">→ score 0, NBA</w:t>
            </w:r>
            <w:r>
              <w:t xml:space="preserve"> </w:t>
            </w:r>
            <w:r>
              <w:rPr>
                <w:rStyle w:val="VerbatimChar"/>
              </w:rPr>
              <w:t xml:space="preserve">suppress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Safety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callback_later</w:t>
            </w:r>
            <w:r>
              <w:t xml:space="preserve"> </w:t>
            </w:r>
            <w:r>
              <w:t xml:space="preserve">("đang lái xe", "busy", "driving") ends politely with a drive-safely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Handle scam concerns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scam_concern</w:t>
            </w:r>
            <w:r>
              <w:t xml:space="preserve"> </w:t>
            </w:r>
            <w:r>
              <w:t xml:space="preserve">intent gives the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 </w:t>
            </w:r>
            <w:r>
              <w:t xml:space="preserve">line: how to verify, and that payment happens in-app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handoff on request or intent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buy_now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in the offer state end as</w:t>
            </w:r>
            <w:r>
              <w:t xml:space="preserve"> </w:t>
            </w:r>
            <w:r>
              <w:rPr>
                <w:rStyle w:val="VerbatimChar"/>
              </w:rPr>
              <w:t xml:space="preserve">hot_handoff</w:t>
            </w:r>
            <w:r>
              <w:t xml:space="preserve">. The handoff summary is minimal: masked phone, talking points, trust/price flags (</w:t>
            </w:r>
            <w:r>
              <w:rPr>
                <w:rStyle w:val="VerbatimChar"/>
              </w:rPr>
              <w:t xml:space="preserve">handoffSummary</w:t>
            </w:r>
            <w:r>
              <w:t xml:space="preserve">). Supervisors and agents work it under ABAC.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Bounded conversation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maxClarifications</w:t>
            </w:r>
            <w:r>
              <w:t xml:space="preserve"> </w:t>
            </w:r>
            <w:r>
              <w:t xml:space="preserve">(2), then a link is sent instead of looping. Utterances are truncated (500 characters).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Lawful targeting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 only after</w:t>
            </w:r>
            <w:r>
              <w:t xml:space="preserve"> </w:t>
            </w:r>
            <w:r>
              <w:rPr>
                <w:rStyle w:val="VerbatimChar"/>
              </w:rPr>
              <w:t xml:space="preserve">canContact()</w:t>
            </w:r>
            <w:r>
              <w:t xml:space="preserve">: call consent, DNC, 08:00–20:00 local, weekly call cap 2 (</w:t>
            </w:r>
            <w:r>
              <w:rPr>
                <w:rStyle w:val="VerbatimChar"/>
              </w:rPr>
              <w:t xml:space="preserve">contact_policy.json</w:t>
            </w:r>
            <w:r>
              <w:t xml:space="preserve">). The campaign endpoint skips company-owned vehicles and profiles without consent or a phone (</w:t>
            </w:r>
            <w:r>
              <w:rPr>
                <w:rStyle w:val="VerbatimChar"/>
              </w:rPr>
              <w:t xml:space="preserve">routes.js /api/voice/campaign</w:t>
            </w:r>
            <w:r>
              <w:t xml:space="preserve">). Decree 91/2020/ND-CP call rules and the national Do-Not-Call list:</w:t>
            </w:r>
            <w:r>
              <w:t xml:space="preserve"> </w:t>
            </w:r>
            <w:r>
              <w:rPr>
                <w:bCs/>
                <w:b/>
              </w:rPr>
              <w:t xml:space="preserve">confirm with TASCO legal</w:t>
            </w:r>
            <w:r>
              <w:t xml:space="preserve">. Check against the national DNC register before calling (planned integration).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call improves data, nothing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Outcomes update expiry (renewed elsewhere, confidence 0.6), raise DQ issues (wrong person, plate mismatch) and record consent. There are no hidden profiling attributes.</w:t>
            </w:r>
          </w:p>
        </w:tc>
      </w:tr>
    </w:tbl>
    <w:bookmarkEnd w:id="24"/>
    <w:bookmarkStart w:id="28" w:name="X34f82f69e12ba1159bedb0887353b37c49a54ce"/>
    <w:p>
      <w:pPr>
        <w:pStyle w:val="Heading2"/>
      </w:pPr>
      <w:r>
        <w:t xml:space="preserve">3. Script and prompt lifecycle (</w:t>
      </w:r>
      <w:r>
        <w:rPr>
          <w:rStyle w:val="VerbatimChar"/>
        </w:rPr>
        <w:t xml:space="preserve">content.voicebot</w:t>
      </w:r>
      <w:r>
        <w:t xml:space="preserve">)</w:t>
      </w:r>
    </w:p>
    <w:p>
      <w:pPr>
        <w:pStyle w:val="FirstParagraph"/>
      </w:pPr>
      <w:r>
        <w:drawing>
          <wp:inline>
            <wp:extent cx="6119999" cy="60946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ai-governanc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6094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is governed:</w:t>
      </w:r>
      <w:r>
        <w:t xml:space="preserve"> </w:t>
      </w:r>
      <w:r>
        <w:t xml:space="preserve">the bot lines (vi text + en gloss), intent keyword lists and their order (first match wins),</w:t>
      </w:r>
      <w:r>
        <w:t xml:space="preserve"> </w:t>
      </w:r>
      <w:r>
        <w:rPr>
          <w:rStyle w:val="VerbatimChar"/>
        </w:rPr>
        <w:t xml:space="preserve">maxPlateAttempts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maxClarifications</w:t>
      </w:r>
      <w:r>
        <w:t xml:space="preserve"> </w:t>
      </w:r>
      <w:r>
        <w:t xml:space="preserve">and the disclosure type. The state machine itself is code: changes go through a pull request, code review and release.</w:t>
      </w:r>
    </w:p>
    <w:p>
      <w:pPr>
        <w:pStyle w:val="BodyText"/>
      </w:pPr>
      <w:r>
        <w:rPr>
          <w:bCs/>
          <w:b/>
        </w:rPr>
        <w:t xml:space="preserve">Approver checklist (compliance):</w:t>
      </w:r>
    </w:p>
    <w:p>
      <w:pPr>
        <w:numPr>
          <w:ilvl w:val="0"/>
          <w:numId w:val="1002"/>
        </w:numPr>
        <w:pStyle w:val="Compact"/>
      </w:pPr>
      <w:r>
        <w:t xml:space="preserve">Disclosure and recording notice unchanged, or legally re-approved.</w:t>
      </w:r>
    </w:p>
    <w:p>
      <w:pPr>
        <w:numPr>
          <w:ilvl w:val="0"/>
          <w:numId w:val="1002"/>
        </w:numPr>
        <w:pStyle w:val="Compact"/>
      </w:pPr>
      <w:r>
        <w:t xml:space="preserve">No request for OTP, card, password or payment.</w:t>
      </w:r>
    </w:p>
    <w:p>
      <w:pPr>
        <w:numPr>
          <w:ilvl w:val="0"/>
          <w:numId w:val="1002"/>
        </w:numPr>
        <w:pStyle w:val="Compact"/>
      </w:pPr>
      <w:r>
        <w:t xml:space="preserve">Price statements match the active</w:t>
      </w:r>
      <w:r>
        <w:t xml:space="preserve"> </w:t>
      </w:r>
      <w:r>
        <w:rPr>
          <w:rStyle w:val="VerbatimChar"/>
        </w:rPr>
        <w:t xml:space="preserve">tariff.*</w:t>
      </w:r>
      <w:r>
        <w:t xml:space="preserve"> </w:t>
      </w:r>
      <w:r>
        <w:t xml:space="preserve">and say "same at every insurer".</w:t>
      </w:r>
    </w:p>
    <w:p>
      <w:pPr>
        <w:numPr>
          <w:ilvl w:val="0"/>
          <w:numId w:val="1002"/>
        </w:numPr>
        <w:pStyle w:val="Compact"/>
      </w:pPr>
      <w:r>
        <w:t xml:space="preserve">No banned phrases (automated) and no implied discounts (human judgement: e.g. "ưu đãi" (offer) implying a price cut).</w:t>
      </w:r>
    </w:p>
    <w:p>
      <w:pPr>
        <w:numPr>
          <w:ilvl w:val="0"/>
          <w:numId w:val="1002"/>
        </w:numPr>
        <w:pStyle w:val="Compact"/>
      </w:pPr>
      <w:r>
        <w:t xml:space="preserve">The opt-out keyword list is not narrowed. Every removal needs a justification.</w:t>
      </w:r>
    </w:p>
    <w:p>
      <w:pPr>
        <w:numPr>
          <w:ilvl w:val="0"/>
          <w:numId w:val="1002"/>
        </w:numPr>
        <w:pStyle w:val="Compact"/>
      </w:pPr>
      <w:r>
        <w:t xml:space="preserve">The intent order is reviewed (a short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keyword can capture "không có" ("I don't have it"); see</w:t>
      </w:r>
      <w:r>
        <w:t xml:space="preserve"> </w:t>
      </w:r>
      <w:hyperlink r:id="rId21">
        <w:r>
          <w:rPr>
            <w:rStyle w:val="Hyperlink"/>
          </w:rPr>
          <w:t xml:space="preserve">ADR-009</w:t>
        </w:r>
      </w:hyperlink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Golden-transcript results attached: 100 % pass on critical paths (opt-out, plate mismatch, scam concern, price).</w:t>
      </w:r>
    </w:p>
    <w:p>
      <w:pPr>
        <w:numPr>
          <w:ilvl w:val="0"/>
          <w:numId w:val="1002"/>
        </w:numPr>
        <w:pStyle w:val="Compact"/>
      </w:pPr>
      <w:r>
        <w:t xml:space="preserve">Tone and politeness in Vietnamese (Quý khách form of address), and regional dialect check.</w:t>
      </w:r>
    </w:p>
    <w:p>
      <w:pPr>
        <w:pStyle w:val="FirstParagraph"/>
      </w:pPr>
      <w:r>
        <w:rPr>
          <w:bCs/>
          <w:b/>
        </w:rPr>
        <w:t xml:space="preserve">Testing assets: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simulatedCaller.js</w:t>
      </w:r>
      <w:r>
        <w:t xml:space="preserve"> </w:t>
      </w:r>
      <w:r>
        <w:t xml:space="preserve">personas (eager, self-serve, price shopper, skeptic, already renewed, busy, opt-out, wrong plate);</w:t>
      </w:r>
    </w:p>
    <w:p>
      <w:pPr>
        <w:numPr>
          <w:ilvl w:val="0"/>
          <w:numId w:val="1003"/>
        </w:numPr>
        <w:pStyle w:val="Compact"/>
      </w:pPr>
      <w:r>
        <w:t xml:space="preserve">the interactive voice console (</w:t>
      </w:r>
      <w:r>
        <w:rPr>
          <w:rStyle w:val="VerbatimChar"/>
        </w:rPr>
        <w:t xml:space="preserve">POST /api/voice/sessions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/turns</w:t>
      </w:r>
      <w:r>
        <w:t xml:space="preserve">);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planned:</w:t>
      </w:r>
      <w:r>
        <w:t xml:space="preserve"> </w:t>
      </w:r>
      <w:r>
        <w:t xml:space="preserve">a labelled utterance set (§5.3) and an automated regression run on</w:t>
      </w:r>
      <w:r>
        <w:t xml:space="preserve"> </w:t>
      </w:r>
      <w:r>
        <w:rPr>
          <w:rStyle w:val="VerbatimChar"/>
        </w:rPr>
        <w:t xml:space="preserve">POST /api/rules/validate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content.voicebot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Prompts for future LLMs</w:t>
      </w:r>
      <w:r>
        <w:t xml:space="preserve"> </w:t>
      </w:r>
      <w:r>
        <w:t xml:space="preserve">follow the same lifecycle under a new rule kind (e.g.</w:t>
      </w:r>
      <w:r>
        <w:t xml:space="preserve"> </w:t>
      </w:r>
      <w:r>
        <w:rPr>
          <w:rStyle w:val="VerbatimChar"/>
        </w:rPr>
        <w:t xml:space="preserve">content.llm_prompts</w:t>
      </w:r>
      <w:r>
        <w:t xml:space="preserve">). The system prompt, few-shot examples, model id, temperature and output schema are versioned, copy-guarded where customer-facing, and approved by compliance and model risk.</w:t>
      </w:r>
    </w:p>
    <w:bookmarkEnd w:id="28"/>
    <w:bookmarkStart w:id="33" w:name="X2be015482414bde44e30bbd5a0f9cefb686b6a6"/>
    <w:p>
      <w:pPr>
        <w:pStyle w:val="Heading2"/>
      </w:pPr>
      <w:r>
        <w:t xml:space="preserve">4. Model risk management: lead scoring and inference</w:t>
      </w:r>
    </w:p>
    <w:bookmarkStart w:id="29" w:name="Xf20c6a5a5c5189c43fd516d60a53dc7c04d4edf"/>
    <w:p>
      <w:pPr>
        <w:pStyle w:val="Heading3"/>
      </w:pPr>
      <w:r>
        <w:t xml:space="preserve">4.1 Model card: lead score (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v1)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Prioritise outreach (who, when, which channel) for renewal and new business. It</w:t>
            </w:r>
            <w:r>
              <w:t xml:space="preserve"> </w:t>
            </w:r>
            <w:r>
              <w:rPr>
                <w:bCs/>
                <w:b/>
              </w:rPr>
              <w:t xml:space="preserve">does not</w:t>
            </w:r>
            <w:r>
              <w:t xml:space="preserve"> </w:t>
            </w:r>
            <w:r>
              <w:t xml:space="preserve">affect price, eligibility or claims.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 = round(Σ weight_f × clamp(value_f, 0, 1) × (0.6 + 0.4 × expiryConfidence))</w:t>
            </w:r>
            <w:r>
              <w:t xml:space="preserve">, set to 0 if</w:t>
            </w:r>
            <w:r>
              <w:t xml:space="preserve"> </w:t>
            </w:r>
            <w:r>
              <w:rPr>
                <w:rStyle w:val="VerbatimChar"/>
              </w:rPr>
              <w:t xml:space="preserve">consent.dnc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Factors (weight)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urgency (35): days to expiry/lapse · expiryConfidence (15) · engagement (20): app sessions, toll trips · reachability (15): push, Zalo, call consent, SMS · affinity (15): prior VETC purchase, TASCO customer, wallet covers premium, auto top-up, minus complaints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≥ 70, warm ≥ 45, otherwise nurture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lead stores</w:t>
            </w:r>
            <w:r>
              <w:t xml:space="preserve"> </w:t>
            </w:r>
            <w:r>
              <w:rPr>
                <w:rStyle w:val="VerbatimChar"/>
              </w:rPr>
              <w:t xml:space="preserve">reasons[] {factor, label, points, max, why}</w:t>
            </w:r>
            <w:r>
              <w:t xml:space="preserve"> </w:t>
            </w:r>
            <w:r>
              <w:t xml:space="preserve">sorted by contribution; the NBA stores</w:t>
            </w:r>
            <w:r>
              <w:t xml:space="preserve"> </w:t>
            </w:r>
            <w:r>
              <w:rPr>
                <w:rStyle w:val="VerbatimChar"/>
              </w:rPr>
              <w:t xml:space="preserve">ruleId</w:t>
            </w:r>
            <w:r>
              <w:t xml:space="preserve">. Both are shown in the customer 360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gender, age and date of birth are not collected.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ownerType</w:t>
            </w:r>
            <w:r>
              <w:t xml:space="preserve"> </w:t>
            </w:r>
            <w:r>
              <w:t xml:space="preserve">are available in the facts but</w:t>
            </w:r>
            <w:r>
              <w:t xml:space="preserve"> </w:t>
            </w:r>
            <w:r>
              <w:rPr>
                <w:bCs/>
                <w:b/>
              </w:rPr>
              <w:t xml:space="preserve">not used</w:t>
            </w:r>
            <w:r>
              <w:t xml:space="preserve"> </w:t>
            </w:r>
            <w:r>
              <w:t xml:space="preserve">by any factor.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Proxy-risk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walletBalance</w:t>
            </w:r>
            <w:r>
              <w:t xml:space="preserve"> </w:t>
            </w:r>
            <w:r>
              <w:t xml:space="preserve">(affluence proxy),</w:t>
            </w:r>
            <w:r>
              <w:t xml:space="preserve"> </w:t>
            </w:r>
            <w:r>
              <w:rPr>
                <w:rStyle w:val="VerbatimChar"/>
              </w:rPr>
              <w:t xml:space="preserve">province</w:t>
            </w:r>
            <w:r>
              <w:t xml:space="preserve"> </w:t>
            </w:r>
            <w:r>
              <w:t xml:space="preserve">(via facts),</w:t>
            </w:r>
            <w:r>
              <w:t xml:space="preserve"> </w:t>
            </w:r>
            <w:r>
              <w:rPr>
                <w:rStyle w:val="VerbatimChar"/>
              </w:rPr>
              <w:t xml:space="preserve">complaints12m</w:t>
            </w:r>
            <w:r>
              <w:t xml:space="preserve"> </w:t>
            </w:r>
            <w:r>
              <w:t xml:space="preserve">(reduces affinity)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validators.js</w:t>
            </w:r>
            <w:r>
              <w:t xml:space="preserve">: weights sum to 100, hot &gt; warm.</w:t>
            </w:r>
            <w:r>
              <w:t xml:space="preserve"> </w:t>
            </w:r>
            <w:r>
              <w:rPr>
                <w:rStyle w:val="VerbatimChar"/>
              </w:rPr>
              <w:t xml:space="preserve">/api/rules/simulate</w:t>
            </w:r>
            <w:r>
              <w:t xml:space="preserve"> </w:t>
            </w:r>
            <w:r>
              <w:t xml:space="preserve">compares current and candidate output per profile.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Hand-set weights, not fitted. Synthetic ground truth only in demo (</w:t>
            </w:r>
            <w:r>
              <w:rPr>
                <w:rStyle w:val="VerbatimChar"/>
              </w:rPr>
              <w:t xml:space="preserve">_hidden</w:t>
            </w:r>
            <w:r>
              <w:t xml:space="preserve"> </w:t>
            </w:r>
            <w:r>
              <w:t xml:space="preserve">in synthetic records); real calibration needs production outcomes.</w:t>
            </w:r>
          </w:p>
        </w:tc>
      </w:tr>
    </w:tbl>
    <w:bookmarkEnd w:id="29"/>
    <w:bookmarkStart w:id="31" w:name="X5d0aba466accfa6699e5264897744e0e50d6130"/>
    <w:p>
      <w:pPr>
        <w:pStyle w:val="Heading3"/>
      </w:pPr>
      <w:r>
        <w:t xml:space="preserve">4.2 Controls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Control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Threshold / cadence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reasons and NBA rule ids on every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Maker-checker + simulate; model-risk sign-off for</w:t>
            </w:r>
            <w:r>
              <w:t xml:space="preserve"> </w:t>
            </w:r>
            <w:r>
              <w:rPr>
                <w:rStyle w:val="VerbatimChar"/>
              </w:rPr>
              <w:t xml:space="preserve">scoring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(sign-off procedural)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the rule-set versions/checksums used on each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  <w:r>
              <w:t xml:space="preserve"> </w:t>
            </w:r>
            <w:r>
              <w:t xml:space="preserve">(</w:t>
            </w:r>
            <w:hyperlink r:id="rId30">
              <w:r>
                <w:rPr>
                  <w:rStyle w:val="Hyperlink"/>
                </w:rPr>
                <w:t xml:space="preserve">data §8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rate (order within 30 days of the first touch) by tier; hot &gt; warm &gt; nurture, monotonic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(needs analytics mart)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rate, tier mix and conversion by</w:t>
            </w:r>
            <w:r>
              <w:t xml:space="preserve"> </w:t>
            </w:r>
            <w:r>
              <w:rPr>
                <w:bCs/>
                <w:b/>
              </w:rPr>
              <w:t xml:space="preserve">province group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owner type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vehicle category</w:t>
            </w:r>
            <w:r>
              <w:t xml:space="preserve">. Disparate-impact ratio of contact rate ≥ 0.8 versus the reference group, unless explained by urgency. Review of proxy features.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+ on each scoring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Validator rule: scoring factors must not reference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ownerType</w:t>
            </w:r>
            <w:r>
              <w:t xml:space="preserve"> </w:t>
            </w:r>
            <w:r>
              <w:t xml:space="preserve">or any future demographic field without a model-risk waiver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</w:t>
            </w:r>
            <w:r>
              <w:t xml:space="preserve"> </w:t>
            </w:r>
            <w:r>
              <w:t xml:space="preserve">(add to</w:t>
            </w:r>
            <w:r>
              <w:t xml:space="preserve"> </w:t>
            </w:r>
            <w:r>
              <w:rPr>
                <w:rStyle w:val="VerbatimChar"/>
              </w:rPr>
              <w:t xml:space="preserve">validators.js#SPECIFIC.scoring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PSI on the score distribution (alert &gt; 0.2) and on key features (</w:t>
            </w:r>
            <w:r>
              <w:rPr>
                <w:rStyle w:val="VerbatimChar"/>
              </w:rPr>
              <w:t xml:space="preserve">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expiryConfidence</w:t>
            </w:r>
            <w:r>
              <w:t xml:space="preserve">, engagement); weekly tier-mix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loop (refit)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review: compare factor contributions with outcomes; propose new weights as a draft; A/B (champion/challenger) using hold-out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Planned. Needs an experiment flag, because there is one active version per kind today.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oversight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Telesales see the reasons and can reject leads (handoff</w:t>
            </w:r>
            <w:r>
              <w:t xml:space="preserve"> </w:t>
            </w:r>
            <w:r>
              <w:rPr>
                <w:rStyle w:val="VerbatimChar"/>
              </w:rPr>
              <w:t xml:space="preserve">lost</w:t>
            </w:r>
            <w:r>
              <w:t xml:space="preserve"> </w:t>
            </w:r>
            <w:r>
              <w:t xml:space="preserve">with a note); supervisors reassign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bookmarkEnd w:id="31"/>
    <w:bookmarkStart w:id="32" w:name="Xd04375ca009a61c3bde51a5c378c71c8d6f47ef"/>
    <w:p>
      <w:pPr>
        <w:pStyle w:val="Heading3"/>
      </w:pPr>
      <w:r>
        <w:t xml:space="preserve">4.3 Inference models (MDM)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Risk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wrong date means early or late reminders, and a quote start date that overlaps or leaves a gap in existing 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the accuracy of inferred expiry against later verified certificates or TASCO issuance (share within ±21 days, per method). Tune</w:t>
            </w:r>
            <w:r>
              <w:t xml:space="preserve"> </w:t>
            </w:r>
            <w:r>
              <w:rPr>
                <w:rStyle w:val="VerbatimChar"/>
              </w:rPr>
              <w:t xml:space="preserve">expiryEvidence</w:t>
            </w:r>
            <w:r>
              <w:t xml:space="preserve"> </w:t>
            </w:r>
            <w:r>
              <w:t xml:space="preserve">confidences by maker-checker. Reminders ask the customer to</w:t>
            </w:r>
            <w:r>
              <w:t xml:space="preserve"> </w:t>
            </w:r>
            <w:r>
              <w:rPr>
                <w:bCs/>
                <w:b/>
              </w:rPr>
              <w:t xml:space="preserve">verify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verify_expiry</w:t>
            </w:r>
            <w:r>
              <w:t xml:space="preserve"> </w:t>
            </w:r>
            <w:r>
              <w:t xml:space="preserve">template,</w:t>
            </w:r>
            <w:r>
              <w:t xml:space="preserve"> </w:t>
            </w:r>
            <w:r>
              <w:rPr>
                <w:rStyle w:val="VerbatimChar"/>
              </w:rPr>
              <w:t xml:space="preserve">needsConfirmation</w:t>
            </w:r>
            <w:r>
              <w:t xml:space="preserve"> </w:t>
            </w:r>
            <w:r>
              <w:t xml:space="preserve">in the app).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inference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wrong category means a wrong regulated premium</w:t>
            </w:r>
            <w:r>
              <w:t xml:space="preserve"> </w:t>
            </w:r>
            <w:r>
              <w:t xml:space="preserve">if the customer does not correct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accuracy against TASCO-issued categories.</w:t>
            </w:r>
            <w:r>
              <w:t xml:space="preserve"> </w:t>
            </w:r>
            <w:r>
              <w:rPr>
                <w:bCs/>
                <w:b/>
              </w:rPr>
              <w:t xml:space="preserve">Recommendation: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categoryConfidence &lt; 0.8</w:t>
            </w:r>
            <w:r>
              <w:t xml:space="preserve">, require explicit customer or agent confirmation of seats/usage before</w:t>
            </w:r>
            <w:r>
              <w:t xml:space="preserve"> </w:t>
            </w:r>
            <w:r>
              <w:rPr>
                <w:rStyle w:val="VerbatimChar"/>
              </w:rPr>
              <w:t xml:space="preserve">purchase</w:t>
            </w:r>
            <w:r>
              <w:t xml:space="preserve"> </w:t>
            </w:r>
            <w:r>
              <w:t xml:space="preserve">(not enforced today;</w:t>
            </w:r>
            <w:r>
              <w:t xml:space="preserve"> </w:t>
            </w:r>
            <w:r>
              <w:rPr>
                <w:rStyle w:val="VerbatimChar"/>
              </w:rPr>
              <w:t xml:space="preserve">quote</w:t>
            </w:r>
            <w:r>
              <w:t xml:space="preserve"> </w:t>
            </w:r>
            <w:r>
              <w:t xml:space="preserve">uses the inferred category unless</w:t>
            </w:r>
            <w:r>
              <w:t xml:space="preserve"> </w:t>
            </w:r>
            <w:r>
              <w:rPr>
                <w:rStyle w:val="VerbatimChar"/>
              </w:rPr>
              <w:t xml:space="preserve">options.category</w:t>
            </w:r>
            <w:r>
              <w:t xml:space="preserve"> </w:t>
            </w:r>
            <w:r>
              <w:t xml:space="preserve">is passed).</w:t>
            </w:r>
          </w:p>
        </w:tc>
      </w:tr>
    </w:tbl>
    <w:p>
      <w:pPr>
        <w:pStyle w:val="BodyText"/>
      </w:pPr>
      <w:r>
        <w:t xml:space="preserve">Hard-coded confidences outside the rule set (customer 0.8, steward 0.9, voice bot 0.6, issued 1.0; voice</w:t>
      </w:r>
      <w:r>
        <w:t xml:space="preserve"> </w:t>
      </w:r>
      <w:r>
        <w:rPr>
          <w:rStyle w:val="VerbatimChar"/>
        </w:rPr>
        <w:t xml:space="preserve">expiryKnown</w:t>
      </w:r>
      <w:r>
        <w:t xml:space="preserve"> </w:t>
      </w:r>
      <w:r>
        <w:t xml:space="preserve">threshold 0.5; app</w:t>
      </w:r>
      <w:r>
        <w:t xml:space="preserve"> </w:t>
      </w:r>
      <w:r>
        <w:rPr>
          <w:rStyle w:val="VerbatimChar"/>
        </w:rPr>
        <w:t xml:space="preserve">needsConfirmation</w:t>
      </w:r>
      <w:r>
        <w:t xml:space="preserve"> </w:t>
      </w:r>
      <w:r>
        <w:t xml:space="preserve">&lt; 0.75) should move into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so they are governed too.</w:t>
      </w:r>
    </w:p>
    <w:bookmarkEnd w:id="32"/>
    <w:bookmarkEnd w:id="33"/>
    <w:bookmarkStart w:id="37" w:name="Xb74c96fd3a13458ec16446e9ed2bd915d880b7f"/>
    <w:p>
      <w:pPr>
        <w:pStyle w:val="Heading2"/>
      </w:pPr>
      <w:r>
        <w:t xml:space="preserve">5. LLM integration policy</w:t>
      </w:r>
    </w:p>
    <w:bookmarkStart w:id="34" w:name="Xc0ce8751675d09cb6c675f52f216736463c7e95"/>
    <w:p>
      <w:pPr>
        <w:pStyle w:val="Heading3"/>
      </w:pPr>
      <w:r>
        <w:t xml:space="preserve">5.1 Permitted and prohibited uses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Permitted (with approval)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Prohibited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 classification behind the</w:t>
            </w:r>
            <w:r>
              <w:t xml:space="preserve"> </w:t>
            </w:r>
            <w:r>
              <w:rPr>
                <w:rStyle w:val="VerbatimChar"/>
              </w:rPr>
              <w:t xml:space="preserve">classify(text) → intent</w:t>
            </w:r>
            <w:r>
              <w:t xml:space="preserve"> </w:t>
            </w:r>
            <w:r>
              <w:t xml:space="preserve">port. The output must be one of the script's intent names or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 customer-facing speech or messages that were not pre-approved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agent assist: summarising call outcomes for telesales from</w:t>
            </w:r>
            <w:r>
              <w:t xml:space="preserve"> </w:t>
            </w:r>
            <w:r>
              <w:rPr>
                <w:bCs/>
                <w:b/>
              </w:rPr>
              <w:t xml:space="preserve">structured</w:t>
            </w:r>
            <w:r>
              <w:t xml:space="preserve"> </w:t>
            </w: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Quoting prices, eligibility, cover terms or legal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 assistance: suggesting the normalisation of messy free text for steward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Deciding consent, claims, underwriting or any decision with legal effect without a 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authoring assistant that drafts JSON Logic</w:t>
            </w:r>
            <w:r>
              <w:t xml:space="preserve"> </w:t>
            </w:r>
            <w:r>
              <w:rPr>
                <w:bCs/>
                <w:b/>
              </w:rPr>
              <w:t xml:space="preserve">as a draft only</w:t>
            </w:r>
            <w:r>
              <w:t xml:space="preserve">, still subject to validators and maker-checker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Collecting or processing OTPs, card data or national id</w:t>
            </w:r>
          </w:p>
        </w:tc>
      </w:tr>
    </w:tbl>
    <w:bookmarkEnd w:id="34"/>
    <w:bookmarkStart w:id="35" w:name="X2423aa258de5ed77cacf6e4d6bdd75287f8cf36"/>
    <w:p>
      <w:pPr>
        <w:pStyle w:val="Heading3"/>
      </w:pPr>
      <w:r>
        <w:t xml:space="preserve">5.2 Data protection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Minimise.</w:t>
      </w:r>
    </w:p>
    <w:p>
      <w:pPr>
        <w:numPr>
          <w:ilvl w:val="1"/>
          <w:numId w:val="1005"/>
        </w:numPr>
        <w:pStyle w:val="Compact"/>
      </w:pPr>
      <w:r>
        <w:t xml:space="preserve">Send only the current utterance (≤ 500 characters) and the intent list.</w:t>
      </w:r>
    </w:p>
    <w:p>
      <w:pPr>
        <w:numPr>
          <w:ilvl w:val="1"/>
          <w:numId w:val="1005"/>
        </w:numPr>
        <w:pStyle w:val="Compact"/>
      </w:pPr>
      <w:r>
        <w:t xml:space="preserve">Before sending, mask digit sequences (plates, phones) and known names.</w:t>
      </w:r>
    </w:p>
    <w:p>
      <w:pPr>
        <w:numPr>
          <w:ilvl w:val="1"/>
          <w:numId w:val="1005"/>
        </w:numPr>
        <w:pStyle w:val="Compact"/>
      </w:pPr>
      <w:r>
        <w:t xml:space="preserve">Never send profile data, transcript history or ids.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Residency and DPA.</w:t>
      </w:r>
    </w:p>
    <w:p>
      <w:pPr>
        <w:numPr>
          <w:ilvl w:val="1"/>
          <w:numId w:val="1006"/>
        </w:numPr>
        <w:pStyle w:val="Compact"/>
      </w:pPr>
      <w:r>
        <w:t xml:space="preserve">No personal data goes to an external model provider without a DPA, a processing-purpose record, a transfer impact assessment, and confirmation that cross-border transfer rules are met: Decree 13/2023/ND-CP transfer dossier and the PDP Law 2025 (</w:t>
      </w:r>
      <w:r>
        <w:rPr>
          <w:bCs/>
          <w:b/>
        </w:rPr>
        <w:t xml:space="preserve">confirm with TASCO legal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t xml:space="preserve">Prefer an in-country or self-hosted model for anything that touches customer speech.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training on customer data</w:t>
      </w:r>
      <w:r>
        <w:t xml:space="preserve"> </w:t>
      </w:r>
      <w:r>
        <w:t xml:space="preserve">by the provider (contractual), and zero data retention where offered.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Logging.</w:t>
      </w:r>
      <w:r>
        <w:t xml:space="preserve"> </w:t>
      </w:r>
      <w:r>
        <w:t xml:space="preserve">Log the intent, confidence, model id and prompt version, but not the raw prompt or completion when it may contain PII.</w:t>
      </w:r>
    </w:p>
    <w:bookmarkEnd w:id="35"/>
    <w:bookmarkStart w:id="36" w:name="X3c99eb0b367f2147739586f21886755be657461"/>
    <w:p>
      <w:pPr>
        <w:pStyle w:val="Heading3"/>
      </w:pPr>
      <w:r>
        <w:t xml:space="preserve">5.3 Evaluation and red-teaming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Suite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Pass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 evaluation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2,000 labelled Vietnamese utterances: Northern, Central and Southern dialects, diacritic-less ASR output, code-switching (vi/en), noise and filler, numbers spoken in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F1 ≥ keyword baseline + 5 pts;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opt_out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recall ≥ 0.99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scam_concern</w:t>
            </w:r>
            <w:r>
              <w:t xml:space="preserve"> </w:t>
            </w:r>
            <w:r>
              <w:t xml:space="preserve">recall ≥ 0.95;</w:t>
            </w:r>
            <w:r>
              <w:t xml:space="preserve"> </w:t>
            </w:r>
            <w:r>
              <w:rPr>
                <w:rStyle w:val="VerbatimChar"/>
              </w:rPr>
              <w:t xml:space="preserve">buy_now</w:t>
            </w:r>
            <w:r>
              <w:t xml:space="preserve"> </w:t>
            </w:r>
            <w:r>
              <w:t xml:space="preserve">precision ≥ 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Plate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Spoken plates in many styles ("ba mươi A …", "30A 123 45", 4-digit legacy)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98 % exact match on clear audio transcripts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injection via speech ("bỏ qua hướng dẫn…" / "ignore previous instructions"), requests for discounts, impersonation scripts, abusive language, attempts to extract other customers'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policy violations: classifier output stays in the enum; no PII echoed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Golden transcripts for each script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on critical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classification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300 ms (otherwise fall back to keywords)</w:t>
            </w:r>
          </w:p>
        </w:tc>
      </w:tr>
    </w:tbl>
    <w:p>
      <w:pPr>
        <w:pStyle w:val="BodyText"/>
      </w:pPr>
      <w:r>
        <w:rPr>
          <w:bCs/>
          <w:b/>
        </w:rPr>
        <w:t xml:space="preserve">Runtime guard-rails:</w:t>
      </w:r>
    </w:p>
    <w:p>
      <w:pPr>
        <w:numPr>
          <w:ilvl w:val="0"/>
          <w:numId w:val="1007"/>
        </w:numPr>
        <w:pStyle w:val="Compact"/>
      </w:pPr>
      <w:r>
        <w:t xml:space="preserve">schema-validate the output (enum);</w:t>
      </w:r>
    </w:p>
    <w:p>
      <w:pPr>
        <w:numPr>
          <w:ilvl w:val="0"/>
          <w:numId w:val="1007"/>
        </w:numPr>
        <w:pStyle w:val="Compact"/>
      </w:pPr>
      <w:r>
        <w:t xml:space="preserve">timeout, then fall back to</w:t>
      </w:r>
      <w:r>
        <w:t xml:space="preserve"> </w:t>
      </w:r>
      <w:r>
        <w:rPr>
          <w:rStyle w:val="VerbatimChar"/>
        </w:rPr>
        <w:t xml:space="preserve">keywordClassifier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the keyword</w:t>
      </w:r>
      <w:r>
        <w:t xml:space="preserve"> </w:t>
      </w:r>
      <w:r>
        <w:rPr>
          <w:rStyle w:val="VerbatimChar"/>
        </w:rPr>
        <w:t xml:space="preserve">opt_out</w:t>
      </w:r>
      <w:r>
        <w:t xml:space="preserve"> </w:t>
      </w:r>
      <w:r>
        <w:t xml:space="preserve">check</w:t>
      </w:r>
      <w:r>
        <w:t xml:space="preserve"> </w:t>
      </w:r>
      <w:r>
        <w:rPr>
          <w:bCs/>
          <w:b/>
        </w:rPr>
        <w:t xml:space="preserve">always runs first</w:t>
      </w:r>
      <w:r>
        <w:t xml:space="preserve"> </w:t>
      </w:r>
      <w:r>
        <w:t xml:space="preserve">and overrides the LLM;</w:t>
      </w:r>
    </w:p>
    <w:p>
      <w:pPr>
        <w:numPr>
          <w:ilvl w:val="0"/>
          <w:numId w:val="1007"/>
        </w:numPr>
        <w:pStyle w:val="Compact"/>
      </w:pPr>
      <w:r>
        <w:t xml:space="preserve">a feature flag per campaign for gradual rollout.</w:t>
      </w:r>
    </w:p>
    <w:bookmarkEnd w:id="36"/>
    <w:bookmarkEnd w:id="37"/>
    <w:bookmarkStart w:id="38" w:name="Xec1d037a3565c981c81527ac25bc43cb18d1491"/>
    <w:p>
      <w:pPr>
        <w:pStyle w:val="Heading2"/>
      </w:pPr>
      <w:r>
        <w:t xml:space="preserve">6. Monitoring</w:t>
      </w:r>
    </w:p>
    <w:p>
      <w:pPr>
        <w:pStyle w:val="FirstParagraph"/>
      </w:pPr>
      <w:r>
        <w:rPr>
          <w:bCs/>
          <w:b/>
        </w:rPr>
        <w:t xml:space="preserve">Governance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/api/dashboard/governance</w:t>
      </w:r>
      <w:r>
        <w:t xml:space="preserve">, permission</w:t>
      </w:r>
      <w:r>
        <w:t xml:space="preserve"> </w:t>
      </w:r>
      <w:r>
        <w:rPr>
          <w:rStyle w:val="VerbatimChar"/>
        </w:rPr>
        <w:t xml:space="preserve">audit:read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insightsService.governance</w:t>
      </w:r>
      <w:r>
        <w:t xml:space="preserve">) returns today: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voiceBot.calls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voiceBot.outcomes</w:t>
      </w:r>
      <w:r>
        <w:t xml:space="preserve"> </w:t>
      </w:r>
      <w:r>
        <w:t xml:space="preserve">(opted_out, hot_handoff, link_sent, already_renewed, plate_mismatch, unverified, wrong_person, callback_later, not_interested);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plateVerificationFailureRate</w:t>
      </w:r>
      <w:r>
        <w:t xml:space="preserve"> </w:t>
      </w:r>
      <w:r>
        <w:t xml:space="preserve">= (plate_mismatch + unverified) / calls;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optOutRate</w:t>
      </w:r>
      <w:r>
        <w:t xml:space="preserve"> </w:t>
      </w:r>
      <w:r>
        <w:t xml:space="preserve">= opted_out / calls;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disclosure</w:t>
      </w:r>
      <w:r>
        <w:t xml:space="preserve"> </w:t>
      </w:r>
      <w:r>
        <w:t xml:space="preserve">statement;</w:t>
      </w:r>
    </w:p>
    <w:p>
      <w:pPr>
        <w:numPr>
          <w:ilvl w:val="0"/>
          <w:numId w:val="1008"/>
        </w:numPr>
        <w:pStyle w:val="Compact"/>
      </w:pPr>
      <w:r>
        <w:t xml:space="preserve">rule-set counts by status (draft, pending, active, retired, rejected);</w:t>
      </w:r>
    </w:p>
    <w:p>
      <w:pPr>
        <w:numPr>
          <w:ilvl w:val="0"/>
          <w:numId w:val="1008"/>
        </w:numPr>
        <w:pStyle w:val="Compact"/>
      </w:pPr>
      <w:r>
        <w:t xml:space="preserve">audit-chain verification (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Metrics and thresholds: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Threshold →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Opt-out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dashboard /</w:t>
            </w:r>
            <w:r>
              <w:t xml:space="preserve"> </w:t>
            </w:r>
            <w:r>
              <w:rPr>
                <w:rStyle w:val="VerbatimChar"/>
              </w:rPr>
              <w:t xml:space="preserve">voice_calls_total{outcome="opted_out"}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8 % weekly → review script and targeting; &gt; 15 % → pause campaign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Plate verification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25 % → check ASR quality and data accuracy (wrong numbers)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Wrong-person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voice_calls_total{outcome="wrong_person"}</w:t>
            </w:r>
            <w:r>
              <w:t xml:space="preserve">, DQ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5 % → data quality incident with the VETC data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Unknown-intent / clarification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lastIntent</w:t>
            </w:r>
            <w:r>
              <w:t xml:space="preserve">, clarifications (planned 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20 % → NLU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Complaints mentioning the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 ticketing (planned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vishing-related complaint → incident (§7)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Copy-guard blocks at send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messages_total{status="blocked"}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 → template defect; fix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Contact-policy suppressions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Touchpoint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  <w:r>
              <w:t xml:space="preserve"> </w:t>
            </w:r>
            <w:r>
              <w:t xml:space="preserve">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 review monthly (consent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 drift /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 marts (§4.2)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PSI &gt; 0.2 or DI &lt; 0.8 → model-risk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 conversion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handoffs</w:t>
            </w:r>
            <w:r>
              <w:t xml:space="preserve"> </w:t>
            </w:r>
            <w:r>
              <w:t xml:space="preserve">won/lost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target → review talking points and scoring</w:t>
            </w:r>
          </w:p>
        </w:tc>
      </w:tr>
    </w:tbl>
    <w:bookmarkEnd w:id="38"/>
    <w:bookmarkStart w:id="39" w:name="Xda05596c1e6c3255a08ea27197d33bd2597c1e8"/>
    <w:p>
      <w:pPr>
        <w:pStyle w:val="Heading2"/>
      </w:pPr>
      <w:r>
        <w:t xml:space="preserve">7. AI incident handling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Incident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Examples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Immediate containment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Follow-up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Harmful or incorrect bot 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price stated, discount implied, rude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back</w:t>
            </w:r>
            <w:r>
              <w:t xml:space="preserve"> </w:t>
            </w:r>
            <w:r>
              <w:rPr>
                <w:rStyle w:val="VerbatimChar"/>
              </w:rPr>
              <w:t xml:space="preserve">content.voicebot</w:t>
            </w:r>
            <w:r>
              <w:t xml:space="preserve"> </w:t>
            </w:r>
            <w:r>
              <w:t xml:space="preserve">to the previous version (rollback → approve). Pause automated calls: suspend the</w:t>
            </w:r>
            <w:r>
              <w:t xml:space="preserve"> </w:t>
            </w:r>
            <w:r>
              <w:rPr>
                <w:rStyle w:val="VerbatimChar"/>
              </w:rPr>
              <w:t xml:space="preserve">journeys</w:t>
            </w:r>
            <w:r>
              <w:t xml:space="preserve"> </w:t>
            </w:r>
            <w:r>
              <w:t xml:space="preserve">CronJob and stop</w:t>
            </w:r>
            <w:r>
              <w:t xml:space="preserve"> </w:t>
            </w:r>
            <w:r>
              <w:rPr>
                <w:rStyle w:val="VerbatimChar"/>
              </w:rPr>
              <w:t xml:space="preserve">/api/voice/campaign</w:t>
            </w:r>
            <w:r>
              <w:t xml:space="preserve"> </w:t>
            </w:r>
            <w:r>
              <w:t xml:space="preserve">use.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cause; add a golden transcript; compliance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Missed opt-out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said stop and was called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campaigns; manually set DNC for affected profiles; review</w:t>
            </w:r>
            <w:r>
              <w:t xml:space="preserve"> </w:t>
            </w:r>
            <w:r>
              <w:rPr>
                <w:rStyle w:val="VerbatimChar"/>
              </w:rPr>
              <w:t xml:space="preserve">consent.withdrawn</w:t>
            </w:r>
            <w:r>
              <w:t xml:space="preserve"> </w:t>
            </w:r>
            <w:r>
              <w:t xml:space="preserve">audit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utterances to the evaluation set; widen keywords; regulator and customer communication if required (</w:t>
            </w:r>
            <w:r>
              <w:rPr>
                <w:bCs/>
                <w:b/>
              </w:rPr>
              <w:t xml:space="preserve">confirm with TASCO legal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Vishing wave impersonating VETC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report fraudulent "VETC insurance"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and Zalo service message to affected regions: "VETC never asks for OTP/payment by phone"; strengthen the trust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with VETC security and the authorities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or ASR degradation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ASR accuracy drop; plate failures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telephony breaker opens on errors. Otherwise reduce campaign concurrency or pause.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SLA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bad weights version leads to the wrong customers being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back</w:t>
            </w:r>
            <w:r>
              <w:t xml:space="preserve"> </w:t>
            </w:r>
            <w:r>
              <w:rPr>
                <w:rStyle w:val="VerbatimChar"/>
              </w:rPr>
              <w:t xml:space="preserve">scoring</w:t>
            </w:r>
            <w:r>
              <w:t xml:space="preserve">/</w:t>
            </w:r>
            <w:r>
              <w:rPr>
                <w:rStyle w:val="VerbatimChar"/>
              </w:rPr>
              <w:t xml:space="preserve">nba</w:t>
            </w:r>
            <w:r>
              <w:t xml:space="preserve">; recompute leads (</w:t>
            </w:r>
            <w:r>
              <w:rPr>
                <w:rStyle w:val="VerbatimChar"/>
              </w:rPr>
              <w:t xml:space="preserve">POST /api/leads/recompute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evidence required on the next change</w:t>
            </w:r>
          </w:p>
        </w:tc>
      </w:tr>
    </w:tbl>
    <w:p>
      <w:pPr>
        <w:pStyle w:val="BlockText"/>
      </w:pPr>
      <w:r>
        <w:rPr>
          <w:bCs/>
          <w:b/>
        </w:rPr>
        <w:t xml:space="preserve">Gap:</w:t>
      </w:r>
      <w:r>
        <w:t xml:space="preserve"> </w:t>
      </w:r>
      <w:r>
        <w:t xml:space="preserve">there is no single</w:t>
      </w:r>
      <w:r>
        <w:t xml:space="preserve"> </w:t>
      </w:r>
      <w:r>
        <w:rPr>
          <w:bCs/>
          <w:b/>
        </w:rPr>
        <w:t xml:space="preserve">kill switch</w:t>
      </w:r>
      <w:r>
        <w:t xml:space="preserve"> </w:t>
      </w:r>
      <w:r>
        <w:t xml:space="preserve">that stops all automated calls immediately, independent of maker-checker. Today it takes a CronJob suspend plus discipline on the campaign endpoint.</w:t>
      </w:r>
      <w:r>
        <w:t xml:space="preserve"> </w:t>
      </w:r>
      <w:r>
        <w:rPr>
          <w:bCs/>
          <w:b/>
        </w:rPr>
        <w:t xml:space="preserve">Recommendation:</w:t>
      </w:r>
      <w:r>
        <w:t xml:space="preserve"> </w:t>
      </w:r>
      <w:r>
        <w:t xml:space="preserve">an operational flag, for example</w:t>
      </w:r>
      <w:r>
        <w:t xml:space="preserve"> </w:t>
      </w:r>
      <w:r>
        <w:rPr>
          <w:rStyle w:val="VerbatimChar"/>
        </w:rPr>
        <w:t xml:space="preserve">VOICE_BOT_ENABLED</w:t>
      </w:r>
      <w:r>
        <w:t xml:space="preserve"> </w:t>
      </w:r>
      <w:r>
        <w:t xml:space="preserve">in config or an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toggle with</w:t>
      </w:r>
      <w:r>
        <w:t xml:space="preserve"> </w:t>
      </w:r>
      <w:r>
        <w:rPr>
          <w:rStyle w:val="VerbatimChar"/>
        </w:rPr>
        <w:t xml:space="preserve">ops:run_jobs</w:t>
      </w:r>
      <w:r>
        <w:t xml:space="preserve"> </w:t>
      </w:r>
      <w:r>
        <w:t xml:space="preserve">and audit, checked in</w:t>
      </w:r>
      <w:r>
        <w:t xml:space="preserve"> </w:t>
      </w:r>
      <w:r>
        <w:rPr>
          <w:rStyle w:val="VerbatimChar"/>
        </w:rPr>
        <w:t xml:space="preserve">voiceService.autoCall</w:t>
      </w:r>
      <w:r>
        <w:t xml:space="preserve">.</w:t>
      </w:r>
    </w:p>
    <w:bookmarkEnd w:id="39"/>
    <w:bookmarkStart w:id="40" w:name="X71d8d8ab50060ef650422c82f924ffeb318f389"/>
    <w:p>
      <w:pPr>
        <w:pStyle w:val="Heading2"/>
      </w:pPr>
      <w:r>
        <w:t xml:space="preserve">8. Roles and responsibilities (RACI)</w:t>
      </w:r>
    </w:p>
    <w:p>
      <w:pPr>
        <w:pStyle w:val="FirstParagraph"/>
      </w:pPr>
      <w:r>
        <w:t xml:space="preserve">R = Responsible · A = Accountable · C = Consulted · I = Informed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Activity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Product owner (TASCO)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CX lead (VETC)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Compliance officer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Legal / DPO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Model risk / analytics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InfoSec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author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approver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iorta TechNXT engineering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Telesales 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 bot script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(approve)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Disclosure / recording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Dialogue state-machine change (code)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/ NBA / journey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(sign-off)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(approve)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and drift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introduction (new model or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(DPA, transfer)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(evaluation)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(security review)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(approve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Opt-out and consent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dashboard review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Category/expiry inference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0"/>
    <w:bookmarkStart w:id="41" w:name="X1fc620793fc64311823787a2229b3c2cb1fb137"/>
    <w:p>
      <w:pPr>
        <w:pStyle w:val="Heading2"/>
      </w:pPr>
      <w:r>
        <w:t xml:space="preserve">9. Regulatory alignment (to confirm)</w:t>
      </w:r>
    </w:p>
    <w:p>
      <w:pPr>
        <w:pStyle w:val="FirstParagraph"/>
      </w:pPr>
      <w:r>
        <w:t xml:space="preserve">All of the following must be</w:t>
      </w:r>
      <w:r>
        <w:t xml:space="preserve"> </w:t>
      </w:r>
      <w:r>
        <w:rPr>
          <w:bCs/>
          <w:b/>
        </w:rPr>
        <w:t xml:space="preserve">confirmed with TASCO legal</w:t>
      </w:r>
      <w:r>
        <w:t xml:space="preserve"> </w:t>
      </w:r>
      <w:r>
        <w:t xml:space="preserve">before production:</w:t>
      </w:r>
    </w:p>
    <w:p>
      <w:pPr>
        <w:numPr>
          <w:ilvl w:val="0"/>
          <w:numId w:val="1009"/>
        </w:numPr>
        <w:pStyle w:val="Compact"/>
      </w:pPr>
      <w:r>
        <w:t xml:space="preserve">personal data processing basis and AI disclosure (Decree 13/2023/ND-CP; Law on Personal Data Protection 2025 and its implementing decree);</w:t>
      </w:r>
    </w:p>
    <w:p>
      <w:pPr>
        <w:numPr>
          <w:ilvl w:val="0"/>
          <w:numId w:val="1009"/>
        </w:numPr>
        <w:pStyle w:val="Compact"/>
      </w:pPr>
      <w:r>
        <w:t xml:space="preserve">marketing calls and messages: hours, frequency and the DNC registry (Decree 91/2020/ND-CP);</w:t>
      </w:r>
    </w:p>
    <w:p>
      <w:pPr>
        <w:numPr>
          <w:ilvl w:val="0"/>
          <w:numId w:val="1009"/>
        </w:numPr>
        <w:pStyle w:val="Compact"/>
      </w:pPr>
      <w:r>
        <w:t xml:space="preserve">consumer protection and call recording notice (Law on Protection of Consumers' Rights 2023);</w:t>
      </w:r>
    </w:p>
    <w:p>
      <w:pPr>
        <w:numPr>
          <w:ilvl w:val="0"/>
          <w:numId w:val="1009"/>
        </w:numPr>
        <w:pStyle w:val="Compact"/>
      </w:pPr>
      <w:r>
        <w:t xml:space="preserve">the prohibition on discounts or rebates for compulsory TNDS (Law on Insurance Business 08/2022/QH15; Decree 67/2023/ND-CP);</w:t>
      </w:r>
    </w:p>
    <w:p>
      <w:pPr>
        <w:numPr>
          <w:ilvl w:val="0"/>
          <w:numId w:val="1009"/>
        </w:numPr>
        <w:pStyle w:val="Compact"/>
      </w:pPr>
      <w:r>
        <w:t xml:space="preserve">data residency (Cybersecurity Law 2018; Decree 53/2022/ND-CP).</w:t>
      </w:r>
    </w:p>
    <w:p>
      <w:pPr>
        <w:pStyle w:val="FirstParagraph"/>
      </w:pPr>
      <w:r>
        <w:t xml:space="preserve">The platform's defaults are conservative and configurable (</w:t>
      </w:r>
      <w:r>
        <w:rPr>
          <w:rStyle w:val="VerbatimChar"/>
        </w:rPr>
        <w:t xml:space="preserve">contact_policy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), so legal positions can be applied as maker-checker rule changes rather than code changes.</w:t>
      </w:r>
    </w:p>
    <w:bookmarkEnd w:id="41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5" Type="http://schemas.openxmlformats.org/officeDocument/2006/relationships/image" Target="media/rId25.png"/><Relationship Id="rId20" Type="http://schemas.openxmlformats.org/officeDocument/2006/relationships/hyperlink" Target="adr/ADR-003-rules-engine-maker-checker.docx" TargetMode="External"/><Relationship Id="rId21" Type="http://schemas.openxmlformats.org/officeDocument/2006/relationships/hyperlink" Target="adr/ADR-009-voice-bot-dialogue.docx" TargetMode="External"/><Relationship Id="rId30" Type="http://schemas.openxmlformats.org/officeDocument/2006/relationships/hyperlink" Target="data-architecture.docx" TargetMode="External"/><Relationship Id="rId22" Type="http://schemas.openxmlformats.org/officeDocument/2006/relationships/hyperlink" Target="integration-architecture.docx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dr/ADR-003-rules-engine-maker-checker.docx" TargetMode="External"/><Relationship Id="rId21" Type="http://schemas.openxmlformats.org/officeDocument/2006/relationships/hyperlink" Target="adr/ADR-009-voice-bot-dialogue.docx" TargetMode="External"/><Relationship Id="rId30" Type="http://schemas.openxmlformats.org/officeDocument/2006/relationships/hyperlink" Target="data-architecture.docx" TargetMode="External"/><Relationship Id="rId22" Type="http://schemas.openxmlformats.org/officeDocument/2006/relationships/hyperlink" Target="integration-architectur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&amp; prompt governance</dc:title>
  <dc:creator>iorta TechNXT</dc:creator>
  <cp:keywords/>
  <dcterms:created xsi:type="dcterms:W3CDTF">2026-10-07T17:45:15Z</dcterms:created>
  <dcterms:modified xsi:type="dcterms:W3CDTF">2026-10-07T17:45:15Z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</vt:lpwstr>
  </property>
</Properties>
</file>