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&amp; infrastructure architecture</w:t>
      </w:r>
    </w:p>
    <w:p>
      <w:pPr>
        <w:pStyle w:val="Subtitle"/>
      </w:pPr>
      <w:r>
        <w:t xml:space="preserve">TASCO Insurance × VETC Growth Platform — Architecture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The deployment assets are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deploy/k8s/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railway.json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 This document is the</w:t>
      </w:r>
      <w:r>
        <w:t xml:space="preserve"> </w:t>
      </w:r>
      <w:r>
        <w:rPr>
          <w:bCs/>
          <w:b/>
        </w:rPr>
        <w:t xml:space="preserve">design</w:t>
      </w:r>
      <w:r>
        <w:t xml:space="preserve"> </w:t>
      </w:r>
      <w:r>
        <w:t xml:space="preserve">those assets implement. If a value here differs from a manifest, the manifest is authoritative for what is deployed, and this document states the intent. Raise a change to bring them back in line.</w:t>
      </w:r>
      <w:r>
        <w:t xml:space="preserve"> </w:t>
      </w:r>
      <w:r>
        <w:t xml:space="preserve">Decision record:</w:t>
      </w:r>
      <w:r>
        <w:t xml:space="preserve"> </w:t>
      </w:r>
      <w:hyperlink r:id="rId20">
        <w:r>
          <w:rPr>
            <w:rStyle w:val="Hyperlink"/>
          </w:rPr>
          <w:t xml:space="preserve">ADR-012</w:t>
        </w:r>
      </w:hyperlink>
      <w:r>
        <w:t xml:space="preserve">.</w:t>
      </w:r>
    </w:p>
    <w:bookmarkStart w:id="21" w:name="Xb037088360109d8215e57cc512f63c6df350239"/>
    <w:p>
      <w:pPr>
        <w:pStyle w:val="Heading2"/>
      </w:pPr>
      <w:r>
        <w:t xml:space="preserve">1. 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immutable artefact.</w:t>
      </w:r>
      <w:r>
        <w:t xml:space="preserve"> </w:t>
      </w:r>
      <w:r>
        <w:t xml:space="preserve">The same signed image (digest-pinned) is promoted from SIT to UAT, perf, prod and DR. Only configuration differs.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Twelve-factor.</w:t>
      </w:r>
    </w:p>
    <w:p>
      <w:pPr>
        <w:numPr>
          <w:ilvl w:val="1"/>
          <w:numId w:val="1002"/>
        </w:numPr>
        <w:pStyle w:val="Compact"/>
      </w:pPr>
      <w:r>
        <w:t xml:space="preserve">Configuration comes from the environment, and secrets from mounted files (</w:t>
      </w:r>
      <w:r>
        <w:rPr>
          <w:rStyle w:val="VerbatimChar"/>
        </w:rPr>
        <w:t xml:space="preserve">*_FILE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src/shared/config.js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Logs go to stdout as JSON.</w:t>
      </w:r>
    </w:p>
    <w:p>
      <w:pPr>
        <w:numPr>
          <w:ilvl w:val="1"/>
          <w:numId w:val="1002"/>
        </w:numPr>
        <w:pStyle w:val="Compact"/>
      </w:pPr>
      <w:r>
        <w:t xml:space="preserve">Processes are stateless; state lives in Postgres.</w:t>
      </w:r>
    </w:p>
    <w:p>
      <w:pPr>
        <w:numPr>
          <w:ilvl w:val="1"/>
          <w:numId w:val="1002"/>
        </w:numPr>
        <w:pStyle w:val="Compact"/>
      </w:pPr>
      <w:r>
        <w:t xml:space="preserve">API and jobs share one image with different commands (</w:t>
      </w:r>
      <w:r>
        <w:rPr>
          <w:rStyle w:val="VerbatimChar"/>
        </w:rPr>
        <w:t xml:space="preserve">node 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 src/jobs/cli.js &lt;job&gt;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Least privilege everywhere.</w:t>
      </w:r>
    </w:p>
    <w:p>
      <w:pPr>
        <w:numPr>
          <w:ilvl w:val="1"/>
          <w:numId w:val="1003"/>
        </w:numPr>
        <w:pStyle w:val="Compact"/>
      </w:pPr>
      <w:r>
        <w:t xml:space="preserve">Containers run non-root with a read-only root filesystem, all Linux capabilities dropped and the RuntimeDefault seccomp profile.</w:t>
      </w:r>
    </w:p>
    <w:p>
      <w:pPr>
        <w:numPr>
          <w:ilvl w:val="1"/>
          <w:numId w:val="1003"/>
        </w:numPr>
        <w:pStyle w:val="Compact"/>
      </w:pPr>
      <w:r>
        <w:t xml:space="preserve">Network policy is default-deny.</w:t>
      </w:r>
    </w:p>
    <w:p>
      <w:pPr>
        <w:numPr>
          <w:ilvl w:val="1"/>
          <w:numId w:val="1003"/>
        </w:numPr>
        <w:pStyle w:val="Compact"/>
      </w:pPr>
      <w:r>
        <w:t xml:space="preserve">The DB uses separate owner and app roles.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 safe.</w:t>
      </w:r>
    </w:p>
    <w:p>
      <w:pPr>
        <w:numPr>
          <w:ilvl w:val="1"/>
          <w:numId w:val="1004"/>
        </w:numPr>
        <w:pStyle w:val="Compact"/>
      </w:pPr>
      <w:r>
        <w:t xml:space="preserve">Production refuses to boot without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BLIND_INDEX_KEY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DATA_KEYS</w:t>
      </w:r>
      <w:r>
        <w:t xml:space="preserve">, or with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on (</w:t>
      </w:r>
      <w:r>
        <w:rPr>
          <w:rStyle w:val="VerbatimChar"/>
        </w:rPr>
        <w:t xml:space="preserve">loadConfig</w:t>
      </w:r>
      <w:r>
        <w:t xml:space="preserve">).</w:t>
      </w:r>
    </w:p>
    <w:p>
      <w:pPr>
        <w:numPr>
          <w:ilvl w:val="1"/>
          <w:numId w:val="1004"/>
        </w:numPr>
        <w:pStyle w:val="Compact"/>
      </w:pPr>
      <w:r>
        <w:t xml:space="preserve">Readiness stays false until the server listens and the DB answers.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SIGTERM</w:t>
      </w:r>
      <w:r>
        <w:t xml:space="preserve"> </w:t>
      </w:r>
      <w:r>
        <w:t xml:space="preserve">handling drops readiness first, then drains, then exits within 25 s (</w:t>
      </w:r>
      <w:r>
        <w:rPr>
          <w:rStyle w:val="VerbatimChar"/>
        </w:rPr>
        <w:t xml:space="preserve">src/server.js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residency.</w:t>
      </w:r>
      <w:r>
        <w:t xml:space="preserve"> </w:t>
      </w:r>
      <w:r>
        <w:t xml:space="preserve">Production personal data is stored and processed in Vietnam (</w:t>
      </w:r>
      <w:r>
        <w:rPr>
          <w:bCs/>
          <w:b/>
        </w:rPr>
        <w:t xml:space="preserve">confirm with TASCO legal</w:t>
      </w:r>
      <w:r>
        <w:t xml:space="preserve">: Cybersecurity Law 2018 and Decree 53/2022/ND-CP; Decree 13/2023/ND-CP and the Law on Personal Data Protection 2025 on cross-border transfer).</w:t>
      </w:r>
    </w:p>
    <w:bookmarkEnd w:id="21"/>
    <w:bookmarkStart w:id="22" w:name="X9d0eaa9e663ac5d751abeaa0a0a9f6514c5c9a9"/>
    <w:p>
      <w:pPr>
        <w:pStyle w:val="Heading2"/>
      </w:pPr>
      <w:r>
        <w:t xml:space="preserve">2. Environments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Env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Hosting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Data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color w:val="FFFFFF"/>
              </w:rPr>
              <w:t xml:space="preserve">NODE_ENV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/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rStyle w:val="VerbatimChar"/>
                <w:b/>
                <w:color w:val="FFFFFF"/>
              </w:rPr>
              <w:t xml:space="preserve">DEMO_MODE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Integrations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Promotion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compose up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 </w:t>
            </w:r>
            <w:r>
              <w:t xml:space="preserve">with the in-memory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(</w:t>
            </w:r>
            <w:r>
              <w:rPr>
                <w:rStyle w:val="VerbatimChar"/>
              </w:rPr>
              <w:t xml:space="preserve">SEED_RECORDS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/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adapters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+ Postgres service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checks 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integration with VETC/TASCO test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namespace</w:t>
            </w:r>
            <w:r>
              <w:t xml:space="preserve"> </w:t>
            </w:r>
            <w:r>
              <w:rPr>
                <w:rStyle w:val="VerbatimChar"/>
              </w:rPr>
              <w:t xml:space="preserve">tasco-growth-sit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+ provider test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/</w:t>
            </w:r>
            <w:r>
              <w:t xml:space="preserve"> </w:t>
            </w:r>
            <w:r>
              <w:rPr>
                <w:bCs/>
                <w:b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adapters → provider sandboxes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on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acceptance,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namespace</w:t>
            </w:r>
            <w:r>
              <w:t xml:space="preserve"> </w:t>
            </w:r>
            <w:r>
              <w:rPr>
                <w:rStyle w:val="VerbatimChar"/>
              </w:rPr>
              <w:t xml:space="preserve">tasco-growth-uat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Synthetic, or masked extract with DPO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/ false (true only for a separate demo namespace)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UAT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approval (product owner)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Load, soak and resilience tests at 6 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namespace sized like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6 M (</w:t>
            </w:r>
            <w:r>
              <w:rPr>
                <w:rStyle w:val="VerbatimChar"/>
              </w:rPr>
              <w:t xml:space="preserve">SEED_RECORDS=6000000</w:t>
            </w:r>
            <w:r>
              <w:t xml:space="preserve"> </w:t>
            </w:r>
            <w:r>
              <w:t xml:space="preserve">via bulk loader)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/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gateways with latency/fault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 report signed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cluster in a Vietnam region, 3 AZs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personal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/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 approval + change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standby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VN region / 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 of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/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providers (failover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drill twice a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 (</w:t>
            </w:r>
            <w:r>
              <w:rPr>
                <w:rStyle w:val="VerbatimChar"/>
              </w:rPr>
              <w:t xml:space="preserve">railway.json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Synthetic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</w:t>
            </w:r>
            <w:r>
              <w:t xml:space="preserve"> </w:t>
            </w:r>
            <w:r>
              <w:rPr>
                <w:rStyle w:val="VerbatimChar"/>
              </w:rPr>
              <w:t xml:space="preserve">ALLOW_DEMO_IN_PRODUCTION=true</w:t>
            </w:r>
            <w:r>
              <w:t xml:space="preserve"> </w:t>
            </w:r>
            <w:r>
              <w:t xml:space="preserve">/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Important.</w:t>
      </w:r>
      <w:r>
        <w:t xml:space="preserve"> </w:t>
      </w:r>
      <w:r>
        <w:rPr>
          <w:rStyle w:val="VerbatimChar"/>
        </w:rPr>
        <w:t xml:space="preserve">DEMO_MODE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whenever</w:t>
      </w:r>
      <w:r>
        <w:t xml:space="preserve"> </w:t>
      </w:r>
      <w:r>
        <w:rPr>
          <w:rStyle w:val="VerbatimChar"/>
        </w:rPr>
        <w:t xml:space="preserve">NODE_ENV ≠ production</w:t>
      </w:r>
      <w:r>
        <w:t xml:space="preserve">. It enables</w:t>
      </w:r>
      <w:r>
        <w:t xml:space="preserve"> </w:t>
      </w:r>
      <w:r>
        <w:rPr>
          <w:rStyle w:val="VerbatimChar"/>
        </w:rPr>
        <w:t xml:space="preserve">/api/demo/totp/:username</w:t>
      </w:r>
      <w:r>
        <w:t xml:space="preserve">, which returns live TOTP codes, the</w:t>
      </w:r>
      <w:r>
        <w:t xml:space="preserve"> </w:t>
      </w:r>
      <w:r>
        <w:rPr>
          <w:rStyle w:val="VerbatimChar"/>
        </w:rPr>
        <w:t xml:space="preserve">demoProfileId</w:t>
      </w:r>
      <w:r>
        <w:t xml:space="preserve"> </w:t>
      </w:r>
      <w:r>
        <w:t xml:space="preserve">customer login, and seeding. Every shared environment (SIT, UAT, perf, prod, DR)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DEMO_MODE=false</w:t>
      </w:r>
      <w:r>
        <w:t xml:space="preserve">. CI asserts this through a manifest lint.</w:t>
      </w:r>
    </w:p>
    <w:bookmarkEnd w:id="22"/>
    <w:bookmarkStart w:id="29" w:name="X923f1102eacc6192c1bc5b3a1b0e6710f2deab6"/>
    <w:p>
      <w:pPr>
        <w:pStyle w:val="Heading2"/>
      </w:pPr>
      <w:r>
        <w:t xml:space="preserve">3. Kubernetes topology</w:t>
      </w:r>
    </w:p>
    <w:p>
      <w:pPr>
        <w:pStyle w:val="FirstParagraph"/>
      </w:pPr>
      <w:r>
        <w:drawing>
          <wp:inline>
            <wp:extent cx="6119999" cy="206768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eployment-and-infrastructure-architectur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067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X6e159f39f1b15a1d1d28a5dec82babae55ffc44"/>
    <w:p>
      <w:pPr>
        <w:pStyle w:val="Heading3"/>
      </w:pPr>
      <w:r>
        <w:t xml:space="preserve">3.1 Workload specification (target values)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 Deployment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CronJob pods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Migration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ghcr.io/&lt;org&gt;/tasco-growth@sha256:…</w:t>
            </w:r>
            <w:r>
              <w:t xml:space="preserve"> </w:t>
            </w:r>
            <w:r>
              <w:t xml:space="preserve">(digest pinned)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src/server.js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src/jobs/cli.js &lt;job&gt;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src/jobs/cli.js migrate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HPA min 3, max 12; CPU target 65 %. Scale-down stabilisation 300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/ limits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 CPU / 512 Mi → limit 1 CPU / 1 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250m / 512 Mi → 1 CPU / 1 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/ 256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NODE_OPTIONS=--max-old-space-size=768</w:t>
            </w:r>
            <w:r>
              <w:t xml:space="preserve"> </w:t>
            </w:r>
            <w:r>
              <w:t xml:space="preserve">(about 75 % of the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liveness</w:t>
            </w:r>
            <w:r>
              <w:t xml:space="preserve"> </w:t>
            </w:r>
            <w:r>
              <w:rPr>
                <w:rStyle w:val="VerbatimChar"/>
              </w:rPr>
              <w:t xml:space="preserve">GET /health/live</w:t>
            </w:r>
            <w:r>
              <w:t xml:space="preserve"> </w:t>
            </w:r>
            <w:r>
              <w:t xml:space="preserve">(period 10 s, failure 3); readiness</w:t>
            </w:r>
            <w:r>
              <w:t xml:space="preserve"> </w:t>
            </w:r>
            <w:r>
              <w:rPr>
                <w:rStyle w:val="VerbatimChar"/>
              </w:rPr>
              <w:t xml:space="preserve">GET /health/ready</w:t>
            </w:r>
            <w:r>
              <w:t xml:space="preserve"> </w:t>
            </w:r>
            <w:r>
              <w:t xml:space="preserve">(period 5 s), which includes a DB ping; startup probe up to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runAsNonRoot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runAsUser 10001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readOnlyRootFilesystem: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allowPrivilegeEscalation: 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capabilities.drop: [ALL]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seccompProfile: RuntimeDefault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automountServiceAccountToken: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Writable 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emptyDir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only (Node does not need it; kept for diagnostics)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topologySpreadConstraints</w:t>
            </w:r>
            <w:r>
              <w:t xml:space="preserve"> </w:t>
            </w:r>
            <w:r>
              <w:t xml:space="preserve">across zones; pod anti-affinity by hostname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terminationGracePeriodSeconds: 30</w:t>
            </w:r>
            <w:r>
              <w:t xml:space="preserve"> </w:t>
            </w:r>
            <w:r>
              <w:t xml:space="preserve">(the app force-exits at 25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activeDeadlineSeconds</w:t>
            </w:r>
            <w:r>
              <w:t xml:space="preserve"> </w:t>
            </w:r>
            <w:r>
              <w:t xml:space="preserve">per 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backoffLimit: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MIGRATE_ON_START=false</w:t>
            </w:r>
            <w:r>
              <w:t xml:space="preserve"> </w:t>
            </w:r>
            <w:r>
              <w:t xml:space="preserve">(migrations only via the Job, because</w:t>
            </w:r>
            <w:r>
              <w:t xml:space="preserve"> </w:t>
            </w:r>
            <w:r>
              <w:rPr>
                <w:rStyle w:val="VerbatimChar"/>
              </w:rPr>
              <w:t xml:space="preserve">migrate()</w:t>
            </w:r>
            <w:r>
              <w:t xml:space="preserve"> </w:t>
            </w:r>
            <w:r>
              <w:t xml:space="preserve">takes no lock),</w:t>
            </w:r>
            <w:r>
              <w:t xml:space="preserve"> </w:t>
            </w:r>
            <w:r>
              <w:rPr>
                <w:rStyle w:val="VerbatimChar"/>
              </w:rPr>
              <w:t xml:space="preserve">TRUST_PROXY=true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DATABASE_SSL=true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</w:tbl>
    <w:bookmarkEnd w:id="26"/>
    <w:bookmarkStart w:id="27" w:name="Xc7082c2000012622e8c2e91d291eeb49295af33"/>
    <w:p>
      <w:pPr>
        <w:pStyle w:val="Heading3"/>
      </w:pPr>
      <w:r>
        <w:t xml:space="preserve">3.2 CronJobs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Job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Schedule (cron in UTC; ICT = UTC+7)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it does (</w:t>
            </w:r>
            <w:r>
              <w:rPr>
                <w:rStyle w:val="VerbatimChar"/>
                <w:b/>
                <w:color w:val="FFFFFF"/>
              </w:rPr>
              <w:t xml:space="preserve">src/jobs/cli.js</w:t>
            </w:r>
            <w:r>
              <w:rPr>
                <w:b/>
                <w:color w:val="FFFFFF"/>
              </w:rPr>
              <w:t xml:space="preserve">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 1-12 * * *</w:t>
            </w:r>
            <w:r>
              <w:t xml:space="preserve"> </w:t>
            </w:r>
            <w:r>
              <w:t xml:space="preserve">(08:05–19:05 ICT hourly, inside the 08:00–20:00 contact window)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journeyService.runDue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events.drain()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concurrencyPolicy: Forbid</w:t>
            </w:r>
            <w:r>
              <w:t xml:space="preserve"> </w:t>
            </w:r>
            <w:r>
              <w:t xml:space="preserve">(runDue does not lock touchpoints; parallel runs could double-send),</w:t>
            </w:r>
            <w:r>
              <w:t xml:space="preserve"> </w:t>
            </w:r>
            <w:r>
              <w:rPr>
                <w:rStyle w:val="VerbatimChar"/>
              </w:rPr>
              <w:t xml:space="preserve">startingDeadlineSeconds: 600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activeDeadlineSeconds: 3300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recompute</w:t>
            </w:r>
            <w:r>
              <w:t xml:space="preserve"> </w:t>
            </w:r>
            <w:r>
              <w:t xml:space="preserve">(recommended)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 17 * * *</w:t>
            </w:r>
            <w:r>
              <w:t xml:space="preserve"> </w:t>
            </w:r>
            <w:r>
              <w:t xml:space="preserve">(00:30 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full re-score so time-dependent facts (</w:t>
            </w:r>
            <w:r>
              <w:rPr>
                <w:rStyle w:val="VerbatimChar"/>
              </w:rPr>
              <w:t xml:space="preserve">days</w:t>
            </w:r>
            <w:r>
              <w:t xml:space="preserve">) 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Forbid. At 6 M, shard (see §12).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19 * * *</w:t>
            </w:r>
            <w:r>
              <w:t xml:space="preserve"> </w:t>
            </w:r>
            <w:r>
              <w:t xml:space="preserve">(02:00 ICT)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opsService.reconcile</w:t>
            </w:r>
            <w:r>
              <w:t xml:space="preserve"> </w:t>
            </w:r>
            <w:r>
              <w:t xml:space="preserve">(orders ↔ payment ref ↔ policies; stuck</w:t>
            </w:r>
            <w:r>
              <w:t xml:space="preserve"> </w:t>
            </w:r>
            <w:r>
              <w:rPr>
                <w:rStyle w:val="VerbatimChar"/>
              </w:rPr>
              <w:t xml:space="preserve">pending_payment</w:t>
            </w:r>
            <w:r>
              <w:t xml:space="preserve"> </w:t>
            </w:r>
            <w:r>
              <w:t xml:space="preserve">&gt; 1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Forbid. Alert if</w:t>
            </w:r>
            <w:r>
              <w:t xml:space="preserve"> </w:t>
            </w:r>
            <w:r>
              <w:rPr>
                <w:rStyle w:val="VerbatimChar"/>
              </w:rPr>
              <w:t xml:space="preserve">mismatches &gt; 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 20 * * *</w:t>
            </w:r>
            <w:r>
              <w:t xml:space="preserve"> </w:t>
            </w:r>
            <w:r>
              <w:t xml:space="preserve">(03:00 ICT)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opsService.applyRetention</w:t>
            </w:r>
            <w:r>
              <w:t xml:space="preserve"> </w:t>
            </w:r>
            <w:r>
              <w:t xml:space="preserve">(deletes</w:t>
            </w:r>
            <w:r>
              <w:t xml:space="preserve"> </w:t>
            </w:r>
            <w:r>
              <w:rPr>
                <w:rStyle w:val="VerbatimChar"/>
              </w:rPr>
              <w:t xml:space="preserve">source_records</w:t>
            </w:r>
            <w:r>
              <w:t xml:space="preserve"> </w:t>
            </w:r>
            <w:r>
              <w:t xml:space="preserve">&gt; 365 d and</w:t>
            </w:r>
            <w:r>
              <w:t xml:space="preserve"> </w:t>
            </w:r>
            <w:r>
              <w:rPr>
                <w:rStyle w:val="VerbatimChar"/>
              </w:rPr>
              <w:t xml:space="preserve">voice_sessions</w:t>
            </w:r>
            <w:r>
              <w:t xml:space="preserve"> </w:t>
            </w:r>
            <w:r>
              <w:t xml:space="preserve">&gt; 180 d; other entities flagged for the archival pipeline)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*/5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events.drain()</w:t>
            </w:r>
            <w:r>
              <w:t xml:space="preserve">, a safety net in addition to the 1 s in-process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</w:t>
            </w:r>
          </w:p>
        </w:tc>
      </w:tr>
    </w:tbl>
    <w:p>
      <w:pPr>
        <w:pStyle w:val="BodyText"/>
      </w:pPr>
      <w:r>
        <w:t xml:space="preserve">Short-lived job pods are not scraped by Prometheus. Job outcomes are recorded in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/api/ops/jobs</w:t>
      </w:r>
      <w:r>
        <w:t xml:space="preserve">) and in the JSON logs (</w:t>
      </w:r>
      <w:r>
        <w:rPr>
          <w:rStyle w:val="VerbatimChar"/>
        </w:rPr>
        <w:t xml:space="preserve">job finished</w:t>
      </w:r>
      <w:r>
        <w:t xml:space="preserve">). Alert on the Kubernetes</w:t>
      </w:r>
      <w:r>
        <w:t xml:space="preserve"> </w:t>
      </w:r>
      <w:r>
        <w:rPr>
          <w:rStyle w:val="VerbatimChar"/>
        </w:rPr>
        <w:t xml:space="preserve">kube_job_status_failed</w:t>
      </w:r>
      <w:r>
        <w:t xml:space="preserve"> </w:t>
      </w:r>
      <w:r>
        <w:t xml:space="preserve">metric.</w:t>
      </w:r>
    </w:p>
    <w:bookmarkEnd w:id="27"/>
    <w:bookmarkStart w:id="28" w:name="X1b836ce8875efe10ae1ac37159863765ea24b42"/>
    <w:p>
      <w:pPr>
        <w:pStyle w:val="Heading3"/>
      </w:pPr>
      <w:r>
        <w:t xml:space="preserve">3.3 PDB and disruption</w:t>
      </w:r>
    </w:p>
    <w:p>
      <w:pPr>
        <w:pStyle w:val="FirstParagraph"/>
      </w:pPr>
      <w:r>
        <w:rPr>
          <w:rStyle w:val="VerbatimChar"/>
        </w:rPr>
        <w:t xml:space="preserve">PodDisruptionBudget</w:t>
      </w:r>
      <w:r>
        <w:t xml:space="preserve"> </w:t>
      </w:r>
      <w:r>
        <w:rPr>
          <w:rStyle w:val="VerbatimChar"/>
        </w:rPr>
        <w:t xml:space="preserve">minAvailable: 2</w:t>
      </w:r>
      <w:r>
        <w:t xml:space="preserve"> </w:t>
      </w:r>
      <w:r>
        <w:t xml:space="preserve">for the API, so node drains and upgrades never take the service below 2 pods. Combined with readiness gating and graceful shutdown, rolling node upgrades cause no downtime.</w:t>
      </w:r>
    </w:p>
    <w:bookmarkEnd w:id="28"/>
    <w:bookmarkEnd w:id="29"/>
    <w:bookmarkStart w:id="33" w:name="Xf690a7834f0259ad6f960bb6cbbe1e838dc8027"/>
    <w:p>
      <w:pPr>
        <w:pStyle w:val="Heading2"/>
      </w:pPr>
      <w:r>
        <w:t xml:space="preserve">4. Network zones and Zero Trust</w:t>
      </w:r>
    </w:p>
    <w:p>
      <w:pPr>
        <w:pStyle w:val="FirstParagraph"/>
      </w:pPr>
      <w:r>
        <w:drawing>
          <wp:inline>
            <wp:extent cx="6119999" cy="160868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eployment-and-infrastructure-architecture-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1608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deny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NetworkPolicy</w:t>
            </w:r>
            <w:r>
              <w:t xml:space="preserve"> </w:t>
            </w:r>
            <w:r>
              <w:t xml:space="preserve">with empty ingress/egress in</w:t>
            </w:r>
            <w:r>
              <w:t xml:space="preserve"> </w:t>
            </w:r>
            <w:r>
              <w:rPr>
                <w:rStyle w:val="VerbatimChar"/>
              </w:rPr>
              <w:t xml:space="preserve">tasco-growth</w:t>
            </w:r>
            <w:r>
              <w:t xml:space="preserve">, then allow-lists: ingress from the ingress-controller namespace to port 3000; ingress from</w:t>
            </w:r>
            <w:r>
              <w:t xml:space="preserve"> </w:t>
            </w:r>
            <w:r>
              <w:rPr>
                <w:rStyle w:val="VerbatimChar"/>
              </w:rPr>
              <w:t xml:space="preserve">monitoring</w:t>
            </w:r>
            <w:r>
              <w:t xml:space="preserve"> </w:t>
            </w:r>
            <w:r>
              <w:t xml:space="preserve">(Prometheus) to port 3000 for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; egress to Postgres (CIDR/port 5432), DNS (53), and the egress gateway (443)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per workload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Distinct ServiceAccounts for the API, each job and migrations; no token automount; DB credentials per workload type (the migrator owns the schema; the app has DML only, and</w:t>
            </w:r>
            <w:r>
              <w:t xml:space="preserve"> </w:t>
            </w:r>
            <w:r>
              <w:rPr>
                <w:rStyle w:val="VerbatimChar"/>
              </w:rPr>
              <w:t xml:space="preserve">INSERT/SELECT</w:t>
            </w:r>
            <w:r>
              <w:t xml:space="preserve"> </w:t>
            </w:r>
            <w:r>
              <w:t xml:space="preserve">only on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 trust the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to Postgres with</w:t>
            </w:r>
            <w:r>
              <w:t xml:space="preserve"> </w:t>
            </w:r>
            <w:r>
              <w:rPr>
                <w:rStyle w:val="VerbatimChar"/>
              </w:rPr>
              <w:t xml:space="preserve">rejectUnauthorized: 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postgresStore.js</w:t>
            </w:r>
            <w:r>
              <w:t xml:space="preserve">); mTLS to providers; JWT verified on every request; the user reloaded per request (</w:t>
            </w:r>
            <w:r>
              <w:rPr>
                <w:rStyle w:val="VerbatimChar"/>
              </w:rPr>
              <w:t xml:space="preserve">identityService.authenticate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SSH to nodes.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via SSO + MFA + just-in-time RBAC. DB break-glass via a bastion with session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mesh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Istio/Linkerd mTLS between pods once more services exist. Not required for a single deployable.</w:t>
            </w:r>
          </w:p>
        </w:tc>
      </w:tr>
    </w:tbl>
    <w:bookmarkEnd w:id="33"/>
    <w:bookmarkStart w:id="35" w:name="Xb3a462c1b7d2d872b5a5c81bb1cd480bac009c3"/>
    <w:p>
      <w:pPr>
        <w:pStyle w:val="Heading2"/>
      </w:pPr>
      <w:r>
        <w:t xml:space="preserve">5. Ingress and WAF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Control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(prefer 1.3); modern cipher suites; certificate via cert-manager (ACME or corporate CA); HSTS is also set by the app in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Forwarded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ingress must</w:t>
            </w:r>
            <w:r>
              <w:t xml:space="preserve"> </w:t>
            </w:r>
            <w:r>
              <w:rPr>
                <w:bCs/>
                <w:b/>
              </w:rPr>
              <w:t xml:space="preserve">overwrite</w:t>
            </w:r>
            <w:r>
              <w:t xml:space="preserve">, not append,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with the real client IP. The app trusts the</w:t>
            </w:r>
            <w:r>
              <w:t xml:space="preserve"> </w:t>
            </w:r>
            <w:r>
              <w:rPr>
                <w:bCs/>
                <w:b/>
              </w:rPr>
              <w:t xml:space="preserve">left-most</w:t>
            </w:r>
            <w:r>
              <w:t xml:space="preserve"> </w:t>
            </w:r>
            <w:r>
              <w:t xml:space="preserve">XFF value when</w:t>
            </w:r>
            <w:r>
              <w:t xml:space="preserve"> </w:t>
            </w:r>
            <w:r>
              <w:rPr>
                <w:rStyle w:val="VerbatimChar"/>
              </w:rPr>
              <w:t xml:space="preserve">TRUST_PROXY=true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app.js#clientIp</w:t>
            </w:r>
            <w:r>
              <w:t xml:space="preserve">). If a client-supplied XFF were preserved, an attacker could rotate fake IPs to bypass per-IP rate limits and the login limiter, and pollute audit IPs. See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security §15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Edge: per-IP (e.g. 600/min), per-partner-key (contracted quota), and a stricter limit for</w:t>
            </w:r>
            <w:r>
              <w:t xml:space="preserve"> </w:t>
            </w:r>
            <w:r>
              <w:rPr>
                <w:rStyle w:val="VerbatimChar"/>
              </w:rPr>
              <w:t xml:space="preserve">/api/auth/*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/api/customer/session</w:t>
            </w:r>
            <w:r>
              <w:t xml:space="preserve">. The app's in-process limiter (</w:t>
            </w:r>
            <w:r>
              <w:rPr>
                <w:rStyle w:val="VerbatimChar"/>
              </w:rPr>
              <w:t xml:space="preserve">RATE_LIMIT_MAX</w:t>
            </w:r>
            <w:r>
              <w:t xml:space="preserve"> </w:t>
            </w:r>
            <w:r>
              <w:t xml:space="preserve">300/min/IP,</w:t>
            </w:r>
            <w:r>
              <w:t xml:space="preserve"> </w:t>
            </w:r>
            <w:r>
              <w:rPr>
                <w:rStyle w:val="VerbatimChar"/>
              </w:rPr>
              <w:t xml:space="preserve">RATE_LIMIT_LOGIN_MAX</w:t>
            </w:r>
            <w:r>
              <w:t xml:space="preserve"> </w:t>
            </w:r>
            <w:r>
              <w:t xml:space="preserve">10/min/IP) is defence in depth</w:t>
            </w:r>
            <w:r>
              <w:t xml:space="preserve"> </w:t>
            </w:r>
            <w:r>
              <w:rPr>
                <w:bCs/>
                <w:b/>
              </w:rPr>
              <w:t xml:space="preserve">per replica</w:t>
            </w:r>
            <w:r>
              <w:t xml:space="preserve">, so the effective limit is × replicas.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MiB (matches</w:t>
            </w:r>
            <w:r>
              <w:t xml:space="preserve"> </w:t>
            </w:r>
            <w:r>
              <w:rPr>
                <w:rStyle w:val="VerbatimChar"/>
              </w:rPr>
              <w:t xml:space="preserve">BODY_LIMIT_BYTES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from outside the cluster. Optionally restrict</w:t>
            </w:r>
            <w:r>
              <w:t xml:space="preserve"> </w:t>
            </w:r>
            <w:r>
              <w:rPr>
                <w:rStyle w:val="VerbatimChar"/>
              </w:rPr>
              <w:t xml:space="preserve">/api/openapi.json</w:t>
            </w:r>
            <w:r>
              <w:t xml:space="preserve"> </w:t>
            </w:r>
            <w:r>
              <w:t xml:space="preserve">and staff APIs (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w:r>
              <w:rPr>
                <w:rStyle w:val="VerbatimChar"/>
              </w:rPr>
              <w:t xml:space="preserve">/api/customer/*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/api/public/*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/api/partner/*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/api/auth/*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/api/meta</w:t>
            </w:r>
            <w:r>
              <w:t xml:space="preserve">) to TASCO/VETC corporate egress IPs or ZTNA.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CRS paranoia level 2 on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, with tuned exclusions for rules payloads (</w:t>
            </w:r>
            <w:r>
              <w:rPr>
                <w:rStyle w:val="VerbatimChar"/>
              </w:rPr>
              <w:t xml:space="preserve">/api/rules*</w:t>
            </w:r>
            <w:r>
              <w:t xml:space="preserve"> </w:t>
            </w:r>
            <w:r>
              <w:t xml:space="preserve">carries JSON Logic); bot management on customer and public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mTLS (target)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separate host</w:t>
            </w:r>
            <w:r>
              <w:t xml:space="preserve"> </w:t>
            </w:r>
            <w:r>
              <w:rPr>
                <w:rStyle w:val="VerbatimChar"/>
              </w:rPr>
              <w:t xml:space="preserve">partner-api.&lt;domain&gt;</w:t>
            </w:r>
            <w:r>
              <w:t xml:space="preserve"> </w:t>
            </w:r>
            <w:r>
              <w:t xml:space="preserve">with client certificate verification</w:t>
            </w:r>
          </w:p>
        </w:tc>
      </w:tr>
    </w:tbl>
    <w:bookmarkEnd w:id="35"/>
    <w:bookmarkStart w:id="38" w:name="X0444072a48702eba998cdf4ac9b557c5b364a3d"/>
    <w:p>
      <w:pPr>
        <w:pStyle w:val="Heading2"/>
      </w:pPr>
      <w:r>
        <w:t xml:space="preserve">6. Database: PostgreSQL high availability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Aspect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PostgreSQL 16 in a VN region, or Patroni-managed on VMs/K8s operators (CloudNativePG) if no managed option meets residency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+ synchronous standby in another AZ (automatic failover, about 30–60 s). Apps reconnect via the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  <w:r>
              <w:t xml:space="preserve"> </w:t>
            </w:r>
            <w:r>
              <w:t xml:space="preserve">pool (failed queries surface as 5xx; idempotent retries are safe).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 / PITR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WAL archiving + daily base backups, encrypted with KMS. PITR retention 14 days in prod (35 days if the regulator requires it), plus monthly snapshots kept 12 months.</w:t>
            </w:r>
            <w:r>
              <w:t xml:space="preserve"> </w:t>
            </w:r>
            <w:r>
              <w:rPr>
                <w:bCs/>
                <w:b/>
              </w:rPr>
              <w:t xml:space="preserve">Restore drill quarterly.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replica for BI extracts,</w:t>
            </w:r>
            <w:r>
              <w:t xml:space="preserve"> </w:t>
            </w:r>
            <w:r>
              <w:rPr>
                <w:rStyle w:val="VerbatimChar"/>
              </w:rPr>
              <w:t xml:space="preserve">/api/dashboard/*</w:t>
            </w:r>
            <w:r>
              <w:t xml:space="preserve"> </w:t>
            </w:r>
            <w:r>
              <w:t xml:space="preserve">(target: route via a second pool</w:t>
            </w:r>
            <w:r>
              <w:t xml:space="preserve"> </w:t>
            </w:r>
            <w:r>
              <w:rPr>
                <w:rStyle w:val="VerbatimChar"/>
              </w:rPr>
              <w:t xml:space="preserve">DATABASE_READ_URL</w:t>
            </w:r>
            <w:r>
              <w:t xml:space="preserve">) and analytics feeds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Cross-region async replica (RPO ≤ 5 min), promoted in DR (§14)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pool per process is</w:t>
            </w:r>
            <w:r>
              <w:t xml:space="preserve"> </w:t>
            </w:r>
            <w:r>
              <w:rPr>
                <w:rStyle w:val="VerbatimChar"/>
              </w:rPr>
              <w:t xml:space="preserve">DB_POOL_MAX</w:t>
            </w:r>
            <w:r>
              <w:t xml:space="preserve"> </w:t>
            </w:r>
            <w:r>
              <w:t xml:space="preserve">(default 10). With 12 API pods and 5 job pods, that is up to 170 connections. Put</w:t>
            </w:r>
            <w:r>
              <w:t xml:space="preserve"> </w:t>
            </w:r>
            <w:r>
              <w:rPr>
                <w:bCs/>
                <w:b/>
              </w:rPr>
              <w:t xml:space="preserve">PgBouncer</w:t>
            </w:r>
            <w:r>
              <w:t xml:space="preserve"> </w:t>
            </w:r>
            <w:r>
              <w:t xml:space="preserve">(transaction pooling) in front: advisory</w:t>
            </w:r>
            <w:r>
              <w:t xml:space="preserve"> </w:t>
            </w:r>
            <w:r>
              <w:rPr>
                <w:bCs/>
                <w:b/>
              </w:rPr>
              <w:t xml:space="preserve">transaction</w:t>
            </w:r>
            <w:r>
              <w:t xml:space="preserve"> </w:t>
            </w:r>
            <w:r>
              <w:t xml:space="preserve">locks and</w:t>
            </w:r>
            <w:r>
              <w:t xml:space="preserve"> </w:t>
            </w:r>
            <w:r>
              <w:rPr>
                <w:rStyle w:val="VerbatimChar"/>
              </w:rPr>
              <w:t xml:space="preserve">SKIP LOCKED</w:t>
            </w:r>
            <w:r>
              <w:t xml:space="preserve"> </w:t>
            </w:r>
            <w:r>
              <w:t xml:space="preserve">are compatible with transaction pooling.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statement_timeout</w:t>
            </w:r>
            <w:r>
              <w:t xml:space="preserve"> </w:t>
            </w:r>
            <w:r>
              <w:t xml:space="preserve">15 s set by the app;</w:t>
            </w:r>
            <w:r>
              <w:t xml:space="preserve"> </w:t>
            </w:r>
            <w:r>
              <w:rPr>
                <w:rStyle w:val="VerbatimChar"/>
              </w:rPr>
              <w:t xml:space="preserve">idle_in_transaction_session_timeout</w:t>
            </w:r>
            <w:r>
              <w:t xml:space="preserve"> </w:t>
            </w:r>
            <w:r>
              <w:t xml:space="preserve">60 s;</w:t>
            </w:r>
            <w:r>
              <w:t xml:space="preserve"> </w:t>
            </w:r>
            <w:r>
              <w:rPr>
                <w:rStyle w:val="VerbatimChar"/>
              </w:rPr>
              <w:t xml:space="preserve">log_min_duration_statement</w:t>
            </w:r>
            <w:r>
              <w:t xml:space="preserve"> </w:t>
            </w:r>
            <w:r>
              <w:t xml:space="preserve">500 ms;</w:t>
            </w:r>
            <w:r>
              <w:t xml:space="preserve"> </w:t>
            </w:r>
            <w:r>
              <w:rPr>
                <w:rStyle w:val="VerbatimChar"/>
              </w:rPr>
              <w:t xml:space="preserve">pg_stat_statements</w:t>
            </w:r>
            <w:r>
              <w:t xml:space="preserve"> </w:t>
            </w: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tasco_owner</w:t>
            </w:r>
            <w:r>
              <w:t xml:space="preserve"> </w:t>
            </w:r>
            <w:r>
              <w:t xml:space="preserve">(migrations; owns tables, triggers);</w:t>
            </w:r>
            <w:r>
              <w:t xml:space="preserve"> </w:t>
            </w:r>
            <w:r>
              <w:rPr>
                <w:rStyle w:val="VerbatimChar"/>
              </w:rPr>
              <w:t xml:space="preserve">tasco_app</w:t>
            </w:r>
            <w:r>
              <w:t xml:space="preserve"> </w:t>
            </w:r>
            <w:r>
              <w:t xml:space="preserve">(SELECT/INSERT/UPDATE/DELETE on collections;</w:t>
            </w:r>
            <w:r>
              <w:t xml:space="preserve"> </w:t>
            </w:r>
            <w:r>
              <w:rPr>
                <w:bCs/>
                <w:b/>
              </w:rPr>
              <w:t xml:space="preserve">INSERT/SELECT only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  <w:r>
              <w:t xml:space="preserve">; no TRUNCATE; no DDL);</w:t>
            </w:r>
            <w:r>
              <w:t xml:space="preserve"> </w:t>
            </w:r>
            <w:r>
              <w:rPr>
                <w:rStyle w:val="VerbatimChar"/>
              </w:rPr>
              <w:t xml:space="preserve">tasco_ro</w:t>
            </w:r>
            <w:r>
              <w:t xml:space="preserve"> </w:t>
            </w:r>
            <w:r>
              <w:t xml:space="preserve">(read replica, BI views)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encryption with KMS; TLS enforced (</w:t>
            </w:r>
            <w:r>
              <w:rPr>
                <w:rStyle w:val="VerbatimChar"/>
              </w:rPr>
              <w:t xml:space="preserve">hostssl</w:t>
            </w:r>
            <w:r>
              <w:t xml:space="preserve">); PII is additionally field-encrypted by the app (</w:t>
            </w:r>
            <w:hyperlink r:id="rId36">
              <w:r>
                <w:rPr>
                  <w:rStyle w:val="Hyperlink"/>
                </w:rPr>
                <w:t xml:space="preserve">ADR-006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Partitioning (scale)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touchpoints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domain_events</w:t>
            </w:r>
            <w:r>
              <w:t xml:space="preserve"> </w:t>
            </w:r>
            <w:r>
              <w:t xml:space="preserve">by month (</w:t>
            </w:r>
            <w:hyperlink r:id="rId37">
              <w:r>
                <w:rPr>
                  <w:rStyle w:val="Hyperlink"/>
                </w:rPr>
                <w:t xml:space="preserve">solution §10</w:t>
              </w:r>
            </w:hyperlink>
            <w:r>
              <w:t xml:space="preserve">) via a new numbered migration</w:t>
            </w:r>
          </w:p>
        </w:tc>
      </w:tr>
    </w:tbl>
    <w:bookmarkEnd w:id="38"/>
    <w:bookmarkStart w:id="39" w:name="X2e0c9fd994380ccbac697d5907fa9066d612ab5"/>
    <w:p>
      <w:pPr>
        <w:pStyle w:val="Heading2"/>
      </w:pPr>
      <w:r>
        <w:t xml:space="preserve">7. Configuration</w:t>
      </w:r>
    </w:p>
    <w:p>
      <w:pPr>
        <w:pStyle w:val="FirstParagraph"/>
      </w:pPr>
      <w:r>
        <w:t xml:space="preserve">All settings come from</w:t>
      </w:r>
      <w:r>
        <w:t xml:space="preserve"> </w:t>
      </w:r>
      <w:r>
        <w:rPr>
          <w:rStyle w:val="VerbatimChar"/>
        </w:rPr>
        <w:t xml:space="preserve">src/shared/config.js</w:t>
      </w:r>
      <w:r>
        <w:t xml:space="preserve">. The ConfigMap holds non-secret values; secrets are mounted files.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Variable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Prod value /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https://growth.&lt;tasco-domain&gt;</w:t>
            </w:r>
            <w:r>
              <w:t xml:space="preserve">, used in links and certificate URLs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(memory store)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(with PgBouncer)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in 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 file</w:t>
            </w:r>
            <w:r>
              <w:t xml:space="preserve">, ≥ 48 random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 (900 for admin, once role-based TTL exists)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MFA_REQUIRED_ROLES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rule_approver, compliance_officer, data_steward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telesales_supervisor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partner_manager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support_engineer</w:t>
            </w:r>
            <w:r>
              <w:t xml:space="preserve"> </w:t>
            </w:r>
            <w:r>
              <w:t xml:space="preserve">(recommendation)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BLIND_INDEX_KEY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in 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 file</w:t>
            </w:r>
            <w:r>
              <w:t xml:space="preserve">, 32 bytes base64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DATA_KEYS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 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k1:&lt;b64&gt;,k2:&lt;b64&gt;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DATA_KEY_ACTIVE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(e.g.</w:t>
            </w:r>
            <w:r>
              <w:t xml:space="preserve"> </w:t>
            </w:r>
            <w:r>
              <w:rPr>
                <w:rStyle w:val="VerbatimChar"/>
              </w:rPr>
              <w:t xml:space="preserve">k2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(same-origin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VETC/Zalo web origins if they call cross-origin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RATE_LIMIT_WINDOW_MS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_LOGIN_MAX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 / 300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Keep. The edge enforces the global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LOCKOUT_MAX_FAILURES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LOCKOUT_MINUTES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BODY_LIMIT_BYTES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(dev) / info (prod)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!production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ALLOW_DEMO_IN_PRODUCTION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(pilot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2,500, 20261007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 when</w:t>
            </w:r>
            <w:r>
              <w:t xml:space="preserve"> </w:t>
            </w:r>
            <w:r>
              <w:rPr>
                <w:rStyle w:val="VerbatimChar"/>
              </w:rPr>
              <w:t xml:space="preserve">DEMO_MODE=false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SIM_TODAY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Unset</w:t>
            </w:r>
            <w:r>
              <w:t xml:space="preserve"> </w:t>
            </w:r>
            <w:r>
              <w:t xml:space="preserve">(pins the business date; demos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TRUST_PROXY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(behind ingress)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MIGRATE_ON_START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if not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false</w:t>
            </w:r>
            <w:r>
              <w:t xml:space="preserve"> </w:t>
            </w:r>
            <w:r>
              <w:t xml:space="preserve">in K8s</w:t>
            </w:r>
          </w:p>
        </w:tc>
      </w:tr>
    </w:tbl>
    <w:bookmarkEnd w:id="39"/>
    <w:bookmarkStart w:id="43" w:name="X2c30bcf2cc0ebb07f2a7fb6c62059072b232910"/>
    <w:p>
      <w:pPr>
        <w:pStyle w:val="Heading2"/>
      </w:pPr>
      <w:r>
        <w:t xml:space="preserve">8. Secrets and configuration</w:t>
      </w:r>
    </w:p>
    <w:p>
      <w:pPr>
        <w:pStyle w:val="FirstParagraph"/>
      </w:pPr>
      <w:r>
        <w:drawing>
          <wp:inline>
            <wp:extent cx="6119999" cy="34971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eployment-and-infrastructure-architecture-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49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Secret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Rotation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Yearly, or on suspicion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k(n+1)</w:t>
            </w:r>
            <w:r>
              <w:t xml:space="preserve"> </w:t>
            </w:r>
            <w:r>
              <w:t xml:space="preserve">→ set</w:t>
            </w:r>
            <w:r>
              <w:t xml:space="preserve"> </w:t>
            </w:r>
            <w:r>
              <w:rPr>
                <w:rStyle w:val="VerbatimChar"/>
              </w:rPr>
              <w:t xml:space="preserve">DATA_KEY_ACTIVE</w:t>
            </w:r>
            <w:r>
              <w:t xml:space="preserve"> </w:t>
            </w:r>
            <w:r>
              <w:t xml:space="preserve">→ rolling restart → run the re-key job (planned) → remove the old key after verification (</w:t>
            </w:r>
            <w:hyperlink r:id="rId36">
              <w:r>
                <w:rPr>
                  <w:rStyle w:val="Hyperlink"/>
                </w:rPr>
                <w:t xml:space="preserve">ADR-006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 invalidates all sessions and all renewal links (the link key is derived from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container.js</w:t>
            </w:r>
            <w:r>
              <w:t xml:space="preserve">). Schedule off-hours, or implement multi-key verification (</w:t>
            </w:r>
            <w:r>
              <w:rPr>
                <w:rStyle w:val="VerbatimChar"/>
              </w:rPr>
              <w:t xml:space="preserve">kid</w:t>
            </w:r>
            <w:r>
              <w:t xml:space="preserve">) first. Target: IdP-signed tokens (no shared secret).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BLIND_INDEX_KEY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 compromise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recomputing</w:t>
            </w:r>
            <w:r>
              <w:t xml:space="preserve"> </w:t>
            </w:r>
            <w:r>
              <w:rPr>
                <w:rStyle w:val="VerbatimChar"/>
              </w:rPr>
              <w:t xml:space="preserve">*_bidx</w:t>
            </w:r>
            <w:r>
              <w:t xml:space="preserve"> </w:t>
            </w:r>
            <w:r>
              <w:t xml:space="preserve">columns (planned job)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DB credentials from Vault (database secrets engine) where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provider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 files; adapters read on boot (restart to rotate)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API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Partner-driven, ≤ 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the new key → partner switches → revoke the old one (</w:t>
            </w:r>
            <w:r>
              <w:rPr>
                <w:rStyle w:val="VerbatimChar"/>
              </w:rPr>
              <w:t xml:space="preserve">DELETE /api/partners/keys/:keyId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rules: no secrets in images, Git, ConfigMaps or env literals. gitleaks runs in CI (§9).</w:t>
      </w:r>
      <w:r>
        <w:t xml:space="preserve"> </w:t>
      </w:r>
      <w:r>
        <w:rPr>
          <w:rStyle w:val="VerbatimChar"/>
        </w:rPr>
        <w:t xml:space="preserve">*_FILE</w:t>
      </w:r>
      <w:r>
        <w:t xml:space="preserve"> </w:t>
      </w:r>
      <w:r>
        <w:t xml:space="preserve">is the only supported mechanism in K8s.</w:t>
      </w:r>
    </w:p>
    <w:bookmarkEnd w:id="43"/>
    <w:bookmarkStart w:id="48" w:name="Xddccc821ff93ea4a1e1ac341e7424d35b76b366"/>
    <w:p>
      <w:pPr>
        <w:pStyle w:val="Heading2"/>
      </w:pPr>
      <w:r>
        <w:t xml:space="preserve">9. CI/CD pipeline and promotion</w:t>
      </w:r>
    </w:p>
    <w:p>
      <w:pPr>
        <w:pStyle w:val="FirstParagraph"/>
      </w:pPr>
      <w:r>
        <w:drawing>
          <wp:inline>
            <wp:extent cx="6119999" cy="69068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eployment-and-infrastructure-architecture-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690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Stage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Gate (blocks promotion)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Lint, tests,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failure; coverage below the gates (</w:t>
            </w:r>
            <w:r>
              <w:rPr>
                <w:rStyle w:val="VerbatimChar"/>
              </w:rPr>
              <w:t xml:space="preserve">npm run test:coverage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 (CodeQL)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high/critical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 --omit=dev --audit-level=high</w:t>
            </w:r>
            <w:r>
              <w:t xml:space="preserve">; dependency review on new packages (any new runtime dependency needs an ADR, per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ADR-002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gitleaks 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Trivy HIGH/CRITICAL with an available fix; image runs as root; missing SBOM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 baseline high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 smoke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/health/ready</w:t>
            </w:r>
            <w:r>
              <w:t xml:space="preserve">, login + MFA, quote → order with sandbox/provider test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image digest only (admission policy, e.g. Kyverno/Gatekeeper:</w:t>
            </w:r>
            <w:r>
              <w:t xml:space="preserve"> </w:t>
            </w:r>
            <w:r>
              <w:rPr>
                <w:rStyle w:val="VerbatimChar"/>
              </w:rPr>
              <w:t xml:space="preserve">verifyImages</w:t>
            </w:r>
            <w:r>
              <w:t xml:space="preserve">); CAB ticket reference</w:t>
            </w:r>
          </w:p>
        </w:tc>
      </w:tr>
    </w:tbl>
    <w:p>
      <w:pPr>
        <w:pStyle w:val="BodyText"/>
      </w:pPr>
      <w:r>
        <w:t xml:space="preserve">Promotion is</w:t>
      </w:r>
      <w:r>
        <w:t xml:space="preserve"> </w:t>
      </w:r>
      <w:r>
        <w:rPr>
          <w:bCs/>
          <w:b/>
        </w:rPr>
        <w:t xml:space="preserve">GitOps</w:t>
      </w:r>
      <w:r>
        <w:t xml:space="preserve"> </w:t>
      </w:r>
      <w:r>
        <w:t xml:space="preserve">(recommended: Argo CD or Flux). The pipeline commits the new image digest to the environment overlay (</w:t>
      </w:r>
      <w:r>
        <w:rPr>
          <w:rStyle w:val="VerbatimChar"/>
        </w:rPr>
        <w:t xml:space="preserve">deploy/k8s/overlays/&lt;env&gt;</w:t>
      </w:r>
      <w:r>
        <w:t xml:space="preserve"> </w:t>
      </w:r>
      <w:r>
        <w:t xml:space="preserve">if overlays are used), and the cluster reconciles. There are no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calls from CI to prod.</w:t>
      </w:r>
    </w:p>
    <w:bookmarkEnd w:id="48"/>
    <w:bookmarkStart w:id="49" w:name="Xe338789bfa804ee9926212a11a2b4d992f432e1"/>
    <w:p>
      <w:pPr>
        <w:pStyle w:val="Heading2"/>
      </w:pPr>
      <w:r>
        <w:t xml:space="preserve">10. Release strategies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Strategy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Backward-compatible code and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maxSurge: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maxUnavailable: 0</w:t>
            </w:r>
            <w:r>
              <w:t xml:space="preserve">; readiness-gated; PDB protects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Risky behaviour changes (journeys, purchase)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Ingress weight split (NGINX canary annotations or Argo Rollouts): 5 % → 25 % → 100 %, with automated analysis on</w:t>
            </w:r>
            <w:r>
              <w:t xml:space="preserve"> </w:t>
            </w:r>
            <w:r>
              <w:rPr>
                <w:rStyle w:val="VerbatimChar"/>
              </w:rPr>
              <w:t xml:space="preserve">http_requests_total{status=~"5.."}</w:t>
            </w:r>
            <w:r>
              <w:t xml:space="preserve"> </w:t>
            </w:r>
            <w:r>
              <w:t xml:space="preserve">rate, p95</w:t>
            </w:r>
            <w:r>
              <w:t xml:space="preserve"> </w:t>
            </w:r>
            <w:r>
              <w:rPr>
                <w:rStyle w:val="VerbatimChar"/>
              </w:rPr>
              <w:t xml:space="preserve">http_request_duration_seconds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integration_calls_total{result="error"}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orders_completed_total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DB-affecting releases, major upgrades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Deployments (</w:t>
            </w:r>
            <w:r>
              <w:rPr>
                <w:rStyle w:val="VerbatimChar"/>
              </w:rPr>
              <w:t xml:space="preserve">-blue</w:t>
            </w:r>
            <w:r>
              <w:t xml:space="preserve">/</w:t>
            </w:r>
            <w:r>
              <w:rPr>
                <w:rStyle w:val="VerbatimChar"/>
              </w:rPr>
              <w:t xml:space="preserve">-green</w:t>
            </w:r>
            <w:r>
              <w:t xml:space="preserve">), with the Service selector switched after smoke tests.</w:t>
            </w:r>
            <w:r>
              <w:t xml:space="preserve"> </w:t>
            </w:r>
            <w:r>
              <w:rPr>
                <w:bCs/>
                <w:b/>
              </w:rPr>
              <w:t xml:space="preserve">DB changes must be expand/contract</w:t>
            </w:r>
            <w:r>
              <w:t xml:space="preserve">: (1) migration adds columns/tables (compatible with old code) → (2) deploy new code → (3) a later migration removes old structures.</w:t>
            </w:r>
          </w:p>
        </w:tc>
      </w:tr>
    </w:tbl>
    <w:p>
      <w:pPr>
        <w:pStyle w:val="BodyText"/>
      </w:pPr>
      <w:r>
        <w:t xml:space="preserve">Caveats specific to this platform: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outbox relay runs in every pod, including canary pods.</w:t>
      </w:r>
      <w:r>
        <w:t xml:space="preserve"> </w:t>
      </w:r>
      <w:r>
        <w:t xml:space="preserve">Old and new versions process the same event types, so handler changes must be backward compatible, or the event type must be versioned (</w:t>
      </w:r>
      <w:r>
        <w:rPr>
          <w:rStyle w:val="VerbatimChar"/>
        </w:rPr>
        <w:t xml:space="preserve">policy.issued.v2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CronJobs use their own image tag.</w:t>
      </w:r>
      <w:r>
        <w:t xml:space="preserve"> </w:t>
      </w:r>
      <w:r>
        <w:t xml:space="preserve">Update them in the same release, after the API rollout succeeds.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rules cache TTL is 15 s, and rule sets are data, not deployments.</w:t>
      </w:r>
      <w:r>
        <w:t xml:space="preserve"> </w:t>
      </w:r>
      <w:r>
        <w:t xml:space="preserve">Rule changes go through maker-checker, not the release process.</w:t>
      </w:r>
    </w:p>
    <w:bookmarkEnd w:id="49"/>
    <w:bookmarkStart w:id="50" w:name="Xba7885747368983e8d08b11e1d63cf22cf93460"/>
    <w:p>
      <w:pPr>
        <w:pStyle w:val="Heading2"/>
      </w:pPr>
      <w:r>
        <w:t xml:space="preserve">11. Railway (pilot) and Docker Compose (local)</w:t>
      </w:r>
    </w:p>
    <w:p>
      <w:pPr>
        <w:pStyle w:val="FirstParagraph"/>
      </w:pPr>
      <w:r>
        <w:rPr>
          <w:bCs/>
          <w:b/>
        </w:rPr>
        <w:t xml:space="preserve">Railway</w:t>
      </w:r>
      <w:r>
        <w:t xml:space="preserve"> </w:t>
      </w:r>
      <w:r>
        <w:t xml:space="preserve">(</w:t>
      </w:r>
      <w:r>
        <w:rPr>
          <w:rStyle w:val="VerbatimChar"/>
        </w:rPr>
        <w:t xml:space="preserve">railway.json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t xml:space="preserve">Builder: Dockerfile. Start command</w:t>
      </w:r>
      <w:r>
        <w:t xml:space="preserve"> </w:t>
      </w:r>
      <w:r>
        <w:rPr>
          <w:rStyle w:val="VerbatimChar"/>
        </w:rPr>
        <w:t xml:space="preserve">node src/server.js</w:t>
      </w:r>
      <w:r>
        <w:t xml:space="preserve">. Health check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. Restart policy on failure.</w:t>
      </w:r>
    </w:p>
    <w:p>
      <w:pPr>
        <w:numPr>
          <w:ilvl w:val="0"/>
          <w:numId w:val="1006"/>
        </w:numPr>
        <w:pStyle w:val="Compact"/>
      </w:pPr>
      <w:r>
        <w:t xml:space="preserve">Railway Postgres plugin →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Secrets are Railway variables.</w:t>
      </w:r>
      <w:r>
        <w:t xml:space="preserve"> </w:t>
      </w:r>
      <w:r>
        <w:rPr>
          <w:rStyle w:val="VerbatimChar"/>
        </w:rPr>
        <w:t xml:space="preserve">*_FILE</w:t>
      </w:r>
      <w:r>
        <w:t xml:space="preserve"> </w:t>
      </w:r>
      <w:r>
        <w:t xml:space="preserve">is not used there, so set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BLIND_INDEX_KEY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DATA_KEYS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DATA_KEY_ACTIVE</w:t>
      </w:r>
      <w:r>
        <w:t xml:space="preserve"> </w:t>
      </w:r>
      <w:r>
        <w:t xml:space="preserve">directly.</w:t>
      </w:r>
    </w:p>
    <w:p>
      <w:pPr>
        <w:numPr>
          <w:ilvl w:val="0"/>
          <w:numId w:val="1006"/>
        </w:numPr>
        <w:pStyle w:val="Compact"/>
      </w:pPr>
      <w:r>
        <w:t xml:space="preserve">For a demo: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DEMO_MODE=true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ALLOW_DEMO_IN_PRODUCTION=true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Single replica (the in-process limiter and revocation list are then accurate).</w:t>
      </w:r>
    </w:p>
    <w:p>
      <w:pPr>
        <w:numPr>
          <w:ilvl w:val="0"/>
          <w:numId w:val="1006"/>
        </w:numPr>
        <w:pStyle w:val="Compact"/>
      </w:pPr>
      <w:r>
        <w:t xml:space="preserve">Jobs run as a Railway cron service with the same image and the command</w:t>
      </w:r>
      <w:r>
        <w:t xml:space="preserve"> </w:t>
      </w:r>
      <w:r>
        <w:rPr>
          <w:rStyle w:val="VerbatimChar"/>
        </w:rPr>
        <w:t xml:space="preserve">node src/jobs/cli.js journeys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Constraints:</w:t>
      </w:r>
      <w:r>
        <w:t xml:space="preserve"> </w:t>
      </w:r>
      <w:r>
        <w:t xml:space="preserve">synthetic data only; no NetworkPolicy; residency not in Vietnam; not for production personal data (</w:t>
      </w:r>
      <w:r>
        <w:rPr>
          <w:bCs/>
          <w:b/>
        </w:rPr>
        <w:t xml:space="preserve">confirm with TASCO legal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(built from the Dockerfile, port 3000, waits for a healthy DB) +</w:t>
      </w:r>
      <w:r>
        <w:t xml:space="preserve"> </w:t>
      </w:r>
      <w:r>
        <w:rPr>
          <w:rStyle w:val="VerbatimChar"/>
        </w:rPr>
        <w:t xml:space="preserve">postgres:16</w:t>
      </w:r>
      <w:r>
        <w:t xml:space="preserve"> </w:t>
      </w:r>
      <w:r>
        <w:t xml:space="preserve">with a named volume. Dev secrets are in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(never committed).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gives a full stack with demo data. Without Compose,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uses the in-memory store and needs no database.</w:t>
      </w:r>
    </w:p>
    <w:bookmarkEnd w:id="50"/>
    <w:bookmarkStart w:id="51" w:name="Xdd11dc2f90741ecae3ccb9b83392146acdf696b"/>
    <w:p>
      <w:pPr>
        <w:pStyle w:val="Heading2"/>
      </w:pPr>
      <w:r>
        <w:t xml:space="preserve">12. Capacity estimates</w:t>
      </w:r>
    </w:p>
    <w:p>
      <w:pPr>
        <w:pStyle w:val="FirstParagraph"/>
      </w:pPr>
      <w:r>
        <w:rPr>
          <w:bCs/>
          <w:b/>
        </w:rPr>
        <w:t xml:space="preserve">Assumptions</w:t>
      </w:r>
      <w:r>
        <w:t xml:space="preserve"> </w:t>
      </w:r>
      <w:r>
        <w:t xml:space="preserve">(to validate in the perf environment):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 M vehicles; 7.8 M source records (1.3 per vehicle)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Expiries uniform across the year: ≈ 16.4 k vehicles reach expiry per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30 % of vehicles are in an active journey; the renewal journey has 7 steps; on average 5 sends per expiring vehicle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bot is used for about 20 % of expiring vehicles (hot/warm + consent): ≈ 3.3 k calls/day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conversion ≈ 15 % of expiring vehicles: ≈ 2.5 k orders/day (1.2 lines/order)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users ≈ 300 (telesales heavy); peak customer app traffic follows push waves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stored document sizes (jsonb + row overhead): profile 3 KB, lead 3 KB, source record 1.2 KB, touchpoint 0.6 KB, message 0.8 KB, voice session 4 KB, quote 3 KB, order 1 KB, policy 1 KB, audit 0.4 KB</w:t>
            </w:r>
          </w:p>
        </w:tc>
      </w:tr>
    </w:tbl>
    <w:p>
      <w:pPr>
        <w:pStyle w:val="BodyText"/>
      </w:pPr>
      <w:r>
        <w:rPr>
          <w:bCs/>
          <w:b/>
        </w:rPr>
        <w:t xml:space="preserve">Storage (year 1, primary, excluding WAL and backups)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Collection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18 GB + 2.5 GB indexes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18 GB + 2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9.5 GB + 1.5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touchpoints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 M live + ≈ 42 M executed/yr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GB/yr (purge or partition executed rows &gt; 90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M/yr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24 GB/yr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voice_sessions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1.2 M/yr (180 d retention)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2.5 GB steady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quotes / orders /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2.7 M / 0.9 M / 1.1 M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8 + 1 + 1.1 GB/yr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18 M/yr (≈ 50 k entries/day)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7 GB/yr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 M/yr (purge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&gt; 30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GB steady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120–130 GB in year 1 → provision 500 GB with autoscaling storage</w:t>
            </w:r>
          </w:p>
        </w:tc>
      </w:tr>
    </w:tbl>
    <w:p>
      <w:pPr>
        <w:pStyle w:val="BodyText"/>
      </w:pPr>
      <w:r>
        <w:rPr>
          <w:bCs/>
          <w:b/>
        </w:rPr>
        <w:t xml:space="preserve">Throughput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Workload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Estimate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(customer + 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10–20 RPS; push-wave peaks about 150 RPS for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pods are comfortable (each Node process handles hundreds of RPS of indexed reads). HPA to 12 gives headroom for 1,000+ RPS.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staff around 08:00; scrypt ≈ 50 ms CPU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Negligible; the login rate limit is 10/min/IP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 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115 k touchpoint evaluations/day → ≈ 10 k per hourly run; ≈ 8 DB round-trips + 1 provider call each, sequential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15–25 min per run with providers at 100 ms. Fits the hour, with little margin.</w:t>
            </w:r>
            <w:r>
              <w:t xml:space="preserve"> </w:t>
            </w:r>
            <w:r>
              <w:rPr>
                <w:bCs/>
                <w:b/>
              </w:rPr>
              <w:t xml:space="preserve">Required before full scale:</w:t>
            </w:r>
            <w:r>
              <w:t xml:space="preserve"> </w:t>
            </w:r>
            <w:r>
              <w:t xml:space="preserve">parallel workers claiming touchpoints with</w:t>
            </w:r>
            <w:r>
              <w:t xml:space="preserve"> </w:t>
            </w:r>
            <w:r>
              <w:rPr>
                <w:rStyle w:val="VerbatimChar"/>
              </w:rPr>
              <w:t xml:space="preserve">SKIP LOCKED</w:t>
            </w:r>
            <w:r>
              <w:t xml:space="preserve">, and</w:t>
            </w:r>
            <w:r>
              <w:t xml:space="preserve"> </w:t>
            </w:r>
            <w:r>
              <w:rPr>
                <w:bCs/>
                <w:b/>
              </w:rPr>
              <w:t xml:space="preserve">asynchronous voice calls</w:t>
            </w:r>
            <w:r>
              <w:t xml:space="preserve"> </w:t>
            </w:r>
            <w:r>
              <w:t xml:space="preserve">(today</w:t>
            </w:r>
            <w:r>
              <w:t xml:space="preserve"> </w:t>
            </w:r>
            <w:r>
              <w:rPr>
                <w:rStyle w:val="VerbatimChar"/>
              </w:rPr>
              <w:t xml:space="preserve">autoCall</w:t>
            </w:r>
            <w:r>
              <w:t xml:space="preserve"> </w:t>
            </w:r>
            <w:r>
              <w:t xml:space="preserve">is synchronous inside</w:t>
            </w:r>
            <w:r>
              <w:t xml:space="preserve"> </w:t>
            </w:r>
            <w:r>
              <w:rPr>
                <w:rStyle w:val="VerbatimChar"/>
              </w:rPr>
              <w:t xml:space="preserve">runDue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Nightly recompute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 profiles × about 6 round-trips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Single-threaded about 6–10 h. Shard by</w:t>
            </w:r>
            <w:r>
              <w:t xml:space="preserve"> </w:t>
            </w:r>
            <w:r>
              <w:rPr>
                <w:rStyle w:val="VerbatimChar"/>
              </w:rPr>
              <w:t xml:space="preserve">hash(id) % 8</w:t>
            </w:r>
            <w:r>
              <w:t xml:space="preserve"> </w:t>
            </w:r>
            <w:r>
              <w:t xml:space="preserve">with keyset paging to finish in about 1 h. Better: recompute only profiles whose journey window changes (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crossing a step offset).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2.5 k/day; peak ≈ 1 order/s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by wallet and core latency, not by the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10 k events/day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Trivial for the SKIP LOCKED relay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appends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50 k/day (peak ≈ 20/s)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within serialised append capacity (≈ 1 k/s)</w:t>
            </w:r>
          </w:p>
        </w:tc>
      </w:tr>
    </w:tbl>
    <w:p>
      <w:pPr>
        <w:pStyle w:val="BodyText"/>
      </w:pPr>
      <w:r>
        <w:rPr>
          <w:bCs/>
          <w:b/>
        </w:rPr>
        <w:t xml:space="preserve">Database sizing (prod):</w:t>
      </w:r>
      <w:r>
        <w:t xml:space="preserve"> </w:t>
      </w:r>
      <w:r>
        <w:t xml:space="preserve">primary 8 vCPU / 32 GB RAM / 500 GB SSD (≥ 6 k IOPS) + sync standby of the same size. Read replica 4 vCPU / 16 GB. Hot working set: profiles + leads + touchpoints indexes ≈ 10 GB, which fits in RAM.</w:t>
      </w:r>
    </w:p>
    <w:bookmarkEnd w:id="51"/>
    <w:bookmarkStart w:id="52" w:name="X056d53cbbf87bbada4e68f6affdc3ebb6460064"/>
    <w:p>
      <w:pPr>
        <w:pStyle w:val="Heading2"/>
      </w:pPr>
      <w:r>
        <w:t xml:space="preserve">13. Cost-aware sizing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Env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API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Jobs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Postgres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pods (250m/512Mi)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vCPU / 8 GB, single AZ, 7 d PITR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cluster; scale to zero at night (KEDA/cron scaler)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vCPU / 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3–12 pods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sharded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vCPU / 32 GB, provisioned only for test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Ephemeral: create, test, destroy (IaC)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pods baseline (HPA to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 pod-hours/day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8/32 primary + standby + 4/16 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Reserved/committed-use for the baseline; HPA for peaks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pod warm (scale on failover)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replica 4/16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standby, not active-active</w:t>
            </w:r>
          </w:p>
        </w:tc>
      </w:tr>
    </w:tbl>
    <w:p>
      <w:pPr>
        <w:pStyle w:val="BodyText"/>
      </w:pPr>
      <w:r>
        <w:t xml:space="preserve">Levers:</w:t>
      </w:r>
    </w:p>
    <w:p>
      <w:pPr>
        <w:numPr>
          <w:ilvl w:val="0"/>
          <w:numId w:val="1007"/>
        </w:numPr>
        <w:pStyle w:val="Compact"/>
      </w:pPr>
      <w:r>
        <w:t xml:space="preserve">Async voice and journey workers instead of bigger pods.</w:t>
      </w:r>
    </w:p>
    <w:p>
      <w:pPr>
        <w:numPr>
          <w:ilvl w:val="0"/>
          <w:numId w:val="1007"/>
        </w:numPr>
        <w:pStyle w:val="Compact"/>
      </w:pPr>
      <w:r>
        <w:t xml:space="preserve">Purge or partition high-churn tables (touchpoints, messages, events) to keep the DB on a smaller tier.</w:t>
      </w:r>
    </w:p>
    <w:p>
      <w:pPr>
        <w:numPr>
          <w:ilvl w:val="0"/>
          <w:numId w:val="1007"/>
        </w:numPr>
        <w:pStyle w:val="Compact"/>
      </w:pPr>
      <w:r>
        <w:t xml:space="preserve">Run BI on the read replica, not the primary.</w:t>
      </w:r>
    </w:p>
    <w:p>
      <w:pPr>
        <w:numPr>
          <w:ilvl w:val="0"/>
          <w:numId w:val="1007"/>
        </w:numPr>
        <w:pStyle w:val="Compact"/>
      </w:pPr>
      <w:r>
        <w:t xml:space="preserve">Use Vietnamese cloud providers if they meet InfoSec and residency requirements; they are typically cheaper than hyperscaler list prices.</w:t>
      </w:r>
    </w:p>
    <w:p>
      <w:pPr>
        <w:numPr>
          <w:ilvl w:val="0"/>
          <w:numId w:val="1007"/>
        </w:numPr>
        <w:pStyle w:val="Compact"/>
      </w:pPr>
      <w:r>
        <w:t xml:space="preserve">Per-message channel costs (</w:t>
      </w:r>
      <w:r>
        <w:rPr>
          <w:rStyle w:val="VerbatimChar"/>
        </w:rPr>
        <w:t xml:space="preserve">config/rules/costs.json</w:t>
      </w:r>
      <w:r>
        <w:t xml:space="preserve">) dominate infrastructure costs at scale. The NBA prefers push (cheapest) over ZNS over SMS over voice over telesales.</w:t>
      </w:r>
    </w:p>
    <w:bookmarkEnd w:id="52"/>
    <w:bookmarkStart w:id="53" w:name="X3a5383b5b01335aa8f90add330e4d3cf4b1daf7"/>
    <w:p>
      <w:pPr>
        <w:pStyle w:val="Heading2"/>
      </w:pPr>
      <w:r>
        <w:t xml:space="preserve">14. Disaster recovery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min (async cross-region replication + WAL archive)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standby: DR cluster manifests synced by GitOps with replicas = 0/1; DB replica in the DR region</w:t>
            </w:r>
          </w:p>
        </w:tc>
      </w:tr>
    </w:tbl>
    <w:p>
      <w:pPr>
        <w:pStyle w:val="BodyText"/>
      </w:pPr>
      <w:r>
        <w:t xml:space="preserve">Failover runbook:</w:t>
      </w:r>
    </w:p>
    <w:p>
      <w:pPr>
        <w:numPr>
          <w:ilvl w:val="0"/>
          <w:numId w:val="1008"/>
        </w:numPr>
        <w:pStyle w:val="Compact"/>
      </w:pPr>
      <w:r>
        <w:t xml:space="preserve">Declare the incident (on-call + CAB emergency).</w:t>
      </w:r>
    </w:p>
    <w:p>
      <w:pPr>
        <w:numPr>
          <w:ilvl w:val="0"/>
          <w:numId w:val="1008"/>
        </w:numPr>
        <w:pStyle w:val="Compact"/>
      </w:pPr>
      <w:r>
        <w:t xml:space="preserve">Promote the DR replica.</w:t>
      </w:r>
    </w:p>
    <w:p>
      <w:pPr>
        <w:numPr>
          <w:ilvl w:val="0"/>
          <w:numId w:val="1008"/>
        </w:numPr>
        <w:pStyle w:val="Compact"/>
      </w:pPr>
      <w:r>
        <w:t xml:space="preserve">Point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(secret) to the DR primary.</w:t>
      </w:r>
    </w:p>
    <w:p>
      <w:pPr>
        <w:numPr>
          <w:ilvl w:val="0"/>
          <w:numId w:val="1008"/>
        </w:numPr>
        <w:pStyle w:val="Compact"/>
      </w:pPr>
      <w:r>
        <w:t xml:space="preserve">Scale up the DR API and CronJobs.</w:t>
      </w:r>
    </w:p>
    <w:p>
      <w:pPr>
        <w:numPr>
          <w:ilvl w:val="0"/>
          <w:numId w:val="1008"/>
        </w:numPr>
        <w:pStyle w:val="Compact"/>
      </w:pPr>
      <w:r>
        <w:t xml:space="preserve">Switch DNS / global load balancer.</w:t>
      </w:r>
    </w:p>
    <w:p>
      <w:pPr>
        <w:numPr>
          <w:ilvl w:val="0"/>
          <w:numId w:val="1008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/api/audit/verify</w:t>
      </w:r>
      <w:r>
        <w:t xml:space="preserve"> </w:t>
      </w:r>
      <w:r>
        <w:t xml:space="preserve">(chain intact) and the outbox backlog.</w:t>
      </w:r>
    </w:p>
    <w:p>
      <w:pPr>
        <w:numPr>
          <w:ilvl w:val="0"/>
          <w:numId w:val="1008"/>
        </w:numPr>
        <w:pStyle w:val="Compact"/>
      </w:pPr>
      <w:r>
        <w:t xml:space="preserve">Notify providers if the egress IPs change (pre-register DR IPs).</w:t>
      </w:r>
    </w:p>
    <w:p>
      <w:pPr>
        <w:pStyle w:val="FirstParagraph"/>
      </w:pPr>
      <w:r>
        <w:t xml:space="preserve">Drill twice a year. The PITR restore drill is quarterly.</w:t>
      </w:r>
    </w:p>
    <w:bookmarkEnd w:id="53"/>
    <w:bookmarkStart w:id="57" w:name="X4814d0d523638fa8b0ed22358249eb13434bdc5"/>
    <w:p>
      <w:pPr>
        <w:pStyle w:val="Heading2"/>
      </w:pPr>
      <w:r>
        <w:t xml:space="preserve">15. Observability</w:t>
      </w:r>
    </w:p>
    <w:p>
      <w:pPr>
        <w:pStyle w:val="FirstParagraph"/>
      </w:pPr>
      <w:r>
        <w:drawing>
          <wp:inline>
            <wp:extent cx="6119999" cy="226821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deployment-and-infrastructure-architecture-5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268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src/shared/logger.js</w:t>
      </w:r>
      <w:r>
        <w:t xml:space="preserve">):</w:t>
      </w:r>
    </w:p>
    <w:p>
      <w:pPr>
        <w:numPr>
          <w:ilvl w:val="0"/>
          <w:numId w:val="1009"/>
        </w:numPr>
        <w:pStyle w:val="Compact"/>
      </w:pPr>
      <w:r>
        <w:t xml:space="preserve">One JSON object per line:</w:t>
      </w:r>
      <w:r>
        <w:t xml:space="preserve"> </w:t>
      </w:r>
      <w:r>
        <w:rPr>
          <w:rStyle w:val="VerbatimChar"/>
        </w:rPr>
        <w:t xml:space="preserve">{ts, level, msg, service, ...fields}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PII keys are redacted (</w:t>
      </w:r>
      <w:r>
        <w:rPr>
          <w:rStyle w:val="VerbatimChar"/>
        </w:rPr>
        <w:t xml:space="preserve">password, secret, token, authorization, cookie, phone, altPhones, name, totpSecret, apiKey, otp, code, mfaToken, refreshToken, accessToken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Errors include the message, code and stack.</w:t>
      </w:r>
    </w:p>
    <w:p>
      <w:pPr>
        <w:numPr>
          <w:ilvl w:val="0"/>
          <w:numId w:val="1009"/>
        </w:numPr>
        <w:pStyle w:val="Compact"/>
      </w:pPr>
      <w:r>
        <w:t xml:space="preserve">Every API request logs</w:t>
      </w:r>
      <w:r>
        <w:t xml:space="preserve"> </w:t>
      </w:r>
      <w:r>
        <w:rPr>
          <w:rStyle w:val="VerbatimChar"/>
        </w:rPr>
        <w:t xml:space="preserve">{requestId, method, route, status, ms}</w:t>
      </w:r>
      <w:r>
        <w:t xml:space="preserve"> </w:t>
      </w:r>
      <w:r>
        <w:t xml:space="preserve">(health, metrics and static requests are excluded).</w:t>
      </w:r>
    </w:p>
    <w:p>
      <w:pPr>
        <w:numPr>
          <w:ilvl w:val="0"/>
          <w:numId w:val="1009"/>
        </w:numPr>
        <w:pStyle w:val="Compact"/>
      </w:pPr>
      <w:r>
        <w:t xml:space="preserve">Retention: 30 days hot, 1 year archive. Security events are also in the audit chain.</w:t>
      </w:r>
    </w:p>
    <w:p>
      <w:pPr>
        <w:pStyle w:val="FirstParagraph"/>
      </w:pPr>
      <w:r>
        <w:rPr>
          <w:bCs/>
          <w:b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src/shared/metrics.js</w:t>
      </w:r>
      <w:r>
        <w:t xml:space="preserve">, exposed at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 cluster-internal only):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Labels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http_request_duration_seconds</w:t>
            </w:r>
            <w:r>
              <w:t xml:space="preserve"> </w:t>
            </w:r>
            <w:r>
              <w:t xml:space="preserve">(histogram)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route,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 SLO (p95)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route, method,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Error-rate SLO, 401/403/429 anomaly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integration_calls_total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integration,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integration_short_circuit_total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 open →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events_published_total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events_processed_total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type,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 flow;</w:t>
            </w:r>
            <w:r>
              <w:t xml:space="preserve"> </w:t>
            </w:r>
            <w:r>
              <w:rPr>
                <w:rStyle w:val="VerbatimChar"/>
              </w:rPr>
              <w:t xml:space="preserve">dead_letter</w:t>
            </w:r>
            <w:r>
              <w:t xml:space="preserve"> </w:t>
            </w:r>
            <w:r>
              <w:t xml:space="preserve">→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channel, status, 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volume, blocked/failed rates (copy guard, consent)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orders_completed_total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(, journey)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KPIs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voice_calls_total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outcomes, opt-out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process_resident_memory_bytes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process_uptime_seconds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health</w:t>
            </w:r>
          </w:p>
        </w:tc>
      </w:tr>
    </w:tbl>
    <w:p>
      <w:pPr>
        <w:pStyle w:val="BodyText"/>
      </w:pPr>
      <w:r>
        <w:t xml:space="preserve">Gaps:</w:t>
      </w:r>
    </w:p>
    <w:p>
      <w:pPr>
        <w:numPr>
          <w:ilvl w:val="0"/>
          <w:numId w:val="1010"/>
        </w:numPr>
        <w:pStyle w:val="Compact"/>
      </w:pPr>
      <w:r>
        <w:t xml:space="preserve">No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from CronJob pods (use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 </w:t>
      </w:r>
      <w:r>
        <w:t xml:space="preserve">and logs, or a Pushgateway).</w:t>
      </w:r>
    </w:p>
    <w:p>
      <w:pPr>
        <w:numPr>
          <w:ilvl w:val="0"/>
          <w:numId w:val="1010"/>
        </w:numPr>
        <w:pStyle w:val="Compact"/>
      </w:pPr>
      <w:r>
        <w:t xml:space="preserve">No DB pool metrics.</w:t>
      </w:r>
    </w:p>
    <w:p>
      <w:pPr>
        <w:numPr>
          <w:ilvl w:val="0"/>
          <w:numId w:val="1010"/>
        </w:numPr>
        <w:pStyle w:val="Compact"/>
      </w:pPr>
      <w:r>
        <w:t xml:space="preserve">No event backlog gauge (available via</w:t>
      </w:r>
      <w:r>
        <w:t xml:space="preserve"> </w:t>
      </w:r>
      <w:r>
        <w:rPr>
          <w:rStyle w:val="VerbatimChar"/>
        </w:rPr>
        <w:t xml:space="preserve">GET /api/ops/status</w:t>
      </w:r>
      <w:r>
        <w:t xml:space="preserve">; add a gauge</w:t>
      </w:r>
      <w:r>
        <w:t xml:space="preserve"> </w:t>
      </w:r>
      <w:r>
        <w:rPr>
          <w:rStyle w:val="VerbatimChar"/>
        </w:rPr>
        <w:t xml:space="preserve">outbox_pending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outbox_oldest_pending_seconds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Alerts (SLO-based):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Alert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Condition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availability 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5xx ratio &gt; 1 % over 5 min (fast burn of the 99.9 % SLO)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&gt; 1 s for 10 min on read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Breaker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increase(integration_short_circuit_total[5m]) &gt; 0</w:t>
            </w:r>
            <w:r>
              <w:t xml:space="preserve"> </w:t>
            </w:r>
            <w:r>
              <w:t xml:space="preserve">for wallet or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 letters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increase(events_processed_total{status="dead_letter"}[15m])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Outbox 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Oldest pending/processing event &gt;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http_requests_total{route="POST /api/auth/login",status="401"}</w:t>
            </w:r>
            <w:r>
              <w:t xml:space="preserve"> </w:t>
            </w:r>
            <w:r>
              <w:t xml:space="preserve">spike;</w:t>
            </w:r>
            <w:r>
              <w:t xml:space="preserve"> </w:t>
            </w:r>
            <w:r>
              <w:rPr>
                <w:rStyle w:val="VerbatimChar"/>
              </w:rPr>
              <w:t xml:space="preserve">status="423"</w:t>
            </w:r>
            <w:r>
              <w:t xml:space="preserve"> </w:t>
            </w:r>
            <w:r>
              <w:t xml:space="preserve">(lockouts)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job.reconciliation</w:t>
            </w:r>
            <w:r>
              <w:t xml:space="preserve"> </w:t>
            </w:r>
            <w:r>
              <w:t xml:space="preserve">mismatches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(finance ops)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/api/audit/verify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 </w:t>
            </w:r>
            <w:r>
              <w:t xml:space="preserve">(synthetic probe 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kube_job_status_failed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Tracing:</w:t>
      </w:r>
      <w:r>
        <w:t xml:space="preserve"> </w:t>
      </w:r>
      <w:r>
        <w:t xml:space="preserve">today correlation uses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, which is accepted from the client if it matches</w:t>
      </w:r>
      <w:r>
        <w:t xml:space="preserve"> </w:t>
      </w:r>
      <w:r>
        <w:rPr>
          <w:rStyle w:val="VerbatimChar"/>
        </w:rPr>
        <w:t xml:space="preserve">^[\w-]{8,64}$</w:t>
      </w:r>
      <w:r>
        <w:t xml:space="preserve"> </w:t>
      </w:r>
      <w:r>
        <w:t xml:space="preserve">and generated otherwise. It is echoed in the response and in error bodies and logged per request. Gap: it is not propagated into domain events (</w:t>
      </w:r>
      <w:r>
        <w:rPr>
          <w:rStyle w:val="VerbatimChar"/>
        </w:rPr>
        <w:t xml:space="preserve">correlationId</w:t>
      </w:r>
      <w:r>
        <w:t xml:space="preserve"> </w:t>
      </w:r>
      <w:r>
        <w:t xml:space="preserve">is null) or into outbound provider calls.</w:t>
      </w:r>
    </w:p>
    <w:p>
      <w:pPr>
        <w:pStyle w:val="BodyText"/>
      </w:pPr>
      <w:r>
        <w:rPr>
          <w:bCs/>
          <w:b/>
        </w:rPr>
        <w:t xml:space="preserve">OpenTelemetry roadmap:</w:t>
      </w:r>
    </w:p>
    <w:p>
      <w:pPr>
        <w:numPr>
          <w:ilvl w:val="0"/>
          <w:numId w:val="1011"/>
        </w:numPr>
        <w:pStyle w:val="Compact"/>
      </w:pPr>
      <w:r>
        <w:t xml:space="preserve">Instrument</w:t>
      </w:r>
      <w:r>
        <w:t xml:space="preserve"> </w:t>
      </w:r>
      <w:r>
        <w:rPr>
          <w:rStyle w:val="VerbatimChar"/>
        </w:rPr>
        <w:t xml:space="preserve">node:http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with OTel auto-instrumentation (adds dev/runtime dependencies, which need an ADR-002 exception).</w:t>
      </w:r>
    </w:p>
    <w:p>
      <w:pPr>
        <w:numPr>
          <w:ilvl w:val="0"/>
          <w:numId w:val="1011"/>
        </w:numPr>
        <w:pStyle w:val="Compact"/>
      </w:pPr>
      <w:r>
        <w:t xml:space="preserve">Propagate W3C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to providers and put the trace id into</w:t>
      </w:r>
      <w:r>
        <w:t xml:space="preserve"> </w:t>
      </w:r>
      <w:r>
        <w:rPr>
          <w:rStyle w:val="VerbatimChar"/>
        </w:rPr>
        <w:t xml:space="preserve">domain_events.correlationId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Generate span metrics (RED) in the collector, replacing the hand-rolled histograms.</w:t>
      </w:r>
    </w:p>
    <w:p>
      <w:pPr>
        <w:numPr>
          <w:ilvl w:val="0"/>
          <w:numId w:val="1011"/>
        </w:numPr>
        <w:pStyle w:val="Compact"/>
      </w:pPr>
      <w:r>
        <w:t xml:space="preserve">Tail-based sampling that keeps all error traces.</w:t>
      </w:r>
    </w:p>
    <w:bookmarkEnd w:id="57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54" Type="http://schemas.openxmlformats.org/officeDocument/2006/relationships/image" Target="media/rId54.png"/><Relationship Id="rId47" Type="http://schemas.openxmlformats.org/officeDocument/2006/relationships/hyperlink" Target="adr/ADR-002-nodejs-minimal-dependencies.docx" TargetMode="External"/><Relationship Id="rId36" Type="http://schemas.openxmlformats.org/officeDocument/2006/relationships/hyperlink" Target="adr/ADR-006-field-encryption-blind-index.docx" TargetMode="External"/><Relationship Id="rId20" Type="http://schemas.openxmlformats.org/officeDocument/2006/relationships/hyperlink" Target="adr/ADR-012-deployment-containers-k8s.docx" TargetMode="External"/><Relationship Id="rId34" Type="http://schemas.openxmlformats.org/officeDocument/2006/relationships/hyperlink" Target="security-architecture.docx" TargetMode="External"/><Relationship Id="rId37" Type="http://schemas.openxmlformats.org/officeDocument/2006/relationships/hyperlink" Target="solution-architecture.docx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dr/ADR-002-nodejs-minimal-dependencies.docx" TargetMode="External"/><Relationship Id="rId36" Type="http://schemas.openxmlformats.org/officeDocument/2006/relationships/hyperlink" Target="adr/ADR-006-field-encryption-blind-index.docx" TargetMode="External"/><Relationship Id="rId20" Type="http://schemas.openxmlformats.org/officeDocument/2006/relationships/hyperlink" Target="adr/ADR-012-deployment-containers-k8s.docx" TargetMode="External"/><Relationship Id="rId34" Type="http://schemas.openxmlformats.org/officeDocument/2006/relationships/hyperlink" Target="security-architecture.docx" TargetMode="External"/><Relationship Id="rId37" Type="http://schemas.openxmlformats.org/officeDocument/2006/relationships/hyperlink" Target="solution-architect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&amp; infrastructure architecture</dc:title>
  <dc:creator>iorta TechNXT</dc:creator>
  <cp:keywords/>
  <dcterms:created xsi:type="dcterms:W3CDTF">2026-10-07T17:45:16Z</dcterms:created>
  <dcterms:modified xsi:type="dcterms:W3CDTF">2026-10-07T17:45:16Z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</vt:lpwstr>
  </property>
</Properties>
</file>