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Solution architecture</w:t>
      </w:r>
    </w:p>
    <w:p>
      <w:pPr>
        <w:pStyle w:val="Subtitle"/>
      </w:pPr>
      <w:r>
        <w:t xml:space="preserve">TASCO Insurance × VETC Growth Platform — Architecture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Scope: the TASCO Growth Platform codebase (</w:t>
      </w:r>
      <w:r>
        <w:rPr>
          <w:rStyle w:val="VerbatimChar"/>
        </w:rPr>
        <w:t xml:space="preserve">/src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/db</w:t>
      </w:r>
      <w:r>
        <w:t xml:space="preserve">). Companion documents:</w:t>
      </w:r>
      <w:r>
        <w:t xml:space="preserve"> </w:t>
      </w:r>
      <w:hyperlink r:id="rId20">
        <w:r>
          <w:rPr>
            <w:rStyle w:val="Hyperlink"/>
          </w:rPr>
          <w:t xml:space="preserve">integration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deployment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data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AI governance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ADRs</w:t>
        </w:r>
      </w:hyperlink>
      <w:r>
        <w:t xml:space="preserve">.</w:t>
      </w:r>
    </w:p>
    <w:bookmarkStart w:id="26" w:name="X2923612f7139ac79af154c6e9b8cee0ed4e93e4"/>
    <w:p>
      <w:pPr>
        <w:pStyle w:val="Heading2"/>
      </w:pPr>
      <w:r>
        <w:t xml:space="preserve">1. Business context in one paragraph</w:t>
      </w:r>
    </w:p>
    <w:p>
      <w:pPr>
        <w:pStyle w:val="FirstParagraph"/>
      </w:pPr>
      <w:r>
        <w:t xml:space="preserve">VETC runs electronic toll collection for about 6 million vehicles. Its records hold a plate, a phone number and engagement signals for every vehicle. Only about 1 in 10 records has a verified motor insurance certificate (</w:t>
      </w:r>
      <w:r>
        <w:rPr>
          <w:rStyle w:val="VerbatimChar"/>
        </w:rPr>
        <w:t xml:space="preserve">src/adapters/integrations/syntheticVetcSource.js</w:t>
      </w:r>
      <w:r>
        <w:t xml:space="preserve"> </w:t>
      </w:r>
      <w:r>
        <w:t xml:space="preserve">reproduces this). TASCO Insurance wants to:</w:t>
      </w:r>
    </w:p>
    <w:p>
      <w:pPr>
        <w:numPr>
          <w:ilvl w:val="0"/>
          <w:numId w:val="1001"/>
        </w:numPr>
        <w:pStyle w:val="Compact"/>
      </w:pPr>
      <w:r>
        <w:t xml:space="preserve">win</w:t>
      </w:r>
      <w:r>
        <w:t xml:space="preserve"> </w:t>
      </w:r>
      <w:r>
        <w:rPr>
          <w:bCs/>
          <w:b/>
        </w:rPr>
        <w:t xml:space="preserve">new business</w:t>
      </w:r>
      <w:r>
        <w:t xml:space="preserve">, meaning uninsured, lapsed and newly registered vehicles;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retain</w:t>
      </w:r>
      <w:r>
        <w:t xml:space="preserve"> </w:t>
      </w:r>
      <w:r>
        <w:t xml:space="preserve">its own TNDS (compulsory third-party liability) customers;</w:t>
      </w:r>
    </w:p>
    <w:p>
      <w:pPr>
        <w:numPr>
          <w:ilvl w:val="0"/>
          <w:numId w:val="1001"/>
        </w:numPr>
        <w:pStyle w:val="Compact"/>
      </w:pPr>
      <w:r>
        <w:t xml:space="preserve">work</w:t>
      </w:r>
      <w:r>
        <w:t xml:space="preserve"> </w:t>
      </w:r>
      <w:r>
        <w:rPr>
          <w:bCs/>
          <w:b/>
        </w:rPr>
        <w:t xml:space="preserve">with</w:t>
      </w:r>
      <w:r>
        <w:t xml:space="preserve"> </w:t>
      </w:r>
      <w:r>
        <w:t xml:space="preserve">the partners (banks, showrooms, agents, fleets, inspection centres) who close most TNDS sales today, not against them;</w:t>
      </w:r>
    </w:p>
    <w:p>
      <w:pPr>
        <w:numPr>
          <w:ilvl w:val="0"/>
          <w:numId w:val="1001"/>
        </w:numPr>
        <w:pStyle w:val="Compact"/>
      </w:pPr>
      <w:r>
        <w:t xml:space="preserve">give customers a trustworthy digital experience, including claims FNOL.</w:t>
      </w:r>
    </w:p>
    <w:p>
      <w:pPr>
        <w:pStyle w:val="FirstParagraph"/>
      </w:pPr>
      <w:r>
        <w:t xml:space="preserve">The TNDS premium is set by regulation (</w:t>
      </w:r>
      <w:r>
        <w:rPr>
          <w:rStyle w:val="VerbatimChar"/>
        </w:rPr>
        <w:t xml:space="preserve">config/rules/tariff.tnds_car.json</w:t>
      </w:r>
      <w:r>
        <w:t xml:space="preserve">, Decree 67/2023/ND-CP;</w:t>
      </w:r>
      <w:r>
        <w:t xml:space="preserve"> </w:t>
      </w:r>
      <w:r>
        <w:rPr>
          <w:bCs/>
          <w:b/>
        </w:rPr>
        <w:t xml:space="preserve">confirm with TASCO legal</w:t>
      </w:r>
      <w:r>
        <w:t xml:space="preserve">). Price therefore cannot be the lever. The platform competes on four things instead:</w:t>
      </w:r>
      <w:r>
        <w:t xml:space="preserve"> </w:t>
      </w:r>
      <w:r>
        <w:rPr>
          <w:bCs/>
          <w:b/>
        </w:rPr>
        <w:t xml:space="preserve">data, timing, channel and service value</w:t>
      </w:r>
      <w:r>
        <w:t xml:space="preserve">.</w:t>
      </w:r>
    </w:p>
    <w:bookmarkEnd w:id="26"/>
    <w:bookmarkStart w:id="32" w:name="X20425d522817430b2638a986172e7c550d08056"/>
    <w:p>
      <w:pPr>
        <w:pStyle w:val="Heading2"/>
      </w:pPr>
      <w:r>
        <w:t xml:space="preserve">2. Architecture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Principle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 the code enforces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 at the centre, adapters at the edge</w:t>
            </w:r>
            <w:r>
              <w:t xml:space="preserve"> </w:t>
            </w:r>
            <w:r>
              <w:t xml:space="preserve">(hexagonal)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src/domain/*</w:t>
            </w:r>
            <w:r>
              <w:t xml:space="preserve"> </w:t>
            </w:r>
            <w:r>
              <w:t xml:space="preserve">imports only</w:t>
            </w:r>
            <w:r>
              <w:t xml:space="preserve"> </w:t>
            </w:r>
            <w:r>
              <w:rPr>
                <w:rStyle w:val="VerbatimChar"/>
              </w:rPr>
              <w:t xml:space="preserve">src/shared/*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src/rules/*</w:t>
            </w:r>
            <w:r>
              <w:t xml:space="preserve">. Adapters are chosen only in</w:t>
            </w:r>
            <w:r>
              <w:t xml:space="preserve"> </w:t>
            </w:r>
            <w:r>
              <w:rPr>
                <w:rStyle w:val="VerbatimChar"/>
              </w:rPr>
              <w:t xml:space="preserve">src/bootstrap/container.js</w:t>
            </w:r>
            <w:r>
              <w:t xml:space="preserve">. See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ADR-001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rules are data, not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rule kinds in</w:t>
            </w:r>
            <w:r>
              <w:t xml:space="preserve"> </w:t>
            </w:r>
            <w:r>
              <w:rPr>
                <w:rStyle w:val="VerbatimChar"/>
              </w:rPr>
              <w:t xml:space="preserve">config/rules/*.json</w:t>
            </w:r>
            <w:r>
              <w:t xml:space="preserve">, evaluated by a safe JSON Logic subset (</w:t>
            </w:r>
            <w:r>
              <w:rPr>
                <w:rStyle w:val="VerbatimChar"/>
              </w:rPr>
              <w:t xml:space="preserve">src/rules/jsonLogic.js</w:t>
            </w:r>
            <w:r>
              <w:t xml:space="preserve">). Changes go through maker-checker (</w:t>
            </w:r>
            <w:r>
              <w:rPr>
                <w:rStyle w:val="VerbatimChar"/>
              </w:rPr>
              <w:t xml:space="preserve">src/application/rulesService.js</w:t>
            </w:r>
            <w:r>
              <w:t xml:space="preserve">). See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ADR-003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by default, deny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route declares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/</w:t>
            </w:r>
            <w:r>
              <w:rPr>
                <w:rStyle w:val="VerbatimChar"/>
              </w:rPr>
              <w:t xml:space="preserve">perm</w:t>
            </w:r>
            <w:r>
              <w:t xml:space="preserve">/schemas (</w:t>
            </w:r>
            <w:r>
              <w:rPr>
                <w:rStyle w:val="VerbatimChar"/>
              </w:rPr>
              <w:t xml:space="preserve">src/adapters/http/routes.js</w:t>
            </w:r>
            <w:r>
              <w:t xml:space="preserve">). Validation rejects unknown fields (</w:t>
            </w:r>
            <w:r>
              <w:rPr>
                <w:rStyle w:val="VerbatimChar"/>
              </w:rPr>
              <w:t xml:space="preserve">src/shared/validation.js</w:t>
            </w:r>
            <w:r>
              <w:t xml:space="preserve">). PII is encrypted per field (</w:t>
            </w:r>
            <w:r>
              <w:rPr>
                <w:rStyle w:val="VerbatimChar"/>
              </w:rPr>
              <w:t xml:space="preserve">codec.js</w:t>
            </w:r>
            <w:r>
              <w:t xml:space="preserve">). Production refuses to boot without secrets (</w:t>
            </w:r>
            <w:r>
              <w:rPr>
                <w:rStyle w:val="VerbatimChar"/>
              </w:rPr>
              <w:t xml:space="preserve">src/shared/config.js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Explainability over black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lead score is a weighted sum of named factors with reason strings (</w:t>
            </w:r>
            <w:r>
              <w:rPr>
                <w:rStyle w:val="VerbatimChar"/>
              </w:rPr>
              <w:t xml:space="preserve">src/domain/leads.js#score</w:t>
            </w:r>
            <w:r>
              <w:t xml:space="preserve">). Each NBA result carries a</w:t>
            </w:r>
            <w:r>
              <w:t xml:space="preserve"> </w:t>
            </w:r>
            <w:r>
              <w:rPr>
                <w:rStyle w:val="VerbatimChar"/>
              </w:rPr>
              <w:t xml:space="preserve">ruleId</w:t>
            </w:r>
            <w:r>
              <w:t xml:space="preserve">. Golden-record fields carry lineage and confidence (</w:t>
            </w:r>
            <w:r>
              <w:rPr>
                <w:rStyle w:val="VerbatimChar"/>
              </w:rPr>
              <w:t xml:space="preserve">src/domain/enrichment.js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Consent and trust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outbound touch passes</w:t>
            </w:r>
            <w:r>
              <w:t xml:space="preserve"> </w:t>
            </w:r>
            <w:r>
              <w:rPr>
                <w:rStyle w:val="VerbatimChar"/>
              </w:rPr>
              <w:t xml:space="preserve">canContact()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src/domain/contactPolicy.js</w:t>
            </w:r>
            <w:r>
              <w:t xml:space="preserve">) and the copy guard. The voice bot discloses that it is automated and verifies the plate first (</w:t>
            </w:r>
            <w:r>
              <w:rPr>
                <w:rStyle w:val="VerbatimChar"/>
              </w:rPr>
              <w:t xml:space="preserve">src/domain/voicebot.js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Idempotent, at-least-once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use idempotency keys (</w:t>
            </w:r>
            <w:r>
              <w:rPr>
                <w:rStyle w:val="VerbatimChar"/>
              </w:rPr>
              <w:t xml:space="preserve">salesService.purchase</w:t>
            </w:r>
            <w:r>
              <w:t xml:space="preserve">). Outbound calls are wrapped in timeout + retry + circuit breaker (</w:t>
            </w:r>
            <w:r>
              <w:rPr>
                <w:rStyle w:val="VerbatimChar"/>
              </w:rPr>
              <w:t xml:space="preserve">src/shared/resilience.js</w:t>
            </w:r>
            <w:r>
              <w:t xml:space="preserve">). Event handlers are named and tracked per event (</w:t>
            </w:r>
            <w:r>
              <w:rPr>
                <w:rStyle w:val="VerbatimChar"/>
              </w:rPr>
              <w:t xml:space="preserve">outboxEventBus.js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Minimal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runtime dependency (</w:t>
            </w:r>
            <w:r>
              <w:rPr>
                <w:rStyle w:val="VerbatimChar"/>
              </w:rPr>
              <w:t xml:space="preserve">pg</w:t>
            </w:r>
            <w:r>
              <w:t xml:space="preserve">). Crypto, HTTP, routing, metrics and validation come from</w:t>
            </w:r>
            <w:r>
              <w:t xml:space="preserve"> </w:t>
            </w:r>
            <w:r>
              <w:rPr>
                <w:rStyle w:val="VerbatimChar"/>
              </w:rPr>
              <w:t xml:space="preserve">node:*</w:t>
            </w:r>
            <w:r>
              <w:t xml:space="preserve"> </w:t>
            </w:r>
            <w:r>
              <w:t xml:space="preserve">built-ins. See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Twelve-factor, stateless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comes from env or</w:t>
            </w:r>
            <w:r>
              <w:t xml:space="preserve"> </w:t>
            </w:r>
            <w:r>
              <w:rPr>
                <w:rStyle w:val="VerbatimChar"/>
              </w:rPr>
              <w:t xml:space="preserve">*_FILE</w:t>
            </w:r>
            <w:r>
              <w:t xml:space="preserve">. Logs are JSON on stdout. State lives in Postgres. Shutdown is graceful (</w:t>
            </w:r>
            <w:r>
              <w:rPr>
                <w:rStyle w:val="VerbatimChar"/>
              </w:rPr>
              <w:t xml:space="preserve">src/server.js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behaviour in every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in-memory and Postgres stores share</w:t>
            </w:r>
            <w:r>
              <w:t xml:space="preserve"> </w:t>
            </w:r>
            <w:r>
              <w:rPr>
                <w:rStyle w:val="VerbatimChar"/>
              </w:rPr>
              <w:t xml:space="preserve">codec.js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auditChain.js</w:t>
            </w:r>
            <w:r>
              <w:t xml:space="preserve">, so encryption, filtering and audit chaining behave the same (</w:t>
            </w:r>
            <w:hyperlink r:id="rId30">
              <w:r>
                <w:rPr>
                  <w:rStyle w:val="Hyperlink"/>
                </w:rPr>
                <w:t xml:space="preserve">ADR-004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Tamper-evident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hash-chained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with a database trigger that blocks UPDATE and DELETE (</w:t>
            </w:r>
            <w:r>
              <w:rPr>
                <w:rStyle w:val="VerbatimChar"/>
              </w:rPr>
              <w:t xml:space="preserve">db/migrations/001_init.sql</w:t>
            </w:r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ADR-008</w:t>
              </w:r>
            </w:hyperlink>
            <w:r>
              <w:t xml:space="preserve">).</w:t>
            </w:r>
          </w:p>
        </w:tc>
      </w:tr>
    </w:tbl>
    <w:bookmarkEnd w:id="32"/>
    <w:bookmarkStart w:id="36" w:name="X71e5de22e4695b168b35a58d5a38641d84c6294"/>
    <w:p>
      <w:pPr>
        <w:pStyle w:val="Heading2"/>
      </w:pPr>
      <w:r>
        <w:t xml:space="preserve">3. C4 Level 1 — System context</w:t>
      </w:r>
    </w:p>
    <w:p>
      <w:pPr>
        <w:pStyle w:val="FirstParagraph"/>
      </w:pPr>
      <w:r>
        <w:drawing>
          <wp:inline>
            <wp:extent cx="6119999" cy="159557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1595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83bf4180b87e321454aeee1a1dee48b8ea0b73b"/>
    <w:p>
      <w:pPr>
        <w:pStyle w:val="Heading2"/>
      </w:pPr>
      <w:r>
        <w:t xml:space="preserve">4. C4 Level 2 — Containers</w:t>
      </w:r>
    </w:p>
    <w:p>
      <w:pPr>
        <w:pStyle w:val="FirstParagraph"/>
      </w:pPr>
      <w:r>
        <w:drawing>
          <wp:inline>
            <wp:extent cx="6119999" cy="308185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08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Container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22,</w:t>
            </w:r>
            <w:r>
              <w:t xml:space="preserve"> </w:t>
            </w:r>
            <w:r>
              <w:rPr>
                <w:rStyle w:val="VerbatimChar"/>
              </w:rPr>
              <w:t xml:space="preserve">node:http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synchronous APIs, static SPA,</w:t>
            </w:r>
            <w:r>
              <w:t xml:space="preserve"> </w:t>
            </w:r>
            <w:r>
              <w:rPr>
                <w:rStyle w:val="VerbatimChar"/>
              </w:rPr>
              <w:t xml:space="preserve">/health/*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/api/openapi.json</w:t>
            </w:r>
            <w:r>
              <w:t xml:space="preserve">; background outbox relay every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(stateless). HPA on CPU. The outbox relay is safe on N replicas (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image,</w:t>
            </w:r>
            <w:r>
              <w:t xml:space="preserve"> </w:t>
            </w:r>
            <w:r>
              <w:rPr>
                <w:rStyle w:val="VerbatimChar"/>
              </w:rPr>
              <w:t xml:space="preserve">node src/jobs/cli.js &lt;job&gt;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recompute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retention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pod per CronJob run. Use</w:t>
            </w:r>
            <w:r>
              <w:t xml:space="preserve"> </w:t>
            </w:r>
            <w:r>
              <w:rPr>
                <w:rStyle w:val="VerbatimChar"/>
              </w:rPr>
              <w:t xml:space="preserve">concurrencyPolicy: Forbid</w:t>
            </w:r>
            <w:r>
              <w:t xml:space="preserve"> </w:t>
            </w:r>
            <w:r>
              <w:t xml:space="preserve">(see the deployment document).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of record, outbox, audit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plus a read replica. Partitioning at scale (§10).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files in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  <w:r>
              <w:t xml:space="preserve"> </w:t>
            </w:r>
            <w:r>
              <w:t xml:space="preserve">served by the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console, customer app, certificate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CDN-cacheable</w:t>
            </w:r>
            <w:r>
              <w:t xml:space="preserve"> </w:t>
            </w:r>
            <w:r>
              <w:rPr>
                <w:rStyle w:val="VerbatimChar"/>
              </w:rPr>
              <w:t xml:space="preserve">/assets/*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Cache-Control: max-age=86400</w:t>
            </w:r>
            <w:r>
              <w:t xml:space="preserve">)</w:t>
            </w:r>
          </w:p>
        </w:tc>
      </w:tr>
    </w:tbl>
    <w:bookmarkEnd w:id="40"/>
    <w:bookmarkStart w:id="44" w:name="X15caae1bc6f124b7c33fb32d4246906f1b15df8"/>
    <w:p>
      <w:pPr>
        <w:pStyle w:val="Heading2"/>
      </w:pPr>
      <w:r>
        <w:t xml:space="preserve">5. C4 Level 3 — Components (API server)</w:t>
      </w:r>
    </w:p>
    <w:p>
      <w:pPr>
        <w:pStyle w:val="FirstParagraph"/>
      </w:pPr>
      <w:r>
        <w:drawing>
          <wp:inline>
            <wp:extent cx="4836363" cy="683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363" cy="6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7365cda21a31a45c9cc3242e09c3ff1ebeceb7c"/>
    <w:p>
      <w:pPr>
        <w:pStyle w:val="Heading2"/>
      </w:pPr>
      <w:r>
        <w:t xml:space="preserve">6. Hexagonal layering and the dependency rule</w:t>
      </w:r>
    </w:p>
    <w:p>
      <w:pPr>
        <w:pStyle w:val="FirstParagraph"/>
      </w:pPr>
      <w:r>
        <w:drawing>
          <wp:inline>
            <wp:extent cx="6119999" cy="365415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65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Dependency rule.</w:t>
      </w:r>
      <w:r>
        <w:t xml:space="preserve"> </w:t>
      </w:r>
      <w:r>
        <w:t xml:space="preserve">Source dependencies point inward only: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src/domain/*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src/rules/*</w:t>
      </w:r>
      <w:r>
        <w:t xml:space="preserve"> </w:t>
      </w:r>
      <w:r>
        <w:t xml:space="preserve">depend only on</w:t>
      </w:r>
      <w:r>
        <w:t xml:space="preserve"> </w:t>
      </w:r>
      <w:r>
        <w:rPr>
          <w:rStyle w:val="VerbatimChar"/>
        </w:rPr>
        <w:t xml:space="preserve">src/shared/*</w:t>
      </w:r>
      <w:r>
        <w:t xml:space="preserve">. They do no I/O and read no clock (</w:t>
      </w:r>
      <w:r>
        <w:rPr>
          <w:rStyle w:val="VerbatimChar"/>
        </w:rPr>
        <w:t xml:space="preserve">today</w:t>
      </w:r>
      <w:r>
        <w:t xml:space="preserve"> </w:t>
      </w:r>
      <w:r>
        <w:t xml:space="preserve">is passed in), so they can be unit-tested deterministically.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src/application/*</w:t>
      </w:r>
      <w:r>
        <w:t xml:space="preserve"> </w:t>
      </w:r>
      <w:r>
        <w:t xml:space="preserve">depends on the domain, plus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injected through the factory arguments</w:t>
      </w:r>
      <w:r>
        <w:t xml:space="preserve"> </w:t>
      </w:r>
      <w:r>
        <w:rPr>
          <w:rStyle w:val="VerbatimChar"/>
        </w:rPr>
        <w:t xml:space="preserve">{ store, rules, audit, events, clock, logger, metrics, gateways }</w:t>
      </w:r>
      <w:r>
        <w:t xml:space="preserve">. It never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s an adapter.</w:t>
      </w:r>
    </w:p>
    <w:p>
      <w:pPr>
        <w:numPr>
          <w:ilvl w:val="0"/>
          <w:numId w:val="1002"/>
        </w:numPr>
        <w:pStyle w:val="Compact"/>
      </w:pPr>
      <w:r>
        <w:t xml:space="preserve">Adapters depend on application/domain types. Only</w:t>
      </w:r>
      <w:r>
        <w:t xml:space="preserve"> </w:t>
      </w:r>
      <w:r>
        <w:rPr>
          <w:rStyle w:val="VerbatimChar"/>
        </w:rPr>
        <w:t xml:space="preserve">src/bootstrap/container.js</w:t>
      </w:r>
      <w:r>
        <w:t xml:space="preserve"> </w:t>
      </w:r>
      <w:r>
        <w:t xml:space="preserve">knows which adapter implements which port. For example,</w:t>
      </w:r>
      <w:r>
        <w:t xml:space="preserve"> </w:t>
      </w:r>
      <w:r>
        <w:rPr>
          <w:rStyle w:val="VerbatimChar"/>
        </w:rPr>
        <w:t xml:space="preserve">createPostgresStore</w:t>
      </w:r>
      <w:r>
        <w:t xml:space="preserve"> </w:t>
      </w:r>
      <w:r>
        <w:t xml:space="preserve">is chosen when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set, and</w:t>
      </w:r>
      <w:r>
        <w:t xml:space="preserve"> </w:t>
      </w:r>
      <w:r>
        <w:rPr>
          <w:rStyle w:val="VerbatimChar"/>
        </w:rPr>
        <w:t xml:space="preserve">createMemoryStore</w:t>
      </w:r>
      <w:r>
        <w:t xml:space="preserve"> </w:t>
      </w:r>
      <w:r>
        <w:t xml:space="preserve">otherwise.</w:t>
      </w:r>
    </w:p>
    <w:p>
      <w:pPr>
        <w:pStyle w:val="FirstParagraph"/>
      </w:pPr>
      <w:r>
        <w:rPr>
          <w:bCs/>
          <w:b/>
        </w:rPr>
        <w:t xml:space="preserve">Ports (implicit interfaces, JS + JSDoc;</w:t>
      </w:r>
      <w:r>
        <w:rPr>
          <w:bCs/>
          <w:b/>
        </w:rPr>
        <w:t xml:space="preserve"> </w:t>
      </w:r>
      <w:hyperlink r:id="rId29">
        <w:r>
          <w:rPr>
            <w:rStyle w:val="Hyperlink"/>
            <w:bCs/>
            <w:b/>
          </w:rPr>
          <w:t xml:space="preserve">ADR-002</w:t>
        </w:r>
      </w:hyperlink>
      <w:r>
        <w:rPr>
          <w:bCs/>
          <w:b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Port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Methods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/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get, insert, update (optimistic version), upsert, bulkUpsert, find({where, orderBy, limit, offset}), count, countBy, delete, deleteWhere,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postgresStore.js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extras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transaction(fn)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claimEvents(limit)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audit.{append,list,verify,count}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publish(type, payload, {actor, correlationId})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subscribe(type, name, fn)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relay(limit)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outboxEventBus.js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debit({idempotencyKey, customerId, amount, description})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refund({transactionId, amount})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createVetcWalletGateway</w:t>
            </w:r>
            <w:r>
              <w:t xml:space="preserve"> </w:t>
            </w:r>
            <w:r>
              <w:t xml:space="preserve">(sandbox)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issuePolicy({...})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cancelPolicy({policyNo, reason})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createTascoCoreGateway</w:t>
            </w:r>
            <w:r>
              <w:t xml:space="preserve"> </w:t>
            </w:r>
            <w:r>
              <w:t xml:space="preserve">(sandbox)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send({to, text, templateKey, idempotencyKey})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createNotificationGateway({channel})</w:t>
            </w:r>
            <w:r>
              <w:t xml:space="preserve"> </w:t>
            </w:r>
            <w:r>
              <w:t xml:space="preserve">×3 (sandbox)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runCall(dialogue, session, plateDisplay)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createSimulatedCaller</w:t>
            </w:r>
            <w:r>
              <w:t xml:space="preserve"> </w:t>
            </w:r>
            <w:r>
              <w:t xml:space="preserve">(sandbox)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fetchBatch()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createSyntheticVetcSource</w:t>
            </w:r>
            <w:r>
              <w:t xml:space="preserve"> </w:t>
            </w:r>
            <w:r>
              <w:t xml:space="preserve">(sandbox)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get(kind)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getRecord(kind)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rulesService.js</w:t>
            </w:r>
          </w:p>
        </w:tc>
      </w:tr>
    </w:tbl>
    <w:p>
      <w:pPr>
        <w:pStyle w:val="BodyText"/>
      </w:pPr>
      <w:r>
        <w:t xml:space="preserve">Full contracts are in</w:t>
      </w:r>
      <w:r>
        <w:t xml:space="preserve"> </w:t>
      </w:r>
      <w:hyperlink r:id="rId20">
        <w:r>
          <w:rPr>
            <w:rStyle w:val="Hyperlink"/>
          </w:rPr>
          <w:t xml:space="preserve">integration-architecture.md</w:t>
        </w:r>
      </w:hyperlink>
      <w:r>
        <w:t xml:space="preserve">.</w:t>
      </w:r>
    </w:p>
    <w:bookmarkEnd w:id="48"/>
    <w:bookmarkStart w:id="73" w:name="X0f62f3e816419f5f612184a0f158fed5dfd714c"/>
    <w:p>
      <w:pPr>
        <w:pStyle w:val="Heading2"/>
      </w:pPr>
      <w:r>
        <w:t xml:space="preserve">7. Key flows</w:t>
      </w:r>
    </w:p>
    <w:bookmarkStart w:id="52" w:name="X8ffe3c69fcfc1fc0319ebada4ddaa622af7f673"/>
    <w:p>
      <w:pPr>
        <w:pStyle w:val="Heading3"/>
      </w:pPr>
      <w:r>
        <w:t xml:space="preserve">7.1 Ingest → golden record → score → journey</w:t>
      </w:r>
    </w:p>
    <w:p>
      <w:pPr>
        <w:pStyle w:val="FirstParagraph"/>
      </w:pPr>
      <w:r>
        <w:drawing>
          <wp:inline>
            <wp:extent cx="6119999" cy="292011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920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Notes. The rebuild is</w:t>
      </w:r>
      <w:r>
        <w:t xml:space="preserve"> </w:t>
      </w:r>
      <w:r>
        <w:rPr>
          <w:bCs/>
          <w:b/>
        </w:rPr>
        <w:t xml:space="preserve">incremental by plate</w:t>
      </w:r>
      <w:r>
        <w:t xml:space="preserve">: only the plates in the batch are rebuilt. Facts captured on the platform (</w:t>
      </w:r>
      <w:r>
        <w:rPr>
          <w:rStyle w:val="VerbatimChar"/>
        </w:rPr>
        <w:t xml:space="preserve">customer_declared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tasco_issued</w:t>
      </w:r>
      <w:r>
        <w:t xml:space="preserve">) survive a rebuild when they have higher confidence (</w:t>
      </w:r>
      <w:r>
        <w:rPr>
          <w:rStyle w:val="VerbatimChar"/>
        </w:rPr>
        <w:t xml:space="preserve">ingestionService.rebuild</w:t>
      </w:r>
      <w:r>
        <w:t xml:space="preserve">). A vehicle with an active TASCO TNDS policy gets NBA</w:t>
      </w:r>
      <w:r>
        <w:t xml:space="preserve"> </w:t>
      </w:r>
      <w:r>
        <w:rPr>
          <w:rStyle w:val="VerbatimChar"/>
        </w:rPr>
        <w:t xml:space="preserve">insured</w:t>
      </w:r>
      <w:r>
        <w:t xml:space="preserve">, and its journey is cleared (</w:t>
      </w:r>
      <w:r>
        <w:rPr>
          <w:rStyle w:val="VerbatimChar"/>
        </w:rPr>
        <w:t xml:space="preserve">leadService.recomputeOne</w:t>
      </w:r>
      <w:r>
        <w:t xml:space="preserve">).</w:t>
      </w:r>
    </w:p>
    <w:bookmarkEnd w:id="52"/>
    <w:bookmarkStart w:id="56" w:name="Xc589e82323363907161b628e44f2a909a2b5230"/>
    <w:p>
      <w:pPr>
        <w:pStyle w:val="Heading3"/>
      </w:pPr>
      <w:r>
        <w:t xml:space="preserve">7.2 Voice bot call → handoff</w:t>
      </w:r>
    </w:p>
    <w:p>
      <w:pPr>
        <w:pStyle w:val="FirstParagraph"/>
      </w:pPr>
      <w:r>
        <w:drawing>
          <wp:inline>
            <wp:extent cx="6119999" cy="379877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798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9ab610584efa4c0448f1d8e4843531ab0d82180"/>
    <w:p>
      <w:pPr>
        <w:pStyle w:val="Heading3"/>
      </w:pPr>
      <w:r>
        <w:t xml:space="preserve">7.3 Quote → pay → issue → e-certificate (idempotency and compensation)</w:t>
      </w:r>
    </w:p>
    <w:p>
      <w:pPr>
        <w:pStyle w:val="FirstParagraph"/>
      </w:pPr>
      <w:r>
        <w:drawing>
          <wp:inline>
            <wp:extent cx="6119999" cy="3143057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14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design is idempotent at three levels: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Order id</w:t>
      </w:r>
      <w:r>
        <w:t xml:space="preserve"> </w:t>
      </w:r>
      <w:r>
        <w:t xml:space="preserve">is derived from</w:t>
      </w:r>
      <w:r>
        <w:t xml:space="preserve"> </w:t>
      </w:r>
      <w:r>
        <w:rPr>
          <w:rStyle w:val="VerbatimChar"/>
        </w:rPr>
        <w:t xml:space="preserve">(quoteId, Idempotency-Key)</w:t>
      </w:r>
      <w:r>
        <w:t xml:space="preserve">. A replayed request returns the stored order.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payment idempotency key</w:t>
      </w:r>
      <w:r>
        <w:t xml:space="preserve"> </w:t>
      </w:r>
      <w:r>
        <w:t xml:space="preserve">is the order id. The wallet adapter must deduplicate on it; the sandbox does (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map).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message idempotency key</w:t>
      </w:r>
      <w:r>
        <w:t xml:space="preserve"> </w:t>
      </w:r>
      <w:r>
        <w:t xml:space="preserve">is the message id.</w:t>
      </w:r>
    </w:p>
    <w:p>
      <w:pPr>
        <w:pStyle w:val="FirstParagraph"/>
      </w:pPr>
      <w:r>
        <w:t xml:space="preserve">Compensation is</w:t>
      </w:r>
      <w:r>
        <w:t xml:space="preserve"> </w:t>
      </w:r>
      <w:r>
        <w:rPr>
          <w:bCs/>
          <w:b/>
        </w:rPr>
        <w:t xml:space="preserve">refund, then flag</w:t>
      </w:r>
      <w:r>
        <w:t xml:space="preserve">. Lines that were already issued stay in place, and</w:t>
      </w:r>
      <w:r>
        <w:t xml:space="preserve"> </w:t>
      </w:r>
      <w:r>
        <w:rPr>
          <w:rStyle w:val="VerbatimChar"/>
        </w:rPr>
        <w:t xml:space="preserve">opsService.reconcile</w:t>
      </w:r>
      <w:r>
        <w:t xml:space="preserve"> </w:t>
      </w:r>
      <w:r>
        <w:t xml:space="preserve">reports them.</w:t>
      </w:r>
    </w:p>
    <w:p>
      <w:pPr>
        <w:pStyle w:val="BlockText"/>
      </w:pPr>
      <w:r>
        <w:t xml:space="preserve">Known gaps (tracked in</w:t>
      </w:r>
      <w:r>
        <w:t xml:space="preserve"> </w:t>
      </w:r>
      <w:hyperlink r:id="rId23">
        <w:r>
          <w:rPr>
            <w:rStyle w:val="Hyperlink"/>
          </w:rPr>
          <w:t xml:space="preserve">security-architecture.md §15</w:t>
        </w:r>
      </w:hyperlink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t xml:space="preserve">Two concurrent purchases of the</w:t>
      </w:r>
      <w:r>
        <w:t xml:space="preserve"> </w:t>
      </w:r>
      <w:r>
        <w:rPr>
          <w:bCs/>
          <w:b/>
        </w:rPr>
        <w:t xml:space="preserve">same quote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idempotency keys can both pass the</w:t>
      </w:r>
      <w:r>
        <w:t xml:space="preserve"> </w:t>
      </w:r>
      <w:r>
        <w:rPr>
          <w:rStyle w:val="VerbatimChar"/>
        </w:rPr>
        <w:t xml:space="preserve">status === 'open'</w:t>
      </w:r>
      <w:r>
        <w:t xml:space="preserve"> </w:t>
      </w:r>
      <w:r>
        <w:t xml:space="preserve">check, because the check and the write are not atomic.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refund()</w:t>
      </w:r>
      <w:r>
        <w:t xml:space="preserve"> </w:t>
      </w:r>
      <w:r>
        <w:t xml:space="preserve">call is not wrapped in the circuit breaker, and its failure is swallowed (</w:t>
      </w:r>
      <w:r>
        <w:rPr>
          <w:rStyle w:val="VerbatimChar"/>
        </w:rPr>
        <w:t xml:space="preserve">.catch(() =&gt; {})</w:t>
      </w:r>
      <w:r>
        <w:t xml:space="preserve">) with no outbox retry.</w:t>
      </w:r>
    </w:p>
    <w:p>
      <w:pPr>
        <w:pStyle w:val="BlockText"/>
      </w:pPr>
      <w:r>
        <w:t xml:space="preserve">Target design: a conditional update</w:t>
      </w:r>
      <w:r>
        <w:t xml:space="preserve"> </w:t>
      </w:r>
      <w:r>
        <w:rPr>
          <w:rStyle w:val="VerbatimChar"/>
        </w:rPr>
        <w:t xml:space="preserve">UPDATE quotes SET status='converting' WHERE id=$1 AND status='open'</w:t>
      </w:r>
      <w:r>
        <w:t xml:space="preserve">, done in the same transaction as the order insert, plus a</w:t>
      </w:r>
      <w:r>
        <w:t xml:space="preserve"> </w:t>
      </w:r>
      <w:r>
        <w:rPr>
          <w:rStyle w:val="VerbatimChar"/>
        </w:rPr>
        <w:t xml:space="preserve">payment.refund_requested</w:t>
      </w:r>
      <w:r>
        <w:t xml:space="preserve"> </w:t>
      </w:r>
      <w:r>
        <w:t xml:space="preserve">outbox event with retries and a dead letter.</w:t>
      </w:r>
    </w:p>
    <w:bookmarkEnd w:id="60"/>
    <w:bookmarkStart w:id="64" w:name="X637e2b0a23e762dca89d15d29b2d1769bc1d872"/>
    <w:p>
      <w:pPr>
        <w:pStyle w:val="Heading3"/>
      </w:pPr>
      <w:r>
        <w:t xml:space="preserve">7.4 Partner API new-business onboarding</w:t>
      </w:r>
    </w:p>
    <w:p>
      <w:pPr>
        <w:pStyle w:val="FirstParagraph"/>
      </w:pPr>
      <w:r>
        <w:drawing>
          <wp:inline>
            <wp:extent cx="6119999" cy="226002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26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3c7aadad3975b76ed8f9a25f1935da1da7b7406"/>
    <w:p>
      <w:pPr>
        <w:pStyle w:val="Heading3"/>
      </w:pPr>
      <w:r>
        <w:t xml:space="preserve">7.5 Rule change with maker-checker</w:t>
      </w:r>
    </w:p>
    <w:p>
      <w:pPr>
        <w:pStyle w:val="FirstParagraph"/>
      </w:pPr>
      <w:r>
        <w:drawing>
          <wp:inline>
            <wp:extent cx="6119999" cy="249171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49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X60414ea90dead277ad89f319926825f9e442508"/>
    <w:p>
      <w:pPr>
        <w:pStyle w:val="Heading3"/>
      </w:pPr>
      <w:r>
        <w:t xml:space="preserve">7.6 Ecosystem event trigger (moment of truth)</w:t>
      </w:r>
    </w:p>
    <w:p>
      <w:pPr>
        <w:pStyle w:val="FirstParagraph"/>
      </w:pPr>
      <w:r>
        <w:drawing>
          <wp:inline>
            <wp:extent cx="6119999" cy="258351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583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Today the ecosystem event endpoint is a staff-authenticated API (</w:t>
      </w:r>
      <w:r>
        <w:rPr>
          <w:rStyle w:val="VerbatimChar"/>
        </w:rPr>
        <w:t xml:space="preserve">perm: journeys:run</w:t>
      </w:r>
      <w:r>
        <w:t xml:space="preserve">). The production source is a VETC event stream; see</w:t>
      </w:r>
      <w:r>
        <w:t xml:space="preserve"> </w:t>
      </w:r>
      <w:hyperlink r:id="rId20">
        <w:r>
          <w:rPr>
            <w:rStyle w:val="Hyperlink"/>
          </w:rPr>
          <w:t xml:space="preserve">integration-architecture.md §3.6</w:t>
        </w:r>
      </w:hyperlink>
      <w:r>
        <w:t xml:space="preserve">.</w:t>
      </w:r>
    </w:p>
    <w:bookmarkEnd w:id="72"/>
    <w:bookmarkEnd w:id="73"/>
    <w:bookmarkStart w:id="80" w:name="Xfc995a18d27939c5f46e58b2e8a59137be3ed40"/>
    <w:p>
      <w:pPr>
        <w:pStyle w:val="Heading2"/>
      </w:pPr>
      <w:r>
        <w:t xml:space="preserve">8. Event-driven design</w:t>
      </w:r>
    </w:p>
    <w:p>
      <w:pPr>
        <w:pStyle w:val="FirstParagraph"/>
      </w:pPr>
      <w:r>
        <w:t xml:space="preserve">The platform uses domain events for</w:t>
      </w:r>
      <w:r>
        <w:t xml:space="preserve"> </w:t>
      </w:r>
      <w:r>
        <w:rPr>
          <w:bCs/>
          <w:b/>
        </w:rPr>
        <w:t xml:space="preserve">reactions that must not block the caller</w:t>
      </w:r>
      <w:r>
        <w:t xml:space="preserve">: re-scoring, sending confirmations, cache invalidation. It uses them for</w:t>
      </w:r>
      <w:r>
        <w:t xml:space="preserve"> </w:t>
      </w:r>
      <w:r>
        <w:rPr>
          <w:bCs/>
          <w:b/>
        </w:rPr>
        <w:t xml:space="preserve">integration fan-out</w:t>
      </w:r>
      <w:r>
        <w:t xml:space="preserve"> </w:t>
      </w:r>
      <w:r>
        <w:t xml:space="preserve">later.</w:t>
      </w:r>
    </w:p>
    <w:p>
      <w:pPr>
        <w:pStyle w:val="BodyText"/>
      </w:pPr>
      <w:r>
        <w:t xml:space="preserve">The current implementation (</w:t>
      </w:r>
      <w:r>
        <w:rPr>
          <w:rStyle w:val="VerbatimChar"/>
        </w:rPr>
        <w:t xml:space="preserve">src/adapters/messaging/outboxEventBus.js</w:t>
      </w:r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ADR-005</w:t>
        </w:r>
      </w:hyperlink>
      <w:r>
        <w:t xml:space="preserve">) works as follows: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publish()</w:t>
      </w:r>
      <w:r>
        <w:t xml:space="preserve"> </w:t>
      </w:r>
      <w:r>
        <w:t xml:space="preserve">inserts into the</w:t>
      </w:r>
      <w:r>
        <w:t xml:space="preserve"> </w:t>
      </w:r>
      <w:r>
        <w:rPr>
          <w:rStyle w:val="VerbatimChar"/>
        </w:rPr>
        <w:t xml:space="preserve">domain_events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relay()</w:t>
      </w:r>
      <w:r>
        <w:t xml:space="preserve"> </w:t>
      </w:r>
      <w:r>
        <w:t xml:space="preserve">claims a batch with</w:t>
      </w:r>
      <w:r>
        <w:t xml:space="preserve"> </w:t>
      </w:r>
      <w:r>
        <w:rPr>
          <w:rStyle w:val="VerbatimChar"/>
        </w:rPr>
        <w:t xml:space="preserve">UPDATE … WHERE id IN (SELECT … FOR UPDATE SKIP LOCKED)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postgresStore.claimEvents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Each subscriber is a named handler. Handlers that succeed are recorded in</w:t>
      </w:r>
      <w:r>
        <w:t xml:space="preserve"> </w:t>
      </w:r>
      <w:r>
        <w:rPr>
          <w:rStyle w:val="VerbatimChar"/>
        </w:rPr>
        <w:t xml:space="preserve">evt.handled</w:t>
      </w:r>
      <w:r>
        <w:t xml:space="preserve">, so on a retry only the failed handlers run again.</w:t>
      </w:r>
    </w:p>
    <w:p>
      <w:pPr>
        <w:numPr>
          <w:ilvl w:val="0"/>
          <w:numId w:val="1005"/>
        </w:numPr>
        <w:pStyle w:val="Compact"/>
      </w:pPr>
      <w:r>
        <w:t xml:space="preserve">After 5 attempts the event moves to</w:t>
      </w:r>
      <w:r>
        <w:t xml:space="preserve"> </w:t>
      </w:r>
      <w:r>
        <w:rPr>
          <w:rStyle w:val="VerbatimChar"/>
        </w:rPr>
        <w:t xml:space="preserve">dead_letter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Delivery is</w:t>
      </w:r>
      <w:r>
        <w:t xml:space="preserve"> </w:t>
      </w:r>
      <w:r>
        <w:rPr>
          <w:bCs/>
          <w:b/>
        </w:rPr>
        <w:t xml:space="preserve">at-least-once</w:t>
      </w:r>
      <w:r>
        <w:t xml:space="preserve">, so handlers must be idempotent.</w:t>
      </w:r>
    </w:p>
    <w:p>
      <w:pPr>
        <w:numPr>
          <w:ilvl w:val="0"/>
          <w:numId w:val="1005"/>
        </w:numPr>
        <w:pStyle w:val="Compact"/>
      </w:pPr>
      <w:r>
        <w:t xml:space="preserve">The relay runs every 1 s in each API replica (</w:t>
      </w:r>
      <w:r>
        <w:rPr>
          <w:rStyle w:val="VerbatimChar"/>
        </w:rPr>
        <w:t xml:space="preserve">src/server.js</w:t>
      </w:r>
      <w:r>
        <w:t xml:space="preserve">), as the</w:t>
      </w:r>
      <w:r>
        <w:t xml:space="preserve"> </w:t>
      </w:r>
      <w:r>
        <w:rPr>
          <w:rStyle w:val="VerbatimChar"/>
        </w:rPr>
        <w:t xml:space="preserve">relay</w:t>
      </w:r>
      <w:r>
        <w:t xml:space="preserve"> </w:t>
      </w:r>
      <w:r>
        <w:t xml:space="preserve">CronJob, and synchronously via</w:t>
      </w:r>
      <w:r>
        <w:t xml:space="preserve"> </w:t>
      </w:r>
      <w:r>
        <w:rPr>
          <w:rStyle w:val="VerbatimChar"/>
        </w:rPr>
        <w:t xml:space="preserve">events.drain()</w:t>
      </w:r>
      <w:r>
        <w:t xml:space="preserve"> </w:t>
      </w:r>
      <w:r>
        <w:t xml:space="preserve">at the end of interactive requests that need read-your-writes (for example</w:t>
      </w:r>
      <w:r>
        <w:t xml:space="preserve"> </w:t>
      </w:r>
      <w:r>
        <w:rPr>
          <w:rStyle w:val="VerbatimChar"/>
        </w:rPr>
        <w:t xml:space="preserve">POST /api/orders</w:t>
      </w:r>
      <w:r>
        <w:t xml:space="preserve">).</w:t>
      </w:r>
    </w:p>
    <w:bookmarkStart w:id="75" w:name="X129e5147006dcb95a2455d1d422a07587a2972d"/>
    <w:p>
      <w:pPr>
        <w:pStyle w:val="Heading3"/>
      </w:pPr>
      <w:r>
        <w:t xml:space="preserve">8.1 Event catalogue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Producer (file)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Payload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Subscribers (</w:t>
            </w:r>
            <w:r>
              <w:rPr>
                <w:rStyle w:val="VerbatimChar"/>
                <w:b/>
                <w:color w:val="FFFFFF"/>
              </w:rPr>
              <w:t xml:space="preserve">src/bootstrap/container.js</w:t>
            </w:r>
            <w:r>
              <w:rPr>
                <w:b/>
                <w:color w:val="FFFFFF"/>
              </w:rPr>
              <w:t xml:space="preserve">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Idempotency of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profiles.rebuilt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ingestionService.ingest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{batchId, profileIds[]}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recompute-leads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leadService.recompute(ids)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is a pure function of current state; upserts by profile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lead.recompute_requested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journeyService.handleEcosystemEvent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enrol_journey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voiceService.finalize</w:t>
            </w:r>
            <w:r>
              <w:t xml:space="preserve"> </w:t>
            </w:r>
            <w:r>
              <w:t xml:space="preserve">(opt-out, already-renewed),</w:t>
            </w:r>
            <w:r>
              <w:t xml:space="preserve"> </w:t>
            </w:r>
            <w:r>
              <w:rPr>
                <w:rStyle w:val="VerbatimChar"/>
              </w:rPr>
              <w:t xml:space="preserve">customerService.declareExpiry/updateConsent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{profileIds[], reason}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recompute-leads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policy.issued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salesService.purchase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{orderId, profileId, policies[{id, product, endDate}], channel, journey}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stop-journeys</w:t>
            </w:r>
            <w:r>
              <w:t xml:space="preserve"> </w:t>
            </w:r>
            <w:r>
              <w:t xml:space="preserve">(recompute → NBA</w:t>
            </w:r>
            <w:r>
              <w:t xml:space="preserve"> </w:t>
            </w:r>
            <w:r>
              <w:rPr>
                <w:rStyle w:val="VerbatimChar"/>
              </w:rPr>
              <w:t xml:space="preserve">insured</w:t>
            </w:r>
            <w:r>
              <w:t xml:space="preserve">, deletes scheduled touchpoints),</w:t>
            </w:r>
            <w:r>
              <w:t xml:space="preserve"> </w:t>
            </w:r>
            <w:r>
              <w:rPr>
                <w:rStyle w:val="VerbatimChar"/>
              </w:rPr>
              <w:t xml:space="preserve">confirmation-and-cross-sell</w:t>
            </w:r>
            <w:r>
              <w:t xml:space="preserve"> </w:t>
            </w:r>
            <w:r>
              <w:t xml:space="preserve">(service message on push/Zalo; cross-sell touchpoints with deterministic ids if marketing consent)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Touchpoint ids are deterministic (</w:t>
            </w:r>
            <w:r>
              <w:rPr>
                <w:rStyle w:val="VerbatimChar"/>
              </w:rPr>
              <w:t xml:space="preserve">profile:cross_sell:step:due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The confirmation message is not deduplicated on replay</w:t>
            </w:r>
            <w:r>
              <w:t xml:space="preserve"> </w:t>
            </w:r>
            <w:r>
              <w:t xml:space="preserve">(new message id each time). See the gap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renewal.link_requested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voiceService.finalize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link_sent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{profileId, journey}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send-link</w:t>
            </w:r>
            <w:r>
              <w:t xml:space="preserve"> </w:t>
            </w:r>
            <w:r>
              <w:t xml:space="preserve">(push → Zalo → SMS, non-marketing, first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deduplicated on replay (same caveat)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handoff.created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voiceService.finalize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hot_handoff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{handoffId, profileId}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today. Target: CTI / dialler queue, supervisor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claim.submitted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claimsService.submit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{claimId, profileId}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today. Target: TASCO core claims FNOL API, SLA timer (</w:t>
            </w:r>
            <w:r>
              <w:rPr>
                <w:rStyle w:val="VerbatimChar"/>
              </w:rPr>
              <w:t xml:space="preserve">slaDueAt</w:t>
            </w:r>
            <w:r>
              <w:t xml:space="preserve"> </w:t>
            </w:r>
            <w:r>
              <w:t xml:space="preserve">= +4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rulesService.approve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{kind, id, checksum}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invalidate-cache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Naturally idempotent</w:t>
            </w:r>
          </w:p>
        </w:tc>
      </w:tr>
    </w:tbl>
    <w:p>
      <w:pPr>
        <w:pStyle w:val="BodyText"/>
      </w:pPr>
      <w:r>
        <w:t xml:space="preserve">Events carry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(nullable today; target: the HTTP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),</w:t>
      </w:r>
      <w:r>
        <w:t xml:space="preserve"> </w:t>
      </w:r>
      <w:r>
        <w:rPr>
          <w:rStyle w:val="VerbatimChar"/>
        </w:rPr>
        <w:t xml:space="preserve">occurredAt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handled[]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processedAt</w:t>
      </w:r>
      <w:r>
        <w:t xml:space="preserve">.</w:t>
      </w:r>
    </w:p>
    <w:bookmarkEnd w:id="75"/>
    <w:bookmarkStart w:id="79" w:name="Xde1ed6f76cce849dd21661b0cab7f183daaf479"/>
    <w:p>
      <w:pPr>
        <w:pStyle w:val="Heading3"/>
      </w:pPr>
      <w:r>
        <w:t xml:space="preserve">8.2 Event lifecycle</w:t>
      </w:r>
    </w:p>
    <w:p>
      <w:pPr>
        <w:pStyle w:val="FirstParagraph"/>
      </w:pPr>
      <w:r>
        <w:drawing>
          <wp:inline>
            <wp:extent cx="6261100" cy="739948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739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81" w:name="Xa847807f5d112ac1d7aea1a335f1df1db8adb3e"/>
    <w:p>
      <w:pPr>
        <w:pStyle w:val="Heading2"/>
      </w:pPr>
      <w:r>
        <w:t xml:space="preserve">9. Configurability model</w:t>
      </w:r>
    </w:p>
    <w:p>
      <w:pPr>
        <w:pStyle w:val="FirstParagraph"/>
      </w:pPr>
      <w:r>
        <w:t xml:space="preserve">Business behaviour lives in rule sets. Each rule set is versioned in</w:t>
      </w:r>
      <w:r>
        <w:t xml:space="preserve"> </w:t>
      </w:r>
      <w:r>
        <w:rPr>
          <w:rStyle w:val="VerbatimChar"/>
        </w:rPr>
        <w:t xml:space="preserve">rulesets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kind@N</w:t>
      </w:r>
      <w:r>
        <w:t xml:space="preserve">), validated per kind (</w:t>
      </w:r>
      <w:r>
        <w:rPr>
          <w:rStyle w:val="VerbatimChar"/>
        </w:rPr>
        <w:t xml:space="preserve">src/rules/validators.js</w:t>
      </w:r>
      <w:r>
        <w:t xml:space="preserve">) and activated only by a second person. Code changes are needed only for a new</w:t>
      </w:r>
      <w:r>
        <w:t xml:space="preserve"> </w:t>
      </w:r>
      <w:r>
        <w:rPr>
          <w:bCs/>
          <w:b/>
        </w:rPr>
        <w:t xml:space="preserve">rating method</w:t>
      </w:r>
      <w:r>
        <w:t xml:space="preserve">,</w:t>
      </w:r>
      <w:r>
        <w:t xml:space="preserve"> </w:t>
      </w:r>
      <w:r>
        <w:rPr>
          <w:bCs/>
          <w:b/>
        </w:rPr>
        <w:t xml:space="preserve">dialogue state</w:t>
      </w:r>
      <w:r>
        <w:t xml:space="preserve">,</w:t>
      </w:r>
      <w:r>
        <w:t xml:space="preserve"> </w:t>
      </w:r>
      <w:r>
        <w:rPr>
          <w:bCs/>
          <w:b/>
        </w:rPr>
        <w:t xml:space="preserve">rule operator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integration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Rule kind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controls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Business 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Change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Catalogue, channels, rating method + rate kind, bundles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console, 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tariff.tnds_car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tariff.tnds_motorbike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tariff.*.json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TNDS premiums (Decree 67/2023, confirm with TASCO legal),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Maker-checker. Approver must be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rating.motor_pd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rating.pa_seat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rating.*.json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Illustrative voluntary rates.</w:t>
            </w:r>
            <w:r>
              <w:t xml:space="preserve"> </w:t>
            </w:r>
            <w:r>
              <w:rPr>
                <w:bCs/>
                <w:b/>
              </w:rPr>
              <w:t xml:space="preserve">Replace with TASCO filed rates.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commission table +</w:t>
            </w:r>
            <w:r>
              <w:t xml:space="preserve"> </w:t>
            </w:r>
            <w:r>
              <w:rPr>
                <w:rStyle w:val="VerbatimChar"/>
              </w:rPr>
              <w:t xml:space="preserve">statutoryCaps</w:t>
            </w:r>
            <w:r>
              <w:t xml:space="preserve">. The validator rejects rates above the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enrichment.json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trust, expiry evidence weights, corroboration, category table, DQ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+ DQ regression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Factors (weights must sum to 100), tiers, damping,</w:t>
            </w:r>
            <w:r>
              <w:t xml:space="preserve"> </w:t>
            </w:r>
            <w:r>
              <w:rPr>
                <w:rStyle w:val="VerbatimChar"/>
              </w:rPr>
              <w:t xml:space="preserve">zeroWhen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+ simulate + model-risk review (</w:t>
            </w:r>
            <w:hyperlink r:id="rId24">
              <w:r>
                <w:rPr>
                  <w:rStyle w:val="Hyperlink"/>
                </w:rPr>
                <w:t xml:space="preserve">AI governance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Next-best-action decision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+ simulate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Audiences, anchors, steps, channels, marketing flag, 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+ simulate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event →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Value-beyond-discount catalogue. Only</w:t>
            </w:r>
            <w:r>
              <w:t xml:space="preserve"> </w:t>
            </w:r>
            <w:r>
              <w:rPr>
                <w:rStyle w:val="VerbatimChar"/>
              </w:rPr>
              <w:t xml:space="preserve">legalStatus=approved</w:t>
            </w:r>
            <w:r>
              <w:t xml:space="preserve"> </w:t>
            </w:r>
            <w:r>
              <w:t xml:space="preserve">items reach customers.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Maker-checker, copy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content.messages.json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templates (vi/en)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Maker-checker, copy guard. Zalo template registration is out of band (</w:t>
            </w:r>
            <w:hyperlink r:id="rId20">
              <w:r>
                <w:rPr>
                  <w:rStyle w:val="Hyperlink"/>
                </w:rPr>
                <w:t xml:space="preserve">integration §4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content.voicebot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content.voicebot.json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script lines and NLU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Maker-checker, copy guard (</w:t>
            </w:r>
            <w:hyperlink r:id="rId24">
              <w:r>
                <w:rPr>
                  <w:rStyle w:val="Hyperlink"/>
                </w:rPr>
                <w:t xml:space="preserve">AI governance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copy_guard.json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phrases (no discounts/rebates on regulated products)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contact_policy.json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window, frequency caps, consent per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policies (region, own handoffs)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(security-sensitive: approver must be InfoSec)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days and action per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programme (disabled pending 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costs for the business-case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config/security/rbac.json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→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review + CAB</w:t>
            </w:r>
            <w:r>
              <w:t xml:space="preserve"> </w:t>
            </w:r>
            <w:r>
              <w:t xml:space="preserve">(not a rule kind, deliberately)</w:t>
            </w:r>
          </w:p>
        </w:tc>
      </w:tr>
    </w:tbl>
    <w:p>
      <w:pPr>
        <w:pStyle w:val="BodyText"/>
      </w:pPr>
      <w:r>
        <w:t xml:space="preserve">Guard-rails present in code:</w:t>
      </w:r>
    </w:p>
    <w:p>
      <w:pPr>
        <w:numPr>
          <w:ilvl w:val="0"/>
          <w:numId w:val="1006"/>
        </w:numPr>
        <w:pStyle w:val="Compact"/>
      </w:pPr>
      <w:r>
        <w:t xml:space="preserve">the JSON Logic operator allow-list and forbidden keys (</w:t>
      </w:r>
      <w:r>
        <w:rPr>
          <w:rStyle w:val="VerbatimChar"/>
        </w:rPr>
        <w:t xml:space="preserve">__proto__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weights must sum to 100;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tiers.hot &gt; tiers.warm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unique ids;</w:t>
      </w:r>
    </w:p>
    <w:p>
      <w:pPr>
        <w:numPr>
          <w:ilvl w:val="0"/>
          <w:numId w:val="1006"/>
        </w:numPr>
        <w:pStyle w:val="Compact"/>
      </w:pPr>
      <w:r>
        <w:t xml:space="preserve">a valid contact window;</w:t>
      </w:r>
    </w:p>
    <w:p>
      <w:pPr>
        <w:numPr>
          <w:ilvl w:val="0"/>
          <w:numId w:val="1006"/>
        </w:numPr>
        <w:pStyle w:val="Compact"/>
      </w:pPr>
      <w:r>
        <w:t xml:space="preserve">VAT between 0 and 0.2;</w:t>
      </w:r>
    </w:p>
    <w:p>
      <w:pPr>
        <w:numPr>
          <w:ilvl w:val="0"/>
          <w:numId w:val="1006"/>
        </w:numPr>
        <w:pStyle w:val="Compact"/>
      </w:pPr>
      <w:r>
        <w:t xml:space="preserve">the copy guard on every customer-facing string;</w:t>
      </w:r>
    </w:p>
    <w:p>
      <w:pPr>
        <w:numPr>
          <w:ilvl w:val="0"/>
          <w:numId w:val="1006"/>
        </w:numPr>
        <w:pStyle w:val="Compact"/>
      </w:pPr>
      <w:r>
        <w:t xml:space="preserve">commission caps.</w:t>
      </w:r>
    </w:p>
    <w:p>
      <w:pPr>
        <w:pStyle w:val="FirstParagraph"/>
      </w:pPr>
      <w:r>
        <w:t xml:space="preserve">Approval writes</w:t>
      </w:r>
      <w:r>
        <w:t xml:space="preserve"> </w:t>
      </w:r>
      <w:r>
        <w:rPr>
          <w:rStyle w:val="VerbatimChar"/>
        </w:rPr>
        <w:t xml:space="preserve">rules.activated</w:t>
      </w:r>
      <w:r>
        <w:t xml:space="preserve">. The rules cache TTL is 15 s (</w:t>
      </w:r>
      <w:r>
        <w:rPr>
          <w:rStyle w:val="VerbatimChar"/>
        </w:rPr>
        <w:t xml:space="preserve">CACHE_TTL_MS</w:t>
      </w:r>
      <w:r>
        <w:t xml:space="preserve">).</w:t>
      </w:r>
    </w:p>
    <w:bookmarkEnd w:id="81"/>
    <w:bookmarkStart w:id="82" w:name="Xb43acc316e859235de22092113c36570e63629e"/>
    <w:p>
      <w:pPr>
        <w:pStyle w:val="Heading2"/>
      </w:pPr>
      <w:r>
        <w:t xml:space="preserve">10. Scalability to 6 million vehicles</w:t>
      </w:r>
    </w:p>
    <w:p>
      <w:pPr>
        <w:pStyle w:val="FirstParagraph"/>
      </w:pPr>
      <w:r>
        <w:t xml:space="preserve">Assumptions:</w:t>
      </w:r>
    </w:p>
    <w:p>
      <w:pPr>
        <w:numPr>
          <w:ilvl w:val="0"/>
          <w:numId w:val="1007"/>
        </w:numPr>
        <w:pStyle w:val="Compact"/>
      </w:pPr>
      <w:r>
        <w:t xml:space="preserve">6.0 M vehicles;</w:t>
      </w:r>
    </w:p>
    <w:p>
      <w:pPr>
        <w:numPr>
          <w:ilvl w:val="0"/>
          <w:numId w:val="1007"/>
        </w:numPr>
        <w:pStyle w:val="Compact"/>
      </w:pPr>
      <w:r>
        <w:t xml:space="preserve">about 1.3 source records per vehicle (7.8 M rows);</w:t>
      </w:r>
    </w:p>
    <w:p>
      <w:pPr>
        <w:numPr>
          <w:ilvl w:val="0"/>
          <w:numId w:val="1007"/>
        </w:numPr>
        <w:pStyle w:val="Compact"/>
      </w:pPr>
      <w:r>
        <w:t xml:space="preserve">expiries spread evenly, so about 16.4 k vehicles reach expiry per day;</w:t>
      </w:r>
    </w:p>
    <w:p>
      <w:pPr>
        <w:numPr>
          <w:ilvl w:val="0"/>
          <w:numId w:val="1007"/>
        </w:numPr>
        <w:pStyle w:val="Compact"/>
      </w:pPr>
      <w:r>
        <w:t xml:space="preserve">about 30 % of the base in an active journey at any time;</w:t>
      </w:r>
    </w:p>
    <w:p>
      <w:pPr>
        <w:numPr>
          <w:ilvl w:val="0"/>
          <w:numId w:val="1007"/>
        </w:numPr>
        <w:pStyle w:val="Compact"/>
      </w:pPr>
      <w:r>
        <w:t xml:space="preserve">detailed sizing in</w:t>
      </w:r>
      <w:r>
        <w:t xml:space="preserve"> </w:t>
      </w:r>
      <w:hyperlink r:id="rId21">
        <w:r>
          <w:rPr>
            <w:rStyle w:val="Hyperlink"/>
          </w:rPr>
          <w:t xml:space="preserve">deployment §12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Concern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Design already in code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Required at 6 M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Golden-record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rebuild</w:t>
            </w:r>
            <w:r>
              <w:t xml:space="preserve"> </w:t>
            </w:r>
            <w:r>
              <w:rPr>
                <w:bCs/>
                <w:b/>
              </w:rPr>
              <w:t xml:space="preserve">by plate</w:t>
            </w:r>
            <w:r>
              <w:t xml:space="preserve"> </w:t>
            </w:r>
            <w:r>
              <w:t xml:space="preserve">in 500-plate chunks (</w:t>
            </w:r>
            <w:r>
              <w:rPr>
                <w:rStyle w:val="VerbatimChar"/>
              </w:rPr>
              <w:t xml:space="preserve">ingestionService.rebuild</w:t>
            </w:r>
            <w:r>
              <w:t xml:space="preserve">). Only touched plates are rebuilt.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load: bulk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into a staging table, then rebuild in parallel workers partitioned by</w:t>
            </w:r>
            <w:r>
              <w:t xml:space="preserve"> </w:t>
            </w:r>
            <w:r>
              <w:rPr>
                <w:rStyle w:val="VerbatimChar"/>
              </w:rPr>
              <w:t xml:space="preserve">hash(plate_key) % N</w:t>
            </w:r>
            <w:r>
              <w:t xml:space="preserve"> </w:t>
            </w:r>
            <w:r>
              <w:t xml:space="preserve">(each worker a Job). Steady state: VETC CDC → small batches.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recompute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for changed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recompute (</w:t>
            </w:r>
            <w:r>
              <w:rPr>
                <w:rStyle w:val="VerbatimChar"/>
              </w:rPr>
              <w:t xml:space="preserve">recompute(null)</w:t>
            </w:r>
            <w:r>
              <w:t xml:space="preserve">) uses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 </w:t>
            </w:r>
            <w:r>
              <w:t xml:space="preserve">paging, which degrades at millions of rows. Move to</w:t>
            </w:r>
            <w:r>
              <w:t xml:space="preserve"> </w:t>
            </w:r>
            <w:r>
              <w:rPr>
                <w:bCs/>
                <w:b/>
              </w:rPr>
              <w:t xml:space="preserve">keyset pagination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WHERE id &gt; $last ORDER BY id</w:t>
            </w:r>
            <w:r>
              <w:t xml:space="preserve">) and shard across workers. Run nightly only for time-dependent facts (</w:t>
            </w:r>
            <w:r>
              <w:rPr>
                <w:rStyle w:val="VerbatimChar"/>
              </w:rPr>
              <w:t xml:space="preserve">days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runDue</w:t>
            </w:r>
            <w:r>
              <w:t xml:space="preserve"> </w:t>
            </w:r>
            <w:r>
              <w:t xml:space="preserve">reads due touchpoints (limit 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touchpoints with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(as the outbox does) so N workers can run in parallel without double sends. Today safety relies on CronJob</w:t>
            </w:r>
            <w:r>
              <w:t xml:space="preserve"> </w:t>
            </w:r>
            <w:r>
              <w:rPr>
                <w:rStyle w:val="VerbatimChar"/>
              </w:rPr>
              <w:t xml:space="preserve">concurrencyPolicy: Forbid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columns per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Range-partition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touchpoints</w:t>
            </w:r>
            <w:r>
              <w:t xml:space="preserve"> </w:t>
            </w:r>
            <w:r>
              <w:t xml:space="preserve">by month, and</w:t>
            </w:r>
            <w:r>
              <w:t xml:space="preserve"> </w:t>
            </w:r>
            <w:r>
              <w:rPr>
                <w:rStyle w:val="VerbatimChar"/>
              </w:rPr>
              <w:t xml:space="preserve">domain_events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  <w:r>
              <w:t xml:space="preserve"> </w:t>
            </w:r>
            <w:r>
              <w:t xml:space="preserve">with a purge of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events older than 30 days. Hash-partition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/</w:t>
            </w:r>
            <w:r>
              <w:rPr>
                <w:rStyle w:val="VerbatimChar"/>
              </w:rPr>
              <w:t xml:space="preserve">leads</w:t>
            </w:r>
            <w:r>
              <w:t xml:space="preserve">/</w:t>
            </w:r>
            <w:r>
              <w:rPr>
                <w:rStyle w:val="VerbatimChar"/>
              </w:rPr>
              <w:t xml:space="preserve">source_records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only if the table exceeds about 100 GB.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Reads for BI and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countBy</w:t>
            </w:r>
            <w:r>
              <w:t xml:space="preserve"> </w:t>
            </w:r>
            <w:r>
              <w:t xml:space="preserve">on indexed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/api/dashboard/*</w:t>
            </w:r>
            <w:r>
              <w:t xml:space="preserve"> </w:t>
            </w:r>
            <w:r>
              <w:t xml:space="preserve">and the analytics feed to a</w:t>
            </w:r>
            <w:r>
              <w:t xml:space="preserve"> </w:t>
            </w:r>
            <w:r>
              <w:rPr>
                <w:bCs/>
                <w:b/>
              </w:rPr>
              <w:t xml:space="preserve">read replica</w:t>
            </w:r>
            <w:r>
              <w:t xml:space="preserve">. Replace</w:t>
            </w:r>
            <w:r>
              <w:t xml:space="preserve"> </w:t>
            </w:r>
            <w:r>
              <w:rPr>
                <w:rStyle w:val="VerbatimChar"/>
              </w:rPr>
              <w:t xml:space="preserve">insightsService.governance()</w:t>
            </w:r>
            <w:r>
              <w:t xml:space="preserve"> </w:t>
            </w:r>
            <w:r>
              <w:t xml:space="preserve">full-chain</w:t>
            </w:r>
            <w:r>
              <w:t xml:space="preserve"> </w:t>
            </w:r>
            <w:r>
              <w:rPr>
                <w:rStyle w:val="VerbatimChar"/>
              </w:rPr>
              <w:t xml:space="preserve">audit.verify()</w:t>
            </w:r>
            <w:r>
              <w:t xml:space="preserve"> </w:t>
            </w:r>
            <w:r>
              <w:t xml:space="preserve">with incremental verification from a checkpoint (</w:t>
            </w:r>
            <w:hyperlink r:id="rId31">
              <w:r>
                <w:rPr>
                  <w:rStyle w:val="Hyperlink"/>
                </w:rPr>
                <w:t xml:space="preserve">ADR-008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Breakers per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offload: outbox → broker topic per channel → channel workers with provider rate limits (Zalo ZNS quotas, SMS TPS). See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ADR-005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pg_advisory_xact_lock(724001)</w:t>
            </w:r>
            <w:r>
              <w:t xml:space="preserve"> </w:t>
            </w:r>
            <w:r>
              <w:t xml:space="preserve">serialises appends to keep one linear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1–2 k appends/s on modest hardware is enough for the current audit points. If needed, use per-day chains or batched Merkle roots.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Stateless; 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rate limiter and token revocation (Redis or gateway) once there is more than one replica (</w:t>
            </w:r>
            <w:hyperlink r:id="rId23">
              <w:r>
                <w:rPr>
                  <w:rStyle w:val="Hyperlink"/>
                </w:rPr>
                <w:t xml:space="preserve">security gaps</w:t>
              </w:r>
            </w:hyperlink>
            <w:r>
              <w:t xml:space="preserve">).</w:t>
            </w:r>
          </w:p>
        </w:tc>
      </w:tr>
    </w:tbl>
    <w:bookmarkEnd w:id="82"/>
    <w:bookmarkStart w:id="83" w:name="X7b78735b3ea0c2d6c469b1def6cdb4975888f6d"/>
    <w:p>
      <w:pPr>
        <w:pStyle w:val="Heading2"/>
      </w:pPr>
      <w:r>
        <w:t xml:space="preserve">11. Quality attributes (targets)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Attribute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99.9 %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replicas across zones, PDB, readiness gating on DB ping, graceful drain (</w:t>
            </w:r>
            <w:r>
              <w:rPr>
                <w:rStyle w:val="VerbatimChar"/>
              </w:rPr>
              <w:t xml:space="preserve">src/server.js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 300 ms for read APIs; p95 &lt; 1.5 s for purchase (dominated by wallet and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column filters;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 15 s</w:t>
            </w:r>
            <w:r>
              <w:t xml:space="preserve">; breaker 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 / 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≤ 5 min (PITR), RTO ≤ 1 h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Postgres PITR + cross-region replica in 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change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day from draft to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console; target published in</w:t>
            </w:r>
            <w:r>
              <w:t xml:space="preserve"> </w:t>
            </w:r>
            <w:r>
              <w:rPr>
                <w:rStyle w:val="VerbatimChar"/>
              </w:rPr>
              <w:t xml:space="preserve">insightsService.adoption()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of scores carry factor reasons; 100 % of NBAs carry</w:t>
            </w:r>
            <w:r>
              <w:t xml:space="preserve"> </w:t>
            </w:r>
            <w:r>
              <w:rPr>
                <w:rStyle w:val="VerbatimChar"/>
              </w:rPr>
              <w:t xml:space="preserve">ruleId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domain/leads.js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state-changing use case audited; chain verifiable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/api/audit/verify</w:t>
            </w:r>
          </w:p>
        </w:tc>
      </w:tr>
    </w:tbl>
    <w:bookmarkEnd w:id="83"/>
    <w:bookmarkStart w:id="89" w:name="X72f5cb5b7e183207b708ac92a3d882feed690e0"/>
    <w:p>
      <w:pPr>
        <w:pStyle w:val="Heading2"/>
      </w:pPr>
      <w:r>
        <w:t xml:space="preserve">12. Evolution roadmap</w:t>
      </w:r>
    </w:p>
    <w:p>
      <w:pPr>
        <w:pStyle w:val="FirstParagraph"/>
      </w:pPr>
      <w:r>
        <w:drawing>
          <wp:inline>
            <wp:extent cx="6119999" cy="415542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olution-architecture-1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15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Approach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Constraint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 /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 to CTI, data platform, TASCO core;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publishes outbox rows to topics; consumers keep the named-handler idempotency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Publishers do not change (</w:t>
            </w:r>
            <w:r>
              <w:rPr>
                <w:rStyle w:val="VerbatimChar"/>
              </w:rPr>
              <w:t xml:space="preserve">events.publish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intent recall on free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classify(text) → intent</w:t>
            </w:r>
            <w:r>
              <w:t xml:space="preserve"> </w:t>
            </w:r>
            <w:r>
              <w:t xml:space="preserve">with the same contract as</w:t>
            </w:r>
            <w:r>
              <w:t xml:space="preserve"> </w:t>
            </w:r>
            <w:r>
              <w:rPr>
                <w:rStyle w:val="VerbatimChar"/>
              </w:rPr>
              <w:t xml:space="preserve">keywordClassifier</w:t>
            </w:r>
            <w:r>
              <w:t xml:space="preserve">, behind a feature flag; evaluate against a labelled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dialogue state machine and script stay deterministic and governed (</w:t>
            </w:r>
            <w:hyperlink r:id="rId87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IdP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Joiner-mover-leaver, SSO, central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code flow with PKCE (staff); RS256 tokens verified by JWKS; roles from IdP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shape</w:t>
            </w:r>
            <w:r>
              <w:t xml:space="preserve"> </w:t>
            </w:r>
            <w:r>
              <w:rPr>
                <w:rStyle w:val="VerbatimChar"/>
              </w:rPr>
              <w:t xml:space="preserve">{id, roles, region}</w:t>
            </w:r>
            <w:r>
              <w:t xml:space="preserve"> </w:t>
            </w:r>
            <w:r>
              <w:t xml:space="preserve">unchanged (</w:t>
            </w:r>
            <w:hyperlink r:id="rId88">
              <w:r>
                <w:rPr>
                  <w:rStyle w:val="Hyperlink"/>
                </w:rPr>
                <w:t xml:space="preserve">ADR-007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BI, model training, regulatory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replication / CDC of the indexed columns into pseudonymised curated marts (no decrypted 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is minimised and pseudonymised by plate-key HMAC (</w:t>
            </w:r>
            <w:hyperlink r:id="rId22">
              <w:r>
                <w:rPr>
                  <w:rStyle w:val="Hyperlink"/>
                </w:rPr>
                <w:t xml:space="preserve">data §11</w:t>
              </w:r>
            </w:hyperlink>
            <w:r>
              <w:t xml:space="preserve">)</w:t>
            </w:r>
          </w:p>
        </w:tc>
      </w:tr>
    </w:tbl>
    <w:bookmarkEnd w:id="8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rId33.png"/><Relationship Id="rId69" Type="http://schemas.openxmlformats.org/officeDocument/2006/relationships/image" Target="media/rId69.png"/><Relationship Id="rId76" Type="http://schemas.openxmlformats.org/officeDocument/2006/relationships/image" Target="media/rId76.png"/><Relationship Id="rId84" Type="http://schemas.openxmlformats.org/officeDocument/2006/relationships/image" Target="media/rId84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1" Type="http://schemas.openxmlformats.org/officeDocument/2006/relationships/image" Target="media/rId61.png"/><Relationship Id="rId65" Type="http://schemas.openxmlformats.org/officeDocument/2006/relationships/image" Target="media/rId65.png"/><Relationship Id="rId25" Type="http://schemas.openxmlformats.org/officeDocument/2006/relationships/hyperlink" Target="adr/" TargetMode="External"/><Relationship Id="rId27" Type="http://schemas.openxmlformats.org/officeDocument/2006/relationships/hyperlink" Target="adr/ADR-001-hexagonal-architecture.docx" TargetMode="External"/><Relationship Id="rId29" Type="http://schemas.openxmlformats.org/officeDocument/2006/relationships/hyperlink" Target="adr/ADR-002-nodejs-minimal-dependencies.docx" TargetMode="External"/><Relationship Id="rId28" Type="http://schemas.openxmlformats.org/officeDocument/2006/relationships/hyperlink" Target="adr/ADR-003-rules-engine-maker-checker.docx" TargetMode="External"/><Relationship Id="rId30" Type="http://schemas.openxmlformats.org/officeDocument/2006/relationships/hyperlink" Target="adr/ADR-004-persistence.docx" TargetMode="External"/><Relationship Id="rId74" Type="http://schemas.openxmlformats.org/officeDocument/2006/relationships/hyperlink" Target="adr/ADR-005-transactional-outbox.docx" TargetMode="External"/><Relationship Id="rId88" Type="http://schemas.openxmlformats.org/officeDocument/2006/relationships/hyperlink" Target="adr/ADR-007-authentication-identity.docx" TargetMode="External"/><Relationship Id="rId31" Type="http://schemas.openxmlformats.org/officeDocument/2006/relationships/hyperlink" Target="adr/ADR-008-hash-chained-audit.docx" TargetMode="External"/><Relationship Id="rId87" Type="http://schemas.openxmlformats.org/officeDocument/2006/relationships/hyperlink" Target="adr/ADR-009-voice-bot-dialogue.docx" TargetMode="External"/><Relationship Id="rId24" Type="http://schemas.openxmlformats.org/officeDocument/2006/relationships/hyperlink" Target="ai-governance.docx" TargetMode="External"/><Relationship Id="rId22" Type="http://schemas.openxmlformats.org/officeDocument/2006/relationships/hyperlink" Target="data-architecture.docx" TargetMode="External"/><Relationship Id="rId21" Type="http://schemas.openxmlformats.org/officeDocument/2006/relationships/hyperlink" Target="deployment-and-infrastructure-architecture.docx" TargetMode="External"/><Relationship Id="rId20" Type="http://schemas.openxmlformats.org/officeDocument/2006/relationships/hyperlink" Target="integration-architecture.docx" TargetMode="External"/><Relationship Id="rId23" Type="http://schemas.openxmlformats.org/officeDocument/2006/relationships/hyperlink" Target="security-architecture.docx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adr/" TargetMode="External"/><Relationship Id="rId27" Type="http://schemas.openxmlformats.org/officeDocument/2006/relationships/hyperlink" Target="adr/ADR-001-hexagonal-architecture.docx" TargetMode="External"/><Relationship Id="rId29" Type="http://schemas.openxmlformats.org/officeDocument/2006/relationships/hyperlink" Target="adr/ADR-002-nodejs-minimal-dependencies.docx" TargetMode="External"/><Relationship Id="rId28" Type="http://schemas.openxmlformats.org/officeDocument/2006/relationships/hyperlink" Target="adr/ADR-003-rules-engine-maker-checker.docx" TargetMode="External"/><Relationship Id="rId30" Type="http://schemas.openxmlformats.org/officeDocument/2006/relationships/hyperlink" Target="adr/ADR-004-persistence.docx" TargetMode="External"/><Relationship Id="rId74" Type="http://schemas.openxmlformats.org/officeDocument/2006/relationships/hyperlink" Target="adr/ADR-005-transactional-outbox.docx" TargetMode="External"/><Relationship Id="rId88" Type="http://schemas.openxmlformats.org/officeDocument/2006/relationships/hyperlink" Target="adr/ADR-007-authentication-identity.docx" TargetMode="External"/><Relationship Id="rId31" Type="http://schemas.openxmlformats.org/officeDocument/2006/relationships/hyperlink" Target="adr/ADR-008-hash-chained-audit.docx" TargetMode="External"/><Relationship Id="rId87" Type="http://schemas.openxmlformats.org/officeDocument/2006/relationships/hyperlink" Target="adr/ADR-009-voice-bot-dialogue.docx" TargetMode="External"/><Relationship Id="rId24" Type="http://schemas.openxmlformats.org/officeDocument/2006/relationships/hyperlink" Target="ai-governance.docx" TargetMode="External"/><Relationship Id="rId22" Type="http://schemas.openxmlformats.org/officeDocument/2006/relationships/hyperlink" Target="data-architecture.docx" TargetMode="External"/><Relationship Id="rId21" Type="http://schemas.openxmlformats.org/officeDocument/2006/relationships/hyperlink" Target="deployment-and-infrastructure-architecture.docx" TargetMode="External"/><Relationship Id="rId20" Type="http://schemas.openxmlformats.org/officeDocument/2006/relationships/hyperlink" Target="integration-architecture.docx" TargetMode="External"/><Relationship Id="rId23" Type="http://schemas.openxmlformats.org/officeDocument/2006/relationships/hyperlink" Target="security-architectur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iorta TechNXT</dc:creator>
  <cp:keywords/>
  <dcterms:created xsi:type="dcterms:W3CDTF">2026-10-07T17:45:18Z</dcterms:created>
  <dcterms:modified xsi:type="dcterms:W3CDTF">2026-10-07T17:45:18Z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</vt:lpwstr>
  </property>
</Properties>
</file>