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Business and Product Documentation</w:t>
      </w:r>
    </w:p>
    <w:p>
      <w:pPr>
        <w:pStyle w:val="Subtitle"/>
      </w:pPr>
      <w:r>
        <w:t xml:space="preserve">TASCO Insurance × VETC Growth Platform — Business &amp; Product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TASCO Insurance × VETC Motor Insurance Growth Platform</w:t>
      </w:r>
      <w:r>
        <w:t xml:space="preserve"> </w:t>
      </w:r>
      <w:r>
        <w:t xml:space="preserve">· prepared by iorta TechNXT · October 2026</w:t>
      </w:r>
    </w:p>
    <w:p>
      <w:pPr>
        <w:pStyle w:val="BodyText"/>
      </w:pPr>
      <w:r>
        <w:t xml:space="preserve">This folder holds the business case, requirements and engagement model for the platform: new business, renewal, partners and value beyond discount. The documents are written to be read in order but can stand alone. IDs are consistent across all of them.</w:t>
      </w:r>
    </w:p>
    <w:bookmarkStart w:id="27" w:name="documents"/>
    <w:p>
      <w:pPr>
        <w:pStyle w:val="Heading2"/>
      </w:pPr>
      <w:r>
        <w:t xml:space="preserve">Documents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 answers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Primary audience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Business context and growth strategy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Why own-channel renewals are near zero; the segment, channel, trust, value and data strategy; roadmap; KPI tree; illustrative business case; fit with the judging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Executives, judges, steering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Functional requirements specification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What the platform must do: FR-001 – FR-110 by capability, with business rules, MoSCoW priority, track and build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owners, BAs,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Non-functional requirements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How well it must do it: NFR-001 – NFR-069 (performance, scale, SLOs, ASVS L2, PDP privacy, WCAG 2.2 AA, DR, portability, configurability, retention)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Architects, security,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User stories and acceptance criteria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US-001 – US-077 in 15 epics, with Gherkin acceptance criteria linked to FRs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team, QA, UAT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Requirements traceability matrix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FR → US → code module → API endpoint → rule kind → test file, plus</w:t>
            </w:r>
            <w:r>
              <w:t xml:space="preserve"> </w:t>
            </w:r>
            <w:r>
              <w:rPr>
                <w:bCs/>
                <w:b/>
              </w:rPr>
              <w:t xml:space="preserve">engineering notes E-01 – E-22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Engineering, QA,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Personas and journey maps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 customer and 13 staff/partner personas; current vs future journeys; service blueprints for renewal and new-vehicle onboarding; pain points; moments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Product, UX, campaign managers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Commercials and engagement model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Phases, team, effort, Option A (fixed + T&amp;M + managed service) and Option B (outcome-linked), run cost, 3- and 5-year TCO, milestones, assumptions,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procurement and finance, executives</w:t>
            </w:r>
          </w:p>
        </w:tc>
      </w:tr>
    </w:tbl>
    <w:bookmarkEnd w:id="27"/>
    <w:bookmarkStart w:id="28" w:name="id-conventions"/>
    <w:p>
      <w:pPr>
        <w:pStyle w:val="Heading2"/>
      </w:pPr>
      <w:r>
        <w:t xml:space="preserve">ID conventions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Prefix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Meaning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Defined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segment (lapsed, new vehicle, renewal, conquest, cross-sell, fleet, partner-led)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§11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Business-case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§13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 §16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FR-nnn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NFR-nnn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Non-functional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§0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EP-nn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US-nnn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Epic, 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note (code inconsistency to 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PC-n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persona, staff/partner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PP-nn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MoT-nn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point, moment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C-nn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T1</w:t>
            </w:r>
            <w:r>
              <w:t xml:space="preserve">–</w:t>
            </w:r>
            <w:r>
              <w:rPr>
                <w:rStyle w:val="VerbatimChar"/>
              </w:rPr>
              <w:t xml:space="preserve">T4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track 1–4, new-business extension, platform/governance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§0</w:t>
            </w:r>
          </w:p>
        </w:tc>
      </w:tr>
    </w:tbl>
    <w:bookmarkEnd w:id="28"/>
    <w:bookmarkStart w:id="29" w:name="sources-and-conventions"/>
    <w:p>
      <w:pPr>
        <w:pStyle w:val="Heading2"/>
      </w:pPr>
      <w:r>
        <w:t xml:space="preserve">Sources and conventions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Facts about TASCO, VETC and the market</w:t>
      </w:r>
      <w:r>
        <w:t xml:space="preserve"> </w:t>
      </w:r>
      <w:r>
        <w:t xml:space="preserve">come only from the client brief. Everything else is a labelled assumption.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Facts about the solution</w:t>
      </w:r>
      <w:r>
        <w:t xml:space="preserve"> </w:t>
      </w:r>
      <w:r>
        <w:t xml:space="preserve">cite the codebase:</w:t>
      </w:r>
      <w:r>
        <w:t xml:space="preserve"> </w:t>
      </w:r>
      <w:r>
        <w:rPr>
          <w:rStyle w:val="VerbatimChar"/>
        </w:rPr>
        <w:t xml:space="preserve">config/rules/*.json</w:t>
      </w:r>
      <w:r>
        <w:t xml:space="preserve"> </w:t>
      </w:r>
      <w:r>
        <w:t xml:space="preserve">(business rules),</w:t>
      </w:r>
      <w:r>
        <w:t xml:space="preserve"> </w:t>
      </w:r>
      <w:r>
        <w:rPr>
          <w:rStyle w:val="VerbatimChar"/>
        </w:rPr>
        <w:t xml:space="preserve">config/security/rbac.json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src/adapters/http/routes.js</w:t>
      </w:r>
      <w:r>
        <w:t xml:space="preserve"> </w:t>
      </w:r>
      <w:r>
        <w:t xml:space="preserve">(73 API routes) and</w:t>
      </w:r>
      <w:r>
        <w:t xml:space="preserve"> </w:t>
      </w:r>
      <w:r>
        <w:rPr>
          <w:rStyle w:val="VerbatimChar"/>
        </w:rPr>
        <w:t xml:space="preserve">src/bootstrap/seed.js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financial figures are illustrative or indicative.</w:t>
      </w:r>
      <w:r>
        <w:t xml:space="preserve"> </w:t>
      </w:r>
      <w:r>
        <w:t xml:space="preserve">Unit costs come from</w:t>
      </w:r>
      <w:r>
        <w:t xml:space="preserve"> </w:t>
      </w:r>
      <w:r>
        <w:rPr>
          <w:rStyle w:val="VerbatimChar"/>
        </w:rPr>
        <w:t xml:space="preserve">config/rules/costs.json</w:t>
      </w:r>
      <w:r>
        <w:t xml:space="preserve"> </w:t>
      </w:r>
      <w:r>
        <w:t xml:space="preserve">and regulated premiums from</w:t>
      </w:r>
      <w:r>
        <w:t xml:space="preserve"> </w:t>
      </w:r>
      <w:r>
        <w:rPr>
          <w:rStyle w:val="VerbatimChar"/>
        </w:rPr>
        <w:t xml:space="preserve">config/rules/tariff.tnds_car.json</w:t>
      </w:r>
      <w:r>
        <w:t xml:space="preserve"> </w:t>
      </w:r>
      <w:r>
        <w:t xml:space="preserve">(Decree 67/2023/ND-CP, to be confirmed by TASCO underwriting).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Regulatory references</w:t>
      </w:r>
      <w:r>
        <w:t xml:space="preserve"> </w:t>
      </w:r>
      <w:r>
        <w:t xml:space="preserve">(Law on Insurance Business 08/2022/QH15, PDP Law 91/2025/QH15, Decree 13/2023/ND-CP, Decree 91/2020/ND-CP) are noted for</w:t>
      </w:r>
      <w:r>
        <w:t xml:space="preserve"> </w:t>
      </w:r>
      <w:r>
        <w:rPr>
          <w:bCs/>
          <w:b/>
        </w:rPr>
        <w:t xml:space="preserve">confirmation by TASCO legal</w:t>
      </w:r>
      <w:r>
        <w:t xml:space="preserve">. They are not legal advice.</w:t>
      </w:r>
    </w:p>
    <w:p>
      <w:pPr>
        <w:numPr>
          <w:ilvl w:val="0"/>
          <w:numId w:val="1001"/>
        </w:numPr>
        <w:pStyle w:val="Compact"/>
      </w:pPr>
      <w:r>
        <w:t xml:space="preserve">Vietnamese terms:</w:t>
      </w:r>
      <w:r>
        <w:t xml:space="preserve"> </w:t>
      </w:r>
      <w:r>
        <w:rPr>
          <w:iCs/>
          <w:i/>
        </w:rPr>
        <w:t xml:space="preserve">Bảo hiểm TNDS bắt buộc</w:t>
      </w:r>
      <w:r>
        <w:t xml:space="preserve"> </w:t>
      </w:r>
      <w:r>
        <w:t xml:space="preserve">(compulsory motor third-party liability),</w:t>
      </w:r>
      <w:r>
        <w:t xml:space="preserve"> </w:t>
      </w:r>
      <w:r>
        <w:rPr>
          <w:iCs/>
          <w:i/>
        </w:rPr>
        <w:t xml:space="preserve">đăng kiểm</w:t>
      </w:r>
      <w:r>
        <w:t xml:space="preserve"> </w:t>
      </w:r>
      <w:r>
        <w:t xml:space="preserve">(vehicle inspection),</w:t>
      </w:r>
      <w:r>
        <w:t xml:space="preserve"> </w:t>
      </w:r>
      <w:r>
        <w:rPr>
          <w:iCs/>
          <w:i/>
        </w:rPr>
        <w:t xml:space="preserve">bảo hiểm vật chất xe</w:t>
      </w:r>
      <w:r>
        <w:t xml:space="preserve"> </w:t>
      </w:r>
      <w:r>
        <w:t xml:space="preserve">(physical damage),</w:t>
      </w:r>
      <w:r>
        <w:t xml:space="preserve"> </w:t>
      </w:r>
      <w:r>
        <w:rPr>
          <w:iCs/>
          <w:i/>
        </w:rPr>
        <w:t xml:space="preserve">tai nạn người ngồi trên xe</w:t>
      </w:r>
      <w:r>
        <w:t xml:space="preserve"> </w:t>
      </w:r>
      <w:r>
        <w:t xml:space="preserve">(passenger accident).</w:t>
      </w:r>
    </w:p>
    <w:bookmarkEnd w:id="29"/>
    <w:bookmarkStart w:id="30" w:name="related-documentation"/>
    <w:p>
      <w:pPr>
        <w:pStyle w:val="Heading2"/>
      </w:pPr>
      <w:r>
        <w:t xml:space="preserve">Related documentation</w:t>
      </w:r>
    </w:p>
    <w:p>
      <w:pPr>
        <w:pStyle w:val="FirstParagraph"/>
      </w:pPr>
      <w:r>
        <w:t xml:space="preserve">Architecture, delivery, operations, quality, UX and user manuals are maintained in sibling folders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End w:id="30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01-business-context-and-growth-strategy.docx" TargetMode="External"/><Relationship Id="rId21" Type="http://schemas.openxmlformats.org/officeDocument/2006/relationships/hyperlink" Target="02-functional-requirements-specification.docx" TargetMode="External"/><Relationship Id="rId22" Type="http://schemas.openxmlformats.org/officeDocument/2006/relationships/hyperlink" Target="03-non-functional-requirements.docx" TargetMode="External"/><Relationship Id="rId23" Type="http://schemas.openxmlformats.org/officeDocument/2006/relationships/hyperlink" Target="04-user-stories-and-acceptance-criteria.docx" TargetMode="External"/><Relationship Id="rId24" Type="http://schemas.openxmlformats.org/officeDocument/2006/relationships/hyperlink" Target="05-requirements-traceability-matrix.docx" TargetMode="External"/><Relationship Id="rId25" Type="http://schemas.openxmlformats.org/officeDocument/2006/relationships/hyperlink" Target="06-personas-and-journey-maps.docx" TargetMode="External"/><Relationship Id="rId26" Type="http://schemas.openxmlformats.org/officeDocument/2006/relationships/hyperlink" Target="07-commercials-and-engagement-model.docx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01-business-context-and-growth-strategy.docx" TargetMode="External"/><Relationship Id="rId21" Type="http://schemas.openxmlformats.org/officeDocument/2006/relationships/hyperlink" Target="02-functional-requirements-specification.docx" TargetMode="External"/><Relationship Id="rId22" Type="http://schemas.openxmlformats.org/officeDocument/2006/relationships/hyperlink" Target="03-non-functional-requirements.docx" TargetMode="External"/><Relationship Id="rId23" Type="http://schemas.openxmlformats.org/officeDocument/2006/relationships/hyperlink" Target="04-user-stories-and-acceptance-criteria.docx" TargetMode="External"/><Relationship Id="rId24" Type="http://schemas.openxmlformats.org/officeDocument/2006/relationships/hyperlink" Target="05-requirements-traceability-matrix.docx" TargetMode="External"/><Relationship Id="rId25" Type="http://schemas.openxmlformats.org/officeDocument/2006/relationships/hyperlink" Target="06-personas-and-journey-maps.docx" TargetMode="External"/><Relationship Id="rId26" Type="http://schemas.openxmlformats.org/officeDocument/2006/relationships/hyperlink" Target="07-commercials-and-engagement-model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and Product Documentation</dc:title>
  <dc:creator>iorta TechNXT</dc:creator>
  <cp:keywords/>
  <dcterms:created xsi:type="dcterms:W3CDTF">2026-10-07T17:45:22Z</dcterms:created>
  <dcterms:modified xsi:type="dcterms:W3CDTF">2026-10-07T17:45:22Z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Business &amp; Product</vt:lpwstr>
  </property>
</Properties>
</file>