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— Non-Functional Requirements (NFR)</w:t>
      </w:r>
    </w:p>
    <w:p>
      <w:pPr>
        <w:pStyle w:val="Subtitle"/>
      </w:pPr>
      <w:r>
        <w:t xml:space="preserve">TASCO Insurance × VETC Growth Platform — Business &amp; Product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TASCO Insurance × VETC Motor Insurance Growth Platform</w:t>
      </w:r>
      <w:r>
        <w:t xml:space="preserve"> </w:t>
      </w:r>
      <w:r>
        <w:t xml:space="preserve">· iorta TechNXT · Version 1.0 · October 2026</w:t>
      </w:r>
    </w:p>
    <w:bookmarkStart w:id="21" w:name="Xda547aec3cdfabb4ff6d2cdbda7698df72c2eea"/>
    <w:p>
      <w:pPr>
        <w:pStyle w:val="Heading2"/>
      </w:pPr>
      <w:r>
        <w:t xml:space="preserve">0. Conventions</w:t>
      </w:r>
    </w:p>
    <w:p>
      <w:pPr>
        <w:numPr>
          <w:ilvl w:val="0"/>
          <w:numId w:val="1001"/>
        </w:numPr>
        <w:pStyle w:val="Compact"/>
      </w:pPr>
      <w:r>
        <w:t xml:space="preserve">IDs are</w:t>
      </w:r>
      <w:r>
        <w:t xml:space="preserve"> </w:t>
      </w:r>
      <w:r>
        <w:rPr>
          <w:rStyle w:val="VerbatimChar"/>
        </w:rPr>
        <w:t xml:space="preserve">NFR-nnn</w:t>
      </w:r>
      <w:r>
        <w:t xml:space="preserve">. Each NFR has a</w:t>
      </w:r>
      <w:r>
        <w:t xml:space="preserve"> </w:t>
      </w:r>
      <w:r>
        <w:rPr>
          <w:bCs/>
          <w:b/>
        </w:rPr>
        <w:t xml:space="preserve">measurable target</w:t>
      </w:r>
      <w:r>
        <w:t xml:space="preserve">, a</w:t>
      </w:r>
      <w:r>
        <w:t xml:space="preserve"> </w:t>
      </w:r>
      <w:r>
        <w:rPr>
          <w:bCs/>
          <w:b/>
        </w:rPr>
        <w:t xml:space="preserve">verification method</w:t>
      </w:r>
      <w:r>
        <w:t xml:space="preserve"> </w:t>
      </w:r>
      <w:r>
        <w:t xml:space="preserve">and its</w:t>
      </w:r>
      <w:r>
        <w:t xml:space="preserve"> </w:t>
      </w:r>
      <w:r>
        <w:rPr>
          <w:bCs/>
          <w:b/>
        </w:rPr>
        <w:t xml:space="preserve">current support in the codebase</w:t>
      </w:r>
      <w:r>
        <w:t xml:space="preserve"> </w:t>
      </w:r>
      <w:r>
        <w:t xml:space="preserve">(</w:t>
      </w:r>
      <w:r>
        <w:rPr>
          <w:iCs/>
          <w:i/>
        </w:rPr>
        <w:t xml:space="preserve">Built</w:t>
      </w:r>
      <w:r>
        <w:t xml:space="preserve">,</w:t>
      </w:r>
      <w:r>
        <w:t xml:space="preserve"> </w:t>
      </w:r>
      <w:r>
        <w:rPr>
          <w:iCs/>
          <w:i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Planned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Targets are</w:t>
      </w:r>
      <w:r>
        <w:t xml:space="preserve"> </w:t>
      </w:r>
      <w:r>
        <w:rPr>
          <w:bCs/>
          <w:b/>
        </w:rPr>
        <w:t xml:space="preserve">proposed</w:t>
      </w:r>
      <w:r>
        <w:t xml:space="preserve">. They must be agreed with TASCO and VETC IT in Phase 0 and baselined in the performance test (</w:t>
      </w:r>
      <w:r>
        <w:rPr>
          <w:rStyle w:val="VerbatimChar"/>
        </w:rPr>
        <w:t xml:space="preserve">test/perf/load.js</w:t>
      </w:r>
      <w:r>
        <w:t xml:space="preserve">, planned).</w:t>
      </w:r>
    </w:p>
    <w:p>
      <w:pPr>
        <w:numPr>
          <w:ilvl w:val="0"/>
          <w:numId w:val="1001"/>
        </w:numPr>
        <w:pStyle w:val="Compact"/>
      </w:pPr>
      <w:r>
        <w:t xml:space="preserve">Sizing reference:</w:t>
      </w:r>
      <w:r>
        <w:t xml:space="preserve"> </w:t>
      </w:r>
      <w:r>
        <w:rPr>
          <w:bCs/>
          <w:b/>
        </w:rPr>
        <w:t xml:space="preserve">6,000,000 vehicles</w:t>
      </w:r>
      <w:r>
        <w:t xml:space="preserve"> </w:t>
      </w:r>
      <w:r>
        <w:t xml:space="preserve">(VETC car base, from the brief). Workload assumptions are labelled</w:t>
      </w:r>
      <w:r>
        <w:t xml:space="preserve"> </w:t>
      </w:r>
      <w:r>
        <w:rPr>
          <w:rStyle w:val="VerbatimChar"/>
        </w:rPr>
        <w:t xml:space="preserve">[W-n]</w:t>
      </w:r>
      <w:r>
        <w:t xml:space="preserve">.</w:t>
      </w:r>
    </w:p>
    <w:bookmarkStart w:id="20" w:name="workload-model-assumptions"/>
    <w:p>
      <w:pPr>
        <w:pStyle w:val="Heading3"/>
      </w:pPr>
      <w:r>
        <w:t xml:space="preserve">Workload model (assumptions)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Assumption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Golden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 (12 M source records at about 2 per vehicle)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Leads re-scored nightly (full) / on events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 per night / ≤ 50k per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Touchpoints due per day at peak (month-end and Tết)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Concurrent staff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(telesales 200, other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app sessions at peak (push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requests/s for 15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Concurrent bot calls (vendor side)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API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requests/s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Xca3bfeb4d4737346d8de966206dabc436d0c4b5"/>
    <w:p>
      <w:pPr>
        <w:pStyle w:val="Heading2"/>
      </w:pPr>
      <w:r>
        <w:t xml:space="preserve">1. Performance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latency, read endpoints (leads list, customer 360, home, certificate verify)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≤ 300 ms, p99 ≤ 800 ms at W-4 / W-5 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test/perf/load.js</w:t>
            </w:r>
            <w:r>
              <w:t xml:space="preserve">; histogram</w:t>
            </w:r>
            <w:r>
              <w:t xml:space="preserve"> </w:t>
            </w:r>
            <w:r>
              <w:rPr>
                <w:rStyle w:val="VerbatimChar"/>
              </w:rPr>
              <w:t xml:space="preserve">http_request_duration_seconds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(metrics built; load test planned)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latency, quote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≤ 500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(pay + issue) end-to-end excluding upstream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≤ 1.5 s; upstream timeouts 5 s with 2 retries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test; circuit-breaker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</w:t>
            </w:r>
            <w:r>
              <w:rPr>
                <w:rStyle w:val="VerbatimChar"/>
              </w:rPr>
              <w:t xml:space="preserve">src/shared/resilience.js</w:t>
            </w:r>
            <w:r>
              <w:t xml:space="preserve"> </w:t>
            </w:r>
            <w:r>
              <w:t xml:space="preserve">defaults: timeout 5,000 ms, retries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dialogue turn processing (excluding ASR and TTS)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≤ 150 ms per 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benchmark on</w:t>
            </w:r>
            <w:r>
              <w:t xml:space="preserve"> </w:t>
            </w:r>
            <w:r>
              <w:rPr>
                <w:rStyle w:val="VerbatimChar"/>
              </w:rPr>
              <w:t xml:space="preserve">voicebot.js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Ingestion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2,000 records/s per worker; 12 M records rebuilt in ≤ 4 h with 4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(incremental, chunked rebuild of 500 plates)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recompute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6 M recompute in ≤ 3 h nightly; event-driven partial recompute visible within ≤ 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timings in</w:t>
            </w:r>
            <w:r>
              <w:t xml:space="preserve"> </w:t>
            </w:r>
            <w:r>
              <w:rPr>
                <w:rStyle w:val="VerbatimChar"/>
              </w:rPr>
              <w:t xml:space="preserve">job_runs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(paged by 1,000; parallel workers planned)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Journey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300k due touchpoints executed within the 08:00–20:00 contact window in ≤ 2 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journeys.run</w:t>
            </w:r>
            <w:r>
              <w:t xml:space="preserve"> </w:t>
            </w:r>
            <w:r>
              <w:t xml:space="preserve">audit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(sharding)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change propagation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rules converge on all replicas in ≤ 15 s after approval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rulesService</w:t>
            </w:r>
            <w:r>
              <w:t xml:space="preserve"> </w:t>
            </w:r>
            <w:r>
              <w:t xml:space="preserve">cache TTL 15 s plus</w:t>
            </w:r>
            <w:r>
              <w:t xml:space="preserve"> </w:t>
            </w:r>
            <w:r>
              <w:rPr>
                <w:rStyle w:val="VerbatimChar"/>
              </w:rPr>
              <w:t xml:space="preserve">rules.activated</w:t>
            </w:r>
            <w:r>
              <w:t xml:space="preserve"> </w:t>
            </w: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</w:tbl>
    <w:bookmarkEnd w:id="22"/>
    <w:bookmarkStart w:id="23" w:name="Xc61d7c55cdea4613f4c8a37aee4a771cf8112e9"/>
    <w:p>
      <w:pPr>
        <w:pStyle w:val="Heading2"/>
      </w:pPr>
      <w:r>
        <w:t xml:space="preserve">2. Scalability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scaling of the API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replicas behind a load balancer; scale 2 → 12 pods on CPU above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K8s HPA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(stateless; shared token-revocation and rate-limit store planned, E-15)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 profiles, 12 M source records, 50 M messages per year, without query-plan regressions (all filters use indexed columns)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EXPLAIN</w:t>
            </w:r>
            <w:r>
              <w:t xml:space="preserve"> </w:t>
            </w:r>
            <w:r>
              <w:t xml:space="preserve">checks in</w:t>
            </w:r>
            <w:r>
              <w:t xml:space="preserve"> </w:t>
            </w:r>
            <w:r>
              <w:rPr>
                <w:rStyle w:val="VerbatimChar"/>
              </w:rPr>
              <w:t xml:space="preserve">test/pg/*.test.js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(filters restricted to declared indexed columns:</w:t>
            </w:r>
            <w:r>
              <w:t xml:space="preserve"> </w:t>
            </w:r>
            <w:r>
              <w:rPr>
                <w:rStyle w:val="VerbatimChar"/>
              </w:rPr>
              <w:t xml:space="preserve">schema.js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query.js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work scales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Outbox relay safe to run on N replicas (</w:t>
            </w:r>
            <w:r>
              <w:rPr>
                <w:rStyle w:val="VerbatimChar"/>
              </w:rPr>
              <w:t xml:space="preserve">SKIP LOCKED</w:t>
            </w:r>
            <w:r>
              <w:t xml:space="preserve">), at-least-once delivery, idempotent handlers, maximum 5 attempts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</w:t>
            </w:r>
            <w:r>
              <w:rPr>
                <w:rStyle w:val="VerbatimChar"/>
              </w:rPr>
              <w:t xml:space="preserve">outboxEventBus.js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streaming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outbox can forward to Kafka or Pub/Sub without changing publishers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</w:tbl>
    <w:bookmarkEnd w:id="23"/>
    <w:bookmarkStart w:id="24" w:name="X52140ebd62dc6c0a473d8c7a39a5081d30832ac"/>
    <w:p>
      <w:pPr>
        <w:pStyle w:val="Heading2"/>
      </w:pPr>
      <w:r>
        <w:t xml:space="preserve">3. Availability and resilience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 (SLO)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Customer-facing purchase path (</w:t>
            </w:r>
            <w:r>
              <w:rPr>
                <w:rStyle w:val="VerbatimChar"/>
              </w:rPr>
              <w:t xml:space="preserve">/api/customer/*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/api/partner/v1/*</w:t>
            </w:r>
            <w:r>
              <w:t xml:space="preserve">, certificate verify)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99.9%</w:t>
            </w:r>
            <w:r>
              <w:t xml:space="preserve"> </w:t>
            </w:r>
            <w:r>
              <w:t xml:space="preserve">monthly (≤ 43.8 min downtime)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Uptime probe on</w:t>
            </w:r>
            <w:r>
              <w:t xml:space="preserve"> </w:t>
            </w:r>
            <w:r>
              <w:rPr>
                <w:rStyle w:val="VerbatimChar"/>
              </w:rPr>
              <w:t xml:space="preserve">/health/ready</w:t>
            </w:r>
            <w:r>
              <w:t xml:space="preserve"> </w:t>
            </w:r>
            <w:r>
              <w:t xml:space="preserve">and synthetic purchase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console and APIs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99.5%</w:t>
            </w:r>
            <w:r>
              <w:t xml:space="preserve"> </w:t>
            </w:r>
            <w:r>
              <w:t xml:space="preserve">monthly, business hours 07:00–21:00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Uptime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Graceful degradation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of one integration (wallet, core, ZNS, SMS, push, voice) affects only that feature. Circuit opens after 5 failures and half-opens after 30 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Chaos test;</w:t>
            </w:r>
            <w:r>
              <w:t xml:space="preserve"> </w:t>
            </w:r>
            <w:r>
              <w:rPr>
                <w:rStyle w:val="VerbatimChar"/>
              </w:rPr>
              <w:t xml:space="preserve">/api/ops/status</w:t>
            </w:r>
            <w:r>
              <w:t xml:space="preserve"> </w:t>
            </w:r>
            <w:r>
              <w:t xml:space="preserve">circuit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double 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duplicate debits under retries (idempotency key on order and wallet)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test/integration</w:t>
            </w:r>
            <w:r>
              <w:t xml:space="preserve"> </w:t>
            </w:r>
            <w:r>
              <w:t xml:space="preserve">purchase-replay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issuance failures after payment refunded or flagged; reconciliation finds 0 unexplained mismatches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job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</w:tbl>
    <w:bookmarkEnd w:id="24"/>
    <w:bookmarkStart w:id="25" w:name="Xcccd0f639f6f2f382396e2dbb387a0cac6008bd"/>
    <w:p>
      <w:pPr>
        <w:pStyle w:val="Heading2"/>
      </w:pPr>
      <w:r>
        <w:t xml:space="preserve">4. Security (OWASP ASVS 4.0 Level 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ASVS L2 compliance</w:t>
            </w:r>
            <w:r>
              <w:t xml:space="preserve"> </w:t>
            </w:r>
            <w:r>
              <w:t xml:space="preserve">across V1–V14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open High or Critical findings at go-live; annual third-party penetration 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test/security/*.test.js</w:t>
            </w:r>
            <w:r>
              <w:t xml:space="preserve">, external pentest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 (ASVS V2)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Passwords 12–128 characters, hashed with scrypt; lockout after 5 failures for 15 minutes; TOTP MFA mandatory for privileged roles; login rate limit 10/min per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management (ASVS 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 TTL ≤ 30 min; logout revocation effective across all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(revocation per replica)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 (ASVS V4)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Deny by default; RBAC + ABAC on every route; partner scope = own quotes and policies; customer scope = own vehicle; 0 IDOR 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test/security/authz.test.js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(gaps E-18)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validation (ASVS V5)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Allow-list schemas on every body and query (types, lengths, enums, patterns); body ≤ 1 MB; parameterised SQL only; only declared columns filterable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Fuzz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</w:t>
            </w:r>
            <w:r>
              <w:rPr>
                <w:rStyle w:val="VerbatimChar"/>
              </w:rPr>
              <w:t xml:space="preserve">validation.js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routes.js</w:t>
            </w:r>
            <w:r>
              <w:t xml:space="preserve"> </w:t>
            </w:r>
            <w:r>
              <w:t xml:space="preserve">schemas,</w:t>
            </w:r>
            <w:r>
              <w:t xml:space="preserve"> </w:t>
            </w:r>
            <w:r>
              <w:rPr>
                <w:rStyle w:val="VerbatimChar"/>
              </w:rPr>
              <w:t xml:space="preserve">query.js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Cryptography (ASVS V6)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PII encrypted at rest with AES-256-GCM, with key rotation via key IDs (</w:t>
            </w:r>
            <w:r>
              <w:rPr>
                <w:rStyle w:val="VerbatimChar"/>
              </w:rPr>
              <w:t xml:space="preserve">DATA_KEYS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DATA_KEY_ACTIVE</w:t>
            </w:r>
            <w:r>
              <w:t xml:space="preserve">); HMAC blind index for phone search; API keys stored as SHA-256; TLS 1.2+ in transit; HSTS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security (ASVS V14)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CSP (</w:t>
            </w:r>
            <w:r>
              <w:rPr>
                <w:rStyle w:val="VerbatimChar"/>
              </w:rPr>
              <w:t xml:space="preserve">default-src 'self'</w:t>
            </w:r>
            <w:r>
              <w:t xml:space="preserve">, no inline script),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 CORS allow-list, global rate limit 300 req/min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test/security/headers.test.js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</w:t>
            </w:r>
            <w:r>
              <w:rPr>
                <w:rStyle w:val="VerbatimChar"/>
              </w:rPr>
              <w:t xml:space="preserve">security.js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secrets in code;</w:t>
            </w:r>
            <w:r>
              <w:t xml:space="preserve"> </w:t>
            </w:r>
            <w:r>
              <w:rPr>
                <w:rStyle w:val="VerbatimChar"/>
              </w:rPr>
              <w:t xml:space="preserve">*_FILE</w:t>
            </w:r>
            <w:r>
              <w:t xml:space="preserve"> </w:t>
            </w:r>
            <w:r>
              <w:t xml:space="preserve">convention for K8s, Docker or Vault secrets; production refuses to boot with missing secrets or with demo mode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</w:t>
            </w:r>
            <w:r>
              <w:rPr>
                <w:rStyle w:val="VerbatimChar"/>
              </w:rPr>
              <w:t xml:space="preserve">config.js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audit --omit=dev --audit-level=high</w:t>
            </w:r>
            <w:r>
              <w:t xml:space="preserve"> </w:t>
            </w:r>
            <w:r>
              <w:t xml:space="preserve">passes in CI; minimal runtime dependencies (currently only</w:t>
            </w:r>
            <w:r>
              <w:t xml:space="preserve"> </w:t>
            </w:r>
            <w:r>
              <w:rPr>
                <w:rStyle w:val="VerbatimChar"/>
              </w:rPr>
              <w:t xml:space="preserve">pg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(script); CI pipeline 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Voice-channel fraud resistance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bot never requests an OTP, card or payment; plate verified before any personal data is disclosed; plate and phone masked in summaries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review;</w:t>
            </w:r>
            <w:r>
              <w:t xml:space="preserve"> </w:t>
            </w:r>
            <w:r>
              <w:rPr>
                <w:rStyle w:val="VerbatimChar"/>
              </w:rPr>
              <w:t xml:space="preserve">voicebot</w:t>
            </w:r>
            <w:r>
              <w:t xml:space="preserve"> </w:t>
            </w: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</w:tbl>
    <w:bookmarkEnd w:id="25"/>
    <w:bookmarkStart w:id="26" w:name="X7dcf0f38908bb5c3c14a834a9e39018cccebb11"/>
    <w:p>
      <w:pPr>
        <w:pStyle w:val="Heading2"/>
      </w:pPr>
      <w:r>
        <w:t xml:space="preserve">5. Privacy and data protection</w:t>
      </w:r>
    </w:p>
    <w:p>
      <w:pPr>
        <w:pStyle w:val="BlockText"/>
      </w:pPr>
      <w:r>
        <w:rPr>
          <w:bCs/>
          <w:b/>
        </w:rPr>
        <w:t xml:space="preserve">Legal basis to confirm with TASCO legal:</w:t>
      </w:r>
      <w:r>
        <w:t xml:space="preserve"> </w:t>
      </w:r>
      <w:r>
        <w:t xml:space="preserve">the Personal Data Protection Law</w:t>
      </w:r>
      <w:r>
        <w:t xml:space="preserve"> </w:t>
      </w:r>
      <w:r>
        <w:rPr>
          <w:bCs/>
          <w:b/>
        </w:rPr>
        <w:t xml:space="preserve">91/2025/QH15</w:t>
      </w:r>
      <w:r>
        <w:t xml:space="preserve"> </w:t>
      </w:r>
      <w:r>
        <w:t xml:space="preserve">(effective 2026),</w:t>
      </w:r>
      <w:r>
        <w:t xml:space="preserve"> </w:t>
      </w:r>
      <w:r>
        <w:rPr>
          <w:bCs/>
          <w:b/>
        </w:rPr>
        <w:t xml:space="preserve">Decree 13/2023/ND-CP</w:t>
      </w:r>
      <w:r>
        <w:t xml:space="preserve"> </w:t>
      </w:r>
      <w:r>
        <w:t xml:space="preserve">on personal data protection,</w:t>
      </w:r>
      <w:r>
        <w:t xml:space="preserve"> </w:t>
      </w:r>
      <w:r>
        <w:rPr>
          <w:bCs/>
          <w:b/>
        </w:rPr>
        <w:t xml:space="preserve">Decree 91/2020/ND-CP</w:t>
      </w:r>
      <w:r>
        <w:t xml:space="preserve"> </w:t>
      </w:r>
      <w:r>
        <w:t xml:space="preserve">on spam messages and calls, the Law on Insurance Business</w:t>
      </w:r>
      <w:r>
        <w:t xml:space="preserve"> </w:t>
      </w:r>
      <w:r>
        <w:rPr>
          <w:bCs/>
          <w:b/>
        </w:rPr>
        <w:t xml:space="preserve">08/2022/QH15</w:t>
      </w:r>
      <w:r>
        <w:t xml:space="preserve">, and any data-localisation obligations under the Cybersecurity Law and its implementing decree. The controls below are conservative engineering defaults,</w:t>
      </w:r>
      <w:r>
        <w:t xml:space="preserve"> </w:t>
      </w:r>
      <w:r>
        <w:rPr>
          <w:bCs/>
          <w:b/>
        </w:rPr>
        <w:t xml:space="preserve">not legal advice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by purpose and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and call consent stored per profile; enforced before every marketing message and call; changes audited and honoured within ≤ 1 minute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tests on</w:t>
            </w:r>
            <w:r>
              <w:t xml:space="preserve"> </w:t>
            </w:r>
            <w:r>
              <w:rPr>
                <w:rStyle w:val="VerbatimChar"/>
              </w:rPr>
              <w:t xml:space="preserve">canContact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Data-subject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(self-service download and staff export) and erasure by anonymisation, completed within ≤ 72 h of a verified request. Legal-retention exceptions documented.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DSAR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(E-19)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residency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data of Vietnamese data subjects stored and processed in a hosting location approved by TASCO legal (a Vietnam region if required). A cross-border transfer impact assessment is filed if any processor is offshore (for example a voice-AI vendor).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(confirm with TASCO legal)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minimisation and masking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without</w:t>
            </w:r>
            <w:r>
              <w:t xml:space="preserve"> </w:t>
            </w:r>
            <w:r>
              <w:rPr>
                <w:rStyle w:val="VerbatimChar"/>
              </w:rPr>
              <w:t xml:space="preserve">profile:read_pii</w:t>
            </w:r>
            <w:r>
              <w:t xml:space="preserve"> </w:t>
            </w:r>
            <w:r>
              <w:t xml:space="preserve">never see full name or phone; handoffs carry masked phone; the public certificate check shows a masked plate and no PII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records and DPIA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Data Protection Impact Assessment and processing register maintained for each purpose (renewal, conquest, bot calls, partner sharing)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sign-off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data outside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Non-production environments use synthetic data only (</w:t>
            </w:r>
            <w:r>
              <w:rPr>
                <w:rStyle w:val="VerbatimChar"/>
              </w:rPr>
              <w:t xml:space="preserve">syntheticVetcSource.js</w:t>
            </w:r>
            <w:r>
              <w:t xml:space="preserve">) or irreversibly masked extracts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(synthetic generator)</w:t>
            </w:r>
          </w:p>
        </w:tc>
      </w:tr>
    </w:tbl>
    <w:bookmarkEnd w:id="26"/>
    <w:bookmarkStart w:id="27" w:name="X3aa2e58a3e4a21eaf348393f58c9077cfe25120"/>
    <w:p>
      <w:pPr>
        <w:pStyle w:val="Heading2"/>
      </w:pPr>
      <w:r>
        <w:t xml:space="preserve">6. Accessibility and usability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WCAG 2.2 Level AA</w:t>
            </w:r>
            <w:r>
              <w:t xml:space="preserve"> </w:t>
            </w:r>
            <w:r>
              <w:t xml:space="preserve">for the staff console and customer app: contrast ≥ 4.5:1, full keyboard operation, visible focus, target size ≥ 24×24 px, labelled form fields,</w:t>
            </w:r>
            <w:r>
              <w:t xml:space="preserve"> </w:t>
            </w:r>
            <w:r>
              <w:rPr>
                <w:rStyle w:val="VerbatimChar"/>
              </w:rPr>
              <w:t xml:space="preserve">prefers-reduced-motion</w:t>
            </w:r>
            <w:r>
              <w:t xml:space="preserve"> </w:t>
            </w:r>
            <w:r>
              <w:t xml:space="preserve">respected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axe-core automated scan (0 serious) plus manual screen-reader check (TalkBack and VoiceOver)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task 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 from a reminder in</w:t>
            </w:r>
            <w:r>
              <w:t xml:space="preserve"> </w:t>
            </w:r>
            <w:r>
              <w:rPr>
                <w:bCs/>
                <w:b/>
              </w:rPr>
              <w:t xml:space="preserve">≤ 3 taps</w:t>
            </w:r>
            <w:r>
              <w:t xml:space="preserve"> </w:t>
            </w:r>
            <w:r>
              <w:t xml:space="preserve">after opening the link; renewal completed in ≤ 60 s 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 test (n ≥ 8 per segment); adoption target in</w:t>
            </w:r>
            <w:r>
              <w:t xml:space="preserve"> </w:t>
            </w:r>
            <w:r>
              <w:rPr>
                <w:rStyle w:val="VerbatimChar"/>
              </w:rPr>
              <w:t xml:space="preserve">insightsService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task 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sees the next lead and talking points in ≤ 2 clicks from home; handoff first contact within 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 test; handoff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score, NBA and benefit shown to staff carries a human-readable 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(API:</w:t>
            </w:r>
            <w:r>
              <w:t xml:space="preserve"> </w:t>
            </w:r>
            <w:r>
              <w:rPr>
                <w:rStyle w:val="VerbatimChar"/>
              </w:rPr>
              <w:t xml:space="preserve">reasons[]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nextBestAction.reason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benefits[].why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Contextual help drawer on every console screen, in Vietnamese and 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</w:tbl>
    <w:bookmarkEnd w:id="27"/>
    <w:bookmarkStart w:id="28" w:name="Xad561ab793b672454aff7d7f960a20344df2a6f"/>
    <w:p>
      <w:pPr>
        <w:pStyle w:val="Heading2"/>
      </w:pPr>
      <w:r>
        <w:t xml:space="preserve">7. Localisation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Bilingual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Vietnamese (default for customers) and English, switchable at runtime. 100% of UI strings externalised.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Pseudo-localisation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Vietnamese conventions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dd/mm/yyyy; currency</w:t>
            </w:r>
            <w:r>
              <w:t xml:space="preserve"> </w:t>
            </w:r>
            <w:r>
              <w:rPr>
                <w:rStyle w:val="VerbatimChar"/>
              </w:rPr>
              <w:t xml:space="preserve">vi-VN</w:t>
            </w:r>
            <w:r>
              <w:t xml:space="preserve"> </w:t>
            </w:r>
            <w:r>
              <w:t xml:space="preserve">formatting (for example</w:t>
            </w:r>
            <w:r>
              <w:t xml:space="preserve"> </w:t>
            </w:r>
            <w:r>
              <w:rPr>
                <w:rStyle w:val="VerbatimChar"/>
              </w:rPr>
              <w:t xml:space="preserve">480.700 đ</w:t>
            </w:r>
            <w:r>
              <w:t xml:space="preserve">); full diacritics; accent-insensitive search and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 (</w:t>
            </w:r>
            <w:r>
              <w:rPr>
                <w:rStyle w:val="VerbatimChar"/>
              </w:rPr>
              <w:t xml:space="preserve">viDate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stripDiacritics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(backend)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copy in Vietnamese reviewed by TASCO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templates and bot lines approved through maker-checker before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(workflow)</w:t>
            </w:r>
          </w:p>
        </w:tc>
      </w:tr>
    </w:tbl>
    <w:bookmarkEnd w:id="28"/>
    <w:bookmarkStart w:id="29" w:name="X489bd6300c58cdb44da7621da211e7d82329979"/>
    <w:p>
      <w:pPr>
        <w:pStyle w:val="Heading2"/>
      </w:pPr>
      <w:r>
        <w:t xml:space="preserve">8. Maintainability and quality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Lines ≥</w:t>
            </w:r>
            <w:r>
              <w:t xml:space="preserve"> </w:t>
            </w:r>
            <w:r>
              <w:rPr>
                <w:bCs/>
                <w:b/>
              </w:rPr>
              <w:t xml:space="preserve">80%</w:t>
            </w:r>
            <w:r>
              <w:t xml:space="preserve">, functions ≥ 80%, branches ≥ 70% (excluding CLI, server bootstrap and the PG adapter, which has its own suite)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test:coverage</w:t>
            </w:r>
            <w:r>
              <w:t xml:space="preserve"> </w:t>
            </w:r>
            <w:r>
              <w:t xml:space="preserve">(thresholds configured 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(thresholds configured; tests to be written, E-20)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 9 with 0 errors on every commit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lint</w:t>
            </w:r>
            <w:r>
              <w:t xml:space="preserve"> </w:t>
            </w:r>
            <w:r>
              <w:t xml:space="preserve">in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(script present; config file to be added)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Hexagonal: pure domain (</w:t>
            </w:r>
            <w:r>
              <w:rPr>
                <w:rStyle w:val="VerbatimChar"/>
              </w:rPr>
              <w:t xml:space="preserve">src/domain</w:t>
            </w:r>
            <w:r>
              <w:t xml:space="preserve">), application services, adapters behind ports; no business thresholds in domain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review; dependency rule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(exceptions E-05)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routes described in OpenAPI 3, generated from the route table (</w:t>
            </w:r>
            <w:r>
              <w:rPr>
                <w:rStyle w:val="VerbatimChar"/>
              </w:rPr>
              <w:t xml:space="preserve">npm run job openapi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diff on</w:t>
            </w:r>
            <w:r>
              <w:t xml:space="preserve"> </w:t>
            </w:r>
            <w:r>
              <w:rPr>
                <w:rStyle w:val="VerbatimChar"/>
              </w:rPr>
              <w:t xml:space="preserve">docs/api/openapi.json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migrations match the collection registry; applied migrations are never edited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test/unit/schema.test.js</w:t>
            </w:r>
            <w:r>
              <w:t xml:space="preserve"> </w:t>
            </w:r>
            <w:r>
              <w:t xml:space="preserve">(planned)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(registry and DDL generator)</w:t>
            </w:r>
          </w:p>
        </w:tc>
      </w:tr>
    </w:tbl>
    <w:bookmarkEnd w:id="29"/>
    <w:bookmarkStart w:id="30" w:name="X3abb75fff505287e6455deb2df36244d90e3220"/>
    <w:p>
      <w:pPr>
        <w:pStyle w:val="Heading2"/>
      </w:pPr>
      <w:r>
        <w:t xml:space="preserve">9. Observability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: request rate, errors and duration by route;</w:t>
            </w:r>
            <w:r>
              <w:t xml:space="preserve"> </w:t>
            </w:r>
            <w:r>
              <w:rPr>
                <w:rStyle w:val="VerbatimChar"/>
              </w:rPr>
              <w:t xml:space="preserve">quotes_total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orders_completed_total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voice_calls_total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integration_calls_total</w:t>
            </w:r>
            <w:r>
              <w:t xml:space="preserve">, short-circuits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JSON logs with request ID (</w:t>
            </w:r>
            <w:r>
              <w:rPr>
                <w:rStyle w:val="VerbatimChar"/>
              </w:rPr>
              <w:t xml:space="preserve">X-Request-Id</w:t>
            </w:r>
            <w:r>
              <w:t xml:space="preserve"> </w:t>
            </w:r>
            <w:r>
              <w:t xml:space="preserve">propagated); no PII in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review; security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 on SLO burn rate, circuit open &gt; 5 min, outbox backlog &gt; 10k or age &gt; 10 min, failed jobs, audit-chain verification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runbook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observability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Growth, economics, adoption and governance dashboards refreshed ≤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FR-100 – FR-102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(on demand)</w:t>
            </w:r>
          </w:p>
        </w:tc>
      </w:tr>
    </w:tbl>
    <w:bookmarkEnd w:id="30"/>
    <w:bookmarkStart w:id="31" w:name="Xabd7016546caf3ba4425a601e63272dc315393f"/>
    <w:p>
      <w:pPr>
        <w:pStyle w:val="Heading2"/>
      </w:pPr>
      <w:r>
        <w:t xml:space="preserve">10. Disaster recovery and backup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point objective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RPO ≤ 5 minutes</w:t>
            </w:r>
            <w:r>
              <w:t xml:space="preserve"> </w:t>
            </w:r>
            <w:r>
              <w:t xml:space="preserve">(PostgreSQL PITR with continuous WAL archiving)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restore drill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(infrastructure)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time objective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RTO ≤ 1 hour</w:t>
            </w:r>
            <w:r>
              <w:t xml:space="preserve"> </w:t>
            </w:r>
            <w:r>
              <w:t xml:space="preserve">for the purchase path; ≤ 4 hours for the full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DR exercise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full backups kept 35 days and monthly backups kept 13 months, encrypted, in a separate account or region approved under NFR-030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integrity after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hash chain verifies (</w:t>
            </w:r>
            <w:r>
              <w:rPr>
                <w:rStyle w:val="VerbatimChar"/>
              </w:rPr>
              <w:t xml:space="preserve">GET /api/audit/verify</w:t>
            </w:r>
            <w:r>
              <w:t xml:space="preserve">) after every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runbook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(verify)</w:t>
            </w:r>
          </w:p>
        </w:tc>
      </w:tr>
    </w:tbl>
    <w:bookmarkEnd w:id="31"/>
    <w:bookmarkStart w:id="32" w:name="X3d123f44329cf3c08c213e0c9e48f6cbe385f9b"/>
    <w:p>
      <w:pPr>
        <w:pStyle w:val="Heading2"/>
      </w:pPr>
      <w:r>
        <w:t xml:space="preserve">11. Portability and deployment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≥ 22.12 LTS, PostgreSQL 15+; an in-memory store for demo and tests with identical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OCI container image (non-root, read-only filesystem, health probes</w:t>
            </w:r>
            <w:r>
              <w:t xml:space="preserve"> </w:t>
            </w:r>
            <w:r>
              <w:rPr>
                <w:rStyle w:val="VerbatimChar"/>
              </w:rPr>
              <w:t xml:space="preserve">/health/live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/health/ready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scan (0 Critical)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(Dockerfile to be added)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Deployable to Kubernetes (Helm or Kustomize; CronJobs for</w:t>
            </w:r>
            <w:r>
              <w:t xml:space="preserve"> </w:t>
            </w:r>
            <w:r>
              <w:rPr>
                <w:rStyle w:val="VerbatimChar"/>
              </w:rPr>
              <w:t xml:space="preserve">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recompute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reconcile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relay</w:t>
            </w:r>
            <w:r>
              <w:t xml:space="preserve">) and to Railway or a similar PaaS for demo and UAT. Cloud-agnostic, with no proprietary managed services required.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rehearsal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(12-factor config, job CLI built; manifests planned)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12-factor: all settings from the environment; secrets via</w:t>
            </w:r>
            <w:r>
              <w:t xml:space="preserve"> </w:t>
            </w:r>
            <w:r>
              <w:rPr>
                <w:rStyle w:val="VerbatimChar"/>
              </w:rPr>
              <w:t xml:space="preserve">*_FILE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</w:tbl>
    <w:bookmarkEnd w:id="32"/>
    <w:bookmarkStart w:id="33" w:name="X022ec44514b449a74b844a093001cf87d744282"/>
    <w:p>
      <w:pPr>
        <w:pStyle w:val="Heading2"/>
      </w:pPr>
      <w:r>
        <w:t xml:space="preserve">12. Auditability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state-changing operations and all PII views audited (FR-097)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coverage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log is append-only (a DB trigger rejects UPDATE and DELETE) and hash-chained; verification runs daily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db/migrations/001_init.sql</w:t>
            </w:r>
            <w:r>
              <w:t xml:space="preserve"> </w:t>
            </w:r>
            <w:r>
              <w:t xml:space="preserve">trigger; scheduled 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Traceability of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lead evaluation can be reproduced from the rule version (ID and checksum) and facts in force at the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snapshot in</w:t>
            </w:r>
            <w:r>
              <w:t xml:space="preserve"> </w:t>
            </w:r>
            <w:r>
              <w:rPr>
                <w:rStyle w:val="VerbatimChar"/>
              </w:rPr>
              <w:t xml:space="preserve">/api/ops/status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(store rule version on the lead: planned)</w:t>
            </w:r>
          </w:p>
        </w:tc>
      </w:tr>
    </w:tbl>
    <w:bookmarkEnd w:id="33"/>
    <w:bookmarkStart w:id="34" w:name="Xc636ae67f6b67fd0b8cab5842aae3b7a1d884c5"/>
    <w:p>
      <w:pPr>
        <w:pStyle w:val="Heading2"/>
      </w:pPr>
      <w:r>
        <w:t xml:space="preserve">13. Configurability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hardcoded business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thresholds, weights, tariffs, rates, journeys, copy, consent policy, commission and retention in rule kinds, changeable by the business through maker-checker without a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 checklist; grep for numeric literals in</w:t>
            </w:r>
            <w:r>
              <w:t xml:space="preserve"> </w:t>
            </w:r>
            <w:r>
              <w:rPr>
                <w:rStyle w:val="VerbatimChar"/>
              </w:rPr>
              <w:t xml:space="preserve">src/domain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src/application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(E-05 lists the remaining literals)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rule change validated, simulated (scoring, NBA, journeys, benefits), approved by a second person, versioned and reversible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FR-083 – FR-087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time for business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 business day from request to activation for a rule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dashboard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(workflow)</w:t>
            </w:r>
          </w:p>
        </w:tc>
      </w:tr>
    </w:tbl>
    <w:bookmarkEnd w:id="34"/>
    <w:bookmarkStart w:id="35" w:name="X3e13d0e33252d10c94f18a8f75e8839a1e19f18"/>
    <w:p>
      <w:pPr>
        <w:pStyle w:val="Heading2"/>
      </w:pPr>
      <w:r>
        <w:t xml:space="preserve">14. Data retention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records 365 days (delete); profiles 1,825 days after last activity with no active policy (anonymise); voice recordings and transcripts 180 days (delete); messages 365 days (archive); orders and certificates 3,650 days (archive, financial records); audit log 3,650 days (archive, never deleted early)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job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(deletes built for source records and voice sessions; archival pipeline planned, E-09)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legal hold flag suspends deletion for named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</w:tbl>
    <w:bookmarkEnd w:id="35"/>
    <w:bookmarkStart w:id="36" w:name="X3586f93664b8551f29415e55f1bc70dbabbce10"/>
    <w:p>
      <w:pPr>
        <w:pStyle w:val="Heading2"/>
      </w:pPr>
      <w:r>
        <w:t xml:space="preserve">15. Compliance-by-design (cross-cutting)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Requirement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Verification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discount language reaches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customer messages containing</w:t>
            </w:r>
            <w:r>
              <w:t xml:space="preserve"> </w:t>
            </w:r>
            <w:r>
              <w:rPr>
                <w:rStyle w:val="VerbatimChar"/>
              </w:rPr>
              <w:t xml:space="preserve">copy_guard</w:t>
            </w:r>
            <w:r>
              <w:t xml:space="preserve"> </w:t>
            </w:r>
            <w:r>
              <w:t xml:space="preserve">phrases (validated at save and blocked at send)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messageStatus.blocked</w:t>
            </w:r>
            <w:r>
              <w:t xml:space="preserve"> </w:t>
            </w:r>
            <w:r>
              <w:t xml:space="preserve">= 0 after go-live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hygiene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marketing contacts outside 08:00–20:00 ICT or above 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log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for journeys and triggers; campaign route gap 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NFR-069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Commission 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commission lines above the statutory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Validator plus statement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</w:tr>
    </w:tbl>
    <w:bookmarkEnd w:id="36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— Non-Functional Requirements (NFR)</dc:title>
  <dc:creator>iorta TechNXT</dc:creator>
  <cp:keywords/>
  <dcterms:created xsi:type="dcterms:W3CDTF">2026-10-07T17:45:20Z</dcterms:created>
  <dcterms:modified xsi:type="dcterms:W3CDTF">2026-10-07T17:45:20Z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Business &amp; Product</vt:lpwstr>
  </property>
</Properties>
</file>