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— Commercials and Engagement Model</w:t>
      </w:r>
    </w:p>
    <w:p>
      <w:pPr>
        <w:pStyle w:val="Subtitle"/>
      </w:pPr>
      <w:r>
        <w:t xml:space="preserve">TASCO Insurance × VETC Growth Platform — Business &amp; Product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iorta TechNXT proposal to TASCO Insurance × VETC</w:t>
      </w:r>
      <w:r>
        <w:t xml:space="preserve"> </w:t>
      </w:r>
      <w:r>
        <w:t xml:space="preserve">· Version 1.0 · October 2026 · Client Confidential</w:t>
      </w:r>
    </w:p>
    <w:p>
      <w:pPr>
        <w:pStyle w:val="BlockText"/>
      </w:pPr>
      <w:r>
        <w:rPr>
          <w:bCs/>
          <w:b/>
        </w:rPr>
        <w:t xml:space="preserve">Important.</w:t>
      </w:r>
      <w:r>
        <w:t xml:space="preserve"> </w:t>
      </w:r>
      <w:r>
        <w:t xml:space="preserve">All figures in this document are</w:t>
      </w:r>
      <w:r>
        <w:t xml:space="preserve"> </w:t>
      </w:r>
      <w:r>
        <w:rPr>
          <w:bCs/>
          <w:b/>
        </w:rPr>
        <w:t xml:space="preserve">indicative</w:t>
      </w:r>
      <w:r>
        <w:t xml:space="preserve">,</w:t>
      </w:r>
      <w:r>
        <w:t xml:space="preserve"> </w:t>
      </w:r>
      <w:r>
        <w:rPr>
          <w:bCs/>
          <w:b/>
        </w:rPr>
        <w:t xml:space="preserve">subject to discovery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not a binding offer</w:t>
      </w:r>
      <w:r>
        <w:t xml:space="preserve">. They rest on the assumptions in §9 (including a blended day rate and an FX rate) and must be replaced by iorta TechNXT's formal rate card and statement of work after Phase 0. Currency: USD, with VND shown at</w:t>
      </w:r>
      <w:r>
        <w:t xml:space="preserve"> </w:t>
      </w:r>
      <w:r>
        <w:rPr>
          <w:bCs/>
          <w:b/>
        </w:rPr>
        <w:t xml:space="preserve">USD 1 = VND 26,000</w:t>
      </w:r>
      <w:r>
        <w:t xml:space="preserve"> </w:t>
      </w:r>
      <w:r>
        <w:t xml:space="preserve">(assumption C-01). VAT and withholding taxes are excluded.</w:t>
      </w:r>
    </w:p>
    <w:p>
      <w:r>
        <w:pict>
          <v:rect style="width:0;height:1.5pt" o:hralign="center" o:hrstd="t" o:hr="t"/>
        </w:pict>
      </w:r>
    </w:p>
    <w:bookmarkStart w:id="20" w:name="X68d09df303ff8197fee9bc6b3286bb67b42d8b0"/>
    <w:p>
      <w:pPr>
        <w:pStyle w:val="Heading2"/>
      </w:pPr>
      <w:r>
        <w:t xml:space="preserve">1. Engagement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the TASCO × VETC Growth Platform from a working codebase to a</w:t>
            </w:r>
            <w:r>
              <w:t xml:space="preserve"> </w:t>
            </w:r>
            <w:r>
              <w:rPr>
                <w:bCs/>
                <w:b/>
              </w:rPr>
              <w:t xml:space="preserve">live pilot in 8–10 weeks</w:t>
            </w:r>
            <w:r>
              <w:t xml:space="preserve">, then scale to the full 6 M-vehicle base and run it as a managed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Starting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platform: 73 API routes, rules-driven lead intelligence, journeys, voice bot dialogue engine, sales and issuance, partner API, rules governance, audit and privacy controls (doc 02 status: 97 of 110 FRs built or built with a noted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Discovery</w:t>
            </w:r>
            <w:r>
              <w:t xml:space="preserve"> </w:t>
            </w:r>
            <w:r>
              <w:t xml:space="preserve">(2 weeks) →</w:t>
            </w:r>
            <w:r>
              <w:t xml:space="preserve"> </w:t>
            </w:r>
            <w:r>
              <w:rPr>
                <w:bCs/>
                <w:b/>
              </w:rPr>
              <w:t xml:space="preserve">1 MVP and pilot</w:t>
            </w:r>
            <w:r>
              <w:t xml:space="preserve"> </w:t>
            </w:r>
            <w:r>
              <w:t xml:space="preserve">(8–10 weeks) →</w:t>
            </w:r>
            <w:r>
              <w:t xml:space="preserve"> </w:t>
            </w:r>
            <w:r>
              <w:rPr>
                <w:bCs/>
                <w:b/>
              </w:rPr>
              <w:t xml:space="preserve">2 Scale</w:t>
            </w:r>
            <w:r>
              <w:t xml:space="preserve"> </w:t>
            </w:r>
            <w:r>
              <w:t xml:space="preserve">(about 6 months) →</w:t>
            </w:r>
            <w:r>
              <w:t xml:space="preserve"> </w:t>
            </w:r>
            <w:r>
              <w:rPr>
                <w:bCs/>
                <w:b/>
              </w:rPr>
              <w:t xml:space="preserve">3 Run and optimise</w:t>
            </w:r>
            <w:r>
              <w:t xml:space="preserve"> </w:t>
            </w:r>
            <w:r>
              <w:t xml:space="preserve">(managed service)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</w:t>
            </w:r>
            <w:r>
              <w:t xml:space="preserve"> </w:t>
            </w:r>
            <w:r>
              <w:t xml:space="preserve">Fixed-price MVP + T&amp;M scale + managed service ·</w:t>
            </w:r>
            <w:r>
              <w:t xml:space="preserve"> </w:t>
            </w:r>
            <w:r>
              <w:rPr>
                <w:bCs/>
                <w:b/>
              </w:rPr>
              <w:t xml:space="preserve">B.</w:t>
            </w:r>
            <w:r>
              <w:t xml:space="preserve"> </w:t>
            </w:r>
            <w:r>
              <w:t xml:space="preserve">Outcome-linked: reduced fixed fee + per-transaction success fee (capped)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Indicative 3-year TCO (Option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USD 1.80 M (≈ VND 46.8 bn)</w:t>
            </w:r>
            <w:r>
              <w:t xml:space="preserve">, including cloud infrastructure; excludes pass-through usage fees and TASCO/VETC internal costs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ec2a2853d6e9ff076fe0c6a565d78b8275aafc0"/>
    <w:p>
      <w:pPr>
        <w:pStyle w:val="Heading2"/>
      </w:pPr>
      <w:r>
        <w:t xml:space="preserve">2. Phases, scope and deliverables</w:t>
      </w:r>
    </w:p>
    <w:p>
      <w:pPr>
        <w:pStyle w:val="FirstParagraph"/>
      </w:pPr>
      <w:r>
        <w:drawing>
          <wp:inline>
            <wp:extent cx="6119999" cy="93297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business__07-commercials-and-engagement-model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932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Scope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Key deliverables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Exit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mapping (VETC accounts, partner lists, TASCO core); legal confirmations (tariff, commission caps, contact policy, PDP, data residency); integration contracts; pilot design with a control group; voice-vendor bake-off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report; signed integration specs; pilot plan; baselined KPIs (doc 01 §11); refined SOW and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committee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MVP and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adapters for VETC wallet, TASCO core policy admin, VETC push, Zalo ZNS, SMS brandname and one voice-AI vendor; VETC data onboarding; staff console and customer app; security hardening; UAT; pilot for 50k–100k vehicles in 1–2 provinces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Production-ready release; runbooks; trained users; pilot dashboard; security test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sign-off; go-live; 30 days hypercare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6 M base with incremental ingestion; Zalo mini app; VETC SSO; live VETC event feed; inspection booking; auto-renew opt-in; fleet dashboard and consolidated invoice; loyalty (if approved); ML score calibration; A/B testing; fixes for engineering notes E-01 –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Scaled platform; experimentation framework; fleet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review against the base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service: L2/L3 support, SRE, security patching, rule-change support, quarterly enhancement releases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service report; quarterly business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compliance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Xe2338e288e93ddc8a74a35f17f8d9b2bc222e7e"/>
    <w:p>
      <w:pPr>
        <w:pStyle w:val="Heading2"/>
      </w:pPr>
      <w:r>
        <w:t xml:space="preserve">3. Team composition and effort</w:t>
      </w:r>
    </w:p>
    <w:bookmarkStart w:id="25" w:name="Xb2c153ce14708fa3bcfe5b668febcedeac37a4f"/>
    <w:p>
      <w:pPr>
        <w:pStyle w:val="Heading3"/>
      </w:pPr>
      <w:r>
        <w:t xml:space="preserve">3.1 Phase 0 and Phase 1 (MVP)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Phase 0 (FTE)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Phase 1 (FTE)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Engagement lead / delivery manager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Governance, risk, steering, commercial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 proxy / business analyst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Backlog, acceptance criteria (doc 04), 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design, NFRs, security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UX/UI designer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and app UX, WCAG 2.2 AA, Vietnamese copy with TASCO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engineers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Adapters, scale, fixes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engineers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console and customer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and partner data onboarding, MDM tuning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calibration, pilot measurement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Conversation (voice) designer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Vietnamese bot script, ASR tuning with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automation engineers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Unit, integration, API, security and performance suites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/ SRE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CI/CD, K8s, observability, 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ASVS L2 verification, pentest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13.75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weeks (10 days)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weeks (50 days)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Effort (person-days)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687.5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727.5 total</w:t>
            </w:r>
          </w:p>
        </w:tc>
      </w:tr>
    </w:tbl>
    <w:bookmarkEnd w:id="25"/>
    <w:bookmarkStart w:id="26" w:name="X1259401e879dbf7b7c2acd67277ceccb8cc2a12"/>
    <w:p>
      <w:pPr>
        <w:pStyle w:val="Heading3"/>
      </w:pPr>
      <w:r>
        <w:t xml:space="preserve">3.2 Phase 2 (Scale) and Phase 3 (Run)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Phase 2 FTE (~26 weeks)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Phase 3 FTE (ongoing)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Engagement lead / service manager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analyst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architect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engineers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engineers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rules analyst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automation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DevOps / SRE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Effort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1,300 person-days</w:t>
            </w:r>
            <w:r>
              <w:t xml:space="preserve"> </w:t>
            </w:r>
            <w:r>
              <w:t xml:space="preserve">(130 days)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84 person-days per month</w:t>
            </w:r>
          </w:p>
        </w:tc>
      </w:tr>
    </w:tbl>
    <w:bookmarkEnd w:id="26"/>
    <w:bookmarkStart w:id="27" w:name="X9d1de0f27bae627ca9d5efec84c2086e158ddf4"/>
    <w:p>
      <w:pPr>
        <w:pStyle w:val="Heading3"/>
      </w:pPr>
      <w:r>
        <w:t xml:space="preserve">3.3 Client-side commitments (not priced)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TASCO / VETC role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Commitment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product owner (TASCO)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FTE in Phases 0–2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VETC data and integration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FTE in Phases 0–1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Underwriting, finance, legal reviewers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Sign-off on tariffs, commission caps, copy, consent and PDP within agreed SLAs (≤ 5 business 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Telesales team lead and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and pilot participation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Pentest scope, access approvals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X4bd7a78bcec1a652c7fbcbb53ee79cb43cc7f89"/>
    <w:p>
      <w:pPr>
        <w:pStyle w:val="Heading2"/>
      </w:pPr>
      <w:r>
        <w:t xml:space="preserve">4. Indicative commercial models</w:t>
      </w:r>
    </w:p>
    <w:bookmarkStart w:id="29" w:name="X3078e60a2bda68334bf52e22d7f3e34a6b2aec3"/>
    <w:p>
      <w:pPr>
        <w:pStyle w:val="Heading3"/>
      </w:pPr>
      <w:r>
        <w:t xml:space="preserve">4.1 Option A: Fixed-price MVP + T&amp;M scale + managed service (recommended)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Basis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Indicative price (USD)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≈ VND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 + Phase 1 (fixed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727.5 person-days × USD 320 = USD 232,800, plus 10% delivery-risk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6.66 bn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(time and materials, capped)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 person-days × USD 320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≤ 416,000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10.82 bn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3 managed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FTE × 21 days × USD 280 (run rate)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23,520 / month</w:t>
            </w:r>
            <w:r>
              <w:t xml:space="preserve"> </w:t>
            </w:r>
            <w:r>
              <w:t xml:space="preserve">(282,240 /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 bn /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Enhancement pool (Phase 3, 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Drawdown at the T&amp;M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 / year (budgetary)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 bn</w:t>
            </w:r>
          </w:p>
        </w:tc>
      </w:tr>
    </w:tbl>
    <w:bookmarkEnd w:id="29"/>
    <w:bookmarkStart w:id="30" w:name="X59ebb3f615b63c28807ed1bd57684952004a1d5"/>
    <w:p>
      <w:pPr>
        <w:pStyle w:val="Heading3"/>
      </w:pPr>
      <w:r>
        <w:t xml:space="preserve">4.2 Option B: Outcome-linked</w:t>
      </w:r>
    </w:p>
    <w:p>
      <w:pPr>
        <w:pStyle w:val="FirstParagraph"/>
      </w:pPr>
      <w:r>
        <w:t xml:space="preserve">Aligns iorta TechNXT's reward with policies issued through the platform.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Basis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Indicative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 + 1 fixed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of the Option A fixed price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 179,200</w:t>
            </w:r>
            <w:r>
              <w:t xml:space="preserve"> </w:t>
            </w:r>
            <w:r>
              <w:t xml:space="preserve">(VND 4.66 bn)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 fee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VND 15,000 per successful digital policy transaction</w:t>
            </w:r>
            <w:r>
              <w:t xml:space="preserve"> </w:t>
            </w:r>
            <w:r>
              <w:t xml:space="preserve">(own channels + partner API) during the pilot and the following 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</w:t>
            </w:r>
            <w:r>
              <w:t xml:space="preserve"> </w:t>
            </w:r>
            <w:r>
              <w:rPr>
                <w:bCs/>
                <w:b/>
              </w:rPr>
              <w:t xml:space="preserve">USD 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and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Option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Option A</w:t>
            </w:r>
          </w:p>
        </w:tc>
      </w:tr>
    </w:tbl>
    <w:p>
      <w:pPr>
        <w:pStyle w:val="BodyText"/>
      </w:pPr>
      <w:r>
        <w:rPr>
          <w:bCs/>
          <w:b/>
        </w:rPr>
        <w:t xml:space="preserve">Illustrative success fee using doc 01 §12 policy volumes (year 1 at scale):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Scenario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Policies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Success fee (VND)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≈ USD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vs Option A fixed-fee saving (USD 76,800)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 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saves about USD 45k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 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neutral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262,132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 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iorta earns about USD 74k more</w:t>
            </w:r>
          </w:p>
        </w:tc>
      </w:tr>
    </w:tbl>
    <w:p>
      <w:pPr>
        <w:pStyle w:val="BlockText"/>
      </w:pPr>
      <w:r>
        <w:rPr>
          <w:bCs/>
          <w:b/>
        </w:rPr>
        <w:t xml:space="preserve">Legal note (confirm with TASCO legal).</w:t>
      </w:r>
      <w:r>
        <w:t xml:space="preserve"> </w:t>
      </w:r>
      <w:r>
        <w:t xml:space="preserve">The success fee must be structured as a</w:t>
      </w:r>
      <w:r>
        <w:t xml:space="preserve"> </w:t>
      </w:r>
      <w:r>
        <w:rPr>
          <w:bCs/>
          <w:b/>
        </w:rPr>
        <w:t xml:space="preserve">technology service fee per processed transaction</w:t>
      </w:r>
      <w:r>
        <w:t xml:space="preserve">, not as an insurance commission or brokerage fee. Under the Law on Insurance Business 08/2022/QH15, commission may be paid only to licensed intermediaries. The fee must not be passed on as, or create, any premium inducement to customers.</w:t>
      </w:r>
    </w:p>
    <w:bookmarkEnd w:id="30"/>
    <w:bookmarkStart w:id="31" w:name="X9fb44737735f4a97031080c9677ef2f1297b847"/>
    <w:p>
      <w:pPr>
        <w:pStyle w:val="Heading3"/>
      </w:pPr>
      <w:r>
        <w:t xml:space="preserve">4.3 Option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Criterion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Option A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Option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certainty for TASCO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(fixed MVP, capped T&amp;M)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(fee varies with volume, capped)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risk on outcomes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Upfront 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lower in Phases 0–1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Administrative 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monthly transaction reconciliation (provided by the platform:</w:t>
            </w:r>
            <w:r>
              <w:t xml:space="preserve"> </w:t>
            </w:r>
            <w:r>
              <w:rPr>
                <w:rStyle w:val="VerbatimChar"/>
              </w:rPr>
              <w:t xml:space="preserve">GET /api/dashboard/overview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sales.byChannel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approved, priority on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case uncertain, priority on aligned incentives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X25d8e5b9d67d5374d4c9ec667327bdcbb5b9f56"/>
    <w:p>
      <w:pPr>
        <w:pStyle w:val="Heading2"/>
      </w:pPr>
      <w:r>
        <w:t xml:space="preserve">5. Payment milestones (Phase 0 + 1, fixed price)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Milestone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Trigger / acceptance evidence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%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Option A (USD)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Option B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 Mobilisation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signature, team onboarded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 Discovery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 report and pilot plan signed (Phase 0 exit)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Integrated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demo on integration sandboxes: wallet debit, TASCO issuance, ZNS send, bot call (week 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UAT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stories in scope accepted (doc 04); security test with 0 open High/Critical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 Pilot live + hypercare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Go-live plus 30 days within SLO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256,000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179,200</w:t>
            </w:r>
          </w:p>
        </w:tc>
      </w:tr>
    </w:tbl>
    <w:p>
      <w:pPr>
        <w:pStyle w:val="BodyText"/>
      </w:pPr>
      <w:r>
        <w:t xml:space="preserve">Phase 2 is invoiced monthly in arrears against timesheets, up to the cap. Phase 3 is invoiced monthly in advance. Option B success fees are invoiced quarterly from platform transaction reports.</w:t>
      </w:r>
    </w:p>
    <w:p>
      <w:r>
        <w:pict>
          <v:rect style="width:0;height:1.5pt" o:hralign="center" o:hrstd="t" o:hr="t"/>
        </w:pict>
      </w:r>
    </w:p>
    <w:bookmarkEnd w:id="33"/>
    <w:bookmarkStart w:id="34" w:name="Xf5082e5a661ed9041102afd4a5e8ee18dde5860"/>
    <w:p>
      <w:pPr>
        <w:pStyle w:val="Heading2"/>
      </w:pPr>
      <w:r>
        <w:t xml:space="preserve">6. Run-cost estimate (cloud infrastructure)</w:t>
      </w:r>
    </w:p>
    <w:p>
      <w:pPr>
        <w:pStyle w:val="FirstParagraph"/>
      </w:pPr>
      <w:r>
        <w:t xml:space="preserve">Assumptions: Kubernetes (managed) plus managed PostgreSQL, in a hosting location approved by TASCO legal (NFR-030; possibly a Vietnamese cloud provider). Prices are indicative list-price equivalents; the provider is chosen in Phase 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Component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Pilot / Y1 (USD per month)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Full scale Y2+ (USD per month)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Sizing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nodes (K8s)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6 nodes × 4 vCPU / 16 GB; API, journey and ingestion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(HA primary + standby)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vCPU / 32 GB → 16 vCPU / 64 GB + read replica for reporting; 1–2 TB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 and object storage (PITR, 35 days)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NFR-051 – NFR-053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balancer, WAF, egress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rate limiting (E-15) at the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(metrics, logs, traces)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NFR-047 – NFR-049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Non-production (dev, SIT/UAT, on-demand performance)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data only (NFR-033)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Secrets, KMS, miscellaneous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keys and rotation (NFR-023)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infrastructure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 4,000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 6,000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 48,000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 72,000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Usage-based pass-through (not in TCO; paid by TASCO/VETC to providers).</w:t>
      </w:r>
      <w:r>
        <w:t xml:space="preserve"> </w:t>
      </w:r>
      <w:r>
        <w:t xml:space="preserve">The rates come from</w:t>
      </w:r>
      <w:r>
        <w:t xml:space="preserve"> </w:t>
      </w:r>
      <w:r>
        <w:rPr>
          <w:rStyle w:val="VerbatimChar"/>
        </w:rPr>
        <w:t xml:space="preserve">config/rules/costs.json</w:t>
      </w:r>
      <w:r>
        <w:t xml:space="preserve">; volumes are the doc 01 base case.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Unit cost (VND)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Base-case volume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Annual (VND)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Voice-AI minutes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 / min × 1.6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497,250 calls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1.19 bn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Zalo ZNS + SMS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 / 700 per message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sends × 2.8 M profiles (mix)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2.24 bn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push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Telesales (internal staff 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 / min × 4.5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50,000 calls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1.35 bn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dc99d59dd1a9e3f6fb7e8899169aa76169a14c7"/>
    <w:p>
      <w:pPr>
        <w:pStyle w:val="Heading2"/>
      </w:pPr>
      <w:r>
        <w:t xml:space="preserve">7. Total cost of ownership (Option A, indicative)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Year 1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Year 2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Year 3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Year 4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Year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0 + 1 fixed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scale (T&amp;M cap)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70,560 (3 months)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282,240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282,240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299,428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Enhancement 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159,135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infrastructure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76,385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790,560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504,240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504,240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519,367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534,948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≈ VND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 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13.11 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13.11 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 bn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 bn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Horizon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TCO (USD)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right"/>
            </w:pPr>
            <w:r>
              <w:rPr>
                <w:b/>
                <w:color w:val="FFFFFF"/>
              </w:rPr>
              <w:t xml:space="preserve">≈ VND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3-year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1,799,040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46.78 bn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5-year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2,853,355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74.19 bn</w:t>
            </w:r>
          </w:p>
        </w:tc>
      </w:tr>
    </w:tbl>
    <w:p>
      <w:pPr>
        <w:pStyle w:val="BodyText"/>
      </w:pPr>
      <w:r>
        <w:t xml:space="preserve">Years 4–5 include 3% annual escalation. Under Option B, year-1 cost falls by USD 76,800 and the success fee (capped at USD 200,000) is added.</w:t>
      </w:r>
    </w:p>
    <w:p>
      <w:pPr>
        <w:pStyle w:val="BodyText"/>
      </w:pPr>
      <w:r>
        <w:rPr>
          <w:bCs/>
          <w:b/>
        </w:rPr>
        <w:t xml:space="preserve">Context against the business case (doc 01 §12, illustrative).</w:t>
      </w:r>
      <w:r>
        <w:t xml:space="preserve"> </w:t>
      </w:r>
      <w:r>
        <w:t xml:space="preserve">In the base case, year-2 platform cost (USD 0.50 M ≈ VND 13.1 bn) is about</w:t>
      </w:r>
      <w:r>
        <w:t xml:space="preserve"> </w:t>
      </w:r>
      <w:r>
        <w:rPr>
          <w:bCs/>
          <w:b/>
        </w:rPr>
        <w:t xml:space="preserve">15%</w:t>
      </w:r>
      <w:r>
        <w:t xml:space="preserve"> </w:t>
      </w:r>
      <w:r>
        <w:t xml:space="preserve">of total premium through the platform (VND 86.3 bn). The pilot's control group must confirm incrementality before scale-up (doc 01 §12.4).</w:t>
      </w:r>
    </w:p>
    <w:p>
      <w:r>
        <w:pict>
          <v:rect style="width:0;height:1.5pt" o:hralign="center" o:hrstd="t" o:hr="t"/>
        </w:pict>
      </w:r>
    </w:p>
    <w:bookmarkEnd w:id="35"/>
    <w:bookmarkStart w:id="36" w:name="X29b42ef9e9816151991a2f28448662c0602a3fe"/>
    <w:p>
      <w:pPr>
        <w:pStyle w:val="Heading2"/>
      </w:pPr>
      <w:r>
        <w:t xml:space="preserve">8. Governance and ways of 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Forum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Cadence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Participants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Steering committee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and VETC executives, iorta engagement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 budget, KPI review, phase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council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Fortnightly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product owner, VETC lead, iorta BA and architect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priority, rule-change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2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owner, key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against doc 04 acceptance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owner, engagement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changes → impact on price and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approver (PS-05)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Copy, consent, PDP, audit evidence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Delivery approach.</w:t>
      </w:r>
      <w:r>
        <w:t xml:space="preserve"> </w:t>
      </w:r>
      <w:r>
        <w:t xml:space="preserve">Two-week sprints. Definition of done = acceptance criteria met, tests at NFR-042 thresholds, lint clean, OpenAPI updated, security checks passed. Business rule changes after go-live go through the</w:t>
      </w:r>
      <w:r>
        <w:t xml:space="preserve"> </w:t>
      </w:r>
      <w:r>
        <w:rPr>
          <w:bCs/>
          <w:b/>
        </w:rPr>
        <w:t xml:space="preserve">rules studio</w:t>
      </w:r>
      <w:r>
        <w:t xml:space="preserve"> </w:t>
      </w:r>
      <w:r>
        <w:t xml:space="preserve">(maker-checker) and do not need a release.</w:t>
      </w:r>
    </w:p>
    <w:p>
      <w:pPr>
        <w:pStyle w:val="BodyText"/>
      </w:pPr>
      <w:r>
        <w:rPr>
          <w:bCs/>
          <w:b/>
        </w:rPr>
        <w:t xml:space="preserve">Managed-service SLAs (Phase 3, indicative):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Example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Response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Restore / workaround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Purchase path down; data breach suspected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(24×7)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Journey run failing; one integration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business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Non-critical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Enhancement or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business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f0e84fbc24061432f3671343bf60d40f0e14ddf"/>
    <w:p>
      <w:pPr>
        <w:pStyle w:val="Heading2"/>
      </w:pPr>
      <w:r>
        <w:t xml:space="preserve">9.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 USD 1 = VND 26,000. Prices are quoted in USD; invoicing currency to be agreed.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Blended day rate USD 320 for build phases and USD 280 for run.</w:t>
            </w:r>
            <w:r>
              <w:t xml:space="preserve"> </w:t>
            </w:r>
            <w:r>
              <w:rPr>
                <w:bCs/>
                <w:b/>
              </w:rPr>
              <w:t xml:space="preserve">Placeholder</w:t>
            </w:r>
            <w:r>
              <w:t xml:space="preserve"> </w:t>
            </w:r>
            <w:r>
              <w:t xml:space="preserve">until replaced by the iorta TechNXT rate card.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FTE-week = 5 person-days; 1 month = 21 person-days.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VETC and TASCO provide integration sandboxes (wallet, core policy admin, push, ZNS, SMS) by the end of Phase 0 week 2, and production credentials by week 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voice-AI vendor (SIP + Vietnamese ASR/TTS) is selected in Phase 0 and contracted directly by TASCO/VETC. Per-minute costs are pass-through.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pilot cohort is 50k–100k vehicles in 1–2 provinces, with a randomised control group.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TASCO legal confirms tariff, commission caps, contact policy, PDP basis and data residency in Phase 0. Delays move milestones day for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on a managed Kubernetes + PostgreSQL platform chosen in Phase 0. Infrastructure is billed at cost to TASCO, or passed through.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existing codebase is the baseline. Engineering notes E-01 – E-22 (doc 05) are fixed within Phases 1–2 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acceptance is against doc 04 acceptance criteria for in-scope stories.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and Vietnamese UI. Customer copy is written or approved by TASCO/VETC.</w:t>
            </w:r>
          </w:p>
        </w:tc>
      </w:tr>
    </w:tbl>
    <w:bookmarkEnd w:id="37"/>
    <w:bookmarkStart w:id="38" w:name="Xc45742fdadce7c3cebf9b63af96500dd19b3591"/>
    <w:p>
      <w:pPr>
        <w:pStyle w:val="Heading2"/>
      </w:pPr>
      <w:r>
        <w:t xml:space="preserve">10. Exclusions</w:t>
      </w:r>
    </w:p>
    <w:p>
      <w:pPr>
        <w:numPr>
          <w:ilvl w:val="0"/>
          <w:numId w:val="1001"/>
        </w:numPr>
        <w:pStyle w:val="Compact"/>
      </w:pPr>
      <w:r>
        <w:t xml:space="preserve">Licences and usage fees of third-party services: voice-AI minutes, Zalo OA/ZNS, SMS brandname, push providers, cloud marketplace items.</w:t>
      </w:r>
    </w:p>
    <w:p>
      <w:pPr>
        <w:numPr>
          <w:ilvl w:val="0"/>
          <w:numId w:val="1001"/>
        </w:numPr>
        <w:pStyle w:val="Compact"/>
      </w:pPr>
      <w:r>
        <w:t xml:space="preserve">Changes inside TASCO core policy administration, VETC app native code, VETC wallet or the VETC identity provider, beyond consuming their APIs.</w:t>
      </w:r>
    </w:p>
    <w:p>
      <w:pPr>
        <w:numPr>
          <w:ilvl w:val="0"/>
          <w:numId w:val="1001"/>
        </w:numPr>
        <w:pStyle w:val="Compact"/>
      </w:pPr>
      <w:r>
        <w:t xml:space="preserve">Claims adjudication, reserving, reinsurance and finance-system integration (accounting entries, VAT e-invoicing beyond the consolidated-invoice feature).</w:t>
      </w:r>
    </w:p>
    <w:p>
      <w:pPr>
        <w:numPr>
          <w:ilvl w:val="0"/>
          <w:numId w:val="1001"/>
        </w:numPr>
        <w:pStyle w:val="Compact"/>
      </w:pPr>
      <w:r>
        <w:t xml:space="preserve">Third-party penetration test fees (indicatively USD 15k–25k per year), certification or audit fees.</w:t>
      </w:r>
    </w:p>
    <w:p>
      <w:pPr>
        <w:numPr>
          <w:ilvl w:val="0"/>
          <w:numId w:val="1001"/>
        </w:numPr>
        <w:pStyle w:val="Compact"/>
      </w:pPr>
      <w:r>
        <w:t xml:space="preserve">Data migration of historical TASCO policy archives beyond the expiry-relevant fields.</w:t>
      </w:r>
    </w:p>
    <w:p>
      <w:pPr>
        <w:numPr>
          <w:ilvl w:val="0"/>
          <w:numId w:val="1001"/>
        </w:numPr>
        <w:pStyle w:val="Compact"/>
      </w:pPr>
      <w:r>
        <w:t xml:space="preserve">Legal, actuarial or regulatory advice. The platform encodes TASCO's decisions; it does not make them.</w:t>
      </w:r>
    </w:p>
    <w:p>
      <w:pPr>
        <w:numPr>
          <w:ilvl w:val="0"/>
          <w:numId w:val="1001"/>
        </w:numPr>
        <w:pStyle w:val="Compact"/>
      </w:pPr>
      <w:r>
        <w:t xml:space="preserve">Hardware, on-premise hosting, or 24×7 coverage for P2–P4 (available on request).</w:t>
      </w:r>
    </w:p>
    <w:p>
      <w:pPr>
        <w:numPr>
          <w:ilvl w:val="0"/>
          <w:numId w:val="1001"/>
        </w:numPr>
        <w:pStyle w:val="Compact"/>
      </w:pPr>
      <w:r>
        <w:t xml:space="preserve">Marketing spend, call-centre staffing and customer-communication costs.</w:t>
      </w:r>
    </w:p>
    <w:bookmarkEnd w:id="38"/>
    <w:bookmarkStart w:id="39" w:name="X15497b16cc5bbff0e5417f2504503498185719f"/>
    <w:p>
      <w:pPr>
        <w:pStyle w:val="Heading2"/>
      </w:pPr>
      <w:r>
        <w:t xml:space="preserve">11. Key commercial risks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Risk</w:t>
            </w:r>
          </w:p>
        </w:tc>
        <w:tc>
          <w:tcPr>
            <w:shd w:val="clear" w:color="auto" w:fill="213368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sandboxes 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adapters already exist (</w:t>
            </w:r>
            <w:r>
              <w:rPr>
                <w:rStyle w:val="VerbatimChar"/>
              </w:rPr>
              <w:t xml:space="preserve">mockGateways.js</w:t>
            </w:r>
            <w:r>
              <w:t xml:space="preserve">); milestone M2 relies on them; time-and-materials buffer agreed in the SOW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confirmations late (PDP, copy, loyalty)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defaults in rules; items gated (</w:t>
            </w:r>
            <w:r>
              <w:rPr>
                <w:rStyle w:val="VerbatimChar"/>
              </w:rPr>
              <w:t xml:space="preserve">legalStatus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referral.enabled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growth (fleet portal, loyalty)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capped T&amp;M; change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fee disputes (Option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computed from the platform's audited order records (</w:t>
            </w:r>
            <w:r>
              <w:rPr>
                <w:rStyle w:val="VerbatimChar"/>
              </w:rPr>
              <w:t xml:space="preserve">order.completed</w:t>
            </w:r>
            <w:r>
              <w:t xml:space="preserve"> </w:t>
            </w:r>
            <w:r>
              <w:t xml:space="preserve">audit entries, hash-chained)</w:t>
            </w:r>
          </w:p>
        </w:tc>
      </w:tr>
    </w:tbl>
    <w:bookmarkEnd w:id="39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color w:val="121A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color w:val="121A33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color w:val="121A33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color w:val="121A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213368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color w:val="121A33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— Commercials and Engagement Model</dc:title>
  <dc:creator>iorta TechNXT</dc:creator>
  <cp:keywords/>
  <dcterms:created xsi:type="dcterms:W3CDTF">2026-10-07T17:45:22Z</dcterms:created>
  <dcterms:modified xsi:type="dcterms:W3CDTF">2026-10-07T17:45:22Z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Business &amp; Product</vt:lpwstr>
  </property>
</Properties>
</file>