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Risk Register</w:t>
      </w:r>
    </w:p>
    <w:p>
      <w:pPr>
        <w:pStyle w:val="Subtitle"/>
      </w:pPr>
      <w:r>
        <w:t xml:space="preserve">TASCO Insurance × VETC Growth Platform — Delivery &amp; Change</w:t>
      </w:r>
    </w:p>
    <w:p>
      <w:pPr>
        <w:pStyle w:val="Author"/>
      </w:pPr>
      <w:r>
        <w:t xml:space="preserve">iorta TechNXT</w:t>
      </w:r>
    </w:p>
    <w:p>
      <w:pPr>
        <w:pStyle w:val="Date"/>
      </w:pPr>
      <w:r>
        <w:t xml:space="preserve">Version 1.0 · 07 October 2026</w:t>
      </w:r>
    </w:p>
    <w:p>
      <w:pPr>
        <w:pStyle w:val="FirstParagraph"/>
      </w:pPr>
      <w:r>
        <w:rPr>
          <w:bCs/>
          <w:b/>
        </w:rPr>
        <w:t xml:space="preserve">Scoring:</w:t>
      </w:r>
      <w:r>
        <w:t xml:space="preserve"> </w:t>
      </w:r>
      <w:r>
        <w:t xml:space="preserve">Likelihood (L) 1–5 × Impact (I) 1–5 = Score (S).</w:t>
      </w:r>
      <w:r>
        <w:t xml:space="preserve"> </w:t>
      </w:r>
      <w:r>
        <w:rPr>
          <w:bCs/>
          <w:b/>
        </w:rPr>
        <w:t xml:space="preserve">Rating:</w:t>
      </w:r>
      <w:r>
        <w:t xml:space="preserve"> </w:t>
      </w:r>
      <w:r>
        <w:t xml:space="preserve">1–6 Low · 8–12 Medium · 15–25 High.</w:t>
      </w:r>
      <w:r>
        <w:t xml:space="preserve"> </w:t>
      </w:r>
      <w:r>
        <w:rPr>
          <w:bCs/>
          <w:b/>
        </w:rPr>
        <w:t xml:space="preserve">Status values:</w:t>
      </w:r>
      <w:r>
        <w:t xml:space="preserve"> </w:t>
      </w:r>
      <w:r>
        <w:t xml:space="preserve">Open · Mitigating · Monitoring · Closed.</w:t>
      </w:r>
    </w:p>
    <w:p>
      <w:pPr>
        <w:pStyle w:val="BodyText"/>
      </w:pPr>
      <w:r>
        <w:t xml:space="preserve">The register is reviewed weekly by the Delivery Lead and PO, and the top 10 go to every Steering Committee. Owners are named roles; see</w:t>
      </w:r>
      <w:r>
        <w:t xml:space="preserve"> </w:t>
      </w:r>
      <w:hyperlink r:id="rId20">
        <w:r>
          <w:rPr>
            <w:rStyle w:val="Hyperlink"/>
          </w:rPr>
          <w:t xml:space="preserve">raci.md</w:t>
        </w:r>
      </w:hyperlink>
      <w:r>
        <w:t xml:space="preserve"> </w:t>
      </w:r>
      <w:r>
        <w:t xml:space="preserve">for the party codes.</w:t>
      </w:r>
    </w:p>
    <w:bookmarkStart w:id="21" w:name="heat-map-current-scores"/>
    <w:p>
      <w:pPr>
        <w:pStyle w:val="Heading2"/>
      </w:pPr>
      <w:r>
        <w:t xml:space="preserve">Heat map (current scores)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blHeader w:val="true"/>
        </w:trPr>
        <w:tc>
          <w:tcPr>
            <w:shd w:val="clear" w:color="auto" w:fill="213368"/>
          </w:tcPr>
          <w:p>
            <w:pPr>
              <w:pStyle w:val="Compact"/>
              <w:jc w:val="left"/>
            </w:pPr>
            <w:r>
              <w:rPr>
                <w:b/>
                <w:color w:val="FFFFFF"/>
              </w:rPr>
              <w:t xml:space="preserve">L \ I</w:t>
            </w:r>
          </w:p>
        </w:tc>
        <w:tc>
          <w:tcPr>
            <w:shd w:val="clear" w:color="auto" w:fill="213368"/>
          </w:tcPr>
          <w:p>
            <w:pPr>
              <w:pStyle w:val="Compact"/>
              <w:jc w:val="left"/>
            </w:pPr>
            <w:r>
              <w:rPr>
                <w:b/>
                <w:color w:val="FFFFFF"/>
              </w:rPr>
              <w:t xml:space="preserve">1</w:t>
            </w:r>
          </w:p>
        </w:tc>
        <w:tc>
          <w:tcPr>
            <w:shd w:val="clear" w:color="auto" w:fill="213368"/>
          </w:tcPr>
          <w:p>
            <w:pPr>
              <w:pStyle w:val="Compact"/>
              <w:jc w:val="left"/>
            </w:pPr>
            <w:r>
              <w:rPr>
                <w:b/>
                <w:color w:val="FFFFFF"/>
              </w:rPr>
              <w:t xml:space="preserve">2</w:t>
            </w:r>
          </w:p>
        </w:tc>
        <w:tc>
          <w:tcPr>
            <w:shd w:val="clear" w:color="auto" w:fill="213368"/>
          </w:tcPr>
          <w:p>
            <w:pPr>
              <w:pStyle w:val="Compact"/>
              <w:jc w:val="left"/>
            </w:pPr>
            <w:r>
              <w:rPr>
                <w:b/>
                <w:color w:val="FFFFFF"/>
              </w:rPr>
              <w:t xml:space="preserve">3</w:t>
            </w:r>
          </w:p>
        </w:tc>
        <w:tc>
          <w:tcPr>
            <w:shd w:val="clear" w:color="auto" w:fill="213368"/>
          </w:tcPr>
          <w:p>
            <w:pPr>
              <w:pStyle w:val="Compact"/>
              <w:jc w:val="left"/>
            </w:pPr>
            <w:r>
              <w:rPr>
                <w:b/>
                <w:color w:val="FFFFFF"/>
              </w:rPr>
              <w:t xml:space="preserve">4</w:t>
            </w:r>
          </w:p>
        </w:tc>
        <w:tc>
          <w:tcPr>
            <w:shd w:val="clear" w:color="auto" w:fill="213368"/>
          </w:tcPr>
          <w:p>
            <w:pPr>
              <w:pStyle w:val="Compact"/>
              <w:jc w:val="left"/>
            </w:pPr>
            <w:r>
              <w:rPr>
                <w:b/>
                <w:color w:val="FFFFFF"/>
              </w:rPr>
              <w:t xml:space="preserve">5</w:t>
            </w:r>
          </w:p>
        </w:tc>
      </w:tr>
      <w:tr>
        <w:tc>
          <w:tcPr/>
          <w:p>
            <w:pPr>
              <w:pStyle w:val="Compact"/>
              <w:jc w:val="left"/>
            </w:pPr>
            <w:r>
              <w:rPr>
                <w:bCs/>
                <w:b/>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4</w:t>
            </w:r>
          </w:p>
        </w:tc>
        <w:tc>
          <w:tcPr/>
          <w:p>
            <w:pPr>
              <w:pStyle w:val="Compact"/>
            </w:pPr>
          </w:p>
        </w:tc>
        <w:tc>
          <w:tcPr/>
          <w:p>
            <w:pPr>
              <w:pStyle w:val="Compact"/>
            </w:pPr>
          </w:p>
        </w:tc>
        <w:tc>
          <w:tcPr/>
          <w:p>
            <w:pPr>
              <w:pStyle w:val="Compact"/>
              <w:jc w:val="left"/>
            </w:pPr>
            <w:r>
              <w:t xml:space="preserve">R-14</w:t>
            </w:r>
          </w:p>
        </w:tc>
        <w:tc>
          <w:tcPr/>
          <w:p>
            <w:pPr>
              <w:pStyle w:val="Compact"/>
              <w:jc w:val="left"/>
            </w:pPr>
            <w:r>
              <w:t xml:space="preserve">R-04, R-06, R-12</w:t>
            </w:r>
          </w:p>
        </w:tc>
        <w:tc>
          <w:tcPr/>
          <w:p>
            <w:pPr>
              <w:pStyle w:val="Compact"/>
              <w:jc w:val="left"/>
            </w:pPr>
            <w:r>
              <w:t xml:space="preserve">R-01</w:t>
            </w:r>
          </w:p>
        </w:tc>
      </w:tr>
      <w:tr>
        <w:tc>
          <w:tcPr/>
          <w:p>
            <w:pPr>
              <w:pStyle w:val="Compact"/>
              <w:jc w:val="left"/>
            </w:pPr>
            <w:r>
              <w:rPr>
                <w:bCs/>
                <w:b/>
              </w:rPr>
              <w:t xml:space="preserve">3</w:t>
            </w:r>
          </w:p>
        </w:tc>
        <w:tc>
          <w:tcPr/>
          <w:p>
            <w:pPr>
              <w:pStyle w:val="Compact"/>
            </w:pPr>
          </w:p>
        </w:tc>
        <w:tc>
          <w:tcPr/>
          <w:p>
            <w:pPr>
              <w:pStyle w:val="Compact"/>
            </w:pPr>
          </w:p>
        </w:tc>
        <w:tc>
          <w:tcPr/>
          <w:p>
            <w:pPr>
              <w:pStyle w:val="Compact"/>
              <w:jc w:val="left"/>
            </w:pPr>
            <w:r>
              <w:t xml:space="preserve">R-17, R-21, R-24, R-27</w:t>
            </w:r>
          </w:p>
        </w:tc>
        <w:tc>
          <w:tcPr/>
          <w:p>
            <w:pPr>
              <w:pStyle w:val="Compact"/>
              <w:jc w:val="left"/>
            </w:pPr>
            <w:r>
              <w:t xml:space="preserve">R-07, R-08, R-09, R-11, R-13, R-15, R-16, R-19, R-20, R-25, R-28</w:t>
            </w:r>
          </w:p>
        </w:tc>
        <w:tc>
          <w:tcPr/>
          <w:p>
            <w:pPr>
              <w:pStyle w:val="Compact"/>
              <w:jc w:val="left"/>
            </w:pPr>
            <w:r>
              <w:t xml:space="preserve">R-02, R-03, R-05, R-10</w:t>
            </w:r>
          </w:p>
        </w:tc>
      </w:tr>
      <w:tr>
        <w:tc>
          <w:tcPr/>
          <w:p>
            <w:pPr>
              <w:pStyle w:val="Compact"/>
              <w:jc w:val="left"/>
            </w:pPr>
            <w:r>
              <w:rPr>
                <w:bCs/>
                <w:b/>
              </w:rPr>
              <w:t xml:space="preserve">2</w:t>
            </w:r>
          </w:p>
        </w:tc>
        <w:tc>
          <w:tcPr/>
          <w:p>
            <w:pPr>
              <w:pStyle w:val="Compact"/>
            </w:pPr>
          </w:p>
        </w:tc>
        <w:tc>
          <w:tcPr/>
          <w:p>
            <w:pPr>
              <w:pStyle w:val="Compact"/>
              <w:jc w:val="left"/>
            </w:pPr>
            <w:r>
              <w:t xml:space="preserve">R-26</w:t>
            </w:r>
          </w:p>
        </w:tc>
        <w:tc>
          <w:tcPr/>
          <w:p>
            <w:pPr>
              <w:pStyle w:val="Compact"/>
              <w:jc w:val="left"/>
            </w:pPr>
            <w:r>
              <w:t xml:space="preserve">R-18, R-23, R-30</w:t>
            </w:r>
          </w:p>
        </w:tc>
        <w:tc>
          <w:tcPr/>
          <w:p>
            <w:pPr>
              <w:pStyle w:val="Compact"/>
              <w:jc w:val="left"/>
            </w:pPr>
            <w:r>
              <w:t xml:space="preserve">R-22, R-29</w:t>
            </w:r>
          </w:p>
        </w:tc>
        <w:tc>
          <w:tcPr/>
          <w:p>
            <w:pPr>
              <w:pStyle w:val="Compact"/>
            </w:pPr>
          </w:p>
        </w:tc>
      </w:tr>
      <w:tr>
        <w:tc>
          <w:tcPr/>
          <w:p>
            <w:pPr>
              <w:pStyle w:val="Compact"/>
              <w:jc w:val="left"/>
            </w:pPr>
            <w:r>
              <w:rPr>
                <w:bCs/>
                <w:b/>
              </w:rP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register"/>
    <w:p>
      <w:pPr>
        <w:pStyle w:val="Heading2"/>
      </w:pPr>
      <w:r>
        <w:t xml:space="preserve">Register</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blHeader w:val="true"/>
        </w:trPr>
        <w:tc>
          <w:tcPr>
            <w:shd w:val="clear" w:color="auto" w:fill="213368"/>
          </w:tcPr>
          <w:p>
            <w:pPr>
              <w:pStyle w:val="Compact"/>
              <w:jc w:val="left"/>
            </w:pPr>
            <w:r>
              <w:rPr>
                <w:b/>
                <w:color w:val="FFFFFF"/>
              </w:rPr>
              <w:t xml:space="preserve">ID</w:t>
            </w:r>
          </w:p>
        </w:tc>
        <w:tc>
          <w:tcPr>
            <w:shd w:val="clear" w:color="auto" w:fill="213368"/>
          </w:tcPr>
          <w:p>
            <w:pPr>
              <w:pStyle w:val="Compact"/>
              <w:jc w:val="left"/>
            </w:pPr>
            <w:r>
              <w:rPr>
                <w:b/>
                <w:color w:val="FFFFFF"/>
              </w:rPr>
              <w:t xml:space="preserve">Risk description (cause → event → effect)</w:t>
            </w:r>
          </w:p>
        </w:tc>
        <w:tc>
          <w:tcPr>
            <w:shd w:val="clear" w:color="auto" w:fill="213368"/>
          </w:tcPr>
          <w:p>
            <w:pPr>
              <w:pStyle w:val="Compact"/>
              <w:jc w:val="left"/>
            </w:pPr>
            <w:r>
              <w:rPr>
                <w:b/>
                <w:color w:val="FFFFFF"/>
              </w:rPr>
              <w:t xml:space="preserve">Category</w:t>
            </w:r>
          </w:p>
        </w:tc>
        <w:tc>
          <w:tcPr>
            <w:shd w:val="clear" w:color="auto" w:fill="213368"/>
          </w:tcPr>
          <w:p>
            <w:pPr>
              <w:pStyle w:val="Compact"/>
              <w:jc w:val="left"/>
            </w:pPr>
            <w:r>
              <w:rPr>
                <w:b/>
                <w:color w:val="FFFFFF"/>
              </w:rPr>
              <w:t xml:space="preserve">L</w:t>
            </w:r>
          </w:p>
        </w:tc>
        <w:tc>
          <w:tcPr>
            <w:shd w:val="clear" w:color="auto" w:fill="213368"/>
          </w:tcPr>
          <w:p>
            <w:pPr>
              <w:pStyle w:val="Compact"/>
              <w:jc w:val="left"/>
            </w:pPr>
            <w:r>
              <w:rPr>
                <w:b/>
                <w:color w:val="FFFFFF"/>
              </w:rPr>
              <w:t xml:space="preserve">I</w:t>
            </w:r>
          </w:p>
        </w:tc>
        <w:tc>
          <w:tcPr>
            <w:shd w:val="clear" w:color="auto" w:fill="213368"/>
          </w:tcPr>
          <w:p>
            <w:pPr>
              <w:pStyle w:val="Compact"/>
              <w:jc w:val="left"/>
            </w:pPr>
            <w:r>
              <w:rPr>
                <w:b/>
                <w:color w:val="FFFFFF"/>
              </w:rPr>
              <w:t xml:space="preserve">S</w:t>
            </w:r>
          </w:p>
        </w:tc>
        <w:tc>
          <w:tcPr>
            <w:shd w:val="clear" w:color="auto" w:fill="213368"/>
          </w:tcPr>
          <w:p>
            <w:pPr>
              <w:pStyle w:val="Compact"/>
              <w:jc w:val="left"/>
            </w:pPr>
            <w:r>
              <w:rPr>
                <w:b/>
                <w:color w:val="FFFFFF"/>
              </w:rPr>
              <w:t xml:space="preserve">Owner</w:t>
            </w:r>
          </w:p>
        </w:tc>
        <w:tc>
          <w:tcPr>
            <w:shd w:val="clear" w:color="auto" w:fill="213368"/>
          </w:tcPr>
          <w:p>
            <w:pPr>
              <w:pStyle w:val="Compact"/>
              <w:jc w:val="left"/>
            </w:pPr>
            <w:r>
              <w:rPr>
                <w:b/>
                <w:color w:val="FFFFFF"/>
              </w:rPr>
              <w:t xml:space="preserve">Mitigation (pre-event)</w:t>
            </w:r>
          </w:p>
        </w:tc>
        <w:tc>
          <w:tcPr>
            <w:shd w:val="clear" w:color="auto" w:fill="213368"/>
          </w:tcPr>
          <w:p>
            <w:pPr>
              <w:pStyle w:val="Compact"/>
              <w:jc w:val="left"/>
            </w:pPr>
            <w:r>
              <w:rPr>
                <w:b/>
                <w:color w:val="FFFFFF"/>
              </w:rPr>
              <w:t xml:space="preserve">Contingency (if it happens)</w:t>
            </w:r>
          </w:p>
        </w:tc>
        <w:tc>
          <w:tcPr>
            <w:shd w:val="clear" w:color="auto" w:fill="213368"/>
          </w:tcPr>
          <w:p>
            <w:pPr>
              <w:pStyle w:val="Compact"/>
              <w:jc w:val="left"/>
            </w:pPr>
            <w:r>
              <w:rPr>
                <w:b/>
                <w:color w:val="FFFFFF"/>
              </w:rPr>
              <w:t xml:space="preserve">Status</w:t>
            </w:r>
          </w:p>
        </w:tc>
      </w:tr>
      <w:tr>
        <w:tc>
          <w:tcPr/>
          <w:p>
            <w:pPr>
              <w:pStyle w:val="Compact"/>
              <w:jc w:val="left"/>
            </w:pPr>
            <w:r>
              <w:t xml:space="preserve">R-01</w:t>
            </w:r>
          </w:p>
        </w:tc>
        <w:tc>
          <w:tcPr/>
          <w:p>
            <w:pPr>
              <w:pStyle w:val="Compact"/>
              <w:jc w:val="left"/>
            </w:pPr>
            <w:r>
              <w:rPr>
                <w:bCs/>
                <w:b/>
              </w:rPr>
              <w:t xml:space="preserve">VETC data access delayed or restricted.</w:t>
            </w:r>
            <w:r>
              <w:t xml:space="preserve"> </w:t>
            </w:r>
            <w:r>
              <w:t xml:space="preserve">The data-sharing legal basis or VETC internal approval is not obtained in time, so no real profile data reaches the platform and scoring and journeys cannot be validated on real behaviour.</w:t>
            </w:r>
          </w:p>
        </w:tc>
        <w:tc>
          <w:tcPr/>
          <w:p>
            <w:pPr>
              <w:pStyle w:val="Compact"/>
              <w:jc w:val="left"/>
            </w:pPr>
            <w:r>
              <w:t xml:space="preserve">Dependency / Data</w:t>
            </w:r>
          </w:p>
        </w:tc>
        <w:tc>
          <w:tcPr/>
          <w:p>
            <w:pPr>
              <w:pStyle w:val="Compact"/>
              <w:jc w:val="left"/>
            </w:pPr>
            <w:r>
              <w:t xml:space="preserve">4</w:t>
            </w:r>
          </w:p>
        </w:tc>
        <w:tc>
          <w:tcPr/>
          <w:p>
            <w:pPr>
              <w:pStyle w:val="Compact"/>
              <w:jc w:val="left"/>
            </w:pPr>
            <w:r>
              <w:t xml:space="preserve">5</w:t>
            </w:r>
          </w:p>
        </w:tc>
        <w:tc>
          <w:tcPr/>
          <w:p>
            <w:pPr>
              <w:pStyle w:val="Compact"/>
              <w:jc w:val="left"/>
            </w:pPr>
            <w:r>
              <w:t xml:space="preserve">20</w:t>
            </w:r>
          </w:p>
        </w:tc>
        <w:tc>
          <w:tcPr/>
          <w:p>
            <w:pPr>
              <w:pStyle w:val="Compact"/>
              <w:jc w:val="left"/>
            </w:pPr>
            <w:r>
              <w:t xml:space="preserve">V-PRD + T-BUS</w:t>
            </w:r>
          </w:p>
        </w:tc>
        <w:tc>
          <w:tcPr/>
          <w:p>
            <w:pPr>
              <w:pStyle w:val="Compact"/>
              <w:jc w:val="left"/>
            </w:pPr>
            <w:r>
              <w:t xml:space="preserve">Data-sharing agreement drafted in week 1. Minimum viable field list agreed (plate, phone, toll class, tag date, app activity, consent flags). Synthetic generator keeps the build moving.</w:t>
            </w:r>
          </w:p>
        </w:tc>
        <w:tc>
          <w:tcPr/>
          <w:p>
            <w:pPr>
              <w:pStyle w:val="Compact"/>
              <w:jc w:val="left"/>
            </w:pPr>
            <w:r>
              <w:t xml:space="preserve">Start the pilot on TASCO's own policy book (renewal journey only) with VETC contact through the app only. Escalate to SteerCo.</w:t>
            </w:r>
          </w:p>
        </w:tc>
        <w:tc>
          <w:tcPr/>
          <w:p>
            <w:pPr>
              <w:pStyle w:val="Compact"/>
              <w:jc w:val="left"/>
            </w:pPr>
            <w:r>
              <w:t xml:space="preserve">Open</w:t>
            </w:r>
          </w:p>
        </w:tc>
      </w:tr>
      <w:tr>
        <w:tc>
          <w:tcPr/>
          <w:p>
            <w:pPr>
              <w:pStyle w:val="Compact"/>
              <w:jc w:val="left"/>
            </w:pPr>
            <w:r>
              <w:t xml:space="preserve">R-02</w:t>
            </w:r>
          </w:p>
        </w:tc>
        <w:tc>
          <w:tcPr/>
          <w:p>
            <w:pPr>
              <w:pStyle w:val="Compact"/>
              <w:jc w:val="left"/>
            </w:pPr>
            <w:r>
              <w:rPr>
                <w:bCs/>
                <w:b/>
              </w:rPr>
              <w:t xml:space="preserve">Discount/benefit regulation.</w:t>
            </w:r>
            <w:r>
              <w:t xml:space="preserve"> </w:t>
            </w:r>
            <w:r>
              <w:t xml:space="preserve">Customer-facing copy or a benefit is construed as an unlawful discount, rebate or inducement on price-regulated TNDS (Law 08/2022/QH15), leading to regulatory sanction and reputational damage.</w:t>
            </w:r>
          </w:p>
        </w:tc>
        <w:tc>
          <w:tcPr/>
          <w:p>
            <w:pPr>
              <w:pStyle w:val="Compact"/>
              <w:jc w:val="left"/>
            </w:pPr>
            <w:r>
              <w:t xml:space="preserve">Regulatory</w:t>
            </w:r>
          </w:p>
        </w:tc>
        <w:tc>
          <w:tcPr/>
          <w:p>
            <w:pPr>
              <w:pStyle w:val="Compact"/>
              <w:jc w:val="left"/>
            </w:pPr>
            <w:r>
              <w:t xml:space="preserve">3</w:t>
            </w:r>
          </w:p>
        </w:tc>
        <w:tc>
          <w:tcPr/>
          <w:p>
            <w:pPr>
              <w:pStyle w:val="Compact"/>
              <w:jc w:val="left"/>
            </w:pPr>
            <w:r>
              <w:t xml:space="preserve">5</w:t>
            </w:r>
          </w:p>
        </w:tc>
        <w:tc>
          <w:tcPr/>
          <w:p>
            <w:pPr>
              <w:pStyle w:val="Compact"/>
              <w:jc w:val="left"/>
            </w:pPr>
            <w:r>
              <w:t xml:space="preserve">15</w:t>
            </w:r>
          </w:p>
        </w:tc>
        <w:tc>
          <w:tcPr/>
          <w:p>
            <w:pPr>
              <w:pStyle w:val="Compact"/>
              <w:jc w:val="left"/>
            </w:pPr>
            <w:r>
              <w:t xml:space="preserve">T-CMP</w:t>
            </w:r>
          </w:p>
        </w:tc>
        <w:tc>
          <w:tcPr/>
          <w:p>
            <w:pPr>
              <w:pStyle w:val="Compact"/>
              <w:jc w:val="left"/>
            </w:pPr>
            <w:r>
              <w:t xml:space="preserve">Copy guard (</w:t>
            </w:r>
            <w:r>
              <w:rPr>
                <w:rStyle w:val="VerbatimChar"/>
              </w:rPr>
              <w:t xml:space="preserve">copy_guard.json</w:t>
            </w:r>
            <w:r>
              <w:t xml:space="preserve">) at rule validation and at send time. Benefits gated by</w:t>
            </w:r>
            <w:r>
              <w:t xml:space="preserve"> </w:t>
            </w:r>
            <w:r>
              <w:rPr>
                <w:rStyle w:val="VerbatimChar"/>
              </w:rPr>
              <w:t xml:space="preserve">legalStatus</w:t>
            </w:r>
            <w:r>
              <w:t xml:space="preserve"> </w:t>
            </w:r>
            <w:r>
              <w:t xml:space="preserve">(only</w:t>
            </w:r>
            <w:r>
              <w:t xml:space="preserve"> </w:t>
            </w:r>
            <w:r>
              <w:rPr>
                <w:rStyle w:val="VerbatimChar"/>
              </w:rPr>
              <w:t xml:space="preserve">approved</w:t>
            </w:r>
            <w:r>
              <w:t xml:space="preserve"> </w:t>
            </w:r>
            <w:r>
              <w:t xml:space="preserve">shown to customers). Pricing copy states "regulated premium, same everywhere". Legal sign-off of every template and the voice script at G3.</w:t>
            </w:r>
          </w:p>
        </w:tc>
        <w:tc>
          <w:tcPr/>
          <w:p>
            <w:pPr>
              <w:pStyle w:val="Compact"/>
              <w:jc w:val="left"/>
            </w:pPr>
            <w:r>
              <w:t xml:space="preserve">Deactivate the offending template or benefit through the Rules studio (new version, approved within the hour). Customer notice if required.</w:t>
            </w:r>
          </w:p>
        </w:tc>
        <w:tc>
          <w:tcPr/>
          <w:p>
            <w:pPr>
              <w:pStyle w:val="Compact"/>
              <w:jc w:val="left"/>
            </w:pPr>
            <w:r>
              <w:t xml:space="preserve">Mitigating</w:t>
            </w:r>
          </w:p>
        </w:tc>
      </w:tr>
      <w:tr>
        <w:tc>
          <w:tcPr/>
          <w:p>
            <w:pPr>
              <w:pStyle w:val="Compact"/>
              <w:jc w:val="left"/>
            </w:pPr>
            <w:r>
              <w:t xml:space="preserve">R-03</w:t>
            </w:r>
          </w:p>
        </w:tc>
        <w:tc>
          <w:tcPr/>
          <w:p>
            <w:pPr>
              <w:pStyle w:val="Compact"/>
              <w:jc w:val="left"/>
            </w:pPr>
            <w:r>
              <w:rPr>
                <w:bCs/>
                <w:b/>
              </w:rPr>
              <w:t xml:space="preserve">Loyalty points promised before legal approval.</w:t>
            </w:r>
            <w:r>
              <w:t xml:space="preserve"> </w:t>
            </w:r>
            <w:r>
              <w:t xml:space="preserve">NBA label "confirm expiry in-app (earns points)" and data-repair messaging imply points while</w:t>
            </w:r>
            <w:r>
              <w:t xml:space="preserve"> </w:t>
            </w:r>
            <w:r>
              <w:rPr>
                <w:rStyle w:val="VerbatimChar"/>
              </w:rPr>
              <w:t xml:space="preserve">loyalty_points</w:t>
            </w:r>
            <w:r>
              <w:t xml:space="preserve"> </w:t>
            </w:r>
            <w:r>
              <w:t xml:space="preserve">is</w:t>
            </w:r>
            <w:r>
              <w:t xml:space="preserve"> </w:t>
            </w:r>
            <w:r>
              <w:rPr>
                <w:rStyle w:val="VerbatimChar"/>
              </w:rPr>
              <w:t xml:space="preserve">pending_legal_review</w:t>
            </w:r>
            <w:r>
              <w:t xml:space="preserve">, creating a mis-selling or inducement complaint.</w:t>
            </w:r>
          </w:p>
        </w:tc>
        <w:tc>
          <w:tcPr/>
          <w:p>
            <w:pPr>
              <w:pStyle w:val="Compact"/>
              <w:jc w:val="left"/>
            </w:pPr>
            <w:r>
              <w:t xml:space="preserve">Regulatory / Content</w:t>
            </w:r>
          </w:p>
        </w:tc>
        <w:tc>
          <w:tcPr/>
          <w:p>
            <w:pPr>
              <w:pStyle w:val="Compact"/>
              <w:jc w:val="left"/>
            </w:pPr>
            <w:r>
              <w:t xml:space="preserve">3</w:t>
            </w:r>
          </w:p>
        </w:tc>
        <w:tc>
          <w:tcPr/>
          <w:p>
            <w:pPr>
              <w:pStyle w:val="Compact"/>
              <w:jc w:val="left"/>
            </w:pPr>
            <w:r>
              <w:t xml:space="preserve">5</w:t>
            </w:r>
          </w:p>
        </w:tc>
        <w:tc>
          <w:tcPr/>
          <w:p>
            <w:pPr>
              <w:pStyle w:val="Compact"/>
              <w:jc w:val="left"/>
            </w:pPr>
            <w:r>
              <w:t xml:space="preserve">15</w:t>
            </w:r>
          </w:p>
        </w:tc>
        <w:tc>
          <w:tcPr/>
          <w:p>
            <w:pPr>
              <w:pStyle w:val="Compact"/>
              <w:jc w:val="left"/>
            </w:pPr>
            <w:r>
              <w:t xml:space="preserve">T-CMP</w:t>
            </w:r>
          </w:p>
        </w:tc>
        <w:tc>
          <w:tcPr/>
          <w:p>
            <w:pPr>
              <w:pStyle w:val="Compact"/>
              <w:jc w:val="left"/>
            </w:pPr>
            <w:r>
              <w:t xml:space="preserve">Remove the "earns points" wording from the NBA label and customer app until approved. UI shows points only when the benefit is</w:t>
            </w:r>
            <w:r>
              <w:t xml:space="preserve"> </w:t>
            </w:r>
            <w:r>
              <w:rPr>
                <w:rStyle w:val="VerbatimChar"/>
              </w:rPr>
              <w:t xml:space="preserve">approved</w:t>
            </w:r>
            <w:r>
              <w:t xml:space="preserve">.</w:t>
            </w:r>
          </w:p>
        </w:tc>
        <w:tc>
          <w:tcPr/>
          <w:p>
            <w:pPr>
              <w:pStyle w:val="Compact"/>
              <w:jc w:val="left"/>
            </w:pPr>
            <w:r>
              <w:t xml:space="preserve">Withdraw the wording. Honour any points already promised through a non-cash goodwill gesture approved by Legal.</w:t>
            </w:r>
          </w:p>
        </w:tc>
        <w:tc>
          <w:tcPr/>
          <w:p>
            <w:pPr>
              <w:pStyle w:val="Compact"/>
              <w:jc w:val="left"/>
            </w:pPr>
            <w:r>
              <w:t xml:space="preserve">Open</w:t>
            </w:r>
          </w:p>
        </w:tc>
      </w:tr>
      <w:tr>
        <w:tc>
          <w:tcPr/>
          <w:p>
            <w:pPr>
              <w:pStyle w:val="Compact"/>
              <w:jc w:val="left"/>
            </w:pPr>
            <w:r>
              <w:t xml:space="preserve">R-04</w:t>
            </w:r>
          </w:p>
        </w:tc>
        <w:tc>
          <w:tcPr/>
          <w:p>
            <w:pPr>
              <w:pStyle w:val="Compact"/>
              <w:jc w:val="left"/>
            </w:pPr>
            <w:r>
              <w:rPr>
                <w:bCs/>
                <w:b/>
              </w:rPr>
              <w:t xml:space="preserve">Anti-spam breach.</w:t>
            </w:r>
            <w:r>
              <w:t xml:space="preserve"> </w:t>
            </w:r>
            <w:r>
              <w:t xml:space="preserve">Journey frequency, contact windows or missing consent breach Decree 91/2020/ND-CP, leading to carrier blocking of the brandname, fines and complaints.</w:t>
            </w:r>
          </w:p>
        </w:tc>
        <w:tc>
          <w:tcPr/>
          <w:p>
            <w:pPr>
              <w:pStyle w:val="Compact"/>
              <w:jc w:val="left"/>
            </w:pPr>
            <w:r>
              <w:t xml:space="preserve">Regulatory</w:t>
            </w:r>
          </w:p>
        </w:tc>
        <w:tc>
          <w:tcPr/>
          <w:p>
            <w:pPr>
              <w:pStyle w:val="Compact"/>
              <w:jc w:val="left"/>
            </w:pPr>
            <w:r>
              <w:t xml:space="preserve">4</w:t>
            </w:r>
          </w:p>
        </w:tc>
        <w:tc>
          <w:tcPr/>
          <w:p>
            <w:pPr>
              <w:pStyle w:val="Compact"/>
              <w:jc w:val="left"/>
            </w:pPr>
            <w:r>
              <w:t xml:space="preserve">4</w:t>
            </w:r>
          </w:p>
        </w:tc>
        <w:tc>
          <w:tcPr/>
          <w:p>
            <w:pPr>
              <w:pStyle w:val="Compact"/>
              <w:jc w:val="left"/>
            </w:pPr>
            <w:r>
              <w:t xml:space="preserve">16</w:t>
            </w:r>
          </w:p>
        </w:tc>
        <w:tc>
          <w:tcPr/>
          <w:p>
            <w:pPr>
              <w:pStyle w:val="Compact"/>
              <w:jc w:val="left"/>
            </w:pPr>
            <w:r>
              <w:t xml:space="preserve">T-CMP</w:t>
            </w:r>
          </w:p>
        </w:tc>
        <w:tc>
          <w:tcPr/>
          <w:p>
            <w:pPr>
              <w:pStyle w:val="Compact"/>
              <w:jc w:val="left"/>
            </w:pPr>
            <w:r>
              <w:rPr>
                <w:rStyle w:val="VerbatimChar"/>
              </w:rPr>
              <w:t xml:space="preserve">contact_policy</w:t>
            </w:r>
            <w:r>
              <w:t xml:space="preserve"> </w:t>
            </w:r>
            <w:r>
              <w:t xml:space="preserve">enforces 08:00–20:00 local time, 1 marketing contact per day, 3 per week, 2 call attempts per week, and consent per channel. Service messages are exempt only where truly service. Weekly review of message volumes per customer. Fix known issue KI-09 (voice campaigns bypass the contact window and call caps) before pilot.</w:t>
            </w:r>
          </w:p>
        </w:tc>
        <w:tc>
          <w:tcPr/>
          <w:p>
            <w:pPr>
              <w:pStyle w:val="Compact"/>
              <w:jc w:val="left"/>
            </w:pPr>
            <w:r>
              <w:t xml:space="preserve">Pause journeys (stop the scheduled</w:t>
            </w:r>
            <w:r>
              <w:t xml:space="preserve"> </w:t>
            </w:r>
            <w:r>
              <w:rPr>
                <w:rStyle w:val="VerbatimChar"/>
              </w:rPr>
              <w:t xml:space="preserve">journeys</w:t>
            </w:r>
            <w:r>
              <w:t xml:space="preserve"> </w:t>
            </w:r>
            <w:r>
              <w:t xml:space="preserve">job). Tighten the policy through the Rules studio. Notify carriers and the regulator if required.</w:t>
            </w:r>
          </w:p>
        </w:tc>
        <w:tc>
          <w:tcPr/>
          <w:p>
            <w:pPr>
              <w:pStyle w:val="Compact"/>
              <w:jc w:val="left"/>
            </w:pPr>
            <w:r>
              <w:t xml:space="preserve">Mitigating</w:t>
            </w:r>
          </w:p>
        </w:tc>
      </w:tr>
      <w:tr>
        <w:tc>
          <w:tcPr/>
          <w:p>
            <w:pPr>
              <w:pStyle w:val="Compact"/>
              <w:jc w:val="left"/>
            </w:pPr>
            <w:r>
              <w:t xml:space="preserve">R-05</w:t>
            </w:r>
          </w:p>
        </w:tc>
        <w:tc>
          <w:tcPr/>
          <w:p>
            <w:pPr>
              <w:pStyle w:val="Compact"/>
              <w:jc w:val="left"/>
            </w:pPr>
            <w:r>
              <w:rPr>
                <w:bCs/>
                <w:b/>
              </w:rPr>
              <w:t xml:space="preserve">PDP law non-compliance</w:t>
            </w:r>
            <w:r>
              <w:t xml:space="preserve"> </w:t>
            </w:r>
            <w:r>
              <w:t xml:space="preserve">(Decree 13/2023/ND-CP; the PDP Law effective 2026). Personal data is processed without valid consent or purpose, or a DSAR is not honoured in time, leading to fines and suspension of processing.</w:t>
            </w:r>
          </w:p>
        </w:tc>
        <w:tc>
          <w:tcPr/>
          <w:p>
            <w:pPr>
              <w:pStyle w:val="Compact"/>
              <w:jc w:val="left"/>
            </w:pPr>
            <w:r>
              <w:t xml:space="preserve">Regulatory / Privacy</w:t>
            </w:r>
          </w:p>
        </w:tc>
        <w:tc>
          <w:tcPr/>
          <w:p>
            <w:pPr>
              <w:pStyle w:val="Compact"/>
              <w:jc w:val="left"/>
            </w:pPr>
            <w:r>
              <w:t xml:space="preserve">3</w:t>
            </w:r>
          </w:p>
        </w:tc>
        <w:tc>
          <w:tcPr/>
          <w:p>
            <w:pPr>
              <w:pStyle w:val="Compact"/>
              <w:jc w:val="left"/>
            </w:pPr>
            <w:r>
              <w:t xml:space="preserve">5</w:t>
            </w:r>
          </w:p>
        </w:tc>
        <w:tc>
          <w:tcPr/>
          <w:p>
            <w:pPr>
              <w:pStyle w:val="Compact"/>
              <w:jc w:val="left"/>
            </w:pPr>
            <w:r>
              <w:t xml:space="preserve">15</w:t>
            </w:r>
          </w:p>
        </w:tc>
        <w:tc>
          <w:tcPr/>
          <w:p>
            <w:pPr>
              <w:pStyle w:val="Compact"/>
              <w:jc w:val="left"/>
            </w:pPr>
            <w:r>
              <w:t xml:space="preserve">T-CMP (DPO)</w:t>
            </w:r>
          </w:p>
        </w:tc>
        <w:tc>
          <w:tcPr/>
          <w:p>
            <w:pPr>
              <w:pStyle w:val="Compact"/>
              <w:jc w:val="left"/>
            </w:pPr>
            <w:r>
              <w:t xml:space="preserve">DPIA in Discovery. Consent centre in the customer app. DSAR export and erasure endpoints. PII field encryption and blind indexes. Purpose-based masking. Retention rule set. Data localisation confirmed.</w:t>
            </w:r>
          </w:p>
        </w:tc>
        <w:tc>
          <w:tcPr/>
          <w:p>
            <w:pPr>
              <w:pStyle w:val="Compact"/>
              <w:jc w:val="left"/>
            </w:pPr>
            <w:r>
              <w:t xml:space="preserve">DPO incident procedure. Notify the authority within the legal deadline. Suspend the affected processing.</w:t>
            </w:r>
          </w:p>
        </w:tc>
        <w:tc>
          <w:tcPr/>
          <w:p>
            <w:pPr>
              <w:pStyle w:val="Compact"/>
              <w:jc w:val="left"/>
            </w:pPr>
            <w:r>
              <w:t xml:space="preserve">Mitigating</w:t>
            </w:r>
          </w:p>
        </w:tc>
      </w:tr>
      <w:tr>
        <w:tc>
          <w:tcPr/>
          <w:p>
            <w:pPr>
              <w:pStyle w:val="Compact"/>
              <w:jc w:val="left"/>
            </w:pPr>
            <w:r>
              <w:t xml:space="preserve">R-06</w:t>
            </w:r>
          </w:p>
        </w:tc>
        <w:tc>
          <w:tcPr/>
          <w:p>
            <w:pPr>
              <w:pStyle w:val="Compact"/>
              <w:jc w:val="left"/>
            </w:pPr>
            <w:r>
              <w:rPr>
                <w:bCs/>
                <w:b/>
              </w:rPr>
              <w:t xml:space="preserve">Partner channel conflict.</w:t>
            </w:r>
            <w:r>
              <w:t xml:space="preserve"> </w:t>
            </w:r>
            <w:r>
              <w:t xml:space="preserve">Partners (banks, showrooms, agents) that close most TNDS deals see VETC journeys as poaching their customers, so they withdraw or reduce volume.</w:t>
            </w:r>
          </w:p>
        </w:tc>
        <w:tc>
          <w:tcPr/>
          <w:p>
            <w:pPr>
              <w:pStyle w:val="Compact"/>
              <w:jc w:val="left"/>
            </w:pPr>
            <w:r>
              <w:t xml:space="preserve">Commercial</w:t>
            </w:r>
          </w:p>
        </w:tc>
        <w:tc>
          <w:tcPr/>
          <w:p>
            <w:pPr>
              <w:pStyle w:val="Compact"/>
              <w:jc w:val="left"/>
            </w:pPr>
            <w:r>
              <w:t xml:space="preserve">4</w:t>
            </w:r>
          </w:p>
        </w:tc>
        <w:tc>
          <w:tcPr/>
          <w:p>
            <w:pPr>
              <w:pStyle w:val="Compact"/>
              <w:jc w:val="left"/>
            </w:pPr>
            <w:r>
              <w:t xml:space="preserve">4</w:t>
            </w:r>
          </w:p>
        </w:tc>
        <w:tc>
          <w:tcPr/>
          <w:p>
            <w:pPr>
              <w:pStyle w:val="Compact"/>
              <w:jc w:val="left"/>
            </w:pPr>
            <w:r>
              <w:t xml:space="preserve">16</w:t>
            </w:r>
          </w:p>
        </w:tc>
        <w:tc>
          <w:tcPr/>
          <w:p>
            <w:pPr>
              <w:pStyle w:val="Compact"/>
              <w:jc w:val="left"/>
            </w:pPr>
            <w:r>
              <w:t xml:space="preserve">T-PRD (Partner Manager)</w:t>
            </w:r>
          </w:p>
        </w:tc>
        <w:tc>
          <w:tcPr/>
          <w:p>
            <w:pPr>
              <w:pStyle w:val="Compact"/>
              <w:jc w:val="left"/>
            </w:pPr>
            <w:r>
              <w:t xml:space="preserve">Partner API with transparent commission. Partner-attributed vehicles are recognised through partner source records. Agreed rules of engagement (for example, suppress conquest for vehicles recently quoted by a partner). Partner council.</w:t>
            </w:r>
          </w:p>
        </w:tc>
        <w:tc>
          <w:tcPr/>
          <w:p>
            <w:pPr>
              <w:pStyle w:val="Compact"/>
              <w:jc w:val="left"/>
            </w:pPr>
            <w:r>
              <w:t xml:space="preserve">Commercial renegotiation. A NBA rule that suppresses VETC journeys for partner-protected vehicles.</w:t>
            </w:r>
          </w:p>
        </w:tc>
        <w:tc>
          <w:tcPr/>
          <w:p>
            <w:pPr>
              <w:pStyle w:val="Compact"/>
              <w:jc w:val="left"/>
            </w:pPr>
            <w:r>
              <w:t xml:space="preserve">Open</w:t>
            </w:r>
          </w:p>
        </w:tc>
      </w:tr>
      <w:tr>
        <w:tc>
          <w:tcPr/>
          <w:p>
            <w:pPr>
              <w:pStyle w:val="Compact"/>
              <w:jc w:val="left"/>
            </w:pPr>
            <w:r>
              <w:t xml:space="preserve">R-07</w:t>
            </w:r>
          </w:p>
        </w:tc>
        <w:tc>
          <w:tcPr/>
          <w:p>
            <w:pPr>
              <w:pStyle w:val="Compact"/>
              <w:jc w:val="left"/>
            </w:pPr>
            <w:r>
              <w:rPr>
                <w:bCs/>
                <w:b/>
              </w:rPr>
              <w:t xml:space="preserve">Low customer trust in calls.</w:t>
            </w:r>
            <w:r>
              <w:t xml:space="preserve"> </w:t>
            </w:r>
            <w:r>
              <w:t xml:space="preserve">Customers assume voice bot or telesales calls are scams, causing low answer and conversion rates, complaints and opt-outs.</w:t>
            </w:r>
          </w:p>
        </w:tc>
        <w:tc>
          <w:tcPr/>
          <w:p>
            <w:pPr>
              <w:pStyle w:val="Compact"/>
              <w:jc w:val="left"/>
            </w:pPr>
            <w:r>
              <w:t xml:space="preserve">Customer / Brand</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V-PRD</w:t>
            </w:r>
          </w:p>
        </w:tc>
        <w:tc>
          <w:tcPr/>
          <w:p>
            <w:pPr>
              <w:pStyle w:val="Compact"/>
              <w:jc w:val="left"/>
            </w:pPr>
            <w:r>
              <w:t xml:space="preserve">Disclosure at call start. Plate-first verification (the bot never reads the plate). "Never asks for OTP or payment". Payment only in the official app. Calls from the official hotline. In-app notice before or after the call. Trust script on scam concern.</w:t>
            </w:r>
          </w:p>
        </w:tc>
        <w:tc>
          <w:tcPr/>
          <w:p>
            <w:pPr>
              <w:pStyle w:val="Compact"/>
              <w:jc w:val="left"/>
            </w:pPr>
            <w:r>
              <w:t xml:space="preserve">Shift the mix to app/Zalo, reduce call volume, run a public awareness campaign in the VETC app.</w:t>
            </w:r>
          </w:p>
        </w:tc>
        <w:tc>
          <w:tcPr/>
          <w:p>
            <w:pPr>
              <w:pStyle w:val="Compact"/>
              <w:jc w:val="left"/>
            </w:pPr>
            <w:r>
              <w:t xml:space="preserve">Mitigating</w:t>
            </w:r>
          </w:p>
        </w:tc>
      </w:tr>
      <w:tr>
        <w:tc>
          <w:tcPr/>
          <w:p>
            <w:pPr>
              <w:pStyle w:val="Compact"/>
              <w:jc w:val="left"/>
            </w:pPr>
            <w:r>
              <w:t xml:space="preserve">R-08</w:t>
            </w:r>
          </w:p>
        </w:tc>
        <w:tc>
          <w:tcPr/>
          <w:p>
            <w:pPr>
              <w:pStyle w:val="Compact"/>
              <w:jc w:val="left"/>
            </w:pPr>
            <w:r>
              <w:rPr>
                <w:bCs/>
                <w:b/>
              </w:rPr>
              <w:t xml:space="preserve">Voice ASR accuracy for Vietnamese accents.</w:t>
            </w:r>
            <w:r>
              <w:t xml:space="preserve"> </w:t>
            </w:r>
            <w:r>
              <w:t xml:space="preserve">The ASR misrecognises plates and intents for northern, central and southern accents, noisy cars or code-switching, causing high</w:t>
            </w:r>
            <w:r>
              <w:t xml:space="preserve"> </w:t>
            </w:r>
            <w:r>
              <w:rPr>
                <w:rStyle w:val="VerbatimChar"/>
              </w:rPr>
              <w:t xml:space="preserve">unverified</w:t>
            </w:r>
            <w:r>
              <w:t xml:space="preserve"> </w:t>
            </w:r>
            <w:r>
              <w:t xml:space="preserve">/</w:t>
            </w:r>
            <w:r>
              <w:t xml:space="preserve"> </w:t>
            </w:r>
            <w:r>
              <w:rPr>
                <w:rStyle w:val="VerbatimChar"/>
              </w:rPr>
              <w:t xml:space="preserve">plate_mismatch</w:t>
            </w:r>
            <w:r>
              <w:t xml:space="preserve"> </w:t>
            </w:r>
            <w:r>
              <w:t xml:space="preserve">outcomes and customer frustration.</w:t>
            </w:r>
          </w:p>
        </w:tc>
        <w:tc>
          <w:tcPr/>
          <w:p>
            <w:pPr>
              <w:pStyle w:val="Compact"/>
              <w:jc w:val="left"/>
            </w:pPr>
            <w:r>
              <w:t xml:space="preserve">Technology</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X-VAI + I-AR</w:t>
            </w:r>
          </w:p>
        </w:tc>
        <w:tc>
          <w:tcPr/>
          <w:p>
            <w:pPr>
              <w:pStyle w:val="Compact"/>
              <w:jc w:val="left"/>
            </w:pPr>
            <w:r>
              <w:t xml:space="preserve">Vendor shortlist with accent benchmarks (≥ 92 % plate-capture accuracy proposed). Up to 3 plate attempts. Keyword NLU covers unaccented variants. Monitor</w:t>
            </w:r>
            <w:r>
              <w:t xml:space="preserve"> </w:t>
            </w:r>
            <w:r>
              <w:rPr>
                <w:rStyle w:val="VerbatimChar"/>
              </w:rPr>
              <w:t xml:space="preserve">plateVerificationFailureRate</w:t>
            </w:r>
            <w:r>
              <w:t xml:space="preserve"> </w:t>
            </w:r>
            <w:r>
              <w:t xml:space="preserve">on the governance dashboard.</w:t>
            </w:r>
          </w:p>
        </w:tc>
        <w:tc>
          <w:tcPr/>
          <w:p>
            <w:pPr>
              <w:pStyle w:val="Compact"/>
              <w:jc w:val="left"/>
            </w:pPr>
            <w:r>
              <w:t xml:space="preserve">Route failed verifications to telesales or a link. Retune the vendor. Swap the vendor behind the telephony port.</w:t>
            </w:r>
          </w:p>
        </w:tc>
        <w:tc>
          <w:tcPr/>
          <w:p>
            <w:pPr>
              <w:pStyle w:val="Compact"/>
              <w:jc w:val="left"/>
            </w:pPr>
            <w:r>
              <w:t xml:space="preserve">Open</w:t>
            </w:r>
          </w:p>
        </w:tc>
      </w:tr>
      <w:tr>
        <w:tc>
          <w:tcPr/>
          <w:p>
            <w:pPr>
              <w:pStyle w:val="Compact"/>
              <w:jc w:val="left"/>
            </w:pPr>
            <w:r>
              <w:t xml:space="preserve">R-09</w:t>
            </w:r>
          </w:p>
        </w:tc>
        <w:tc>
          <w:tcPr/>
          <w:p>
            <w:pPr>
              <w:pStyle w:val="Compact"/>
              <w:jc w:val="left"/>
            </w:pPr>
            <w:r>
              <w:rPr>
                <w:bCs/>
                <w:b/>
              </w:rPr>
              <w:t xml:space="preserve">Integration delays (VETC wallet, SSO, TASCO core issuance).</w:t>
            </w:r>
            <w:r>
              <w:t xml:space="preserve"> </w:t>
            </w:r>
            <w:r>
              <w:t xml:space="preserve">APIs are not ready for SIT, so one-tap purchase cannot be tested end-to-end and the pilot slips.</w:t>
            </w:r>
          </w:p>
        </w:tc>
        <w:tc>
          <w:tcPr/>
          <w:p>
            <w:pPr>
              <w:pStyle w:val="Compact"/>
              <w:jc w:val="left"/>
            </w:pPr>
            <w:r>
              <w:t xml:space="preserve">Dependency</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T-IT + V-APP</w:t>
            </w:r>
          </w:p>
        </w:tc>
        <w:tc>
          <w:tcPr/>
          <w:p>
            <w:pPr>
              <w:pStyle w:val="Compact"/>
              <w:jc w:val="left"/>
            </w:pPr>
            <w:r>
              <w:t xml:space="preserve">Contracts frozen at G1. Sandbox adapters with identical ports. Contract tests. Twice-weekly integration sync.</w:t>
            </w:r>
          </w:p>
        </w:tc>
        <w:tc>
          <w:tcPr/>
          <w:p>
            <w:pPr>
              <w:pStyle w:val="Compact"/>
              <w:jc w:val="left"/>
            </w:pPr>
            <w:r>
              <w:t xml:space="preserve">Pilot with signed links plus telesales issuance. Shift the pilot start and hold the Tết freeze.</w:t>
            </w:r>
          </w:p>
        </w:tc>
        <w:tc>
          <w:tcPr/>
          <w:p>
            <w:pPr>
              <w:pStyle w:val="Compact"/>
              <w:jc w:val="left"/>
            </w:pPr>
            <w:r>
              <w:t xml:space="preserve">Open</w:t>
            </w:r>
          </w:p>
        </w:tc>
      </w:tr>
      <w:tr>
        <w:tc>
          <w:tcPr/>
          <w:p>
            <w:pPr>
              <w:pStyle w:val="Compact"/>
              <w:jc w:val="left"/>
            </w:pPr>
            <w:r>
              <w:t xml:space="preserve">R-10</w:t>
            </w:r>
          </w:p>
        </w:tc>
        <w:tc>
          <w:tcPr/>
          <w:p>
            <w:pPr>
              <w:pStyle w:val="Compact"/>
              <w:jc w:val="left"/>
            </w:pPr>
            <w:r>
              <w:rPr>
                <w:bCs/>
                <w:b/>
              </w:rPr>
              <w:t xml:space="preserve">Adoption by telesales.</w:t>
            </w:r>
            <w:r>
              <w:t xml:space="preserve"> </w:t>
            </w:r>
            <w:r>
              <w:t xml:space="preserve">Agents keep working from spreadsheets or call lists and ignore the inbox and NBA, so handoffs go stale and conversions are lost.</w:t>
            </w:r>
          </w:p>
        </w:tc>
        <w:tc>
          <w:tcPr/>
          <w:p>
            <w:pPr>
              <w:pStyle w:val="Compact"/>
              <w:jc w:val="left"/>
            </w:pPr>
            <w:r>
              <w:t xml:space="preserve">Change / People</w:t>
            </w:r>
          </w:p>
        </w:tc>
        <w:tc>
          <w:tcPr/>
          <w:p>
            <w:pPr>
              <w:pStyle w:val="Compact"/>
              <w:jc w:val="left"/>
            </w:pPr>
            <w:r>
              <w:t xml:space="preserve">3</w:t>
            </w:r>
          </w:p>
        </w:tc>
        <w:tc>
          <w:tcPr/>
          <w:p>
            <w:pPr>
              <w:pStyle w:val="Compact"/>
              <w:jc w:val="left"/>
            </w:pPr>
            <w:r>
              <w:t xml:space="preserve">5</w:t>
            </w:r>
          </w:p>
        </w:tc>
        <w:tc>
          <w:tcPr/>
          <w:p>
            <w:pPr>
              <w:pStyle w:val="Compact"/>
              <w:jc w:val="left"/>
            </w:pPr>
            <w:r>
              <w:t xml:space="preserve">15</w:t>
            </w:r>
          </w:p>
        </w:tc>
        <w:tc>
          <w:tcPr/>
          <w:p>
            <w:pPr>
              <w:pStyle w:val="Compact"/>
              <w:jc w:val="left"/>
            </w:pPr>
            <w:r>
              <w:t xml:space="preserve">V-CC + T-PRD</w:t>
            </w:r>
          </w:p>
        </w:tc>
        <w:tc>
          <w:tcPr/>
          <w:p>
            <w:pPr>
              <w:pStyle w:val="Compact"/>
              <w:jc w:val="left"/>
            </w:pPr>
            <w:r>
              <w:t xml:space="preserve">Involve agents in usability tests. Champions network. Inbox designed for ≤ 3 clicks to claim and call. Incentives aligned with platform-recorded wins. Supervisor dashboards.</w:t>
            </w:r>
          </w:p>
        </w:tc>
        <w:tc>
          <w:tcPr/>
          <w:p>
            <w:pPr>
              <w:pStyle w:val="Compact"/>
              <w:jc w:val="left"/>
            </w:pPr>
            <w:r>
              <w:t xml:space="preserve">Supervisor reassignment, targeted coaching, retire the legacy lists.</w:t>
            </w:r>
          </w:p>
        </w:tc>
        <w:tc>
          <w:tcPr/>
          <w:p>
            <w:pPr>
              <w:pStyle w:val="Compact"/>
              <w:jc w:val="left"/>
            </w:pPr>
            <w:r>
              <w:t xml:space="preserve">Open</w:t>
            </w:r>
          </w:p>
        </w:tc>
      </w:tr>
      <w:tr>
        <w:tc>
          <w:tcPr/>
          <w:p>
            <w:pPr>
              <w:pStyle w:val="Compact"/>
              <w:jc w:val="left"/>
            </w:pPr>
            <w:r>
              <w:t xml:space="preserve">R-11</w:t>
            </w:r>
          </w:p>
        </w:tc>
        <w:tc>
          <w:tcPr/>
          <w:p>
            <w:pPr>
              <w:pStyle w:val="Compact"/>
              <w:jc w:val="left"/>
            </w:pPr>
            <w:r>
              <w:rPr>
                <w:bCs/>
                <w:b/>
              </w:rPr>
              <w:t xml:space="preserve">Model / scoring bias.</w:t>
            </w:r>
            <w:r>
              <w:t xml:space="preserve"> </w:t>
            </w:r>
            <w:r>
              <w:t xml:space="preserve">Scoring factors (engagement, wallet balance, region) systematically deprioritise certain groups (for example rural or low-balance customers), leading to unfair treatment and regulatory or ethical concern.</w:t>
            </w:r>
          </w:p>
        </w:tc>
        <w:tc>
          <w:tcPr/>
          <w:p>
            <w:pPr>
              <w:pStyle w:val="Compact"/>
              <w:jc w:val="left"/>
            </w:pPr>
            <w:r>
              <w:t xml:space="preserve">AI governance</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T-DAT + T-CMP</w:t>
            </w:r>
          </w:p>
        </w:tc>
        <w:tc>
          <w:tcPr/>
          <w:p>
            <w:pPr>
              <w:pStyle w:val="Compact"/>
              <w:jc w:val="left"/>
            </w:pPr>
            <w:r>
              <w:t xml:space="preserve">Explainable additive scoring with reasons per factor. No protected attributes used. Quarterly fairness review by province and vehicle category. Simulation before changes.</w:t>
            </w:r>
          </w:p>
        </w:tc>
        <w:tc>
          <w:tcPr/>
          <w:p>
            <w:pPr>
              <w:pStyle w:val="Compact"/>
              <w:jc w:val="left"/>
            </w:pPr>
            <w:r>
              <w:t xml:space="preserve">Adjust weights through the Rules studio. Add a minimum-service rule so every lapsed vehicle gets at least a service notice.</w:t>
            </w:r>
          </w:p>
        </w:tc>
        <w:tc>
          <w:tcPr/>
          <w:p>
            <w:pPr>
              <w:pStyle w:val="Compact"/>
              <w:jc w:val="left"/>
            </w:pPr>
            <w:r>
              <w:t xml:space="preserve">Monitoring</w:t>
            </w:r>
          </w:p>
        </w:tc>
      </w:tr>
      <w:tr>
        <w:tc>
          <w:tcPr/>
          <w:p>
            <w:pPr>
              <w:pStyle w:val="Compact"/>
              <w:jc w:val="left"/>
            </w:pPr>
            <w:r>
              <w:t xml:space="preserve">R-12</w:t>
            </w:r>
          </w:p>
        </w:tc>
        <w:tc>
          <w:tcPr/>
          <w:p>
            <w:pPr>
              <w:pStyle w:val="Compact"/>
              <w:jc w:val="left"/>
            </w:pPr>
            <w:r>
              <w:rPr>
                <w:bCs/>
                <w:b/>
              </w:rPr>
              <w:t xml:space="preserve">Key person dependency.</w:t>
            </w:r>
            <w:r>
              <w:t xml:space="preserve"> </w:t>
            </w:r>
            <w:r>
              <w:t xml:space="preserve">Knowledge of the rules engine and enrichment logic sits with one or two iorta engineers, so the platform cannot be maintained if they leave.</w:t>
            </w:r>
          </w:p>
        </w:tc>
        <w:tc>
          <w:tcPr/>
          <w:p>
            <w:pPr>
              <w:pStyle w:val="Compact"/>
              <w:jc w:val="left"/>
            </w:pPr>
            <w:r>
              <w:t xml:space="preserve">People / Delivery</w:t>
            </w:r>
          </w:p>
        </w:tc>
        <w:tc>
          <w:tcPr/>
          <w:p>
            <w:pPr>
              <w:pStyle w:val="Compact"/>
              <w:jc w:val="left"/>
            </w:pPr>
            <w:r>
              <w:t xml:space="preserve">4</w:t>
            </w:r>
          </w:p>
        </w:tc>
        <w:tc>
          <w:tcPr/>
          <w:p>
            <w:pPr>
              <w:pStyle w:val="Compact"/>
              <w:jc w:val="left"/>
            </w:pPr>
            <w:r>
              <w:t xml:space="preserve">4</w:t>
            </w:r>
          </w:p>
        </w:tc>
        <w:tc>
          <w:tcPr/>
          <w:p>
            <w:pPr>
              <w:pStyle w:val="Compact"/>
              <w:jc w:val="left"/>
            </w:pPr>
            <w:r>
              <w:t xml:space="preserve">16</w:t>
            </w:r>
          </w:p>
        </w:tc>
        <w:tc>
          <w:tcPr/>
          <w:p>
            <w:pPr>
              <w:pStyle w:val="Compact"/>
              <w:jc w:val="left"/>
            </w:pPr>
            <w:r>
              <w:t xml:space="preserve">I-DL</w:t>
            </w:r>
          </w:p>
        </w:tc>
        <w:tc>
          <w:tcPr/>
          <w:p>
            <w:pPr>
              <w:pStyle w:val="Compact"/>
              <w:jc w:val="left"/>
            </w:pPr>
            <w:r>
              <w:t xml:space="preserve">Pairing. ADRs. KT plan with reverse-shadow. Code walkthroughs. Documentation as part of the DoD. Two people trained per component.</w:t>
            </w:r>
          </w:p>
        </w:tc>
        <w:tc>
          <w:tcPr/>
          <w:p>
            <w:pPr>
              <w:pStyle w:val="Compact"/>
              <w:jc w:val="left"/>
            </w:pPr>
            <w:r>
              <w:t xml:space="preserve">Accelerate KT. Retain an iorta support contract.</w:t>
            </w:r>
          </w:p>
        </w:tc>
        <w:tc>
          <w:tcPr/>
          <w:p>
            <w:pPr>
              <w:pStyle w:val="Compact"/>
              <w:jc w:val="left"/>
            </w:pPr>
            <w:r>
              <w:t xml:space="preserve">Mitigating</w:t>
            </w:r>
          </w:p>
        </w:tc>
      </w:tr>
      <w:tr>
        <w:tc>
          <w:tcPr/>
          <w:p>
            <w:pPr>
              <w:pStyle w:val="Compact"/>
              <w:jc w:val="left"/>
            </w:pPr>
            <w:r>
              <w:t xml:space="preserve">R-13</w:t>
            </w:r>
          </w:p>
        </w:tc>
        <w:tc>
          <w:tcPr/>
          <w:p>
            <w:pPr>
              <w:pStyle w:val="Compact"/>
              <w:jc w:val="left"/>
            </w:pPr>
            <w:r>
              <w:rPr>
                <w:bCs/>
                <w:b/>
              </w:rPr>
              <w:t xml:space="preserve">Vendor lock-in</w:t>
            </w:r>
            <w:r>
              <w:t xml:space="preserve"> </w:t>
            </w:r>
            <w:r>
              <w:t xml:space="preserve">(voice-AI, messaging, cloud). Proprietary APIs make switching costly or impossible.</w:t>
            </w:r>
          </w:p>
        </w:tc>
        <w:tc>
          <w:tcPr/>
          <w:p>
            <w:pPr>
              <w:pStyle w:val="Compact"/>
              <w:jc w:val="left"/>
            </w:pPr>
            <w:r>
              <w:t xml:space="preserve">Architecture / Commercial</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I-AR</w:t>
            </w:r>
          </w:p>
        </w:tc>
        <w:tc>
          <w:tcPr/>
          <w:p>
            <w:pPr>
              <w:pStyle w:val="Compact"/>
              <w:jc w:val="left"/>
            </w:pPr>
            <w:r>
              <w:t xml:space="preserve">Hexagonal ports and adapters (</w:t>
            </w:r>
            <w:r>
              <w:rPr>
                <w:rStyle w:val="VerbatimChar"/>
              </w:rPr>
              <w:t xml:space="preserve">src/adapters/integrations/*</w:t>
            </w:r>
            <w:r>
              <w:t xml:space="preserve">, composition root</w:t>
            </w:r>
            <w:r>
              <w:t xml:space="preserve"> </w:t>
            </w:r>
            <w:r>
              <w:rPr>
                <w:rStyle w:val="VerbatimChar"/>
              </w:rPr>
              <w:t xml:space="preserve">src/bootstrap/container.js</w:t>
            </w:r>
            <w:r>
              <w:t xml:space="preserve">). Standard PostgreSQL. No proprietary cloud services in the core. Exit clauses in contracts.</w:t>
            </w:r>
          </w:p>
        </w:tc>
        <w:tc>
          <w:tcPr/>
          <w:p>
            <w:pPr>
              <w:pStyle w:val="Compact"/>
              <w:jc w:val="left"/>
            </w:pPr>
            <w:r>
              <w:t xml:space="preserve">Replace the adapter. Data export from vendor contracts.</w:t>
            </w:r>
          </w:p>
        </w:tc>
        <w:tc>
          <w:tcPr/>
          <w:p>
            <w:pPr>
              <w:pStyle w:val="Compact"/>
              <w:jc w:val="left"/>
            </w:pPr>
            <w:r>
              <w:t xml:space="preserve">Monitoring</w:t>
            </w:r>
          </w:p>
        </w:tc>
      </w:tr>
      <w:tr>
        <w:tc>
          <w:tcPr/>
          <w:p>
            <w:pPr>
              <w:pStyle w:val="Compact"/>
              <w:jc w:val="left"/>
            </w:pPr>
            <w:r>
              <w:t xml:space="preserve">R-14</w:t>
            </w:r>
          </w:p>
        </w:tc>
        <w:tc>
          <w:tcPr/>
          <w:p>
            <w:pPr>
              <w:pStyle w:val="Compact"/>
              <w:jc w:val="left"/>
            </w:pPr>
            <w:r>
              <w:rPr>
                <w:bCs/>
                <w:b/>
              </w:rPr>
              <w:t xml:space="preserve">Data quality worse than assumed.</w:t>
            </w:r>
            <w:r>
              <w:t xml:space="preserve"> </w:t>
            </w:r>
            <w:r>
              <w:t xml:space="preserve">Expiry is reliable for fewer records than expected (baseline ≈ 1 in 10), so journeys mistime and customers are contacted about the wrong date.</w:t>
            </w:r>
          </w:p>
        </w:tc>
        <w:tc>
          <w:tcPr/>
          <w:p>
            <w:pPr>
              <w:pStyle w:val="Compact"/>
              <w:jc w:val="left"/>
            </w:pPr>
            <w:r>
              <w:t xml:space="preserve">Data</w:t>
            </w:r>
          </w:p>
        </w:tc>
        <w:tc>
          <w:tcPr/>
          <w:p>
            <w:pPr>
              <w:pStyle w:val="Compact"/>
              <w:jc w:val="left"/>
            </w:pPr>
            <w:r>
              <w:t xml:space="preserve">4</w:t>
            </w:r>
          </w:p>
        </w:tc>
        <w:tc>
          <w:tcPr/>
          <w:p>
            <w:pPr>
              <w:pStyle w:val="Compact"/>
              <w:jc w:val="left"/>
            </w:pPr>
            <w:r>
              <w:t xml:space="preserve">3</w:t>
            </w:r>
          </w:p>
        </w:tc>
        <w:tc>
          <w:tcPr/>
          <w:p>
            <w:pPr>
              <w:pStyle w:val="Compact"/>
              <w:jc w:val="left"/>
            </w:pPr>
            <w:r>
              <w:t xml:space="preserve">12</w:t>
            </w:r>
          </w:p>
        </w:tc>
        <w:tc>
          <w:tcPr/>
          <w:p>
            <w:pPr>
              <w:pStyle w:val="Compact"/>
              <w:jc w:val="left"/>
            </w:pPr>
            <w:r>
              <w:t xml:space="preserve">T-DAT</w:t>
            </w:r>
          </w:p>
        </w:tc>
        <w:tc>
          <w:tcPr/>
          <w:p>
            <w:pPr>
              <w:pStyle w:val="Compact"/>
              <w:jc w:val="left"/>
            </w:pPr>
            <w:r>
              <w:t xml:space="preserve">Confidence-based NBA (</w:t>
            </w:r>
            <w:r>
              <w:rPr>
                <w:rStyle w:val="VerbatimChar"/>
              </w:rPr>
              <w:t xml:space="preserve">fix_data</w:t>
            </w:r>
            <w:r>
              <w:t xml:space="preserve"> </w:t>
            </w:r>
            <w:r>
              <w:t xml:space="preserve">asks for confirmation when confidence &lt; 0.5).</w:t>
            </w:r>
            <w:r>
              <w:t xml:space="preserve"> </w:t>
            </w:r>
            <w:r>
              <w:rPr>
                <w:rStyle w:val="VerbatimChar"/>
              </w:rPr>
              <w:t xml:space="preserve">verify_expiry</w:t>
            </w:r>
            <w:r>
              <w:t xml:space="preserve"> </w:t>
            </w:r>
            <w:r>
              <w:t xml:space="preserve">steps. Voice bot captures expiry. Data steward workflow. DQ KPIs.</w:t>
            </w:r>
          </w:p>
        </w:tc>
        <w:tc>
          <w:tcPr/>
          <w:p>
            <w:pPr>
              <w:pStyle w:val="Compact"/>
              <w:jc w:val="left"/>
            </w:pPr>
            <w:r>
              <w:t xml:space="preserve">Restrict the pilot to records with confidence ≥ 0.5. Run "confirm your expiry" campaigns first.</w:t>
            </w:r>
          </w:p>
        </w:tc>
        <w:tc>
          <w:tcPr/>
          <w:p>
            <w:pPr>
              <w:pStyle w:val="Compact"/>
              <w:jc w:val="left"/>
            </w:pPr>
            <w:r>
              <w:t xml:space="preserve">Mitigating</w:t>
            </w:r>
          </w:p>
        </w:tc>
      </w:tr>
      <w:tr>
        <w:tc>
          <w:tcPr/>
          <w:p>
            <w:pPr>
              <w:pStyle w:val="Compact"/>
              <w:jc w:val="left"/>
            </w:pPr>
            <w:r>
              <w:t xml:space="preserve">R-15</w:t>
            </w:r>
          </w:p>
        </w:tc>
        <w:tc>
          <w:tcPr/>
          <w:p>
            <w:pPr>
              <w:pStyle w:val="Compact"/>
              <w:jc w:val="left"/>
            </w:pPr>
            <w:r>
              <w:rPr>
                <w:bCs/>
                <w:b/>
              </w:rPr>
              <w:t xml:space="preserve">Wrong-person contact and privacy leak.</w:t>
            </w:r>
            <w:r>
              <w:t xml:space="preserve"> </w:t>
            </w:r>
            <w:r>
              <w:t xml:space="preserve">A phone number in VETC data belongs to someone else (sold car, shared phone), so PII or policy data is disclosed to the wrong person.</w:t>
            </w:r>
          </w:p>
        </w:tc>
        <w:tc>
          <w:tcPr/>
          <w:p>
            <w:pPr>
              <w:pStyle w:val="Compact"/>
              <w:jc w:val="left"/>
            </w:pPr>
            <w:r>
              <w:t xml:space="preserve">Privacy</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T-CMP</w:t>
            </w:r>
          </w:p>
        </w:tc>
        <w:tc>
          <w:tcPr/>
          <w:p>
            <w:pPr>
              <w:pStyle w:val="Compact"/>
              <w:jc w:val="left"/>
            </w:pPr>
            <w:r>
              <w:t xml:space="preserve">Plate-first verification before any detail. Masked plate in calls. Minimal data in messages.</w:t>
            </w:r>
            <w:r>
              <w:t xml:space="preserve"> </w:t>
            </w:r>
            <w:r>
              <w:rPr>
                <w:rStyle w:val="VerbatimChar"/>
              </w:rPr>
              <w:t xml:space="preserve">wrong_person</w:t>
            </w:r>
            <w:r>
              <w:t xml:space="preserve"> </w:t>
            </w:r>
            <w:r>
              <w:t xml:space="preserve">outcome creates a DQ issue.</w:t>
            </w:r>
          </w:p>
        </w:tc>
        <w:tc>
          <w:tcPr/>
          <w:p>
            <w:pPr>
              <w:pStyle w:val="Compact"/>
              <w:jc w:val="left"/>
            </w:pPr>
            <w:r>
              <w:t xml:space="preserve">Incident handling, DQ correction, apology.</w:t>
            </w:r>
          </w:p>
        </w:tc>
        <w:tc>
          <w:tcPr/>
          <w:p>
            <w:pPr>
              <w:pStyle w:val="Compact"/>
              <w:jc w:val="left"/>
            </w:pPr>
            <w:r>
              <w:t xml:space="preserve">Mitigating</w:t>
            </w:r>
          </w:p>
        </w:tc>
      </w:tr>
      <w:tr>
        <w:tc>
          <w:tcPr/>
          <w:p>
            <w:pPr>
              <w:pStyle w:val="Compact"/>
              <w:jc w:val="left"/>
            </w:pPr>
            <w:r>
              <w:t xml:space="preserve">R-16</w:t>
            </w:r>
          </w:p>
        </w:tc>
        <w:tc>
          <w:tcPr/>
          <w:p>
            <w:pPr>
              <w:pStyle w:val="Compact"/>
              <w:jc w:val="left"/>
            </w:pPr>
            <w:r>
              <w:rPr>
                <w:bCs/>
                <w:b/>
              </w:rPr>
              <w:t xml:space="preserve">Payment without explicit customer authorisation.</w:t>
            </w:r>
            <w:r>
              <w:t xml:space="preserve"> </w:t>
            </w:r>
            <w:r>
              <w:t xml:space="preserve">Telesales or partner flows trigger a VETC wallet debit (</w:t>
            </w:r>
            <w:r>
              <w:rPr>
                <w:rStyle w:val="VerbatimChar"/>
              </w:rPr>
              <w:t xml:space="preserve">POST /api/orders</w:t>
            </w:r>
            <w:r>
              <w:t xml:space="preserve">) without the customer confirming in their app, leading to disputes and a breach of the "never pay by phone" promise.</w:t>
            </w:r>
          </w:p>
        </w:tc>
        <w:tc>
          <w:tcPr/>
          <w:p>
            <w:pPr>
              <w:pStyle w:val="Compact"/>
              <w:jc w:val="left"/>
            </w:pPr>
            <w:r>
              <w:t xml:space="preserve">Process / Integration</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V-APP + T-PRD</w:t>
            </w:r>
          </w:p>
        </w:tc>
        <w:tc>
          <w:tcPr/>
          <w:p>
            <w:pPr>
              <w:pStyle w:val="Compact"/>
              <w:jc w:val="left"/>
            </w:pPr>
            <w:r>
              <w:t xml:space="preserve">In production the wallet adapter must require customer confirmation in the VETC app (push-to-approve). Agents send one-tap links rather than issuing. Issuance permission (</w:t>
            </w:r>
            <w:r>
              <w:rPr>
                <w:rStyle w:val="VerbatimChar"/>
              </w:rPr>
              <w:t xml:space="preserve">policy:issue</w:t>
            </w:r>
            <w:r>
              <w:t xml:space="preserve">) is restricted and audited.</w:t>
            </w:r>
          </w:p>
        </w:tc>
        <w:tc>
          <w:tcPr/>
          <w:p>
            <w:pPr>
              <w:pStyle w:val="Compact"/>
              <w:jc w:val="left"/>
            </w:pPr>
            <w:r>
              <w:t xml:space="preserve">Refund through compensation. Reconcile. Retrain agents.</w:t>
            </w:r>
          </w:p>
        </w:tc>
        <w:tc>
          <w:tcPr/>
          <w:p>
            <w:pPr>
              <w:pStyle w:val="Compact"/>
              <w:jc w:val="left"/>
            </w:pPr>
            <w:r>
              <w:t xml:space="preserve">Open</w:t>
            </w:r>
          </w:p>
        </w:tc>
      </w:tr>
      <w:tr>
        <w:tc>
          <w:tcPr/>
          <w:p>
            <w:pPr>
              <w:pStyle w:val="Compact"/>
              <w:jc w:val="left"/>
            </w:pPr>
            <w:r>
              <w:t xml:space="preserve">R-17</w:t>
            </w:r>
          </w:p>
        </w:tc>
        <w:tc>
          <w:tcPr/>
          <w:p>
            <w:pPr>
              <w:pStyle w:val="Compact"/>
              <w:jc w:val="left"/>
            </w:pPr>
            <w:r>
              <w:rPr>
                <w:bCs/>
                <w:b/>
              </w:rPr>
              <w:t xml:space="preserve">Zalo ZNS template approval or OA verification delayed.</w:t>
            </w:r>
            <w:r>
              <w:t xml:space="preserve"> </w:t>
            </w:r>
            <w:r>
              <w:t xml:space="preserve">Templates are rejected or slow to approve, so the Zalo channel is unavailable at pilot.</w:t>
            </w:r>
          </w:p>
        </w:tc>
        <w:tc>
          <w:tcPr/>
          <w:p>
            <w:pPr>
              <w:pStyle w:val="Compact"/>
              <w:jc w:val="left"/>
            </w:pPr>
            <w:r>
              <w:t xml:space="preserve">Dependency</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V-PRD</w:t>
            </w:r>
          </w:p>
        </w:tc>
        <w:tc>
          <w:tcPr/>
          <w:p>
            <w:pPr>
              <w:pStyle w:val="Compact"/>
              <w:jc w:val="left"/>
            </w:pPr>
            <w:r>
              <w:t xml:space="preserve">Submit templates in Sprint 2. Templates written within ZNS rules (transactional tone). Channel fallback order in journeys.</w:t>
            </w:r>
          </w:p>
        </w:tc>
        <w:tc>
          <w:tcPr/>
          <w:p>
            <w:pPr>
              <w:pStyle w:val="Compact"/>
              <w:jc w:val="left"/>
            </w:pPr>
            <w:r>
              <w:t xml:space="preserve">Use app push and SMS only.</w:t>
            </w:r>
          </w:p>
        </w:tc>
        <w:tc>
          <w:tcPr/>
          <w:p>
            <w:pPr>
              <w:pStyle w:val="Compact"/>
              <w:jc w:val="left"/>
            </w:pPr>
            <w:r>
              <w:t xml:space="preserve">Open</w:t>
            </w:r>
          </w:p>
        </w:tc>
      </w:tr>
      <w:tr>
        <w:tc>
          <w:tcPr/>
          <w:p>
            <w:pPr>
              <w:pStyle w:val="Compact"/>
              <w:jc w:val="left"/>
            </w:pPr>
            <w:r>
              <w:t xml:space="preserve">R-18</w:t>
            </w:r>
          </w:p>
        </w:tc>
        <w:tc>
          <w:tcPr/>
          <w:p>
            <w:pPr>
              <w:pStyle w:val="Compact"/>
              <w:jc w:val="left"/>
            </w:pPr>
            <w:r>
              <w:rPr>
                <w:bCs/>
                <w:b/>
              </w:rPr>
              <w:t xml:space="preserve">Physical damage sold without the required inspection.</w:t>
            </w:r>
            <w:r>
              <w:t xml:space="preserve"> </w:t>
            </w:r>
            <w:r>
              <w:rPr>
                <w:rStyle w:val="VerbatimChar"/>
              </w:rPr>
              <w:t xml:space="preserve">MOTOR_PD</w:t>
            </w:r>
            <w:r>
              <w:t xml:space="preserve"> </w:t>
            </w:r>
            <w:r>
              <w:t xml:space="preserve">has</w:t>
            </w:r>
            <w:r>
              <w:t xml:space="preserve"> </w:t>
            </w:r>
            <w:r>
              <w:rPr>
                <w:rStyle w:val="VerbatimChar"/>
              </w:rPr>
              <w:t xml:space="preserve">requiresInspection: true</w:t>
            </w:r>
            <w:r>
              <w:t xml:space="preserve">, but the quote → order flow (including the v1 customer app add-on toggle) binds without inspection, leading to underwriting losses and fraud.</w:t>
            </w:r>
          </w:p>
        </w:tc>
        <w:tc>
          <w:tcPr/>
          <w:p>
            <w:pPr>
              <w:pStyle w:val="Compact"/>
              <w:jc w:val="left"/>
            </w:pPr>
            <w:r>
              <w:t xml:space="preserve">Underwriting</w:t>
            </w:r>
          </w:p>
        </w:tc>
        <w:tc>
          <w:tcPr/>
          <w:p>
            <w:pPr>
              <w:pStyle w:val="Compact"/>
              <w:jc w:val="left"/>
            </w:pPr>
            <w:r>
              <w:t xml:space="preserve">2</w:t>
            </w:r>
          </w:p>
        </w:tc>
        <w:tc>
          <w:tcPr/>
          <w:p>
            <w:pPr>
              <w:pStyle w:val="Compact"/>
              <w:jc w:val="left"/>
            </w:pPr>
            <w:r>
              <w:t xml:space="preserve">3</w:t>
            </w:r>
          </w:p>
        </w:tc>
        <w:tc>
          <w:tcPr/>
          <w:p>
            <w:pPr>
              <w:pStyle w:val="Compact"/>
              <w:jc w:val="left"/>
            </w:pPr>
            <w:r>
              <w:t xml:space="preserve">6</w:t>
            </w:r>
          </w:p>
        </w:tc>
        <w:tc>
          <w:tcPr/>
          <w:p>
            <w:pPr>
              <w:pStyle w:val="Compact"/>
              <w:jc w:val="left"/>
            </w:pPr>
            <w:r>
              <w:t xml:space="preserve">T-PRD (Underwriting)</w:t>
            </w:r>
          </w:p>
        </w:tc>
        <w:tc>
          <w:tcPr/>
          <w:p>
            <w:pPr>
              <w:pStyle w:val="Compact"/>
              <w:jc w:val="left"/>
            </w:pPr>
            <w:r>
              <w:t xml:space="preserve">MVP offers physical damage as</w:t>
            </w:r>
            <w:r>
              <w:t xml:space="preserve"> </w:t>
            </w:r>
            <w:r>
              <w:rPr>
                <w:bCs/>
                <w:b/>
              </w:rPr>
              <w:t xml:space="preserve">quote / lead only</w:t>
            </w:r>
            <w:r>
              <w:t xml:space="preserve"> </w:t>
            </w:r>
            <w:r>
              <w:t xml:space="preserve">in the app. Binding goes through the inspection workflow (self-inspection photos or a centre).</w:t>
            </w:r>
          </w:p>
        </w:tc>
        <w:tc>
          <w:tcPr/>
          <w:p>
            <w:pPr>
              <w:pStyle w:val="Compact"/>
              <w:jc w:val="left"/>
            </w:pPr>
            <w:r>
              <w:t xml:space="preserve">Hold</w:t>
            </w:r>
            <w:r>
              <w:t xml:space="preserve"> </w:t>
            </w:r>
            <w:r>
              <w:rPr>
                <w:rStyle w:val="VerbatimChar"/>
              </w:rPr>
              <w:t xml:space="preserve">MOTOR_PD</w:t>
            </w:r>
            <w:r>
              <w:t xml:space="preserve"> </w:t>
            </w:r>
            <w:r>
              <w:t xml:space="preserve">issuance on digital channels by removing</w:t>
            </w:r>
            <w:r>
              <w:t xml:space="preserve"> </w:t>
            </w:r>
            <w:r>
              <w:rPr>
                <w:rStyle w:val="VerbatimChar"/>
              </w:rPr>
              <w:t xml:space="preserve">vetc_app</w:t>
            </w:r>
            <w:r>
              <w:t xml:space="preserve"> </w:t>
            </w:r>
            <w:r>
              <w:t xml:space="preserve">from its channels (rule change).</w:t>
            </w:r>
          </w:p>
        </w:tc>
        <w:tc>
          <w:tcPr/>
          <w:p>
            <w:pPr>
              <w:pStyle w:val="Compact"/>
              <w:jc w:val="left"/>
            </w:pPr>
            <w:r>
              <w:t xml:space="preserve">Open</w:t>
            </w:r>
          </w:p>
        </w:tc>
      </w:tr>
      <w:tr>
        <w:tc>
          <w:tcPr/>
          <w:p>
            <w:pPr>
              <w:pStyle w:val="Compact"/>
              <w:jc w:val="left"/>
            </w:pPr>
            <w:r>
              <w:t xml:space="preserve">R-19</w:t>
            </w:r>
          </w:p>
        </w:tc>
        <w:tc>
          <w:tcPr/>
          <w:p>
            <w:pPr>
              <w:pStyle w:val="Compact"/>
              <w:jc w:val="left"/>
            </w:pPr>
            <w:r>
              <w:rPr>
                <w:bCs/>
                <w:b/>
              </w:rPr>
              <w:t xml:space="preserve">Rule misconfiguration</w:t>
            </w:r>
            <w:r>
              <w:t xml:space="preserve"> </w:t>
            </w:r>
            <w:r>
              <w:t xml:space="preserve">(scoring, journeys, tariffs). A wrong rule is approved, leading to mis-priced quotes or mass mis-targeting.</w:t>
            </w:r>
          </w:p>
        </w:tc>
        <w:tc>
          <w:tcPr/>
          <w:p>
            <w:pPr>
              <w:pStyle w:val="Compact"/>
              <w:jc w:val="left"/>
            </w:pPr>
            <w:r>
              <w:t xml:space="preserve">Operational</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T-CMP</w:t>
            </w:r>
          </w:p>
        </w:tc>
        <w:tc>
          <w:tcPr/>
          <w:p>
            <w:pPr>
              <w:pStyle w:val="Compact"/>
              <w:jc w:val="left"/>
            </w:pPr>
            <w:r>
              <w:t xml:space="preserve">Validation, simulation and four-eyes approval. Description required. Monitoring after activation. Tariffs approved by Underwriting.</w:t>
            </w:r>
          </w:p>
        </w:tc>
        <w:tc>
          <w:tcPr/>
          <w:p>
            <w:pPr>
              <w:pStyle w:val="Compact"/>
              <w:jc w:val="left"/>
            </w:pPr>
            <w:r>
              <w:t xml:space="preserve">Rollback (new draft from the prior version, fast-tracked approval). Customer remediation.</w:t>
            </w:r>
          </w:p>
        </w:tc>
        <w:tc>
          <w:tcPr/>
          <w:p>
            <w:pPr>
              <w:pStyle w:val="Compact"/>
              <w:jc w:val="left"/>
            </w:pPr>
            <w:r>
              <w:t xml:space="preserve">Mitigating</w:t>
            </w:r>
          </w:p>
        </w:tc>
      </w:tr>
      <w:tr>
        <w:tc>
          <w:tcPr/>
          <w:p>
            <w:pPr>
              <w:pStyle w:val="Compact"/>
              <w:jc w:val="left"/>
            </w:pPr>
            <w:r>
              <w:t xml:space="preserve">R-20</w:t>
            </w:r>
          </w:p>
        </w:tc>
        <w:tc>
          <w:tcPr/>
          <w:p>
            <w:pPr>
              <w:pStyle w:val="Compact"/>
              <w:jc w:val="left"/>
            </w:pPr>
            <w:r>
              <w:rPr>
                <w:bCs/>
                <w:b/>
              </w:rPr>
              <w:t xml:space="preserve">Security breach / account takeover</w:t>
            </w:r>
            <w:r>
              <w:t xml:space="preserve"> </w:t>
            </w:r>
            <w:r>
              <w:t xml:space="preserve">of staff or partner credentials, leading to data exfiltration or fraudulent issuance.</w:t>
            </w:r>
          </w:p>
        </w:tc>
        <w:tc>
          <w:tcPr/>
          <w:p>
            <w:pPr>
              <w:pStyle w:val="Compact"/>
              <w:jc w:val="left"/>
            </w:pPr>
            <w:r>
              <w:t xml:space="preserve">Security</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T-SEC</w:t>
            </w:r>
          </w:p>
        </w:tc>
        <w:tc>
          <w:tcPr/>
          <w:p>
            <w:pPr>
              <w:pStyle w:val="Compact"/>
              <w:jc w:val="left"/>
            </w:pPr>
            <w:r>
              <w:t xml:space="preserve">MFA for admin, approver, compliance and steward roles (extend to all roles in production through the IdP). Lockout after 5 failures. Short JWT TTL (30 min). Rate limits. API keys hashed and shown once. Audit hash chain. Pen test.</w:t>
            </w:r>
          </w:p>
        </w:tc>
        <w:tc>
          <w:tcPr/>
          <w:p>
            <w:pPr>
              <w:pStyle w:val="Compact"/>
              <w:jc w:val="left"/>
            </w:pPr>
            <w:r>
              <w:t xml:space="preserve">Revoke tokens and keys, disable users (</w:t>
            </w:r>
            <w:r>
              <w:rPr>
                <w:rStyle w:val="VerbatimChar"/>
              </w:rPr>
              <w:t xml:space="preserve">PATCH /api/users/:id</w:t>
            </w:r>
            <w:r>
              <w:t xml:space="preserve">), incident response, forensics from the audit log.</w:t>
            </w:r>
          </w:p>
        </w:tc>
        <w:tc>
          <w:tcPr/>
          <w:p>
            <w:pPr>
              <w:pStyle w:val="Compact"/>
              <w:jc w:val="left"/>
            </w:pPr>
            <w:r>
              <w:t xml:space="preserve">Mitigating</w:t>
            </w:r>
          </w:p>
        </w:tc>
      </w:tr>
      <w:tr>
        <w:tc>
          <w:tcPr/>
          <w:p>
            <w:pPr>
              <w:pStyle w:val="Compact"/>
              <w:jc w:val="left"/>
            </w:pPr>
            <w:r>
              <w:t xml:space="preserve">R-21</w:t>
            </w:r>
          </w:p>
        </w:tc>
        <w:tc>
          <w:tcPr/>
          <w:p>
            <w:pPr>
              <w:pStyle w:val="Compact"/>
              <w:jc w:val="left"/>
            </w:pPr>
            <w:r>
              <w:rPr>
                <w:bCs/>
                <w:b/>
              </w:rPr>
              <w:t xml:space="preserve">Telecom/notification provider outage</w:t>
            </w:r>
            <w:r>
              <w:t xml:space="preserve">, so reminders and calls fail around expiry dates.</w:t>
            </w:r>
          </w:p>
        </w:tc>
        <w:tc>
          <w:tcPr/>
          <w:p>
            <w:pPr>
              <w:pStyle w:val="Compact"/>
              <w:jc w:val="left"/>
            </w:pPr>
            <w:r>
              <w:t xml:space="preserve">Operational</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T-IT</w:t>
            </w:r>
          </w:p>
        </w:tc>
        <w:tc>
          <w:tcPr/>
          <w:p>
            <w:pPr>
              <w:pStyle w:val="Compact"/>
              <w:jc w:val="left"/>
            </w:pPr>
            <w:r>
              <w:t xml:space="preserve">Circuit breakers per gateway. Ops status page. Journeys retry the next channel. Catch-up window (</w:t>
            </w:r>
            <w:r>
              <w:rPr>
                <w:rStyle w:val="VerbatimChar"/>
              </w:rPr>
              <w:t xml:space="preserve">catchUpDays</w:t>
            </w:r>
            <w:r>
              <w:t xml:space="preserve">).</w:t>
            </w:r>
          </w:p>
        </w:tc>
        <w:tc>
          <w:tcPr/>
          <w:p>
            <w:pPr>
              <w:pStyle w:val="Compact"/>
              <w:jc w:val="left"/>
            </w:pPr>
            <w:r>
              <w:t xml:space="preserve">Manual re-run of journeys for missed dates. Switch provider.</w:t>
            </w:r>
          </w:p>
        </w:tc>
        <w:tc>
          <w:tcPr/>
          <w:p>
            <w:pPr>
              <w:pStyle w:val="Compact"/>
              <w:jc w:val="left"/>
            </w:pPr>
            <w:r>
              <w:t xml:space="preserve">Monitoring</w:t>
            </w:r>
          </w:p>
        </w:tc>
      </w:tr>
      <w:tr>
        <w:tc>
          <w:tcPr/>
          <w:p>
            <w:pPr>
              <w:pStyle w:val="Compact"/>
              <w:jc w:val="left"/>
            </w:pPr>
            <w:r>
              <w:t xml:space="preserve">R-22</w:t>
            </w:r>
          </w:p>
        </w:tc>
        <w:tc>
          <w:tcPr/>
          <w:p>
            <w:pPr>
              <w:pStyle w:val="Compact"/>
              <w:jc w:val="left"/>
            </w:pPr>
            <w:r>
              <w:rPr>
                <w:bCs/>
                <w:b/>
              </w:rPr>
              <w:t xml:space="preserve">Performance at full base (≈ 6M vehicles).</w:t>
            </w:r>
            <w:r>
              <w:t xml:space="preserve"> </w:t>
            </w:r>
            <w:r>
              <w:t xml:space="preserve">Recompute or ingestion jobs exceed batch windows, so leads go stale.</w:t>
            </w:r>
          </w:p>
        </w:tc>
        <w:tc>
          <w:tcPr/>
          <w:p>
            <w:pPr>
              <w:pStyle w:val="Compact"/>
              <w:jc w:val="left"/>
            </w:pPr>
            <w:r>
              <w:t xml:space="preserve">Technology</w:t>
            </w:r>
          </w:p>
        </w:tc>
        <w:tc>
          <w:tcPr/>
          <w:p>
            <w:pPr>
              <w:pStyle w:val="Compact"/>
              <w:jc w:val="left"/>
            </w:pPr>
            <w:r>
              <w:t xml:space="preserve">2</w:t>
            </w:r>
          </w:p>
        </w:tc>
        <w:tc>
          <w:tcPr/>
          <w:p>
            <w:pPr>
              <w:pStyle w:val="Compact"/>
              <w:jc w:val="left"/>
            </w:pPr>
            <w:r>
              <w:t xml:space="preserve">4</w:t>
            </w:r>
          </w:p>
        </w:tc>
        <w:tc>
          <w:tcPr/>
          <w:p>
            <w:pPr>
              <w:pStyle w:val="Compact"/>
              <w:jc w:val="left"/>
            </w:pPr>
            <w:r>
              <w:t xml:space="preserve">8</w:t>
            </w:r>
          </w:p>
        </w:tc>
        <w:tc>
          <w:tcPr/>
          <w:p>
            <w:pPr>
              <w:pStyle w:val="Compact"/>
              <w:jc w:val="left"/>
            </w:pPr>
            <w:r>
              <w:t xml:space="preserve">I-AR</w:t>
            </w:r>
          </w:p>
        </w:tc>
        <w:tc>
          <w:tcPr/>
          <w:p>
            <w:pPr>
              <w:pStyle w:val="Compact"/>
              <w:jc w:val="left"/>
            </w:pPr>
            <w:r>
              <w:t xml:space="preserve">Incremental rebuild by plate. Paging (1,000 per page). Postgres indexes. Perf tests. Horizontal scaling.</w:t>
            </w:r>
          </w:p>
        </w:tc>
        <w:tc>
          <w:tcPr/>
          <w:p>
            <w:pPr>
              <w:pStyle w:val="Compact"/>
              <w:jc w:val="left"/>
            </w:pPr>
            <w:r>
              <w:t xml:space="preserve">Run jobs off-peak. Partition by province.</w:t>
            </w:r>
          </w:p>
        </w:tc>
        <w:tc>
          <w:tcPr/>
          <w:p>
            <w:pPr>
              <w:pStyle w:val="Compact"/>
              <w:jc w:val="left"/>
            </w:pPr>
            <w:r>
              <w:t xml:space="preserve">Monitoring</w:t>
            </w:r>
          </w:p>
        </w:tc>
      </w:tr>
      <w:tr>
        <w:tc>
          <w:tcPr/>
          <w:p>
            <w:pPr>
              <w:pStyle w:val="Compact"/>
              <w:jc w:val="left"/>
            </w:pPr>
            <w:r>
              <w:t xml:space="preserve">R-23</w:t>
            </w:r>
          </w:p>
        </w:tc>
        <w:tc>
          <w:tcPr/>
          <w:p>
            <w:pPr>
              <w:pStyle w:val="Compact"/>
              <w:jc w:val="left"/>
            </w:pPr>
            <w:r>
              <w:rPr>
                <w:bCs/>
                <w:b/>
              </w:rPr>
              <w:t xml:space="preserve">Scope creep</w:t>
            </w:r>
            <w:r>
              <w:t xml:space="preserve"> </w:t>
            </w:r>
            <w:r>
              <w:t xml:space="preserve">(new products and journeys added mid-build), pushing the MVP late.</w:t>
            </w:r>
          </w:p>
        </w:tc>
        <w:tc>
          <w:tcPr/>
          <w:p>
            <w:pPr>
              <w:pStyle w:val="Compact"/>
              <w:jc w:val="left"/>
            </w:pPr>
            <w:r>
              <w:t xml:space="preserve">Delivery</w:t>
            </w:r>
          </w:p>
        </w:tc>
        <w:tc>
          <w:tcPr/>
          <w:p>
            <w:pPr>
              <w:pStyle w:val="Compact"/>
              <w:jc w:val="left"/>
            </w:pPr>
            <w:r>
              <w:t xml:space="preserve">2</w:t>
            </w:r>
          </w:p>
        </w:tc>
        <w:tc>
          <w:tcPr/>
          <w:p>
            <w:pPr>
              <w:pStyle w:val="Compact"/>
              <w:jc w:val="left"/>
            </w:pPr>
            <w:r>
              <w:t xml:space="preserve">3</w:t>
            </w:r>
          </w:p>
        </w:tc>
        <w:tc>
          <w:tcPr/>
          <w:p>
            <w:pPr>
              <w:pStyle w:val="Compact"/>
              <w:jc w:val="left"/>
            </w:pPr>
            <w:r>
              <w:t xml:space="preserve">6</w:t>
            </w:r>
          </w:p>
        </w:tc>
        <w:tc>
          <w:tcPr/>
          <w:p>
            <w:pPr>
              <w:pStyle w:val="Compact"/>
              <w:jc w:val="left"/>
            </w:pPr>
            <w:r>
              <w:t xml:space="preserve">T-PRD</w:t>
            </w:r>
          </w:p>
        </w:tc>
        <w:tc>
          <w:tcPr/>
          <w:p>
            <w:pPr>
              <w:pStyle w:val="Compact"/>
              <w:jc w:val="left"/>
            </w:pPr>
            <w:r>
              <w:t xml:space="preserve">Rules-first design: many requests are configuration, not code. Change control at SteerCo.</w:t>
            </w:r>
          </w:p>
        </w:tc>
        <w:tc>
          <w:tcPr/>
          <w:p>
            <w:pPr>
              <w:pStyle w:val="Compact"/>
              <w:jc w:val="left"/>
            </w:pPr>
            <w:r>
              <w:t xml:space="preserve">Move to Wave 3.</w:t>
            </w:r>
          </w:p>
        </w:tc>
        <w:tc>
          <w:tcPr/>
          <w:p>
            <w:pPr>
              <w:pStyle w:val="Compact"/>
              <w:jc w:val="left"/>
            </w:pPr>
            <w:r>
              <w:t xml:space="preserve">Monitoring</w:t>
            </w:r>
          </w:p>
        </w:tc>
      </w:tr>
      <w:tr>
        <w:tc>
          <w:tcPr/>
          <w:p>
            <w:pPr>
              <w:pStyle w:val="Compact"/>
              <w:jc w:val="left"/>
            </w:pPr>
            <w:r>
              <w:t xml:space="preserve">R-24</w:t>
            </w:r>
          </w:p>
        </w:tc>
        <w:tc>
          <w:tcPr/>
          <w:p>
            <w:pPr>
              <w:pStyle w:val="Compact"/>
              <w:jc w:val="left"/>
            </w:pPr>
            <w:r>
              <w:rPr>
                <w:bCs/>
                <w:b/>
              </w:rPr>
              <w:t xml:space="preserve">Tết and holiday disruption.</w:t>
            </w:r>
            <w:r>
              <w:t xml:space="preserve"> </w:t>
            </w:r>
            <w:r>
              <w:t xml:space="preserve">Release or pilot activity coincides with Tết, when customers and staff are unavailable.</w:t>
            </w:r>
          </w:p>
        </w:tc>
        <w:tc>
          <w:tcPr/>
          <w:p>
            <w:pPr>
              <w:pStyle w:val="Compact"/>
              <w:jc w:val="left"/>
            </w:pPr>
            <w:r>
              <w:t xml:space="preserve">Schedule</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I-DL</w:t>
            </w:r>
          </w:p>
        </w:tc>
        <w:tc>
          <w:tcPr/>
          <w:p>
            <w:pPr>
              <w:pStyle w:val="Compact"/>
              <w:jc w:val="left"/>
            </w:pPr>
            <w:r>
              <w:t xml:space="preserve">Change freeze 1–14 Feb 2027. Soft launch before, full volume after.</w:t>
            </w:r>
          </w:p>
        </w:tc>
        <w:tc>
          <w:tcPr/>
          <w:p>
            <w:pPr>
              <w:pStyle w:val="Compact"/>
              <w:jc w:val="left"/>
            </w:pPr>
            <w:r>
              <w:t xml:space="preserve">Re-plan the pilot.</w:t>
            </w:r>
          </w:p>
        </w:tc>
        <w:tc>
          <w:tcPr/>
          <w:p>
            <w:pPr>
              <w:pStyle w:val="Compact"/>
              <w:jc w:val="left"/>
            </w:pPr>
            <w:r>
              <w:t xml:space="preserve">Mitigating</w:t>
            </w:r>
          </w:p>
        </w:tc>
      </w:tr>
      <w:tr>
        <w:tc>
          <w:tcPr/>
          <w:p>
            <w:pPr>
              <w:pStyle w:val="Compact"/>
              <w:jc w:val="left"/>
            </w:pPr>
            <w:r>
              <w:t xml:space="preserve">R-25</w:t>
            </w:r>
          </w:p>
        </w:tc>
        <w:tc>
          <w:tcPr/>
          <w:p>
            <w:pPr>
              <w:pStyle w:val="Compact"/>
              <w:jc w:val="left"/>
            </w:pPr>
            <w:r>
              <w:rPr>
                <w:bCs/>
                <w:b/>
              </w:rPr>
              <w:t xml:space="preserve">Customer-app experience below expectation</w:t>
            </w:r>
            <w:r>
              <w:t xml:space="preserve"> </w:t>
            </w:r>
            <w:r>
              <w:t xml:space="preserve">(VETC webview limits, slow load), so renewals fall back to telesales.</w:t>
            </w:r>
          </w:p>
        </w:tc>
        <w:tc>
          <w:tcPr/>
          <w:p>
            <w:pPr>
              <w:pStyle w:val="Compact"/>
              <w:jc w:val="left"/>
            </w:pPr>
            <w:r>
              <w:t xml:space="preserve">UX</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I-UX + V-APP</w:t>
            </w:r>
          </w:p>
        </w:tc>
        <w:tc>
          <w:tcPr/>
          <w:p>
            <w:pPr>
              <w:pStyle w:val="Compact"/>
              <w:jc w:val="left"/>
            </w:pPr>
            <w:r>
              <w:t xml:space="preserve">Performance budgets, usability tests, ≤ 3 taps, skeleton loading, offline-tolerant retry with idempotent orders.</w:t>
            </w:r>
          </w:p>
        </w:tc>
        <w:tc>
          <w:tcPr/>
          <w:p>
            <w:pPr>
              <w:pStyle w:val="Compact"/>
              <w:jc w:val="left"/>
            </w:pPr>
            <w:r>
              <w:t xml:space="preserve">Fix-forward weekly releases. Zalo mini-app fallback.</w:t>
            </w:r>
          </w:p>
        </w:tc>
        <w:tc>
          <w:tcPr/>
          <w:p>
            <w:pPr>
              <w:pStyle w:val="Compact"/>
              <w:jc w:val="left"/>
            </w:pPr>
            <w:r>
              <w:t xml:space="preserve">Open</w:t>
            </w:r>
          </w:p>
        </w:tc>
      </w:tr>
      <w:tr>
        <w:tc>
          <w:tcPr/>
          <w:p>
            <w:pPr>
              <w:pStyle w:val="Compact"/>
              <w:jc w:val="left"/>
            </w:pPr>
            <w:r>
              <w:t xml:space="preserve">R-26</w:t>
            </w:r>
          </w:p>
        </w:tc>
        <w:tc>
          <w:tcPr/>
          <w:p>
            <w:pPr>
              <w:pStyle w:val="Compact"/>
              <w:jc w:val="left"/>
            </w:pPr>
            <w:r>
              <w:rPr>
                <w:bCs/>
                <w:b/>
              </w:rPr>
              <w:t xml:space="preserve">Accessibility non-conformance</w:t>
            </w:r>
            <w:r>
              <w:t xml:space="preserve">, leading to complaints and exclusion of older drivers.</w:t>
            </w:r>
          </w:p>
        </w:tc>
        <w:tc>
          <w:tcPr/>
          <w:p>
            <w:pPr>
              <w:pStyle w:val="Compact"/>
              <w:jc w:val="left"/>
            </w:pPr>
            <w:r>
              <w:t xml:space="preserve">UX / Compliance</w:t>
            </w:r>
          </w:p>
        </w:tc>
        <w:tc>
          <w:tcPr/>
          <w:p>
            <w:pPr>
              <w:pStyle w:val="Compact"/>
              <w:jc w:val="left"/>
            </w:pPr>
            <w:r>
              <w:t xml:space="preserve">2</w:t>
            </w:r>
          </w:p>
        </w:tc>
        <w:tc>
          <w:tcPr/>
          <w:p>
            <w:pPr>
              <w:pStyle w:val="Compact"/>
              <w:jc w:val="left"/>
            </w:pPr>
            <w:r>
              <w:t xml:space="preserve">2</w:t>
            </w:r>
          </w:p>
        </w:tc>
        <w:tc>
          <w:tcPr/>
          <w:p>
            <w:pPr>
              <w:pStyle w:val="Compact"/>
              <w:jc w:val="left"/>
            </w:pPr>
            <w:r>
              <w:t xml:space="preserve">4</w:t>
            </w:r>
          </w:p>
        </w:tc>
        <w:tc>
          <w:tcPr/>
          <w:p>
            <w:pPr>
              <w:pStyle w:val="Compact"/>
              <w:jc w:val="left"/>
            </w:pPr>
            <w:r>
              <w:t xml:space="preserve">I-UX</w:t>
            </w:r>
          </w:p>
        </w:tc>
        <w:tc>
          <w:tcPr/>
          <w:p>
            <w:pPr>
              <w:pStyle w:val="Compact"/>
              <w:jc w:val="left"/>
            </w:pPr>
            <w:r>
              <w:t xml:space="preserve">WCAG 2.2 AA in the DoD, automated and manual checks.</w:t>
            </w:r>
          </w:p>
        </w:tc>
        <w:tc>
          <w:tcPr/>
          <w:p>
            <w:pPr>
              <w:pStyle w:val="Compact"/>
              <w:jc w:val="left"/>
            </w:pPr>
            <w:r>
              <w:t xml:space="preserve">Remediation sprint.</w:t>
            </w:r>
          </w:p>
        </w:tc>
        <w:tc>
          <w:tcPr/>
          <w:p>
            <w:pPr>
              <w:pStyle w:val="Compact"/>
              <w:jc w:val="left"/>
            </w:pPr>
            <w:r>
              <w:t xml:space="preserve">Monitoring</w:t>
            </w:r>
          </w:p>
        </w:tc>
      </w:tr>
      <w:tr>
        <w:tc>
          <w:tcPr/>
          <w:p>
            <w:pPr>
              <w:pStyle w:val="Compact"/>
              <w:jc w:val="left"/>
            </w:pPr>
            <w:r>
              <w:t xml:space="preserve">R-27</w:t>
            </w:r>
          </w:p>
        </w:tc>
        <w:tc>
          <w:tcPr/>
          <w:p>
            <w:pPr>
              <w:pStyle w:val="Compact"/>
              <w:jc w:val="left"/>
            </w:pPr>
            <w:r>
              <w:rPr>
                <w:bCs/>
                <w:b/>
              </w:rPr>
              <w:t xml:space="preserve">Claims expectations not met.</w:t>
            </w:r>
            <w:r>
              <w:t xml:space="preserve"> </w:t>
            </w:r>
            <w:r>
              <w:t xml:space="preserve">FNOL fast-lane promises a 4-hour acknowledgement but the claims team is understaffed, damaging trust at the most important moment.</w:t>
            </w:r>
          </w:p>
        </w:tc>
        <w:tc>
          <w:tcPr/>
          <w:p>
            <w:pPr>
              <w:pStyle w:val="Compact"/>
              <w:jc w:val="left"/>
            </w:pPr>
            <w:r>
              <w:t xml:space="preserve">Operational</w:t>
            </w:r>
          </w:p>
        </w:tc>
        <w:tc>
          <w:tcPr/>
          <w:p>
            <w:pPr>
              <w:pStyle w:val="Compact"/>
              <w:jc w:val="left"/>
            </w:pPr>
            <w:r>
              <w:t xml:space="preserve">3</w:t>
            </w:r>
          </w:p>
        </w:tc>
        <w:tc>
          <w:tcPr/>
          <w:p>
            <w:pPr>
              <w:pStyle w:val="Compact"/>
              <w:jc w:val="left"/>
            </w:pPr>
            <w:r>
              <w:t xml:space="preserve">3</w:t>
            </w:r>
          </w:p>
        </w:tc>
        <w:tc>
          <w:tcPr/>
          <w:p>
            <w:pPr>
              <w:pStyle w:val="Compact"/>
              <w:jc w:val="left"/>
            </w:pPr>
            <w:r>
              <w:t xml:space="preserve">9</w:t>
            </w:r>
          </w:p>
        </w:tc>
        <w:tc>
          <w:tcPr/>
          <w:p>
            <w:pPr>
              <w:pStyle w:val="Compact"/>
              <w:jc w:val="left"/>
            </w:pPr>
            <w:r>
              <w:t xml:space="preserve">T-PRD (Claims Lead)</w:t>
            </w:r>
          </w:p>
        </w:tc>
        <w:tc>
          <w:tcPr/>
          <w:p>
            <w:pPr>
              <w:pStyle w:val="Compact"/>
              <w:jc w:val="left"/>
            </w:pPr>
            <w:r>
              <w:t xml:space="preserve">SLA visible in the claims queue (</w:t>
            </w:r>
            <w:r>
              <w:rPr>
                <w:rStyle w:val="VerbatimChar"/>
              </w:rPr>
              <w:t xml:space="preserve">slaDueAt</w:t>
            </w:r>
            <w:r>
              <w:t xml:space="preserve">). Staffing plan. Alerts.</w:t>
            </w:r>
          </w:p>
        </w:tc>
        <w:tc>
          <w:tcPr/>
          <w:p>
            <w:pPr>
              <w:pStyle w:val="Compact"/>
              <w:jc w:val="left"/>
            </w:pPr>
            <w:r>
              <w:t xml:space="preserve">Overflow to the TASCO claims hotline. Adjust the published SLA.</w:t>
            </w:r>
          </w:p>
        </w:tc>
        <w:tc>
          <w:tcPr/>
          <w:p>
            <w:pPr>
              <w:pStyle w:val="Compact"/>
              <w:jc w:val="left"/>
            </w:pPr>
            <w:r>
              <w:t xml:space="preserve">Open</w:t>
            </w:r>
          </w:p>
        </w:tc>
      </w:tr>
      <w:tr>
        <w:tc>
          <w:tcPr/>
          <w:p>
            <w:pPr>
              <w:pStyle w:val="Compact"/>
              <w:jc w:val="left"/>
            </w:pPr>
            <w:r>
              <w:t xml:space="preserve">R-28</w:t>
            </w:r>
          </w:p>
        </w:tc>
        <w:tc>
          <w:tcPr/>
          <w:p>
            <w:pPr>
              <w:pStyle w:val="Compact"/>
              <w:jc w:val="left"/>
            </w:pPr>
            <w:r>
              <w:rPr>
                <w:bCs/>
                <w:b/>
              </w:rPr>
              <w:t xml:space="preserve">Commission miscalculation or caps exceeded</w:t>
            </w:r>
            <w:r>
              <w:t xml:space="preserve">, leading to regulatory breach or partner disputes.</w:t>
            </w:r>
          </w:p>
        </w:tc>
        <w:tc>
          <w:tcPr/>
          <w:p>
            <w:pPr>
              <w:pStyle w:val="Compact"/>
              <w:jc w:val="left"/>
            </w:pPr>
            <w:r>
              <w:t xml:space="preserve">Financial / Regulatory</w:t>
            </w:r>
          </w:p>
        </w:tc>
        <w:tc>
          <w:tcPr/>
          <w:p>
            <w:pPr>
              <w:pStyle w:val="Compact"/>
              <w:jc w:val="left"/>
            </w:pPr>
            <w:r>
              <w:t xml:space="preserve">3</w:t>
            </w:r>
          </w:p>
        </w:tc>
        <w:tc>
          <w:tcPr/>
          <w:p>
            <w:pPr>
              <w:pStyle w:val="Compact"/>
              <w:jc w:val="left"/>
            </w:pPr>
            <w:r>
              <w:t xml:space="preserve">4</w:t>
            </w:r>
          </w:p>
        </w:tc>
        <w:tc>
          <w:tcPr/>
          <w:p>
            <w:pPr>
              <w:pStyle w:val="Compact"/>
              <w:jc w:val="left"/>
            </w:pPr>
            <w:r>
              <w:t xml:space="preserve">12</w:t>
            </w:r>
          </w:p>
        </w:tc>
        <w:tc>
          <w:tcPr/>
          <w:p>
            <w:pPr>
              <w:pStyle w:val="Compact"/>
              <w:jc w:val="left"/>
            </w:pPr>
            <w:r>
              <w:t xml:space="preserve">T-PRD (Finance)</w:t>
            </w:r>
          </w:p>
        </w:tc>
        <w:tc>
          <w:tcPr/>
          <w:p>
            <w:pPr>
              <w:pStyle w:val="Compact"/>
              <w:jc w:val="left"/>
            </w:pPr>
            <w:r>
              <w:t xml:space="preserve">Statutory caps in</w:t>
            </w:r>
            <w:r>
              <w:t xml:space="preserve"> </w:t>
            </w:r>
            <w:r>
              <w:rPr>
                <w:rStyle w:val="VerbatimChar"/>
              </w:rPr>
              <w:t xml:space="preserve">commission.json</w:t>
            </w:r>
            <w:r>
              <w:t xml:space="preserve"> </w:t>
            </w:r>
            <w:r>
              <w:t xml:space="preserve">enforced by the validator and again at calculation (</w:t>
            </w:r>
            <w:r>
              <w:rPr>
                <w:rStyle w:val="VerbatimChar"/>
              </w:rPr>
              <w:t xml:space="preserve">Math.min(rate, cap)</w:t>
            </w:r>
            <w:r>
              <w:t xml:space="preserve">). Monthly statements. Reconciliation.</w:t>
            </w:r>
          </w:p>
        </w:tc>
        <w:tc>
          <w:tcPr/>
          <w:p>
            <w:pPr>
              <w:pStyle w:val="Compact"/>
              <w:jc w:val="left"/>
            </w:pPr>
            <w:r>
              <w:t xml:space="preserve">Adjust and re-issue statements. Claw back.</w:t>
            </w:r>
          </w:p>
        </w:tc>
        <w:tc>
          <w:tcPr/>
          <w:p>
            <w:pPr>
              <w:pStyle w:val="Compact"/>
              <w:jc w:val="left"/>
            </w:pPr>
            <w:r>
              <w:t xml:space="preserve">Mitigating</w:t>
            </w:r>
          </w:p>
        </w:tc>
      </w:tr>
      <w:tr>
        <w:tc>
          <w:tcPr/>
          <w:p>
            <w:pPr>
              <w:pStyle w:val="Compact"/>
              <w:jc w:val="left"/>
            </w:pPr>
            <w:r>
              <w:t xml:space="preserve">R-29</w:t>
            </w:r>
          </w:p>
        </w:tc>
        <w:tc>
          <w:tcPr/>
          <w:p>
            <w:pPr>
              <w:pStyle w:val="Compact"/>
              <w:jc w:val="left"/>
            </w:pPr>
            <w:r>
              <w:rPr>
                <w:bCs/>
                <w:b/>
              </w:rPr>
              <w:t xml:space="preserve">Audit or log integrity failure.</w:t>
            </w:r>
            <w:r>
              <w:t xml:space="preserve"> </w:t>
            </w:r>
            <w:r>
              <w:t xml:space="preserve">Audit records are tampered with or lost, so compliance evidence is unavailable.</w:t>
            </w:r>
          </w:p>
        </w:tc>
        <w:tc>
          <w:tcPr/>
          <w:p>
            <w:pPr>
              <w:pStyle w:val="Compact"/>
              <w:jc w:val="left"/>
            </w:pPr>
            <w:r>
              <w:t xml:space="preserve">Compliance</w:t>
            </w:r>
          </w:p>
        </w:tc>
        <w:tc>
          <w:tcPr/>
          <w:p>
            <w:pPr>
              <w:pStyle w:val="Compact"/>
              <w:jc w:val="left"/>
            </w:pPr>
            <w:r>
              <w:t xml:space="preserve">2</w:t>
            </w:r>
          </w:p>
        </w:tc>
        <w:tc>
          <w:tcPr/>
          <w:p>
            <w:pPr>
              <w:pStyle w:val="Compact"/>
              <w:jc w:val="left"/>
            </w:pPr>
            <w:r>
              <w:t xml:space="preserve">4</w:t>
            </w:r>
          </w:p>
        </w:tc>
        <w:tc>
          <w:tcPr/>
          <w:p>
            <w:pPr>
              <w:pStyle w:val="Compact"/>
              <w:jc w:val="left"/>
            </w:pPr>
            <w:r>
              <w:t xml:space="preserve">8</w:t>
            </w:r>
          </w:p>
        </w:tc>
        <w:tc>
          <w:tcPr/>
          <w:p>
            <w:pPr>
              <w:pStyle w:val="Compact"/>
              <w:jc w:val="left"/>
            </w:pPr>
            <w:r>
              <w:t xml:space="preserve">T-SEC</w:t>
            </w:r>
          </w:p>
        </w:tc>
        <w:tc>
          <w:tcPr/>
          <w:p>
            <w:pPr>
              <w:pStyle w:val="Compact"/>
              <w:jc w:val="left"/>
            </w:pPr>
            <w:r>
              <w:t xml:space="preserve">Append-only hash chain with</w:t>
            </w:r>
            <w:r>
              <w:t xml:space="preserve"> </w:t>
            </w:r>
            <w:r>
              <w:rPr>
                <w:rStyle w:val="VerbatimChar"/>
              </w:rPr>
              <w:t xml:space="preserve">GET /api/audit/verify</w:t>
            </w:r>
            <w:r>
              <w:t xml:space="preserve">. Retention of 10 years. Backups.</w:t>
            </w:r>
          </w:p>
        </w:tc>
        <w:tc>
          <w:tcPr/>
          <w:p>
            <w:pPr>
              <w:pStyle w:val="Compact"/>
              <w:jc w:val="left"/>
            </w:pPr>
            <w:r>
              <w:t xml:space="preserve">Restore from backup. Forensic investigation.</w:t>
            </w:r>
          </w:p>
        </w:tc>
        <w:tc>
          <w:tcPr/>
          <w:p>
            <w:pPr>
              <w:pStyle w:val="Compact"/>
              <w:jc w:val="left"/>
            </w:pPr>
            <w:r>
              <w:t xml:space="preserve">Monitoring</w:t>
            </w:r>
          </w:p>
        </w:tc>
      </w:tr>
      <w:tr>
        <w:tc>
          <w:tcPr/>
          <w:p>
            <w:pPr>
              <w:pStyle w:val="Compact"/>
              <w:jc w:val="left"/>
            </w:pPr>
            <w:r>
              <w:t xml:space="preserve">R-30</w:t>
            </w:r>
          </w:p>
        </w:tc>
        <w:tc>
          <w:tcPr/>
          <w:p>
            <w:pPr>
              <w:pStyle w:val="Compact"/>
              <w:jc w:val="left"/>
            </w:pPr>
            <w:r>
              <w:rPr>
                <w:bCs/>
                <w:b/>
              </w:rPr>
              <w:t xml:space="preserve">Rule cache lag across replicas.</w:t>
            </w:r>
            <w:r>
              <w:t xml:space="preserve"> </w:t>
            </w:r>
            <w:r>
              <w:t xml:space="preserve">An approved rule takes up to 15 s to propagate (</w:t>
            </w:r>
            <w:r>
              <w:rPr>
                <w:rStyle w:val="VerbatimChar"/>
              </w:rPr>
              <w:t xml:space="preserve">CACHE_TTL_MS</w:t>
            </w:r>
            <w:r>
              <w:t xml:space="preserve">), giving inconsistent behaviour briefly.</w:t>
            </w:r>
          </w:p>
        </w:tc>
        <w:tc>
          <w:tcPr/>
          <w:p>
            <w:pPr>
              <w:pStyle w:val="Compact"/>
              <w:jc w:val="left"/>
            </w:pPr>
            <w:r>
              <w:t xml:space="preserve">Technology</w:t>
            </w:r>
          </w:p>
        </w:tc>
        <w:tc>
          <w:tcPr/>
          <w:p>
            <w:pPr>
              <w:pStyle w:val="Compact"/>
              <w:jc w:val="left"/>
            </w:pPr>
            <w:r>
              <w:t xml:space="preserve">2</w:t>
            </w:r>
          </w:p>
        </w:tc>
        <w:tc>
          <w:tcPr/>
          <w:p>
            <w:pPr>
              <w:pStyle w:val="Compact"/>
              <w:jc w:val="left"/>
            </w:pPr>
            <w:r>
              <w:t xml:space="preserve">3</w:t>
            </w:r>
          </w:p>
        </w:tc>
        <w:tc>
          <w:tcPr/>
          <w:p>
            <w:pPr>
              <w:pStyle w:val="Compact"/>
              <w:jc w:val="left"/>
            </w:pPr>
            <w:r>
              <w:t xml:space="preserve">6</w:t>
            </w:r>
          </w:p>
        </w:tc>
        <w:tc>
          <w:tcPr/>
          <w:p>
            <w:pPr>
              <w:pStyle w:val="Compact"/>
              <w:jc w:val="left"/>
            </w:pPr>
            <w:r>
              <w:t xml:space="preserve">I-AR</w:t>
            </w:r>
          </w:p>
        </w:tc>
        <w:tc>
          <w:tcPr/>
          <w:p>
            <w:pPr>
              <w:pStyle w:val="Compact"/>
              <w:jc w:val="left"/>
            </w:pPr>
            <w:r>
              <w:t xml:space="preserve">Event</w:t>
            </w:r>
            <w:r>
              <w:t xml:space="preserve"> </w:t>
            </w:r>
            <w:r>
              <w:rPr>
                <w:rStyle w:val="VerbatimChar"/>
              </w:rPr>
              <w:t xml:space="preserve">rules.activated</w:t>
            </w:r>
            <w:r>
              <w:t xml:space="preserve"> </w:t>
            </w:r>
            <w:r>
              <w:t xml:space="preserve">invalidates the cache. The short TTL is documented.</w:t>
            </w:r>
          </w:p>
        </w:tc>
        <w:tc>
          <w:tcPr/>
          <w:p>
            <w:pPr>
              <w:pStyle w:val="Compact"/>
              <w:jc w:val="left"/>
            </w:pPr>
            <w:r>
              <w:t xml:space="preserve">None needed beyond awareness. Avoid approving during a peak-send window.</w:t>
            </w:r>
          </w:p>
        </w:tc>
        <w:tc>
          <w:tcPr/>
          <w:p>
            <w:pPr>
              <w:pStyle w:val="Compact"/>
              <w:jc w:val="left"/>
            </w:pPr>
            <w:r>
              <w:t xml:space="preserve">Closed (accepted)</w:t>
            </w:r>
          </w:p>
        </w:tc>
      </w:tr>
    </w:tbl>
    <w:bookmarkEnd w:id="22"/>
    <w:bookmarkStart w:id="23" w:name="risk-review-procedure"/>
    <w:p>
      <w:pPr>
        <w:pStyle w:val="Heading2"/>
      </w:pPr>
      <w:r>
        <w:t xml:space="preserve">Risk review procedure</w:t>
      </w:r>
    </w:p>
    <w:p>
      <w:pPr>
        <w:numPr>
          <w:ilvl w:val="0"/>
          <w:numId w:val="1001"/>
        </w:numPr>
        <w:pStyle w:val="Compact"/>
      </w:pPr>
      <w:r>
        <w:t xml:space="preserve">New risks can be raised by anyone through the delivery tracker using the template above.</w:t>
      </w:r>
    </w:p>
    <w:p>
      <w:pPr>
        <w:numPr>
          <w:ilvl w:val="0"/>
          <w:numId w:val="1001"/>
        </w:numPr>
        <w:pStyle w:val="Compact"/>
      </w:pPr>
      <w:r>
        <w:t xml:space="preserve">The Delivery Lead triages within 2 business days, assigning an owner and an initial score.</w:t>
      </w:r>
    </w:p>
    <w:p>
      <w:pPr>
        <w:numPr>
          <w:ilvl w:val="0"/>
          <w:numId w:val="1001"/>
        </w:numPr>
        <w:pStyle w:val="Compact"/>
      </w:pPr>
      <w:r>
        <w:t xml:space="preserve">Any risk scoring</w:t>
      </w:r>
      <w:r>
        <w:t xml:space="preserve"> </w:t>
      </w:r>
      <w:r>
        <w:rPr>
          <w:bCs/>
          <w:b/>
        </w:rPr>
        <w:t xml:space="preserve">High (≥ 15)</w:t>
      </w:r>
      <w:r>
        <w:t xml:space="preserve"> </w:t>
      </w:r>
      <w:r>
        <w:t xml:space="preserve">is escalated to the next Steering Committee with a mitigation plan.</w:t>
      </w:r>
    </w:p>
    <w:p>
      <w:pPr>
        <w:numPr>
          <w:ilvl w:val="0"/>
          <w:numId w:val="1001"/>
        </w:numPr>
        <w:pStyle w:val="Compact"/>
      </w:pPr>
      <w:r>
        <w:t xml:space="preserve">A risk is closed only when its owner and the Delivery Lead agree that the cause no longer exists or the residual risk has been accepted by the accountable party in the RACI.</w:t>
      </w:r>
    </w:p>
    <w:bookmarkEnd w:id="23"/>
    <w:sectPr>
      <w:headerReference r:id="rId9" w:type="default"/>
      <w:footerReference r:id="rId10" w:type="default"/>
      <w:pgSz w:h="16838" w:w="11906"/>
      <w:pgMar w:bottom="1020"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Prepared by iorta TechNXT · Confidential · Page </w:t>
    </w:r>
    <w:r>
      <w:rPr>
        <w:sz w:val="16"/>
      </w:rPr>
      <w:fldChar w:fldCharType="begin"/>
      <w:instrText>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213368"/>
        <w:sz w:val="16"/>
      </w:rPr>
      <w:t>TASCO Insurance × VETC — Growth Platform</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color w:val="121A33"/>
      <w:sz w:val="21"/>
    </w:rPr>
  </w:style>
  <w:style w:styleId="BodyText" w:type="paragraph">
    <w:name w:val="Body Text"/>
    <w:basedOn w:val="Normal"/>
    <w:link w:val="BodyTextChar"/>
    <w:pPr>
      <w:spacing w:after="180" w:before="180"/>
    </w:pPr>
    <w:qFormat/>
    <w:rPr>
      <w:rFonts w:ascii="Arial" w:cs="Arial" w:eastAsia="Arial" w:hAnsi="Arial"/>
      <w:color w:val="121A33"/>
      <w:sz w:val="21"/>
    </w:rPr>
  </w:style>
  <w:style w:customStyle="1" w:styleId="FirstParagraph" w:type="paragraph">
    <w:name w:val="First Paragraph"/>
    <w:basedOn w:val="BodyText"/>
    <w:next w:val="BodyText"/>
    <w:qFormat/>
    <w:rPr>
      <w:rFonts w:ascii="Arial" w:cs="Arial" w:eastAsia="Arial" w:hAnsi="Arial"/>
      <w:color w:val="121A33"/>
      <w:sz w:val="21"/>
    </w:rPr>
  </w:style>
  <w:style w:customStyle="1" w:styleId="Compact" w:type="paragraph">
    <w:name w:val="Compact"/>
    <w:basedOn w:val="BodyText"/>
    <w:qFormat/>
    <w:pPr>
      <w:spacing w:after="36" w:before="36"/>
    </w:pPr>
    <w:rPr>
      <w:rFonts w:ascii="Arial" w:cs="Arial" w:eastAsia="Arial" w:hAnsi="Arial"/>
      <w:color w:val="121A33"/>
      <w:sz w:val="21"/>
    </w:rPr>
  </w:style>
  <w:style w:styleId="Title" w:type="paragraph">
    <w:name w:val="Title"/>
    <w:basedOn w:val="Normal"/>
    <w:next w:val="BodyText"/>
    <w:qFormat/>
    <w:pPr>
      <w:keepNext/>
      <w:keepLines/>
      <w:spacing w:after="240" w:before="480"/>
      <w:jc w:val="center"/>
    </w:pPr>
    <w:rPr>
      <w:rFonts w:ascii="Arial" w:asciiTheme="majorHAnsi" w:cs="Arial" w:cstheme="majorBidi" w:eastAsia="Arial" w:eastAsiaTheme="majorEastAsia" w:hAnsi="Arial" w:hAnsiTheme="majorHAnsi"/>
      <w:b/>
      <w:bCs/>
      <w:color w:val="213368"/>
      <w:sz w:val="48"/>
      <w:szCs w:val="36"/>
    </w:rPr>
  </w:style>
  <w:style w:styleId="Subtitle" w:type="paragraph">
    <w:name w:val="Subtitle"/>
    <w:basedOn w:val="Title"/>
    <w:next w:val="BodyText"/>
    <w:qFormat/>
    <w:pPr>
      <w:keepNext/>
      <w:keepLines/>
      <w:spacing w:after="240" w:before="240"/>
      <w:jc w:val="center"/>
    </w:pPr>
    <w:rPr>
      <w:rFonts w:ascii="Arial" w:cs="Arial" w:eastAsia="Arial" w:hAnsi="Arial"/>
      <w:b w:val="0"/>
      <w:color w:val="0B6B66"/>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cs="Arial" w:eastAsia="Arial" w:hAnsi="Arial"/>
      <w:color w:val="121A33"/>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rFonts w:ascii="Arial" w:cs="Arial" w:eastAsia="Arial" w:hAnsi="Arial"/>
      <w:sz w:val="18"/>
    </w:rPr>
    <w:tblPr>
      <w:tblInd w:type="dxa" w:w="0"/>
      <w:tblCellMar>
        <w:top w:type="dxa" w:w="0"/>
        <w:left w:type="dxa" w:w="108"/>
        <w:bottom w:type="dxa" w:w="0"/>
        <w:right w:type="dxa" w:w="108"/>
      </w:tblCellMar>
      <w:tblBorders>
        <w:top w:color="C9D1E0" w:sz="4" w:val="single"/>
        <w:left w:color="C9D1E0" w:sz="4" w:val="single"/>
        <w:bottom w:color="C9D1E0" w:sz="4" w:val="single"/>
        <w:right w:color="C9D1E0" w:sz="4" w:val="single"/>
        <w:insideH w:color="C9D1E0" w:sz="4" w:val="single"/>
        <w:insideV w:color="C9D1E0"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B6B66"/>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hyperlink" Target="raci.docx"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rac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Risk Register</dc:title>
  <dc:creator>iorta TechNXT</dc:creator>
  <cp:keywords/>
  <dcterms:created xsi:type="dcterms:W3CDTF">2026-10-07T17:45:24Z</dcterms:created>
  <dcterms:modified xsi:type="dcterms:W3CDTF">2026-10-07T17:45:24Z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07 October 2026</vt:lpwstr>
  </property>
  <property fmtid="{D5CDD505-2E9C-101B-9397-08002B2CF9AE}" pid="3" name="subtitle">
    <vt:lpwstr>TASCO Insurance × VETC Growth Platform — Delivery &amp; Change</vt:lpwstr>
  </property>
</Properties>
</file>