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User Manuals — TASCO Growth Platform (v1 UI)</w:t>
      </w:r>
    </w:p>
    <w:p>
      <w:pPr>
        <w:pStyle w:val="Subtitle"/>
      </w:pPr>
      <w:r>
        <w:t xml:space="preserve">TASCO Insurance × VETC Growth Platform — User Manuals</w:t>
      </w:r>
    </w:p>
    <w:p>
      <w:pPr>
        <w:pStyle w:val="Author"/>
      </w:pPr>
      <w:r>
        <w:t xml:space="preserve">iorta TechNXT</w:t>
      </w:r>
    </w:p>
    <w:p>
      <w:pPr>
        <w:pStyle w:val="Date"/>
      </w:pPr>
      <w:r>
        <w:t xml:space="preserve">Version 1.0 · 07 October 2026</w:t>
      </w:r>
    </w:p>
    <w:p>
      <w:pPr>
        <w:pStyle w:val="FirstParagraph"/>
      </w:pPr>
      <w:r>
        <w:t xml:space="preserve">Start with the</w:t>
      </w:r>
      <w:r>
        <w:t xml:space="preserve"> </w:t>
      </w:r>
      <w:r>
        <w:rPr>
          <w:bCs/>
          <w:b/>
        </w:rPr>
        <w:t xml:space="preserve">Staff User Manual</w:t>
      </w:r>
      <w:r>
        <w:t xml:space="preserve">, then read the manual for your role. The in-app help drawer ("?") links here.</w:t>
      </w:r>
    </w:p>
    <w:bookmarkStart w:id="31" w:name="staff"/>
    <w:p>
      <w:pPr>
        <w:pStyle w:val="Heading2"/>
      </w:pPr>
      <w:r>
        <w:t xml:space="preserve">Staff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Manual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Role(s) (</w:t>
            </w:r>
            <w:r>
              <w:rPr>
                <w:rStyle w:val="VerbatimChar"/>
                <w:b/>
                <w:color w:val="FFFFFF"/>
              </w:rPr>
              <w:t xml:space="preserve">config/security/rbac.json</w:t>
            </w:r>
            <w:r>
              <w:rPr>
                <w:b/>
                <w:color w:val="FFFFFF"/>
              </w:rPr>
              <w:t xml:space="preserve">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Demo user (sandbox only)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Staff User Manual</w:t>
              </w:r>
            </w:hyperlink>
            <w:r>
              <w:t xml:space="preserve"> </w:t>
            </w:r>
            <w:r>
              <w:t xml:space="preserve">— sign-in and MFA, navigation, common actions, help, troubleshooting, FAQ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Telesales Agent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telesales_agent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agent.hn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agent.hcm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Telesales Supervisor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telesales_supervisor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supervisor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Campaign Manager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campaign_manager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campaign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Rule Author and Approver (maker-checker)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rule_author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rule_approver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approver</w:t>
            </w:r>
            <w:r>
              <w:t xml:space="preserve"> </w:t>
            </w:r>
            <w:r>
              <w:t xml:space="preserve">(MFA)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Compliance Officer</w:t>
              </w:r>
            </w:hyperlink>
            <w:r>
              <w:t xml:space="preserve"> </w:t>
            </w:r>
            <w:r>
              <w:t xml:space="preserve">— approvals, audit, DSAR, governance dashboard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compliance_officer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compliance</w:t>
            </w:r>
            <w:r>
              <w:t xml:space="preserve"> </w:t>
            </w:r>
            <w:r>
              <w:t xml:space="preserve">(MFA)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Data Steward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data_steward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steward</w:t>
            </w:r>
            <w:r>
              <w:t xml:space="preserve"> </w:t>
            </w:r>
            <w:r>
              <w:t xml:space="preserve">(MFA)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Claims Handler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claims_handler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claims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Partner Manager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partner_manager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partners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Administrator and Support</w:t>
              </w:r>
            </w:hyperlink>
            <w:r>
              <w:t xml:space="preserve"> </w:t>
            </w:r>
            <w:r>
              <w:t xml:space="preserve">— users, operations status, jobs, health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support_engineer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(MFA),</w:t>
            </w:r>
            <w:r>
              <w:t xml:space="preserve"> </w:t>
            </w:r>
            <w:r>
              <w:rPr>
                <w:rStyle w:val="VerbatimChar"/>
              </w:rPr>
              <w:t xml:space="preserve">support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Executive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executive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exec</w:t>
            </w:r>
          </w:p>
        </w:tc>
      </w:tr>
    </w:tbl>
    <w:p>
      <w:pPr>
        <w:pStyle w:val="BodyText"/>
      </w:pPr>
      <w:r>
        <w:t xml:space="preserve">The internal auditor role (</w:t>
      </w:r>
      <w:r>
        <w:rPr>
          <w:rStyle w:val="VerbatimChar"/>
        </w:rPr>
        <w:t xml:space="preserve">auditor</w:t>
      </w:r>
      <w:r>
        <w:t xml:space="preserve">, demo user</w:t>
      </w:r>
      <w:r>
        <w:t xml:space="preserve"> </w:t>
      </w:r>
      <w:r>
        <w:rPr>
          <w:rStyle w:val="VerbatimChar"/>
        </w:rPr>
        <w:t xml:space="preserve">auditor</w:t>
      </w:r>
      <w:r>
        <w:t xml:space="preserve">) is read-only. Use the audit sections of the</w:t>
      </w:r>
      <w:r>
        <w:t xml:space="preserve"> </w:t>
      </w:r>
      <w:hyperlink r:id="rId25">
        <w:r>
          <w:rPr>
            <w:rStyle w:val="Hyperlink"/>
          </w:rPr>
          <w:t xml:space="preserve">Compliance Officer</w:t>
        </w:r>
      </w:hyperlink>
      <w:r>
        <w:t xml:space="preserve"> </w:t>
      </w:r>
      <w:r>
        <w:t xml:space="preserve">manual.</w:t>
      </w:r>
    </w:p>
    <w:p>
      <w:pPr>
        <w:pStyle w:val="BodyText"/>
      </w:pPr>
      <w:r>
        <w:rPr>
          <w:bCs/>
          <w:b/>
        </w:rPr>
        <w:t xml:space="preserve">Sandbox:</w:t>
      </w:r>
      <w:r>
        <w:t xml:space="preserve"> </w:t>
      </w:r>
      <w:r>
        <w:t xml:space="preserve">the demo password is</w:t>
      </w:r>
      <w:r>
        <w:t xml:space="preserve"> </w:t>
      </w:r>
      <w:r>
        <w:rPr>
          <w:rStyle w:val="VerbatimChar"/>
        </w:rPr>
        <w:t xml:space="preserve">Tasco@Demo2026!</w:t>
      </w:r>
      <w:r>
        <w:t xml:space="preserve">. MFA codes for demo users come from the sign-in page's demo helper (</w:t>
      </w:r>
      <w:r>
        <w:rPr>
          <w:rStyle w:val="VerbatimChar"/>
        </w:rPr>
        <w:t xml:space="preserve">GET /api/demo/totp/&lt;username&gt;</w:t>
      </w:r>
      <w:r>
        <w:t xml:space="preserve">), which is available</w:t>
      </w:r>
      <w:r>
        <w:t xml:space="preserve"> </w:t>
      </w:r>
      <w:r>
        <w:rPr>
          <w:bCs/>
          <w:b/>
        </w:rPr>
        <w:t xml:space="preserve">only in demo mode</w:t>
      </w:r>
      <w:r>
        <w:t xml:space="preserve">. None of this exists in production.</w:t>
      </w:r>
    </w:p>
    <w:bookmarkEnd w:id="31"/>
    <w:bookmarkStart w:id="34" w:name="partners-and-customers"/>
    <w:p>
      <w:pPr>
        <w:pStyle w:val="Heading2"/>
      </w:pPr>
      <w:r>
        <w:t xml:space="preserve">Partners and customers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Guide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Audience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Partner API Guide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/api/partner/v1/quotes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/orders</w:t>
            </w:r>
            <w:r>
              <w:t xml:space="preserve"> </w:t>
            </w:r>
            <w:r>
              <w:t xml:space="preserve">(Idempotency-Key),</w:t>
            </w:r>
            <w:r>
              <w:t xml:space="preserve"> </w:t>
            </w:r>
            <w:r>
              <w:rPr>
                <w:rStyle w:val="VerbatimChar"/>
              </w:rPr>
              <w:t xml:space="preserve">/policies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/statement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X-Api-Key</w:t>
            </w:r>
            <w:r>
              <w:t xml:space="preserve">, error format, curl examples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developers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Customer App Guide</w:t>
              </w:r>
            </w:hyperlink>
            <w:r>
              <w:t xml:space="preserve"> </w:t>
            </w:r>
            <w:r>
              <w:t xml:space="preserve">— Vietnamese with English 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VETC drivers, and customer-service staff who support them</w:t>
            </w:r>
          </w:p>
        </w:tc>
      </w:tr>
    </w:tbl>
    <w:bookmarkEnd w:id="34"/>
    <w:bookmarkStart w:id="35" w:name="conventions-in-these-manuals"/>
    <w:p>
      <w:pPr>
        <w:pStyle w:val="Heading2"/>
      </w:pPr>
      <w:r>
        <w:t xml:space="preserve">Conventions in these manuals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Numbered steps</w:t>
      </w:r>
      <w:r>
        <w:t xml:space="preserve"> </w:t>
      </w:r>
      <w:r>
        <w:t xml:space="preserve">for procedures.</w:t>
      </w:r>
      <w:r>
        <w:t xml:space="preserve"> </w:t>
      </w:r>
      <w:r>
        <w:rPr>
          <w:bCs/>
          <w:b/>
        </w:rPr>
        <w:t xml:space="preserve">"What you will see"</w:t>
      </w:r>
      <w:r>
        <w:t xml:space="preserve"> </w:t>
      </w:r>
      <w:r>
        <w:t xml:space="preserve">describes the expected result.</w:t>
      </w:r>
      <w:r>
        <w:t xml:space="preserve"> </w:t>
      </w:r>
      <w:r>
        <w:rPr>
          <w:bCs/>
          <w:b/>
        </w:rPr>
        <w:t xml:space="preserve">Tips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Troubleshooting</w:t>
      </w:r>
      <w:r>
        <w:t xml:space="preserve"> </w:t>
      </w:r>
      <w:r>
        <w:t xml:space="preserve">close each manual.</w:t>
      </w:r>
    </w:p>
    <w:p>
      <w:pPr>
        <w:numPr>
          <w:ilvl w:val="0"/>
          <w:numId w:val="1001"/>
        </w:numPr>
        <w:pStyle w:val="Compact"/>
      </w:pPr>
      <w:r>
        <w:t xml:space="preserve">Screen labels are in English, with the Vietnamese label in brackets where it helps. The console opens in Vietnamese by default (VI/EN toggle in the top bar).</w:t>
      </w:r>
    </w:p>
    <w:p>
      <w:pPr>
        <w:numPr>
          <w:ilvl w:val="0"/>
          <w:numId w:val="1001"/>
        </w:numPr>
        <w:pStyle w:val="Compact"/>
      </w:pPr>
      <w:r>
        <w:t xml:space="preserve">Dates are dd/mm/yyyy. Money is in VND.</w:t>
      </w:r>
    </w:p>
    <w:p>
      <w:pPr>
        <w:numPr>
          <w:ilvl w:val="0"/>
          <w:numId w:val="1001"/>
        </w:numPr>
        <w:pStyle w:val="Compact"/>
      </w:pPr>
      <w:r>
        <w:t xml:space="preserve">The no-discount rule applies everywhere: TNDS premiums are regulated and identical at every insurer.</w:t>
      </w:r>
    </w:p>
    <w:p>
      <w:pPr>
        <w:pStyle w:val="FirstParagraph"/>
      </w:pPr>
      <w:r>
        <w:t xml:space="preserve">Related:</w:t>
      </w:r>
      <w:r>
        <w:t xml:space="preserve"> </w:t>
      </w:r>
      <w:r>
        <w:rPr>
          <w:rStyle w:val="VerbatimChar"/>
        </w:rPr>
        <w:t xml:space="preserve">docs/ux/</w:t>
      </w:r>
      <w:r>
        <w:t xml:space="preserve"> </w:t>
      </w:r>
      <w:r>
        <w:t xml:space="preserve">(design system, accessibility, information architecture),</w:t>
      </w:r>
      <w:r>
        <w:t xml:space="preserve"> </w:t>
      </w:r>
      <w:r>
        <w:rPr>
          <w:rStyle w:val="VerbatimChar"/>
        </w:rPr>
        <w:t xml:space="preserve">docs/delivery/</w:t>
      </w:r>
      <w:r>
        <w:t xml:space="preserve"> </w:t>
      </w:r>
      <w:r>
        <w:t xml:space="preserve">(training plan, KT plan with runbooks).</w:t>
      </w:r>
    </w:p>
    <w:bookmarkEnd w:id="35"/>
    <w:sectPr>
      <w:headerReference r:id="rId9" w:type="default"/>
      <w:footerReference r:id="rId10" w:type="default"/>
      <w:pgSz w:h="16838" w:w="11906"/>
      <w:pgMar w:bottom="1020" w:left="1020" w:right="102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Prepared by iorta TechNXT · Confidential · Page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213368"/>
        <w:sz w:val="16"/>
      </w:rPr>
      <w:t>TASCO Insurance × VETC — Growth Platform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color w:val="121A33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eastAsia="Arial" w:hAnsi="Arial"/>
      <w:color w:val="121A33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eastAsia="Arial" w:hAnsi="Arial"/>
      <w:color w:val="121A33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eastAsia="Arial" w:hAnsi="Arial"/>
      <w:color w:val="121A33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asciiTheme="majorHAnsi" w:cs="Arial" w:cstheme="majorBidi" w:eastAsia="Arial" w:eastAsiaTheme="majorEastAsia" w:hAnsi="Arial" w:hAnsiTheme="majorHAnsi"/>
      <w:b/>
      <w:bCs/>
      <w:color w:val="213368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cs="Arial" w:eastAsia="Arial" w:hAnsi="Arial"/>
      <w:b w:val="0"/>
      <w:color w:val="0B6B66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cs="Arial" w:eastAsia="Arial" w:hAnsi="Arial"/>
      <w:color w:val="121A33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Arial" w:cs="Arial" w:eastAsia="Arial" w:hAnsi="Arial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1E0" w:sz="4" w:val="single"/>
        <w:left w:color="C9D1E0" w:sz="4" w:val="single"/>
        <w:bottom w:color="C9D1E0" w:sz="4" w:val="single"/>
        <w:right w:color="C9D1E0" w:sz="4" w:val="single"/>
        <w:insideH w:color="C9D1E0" w:sz="4" w:val="single"/>
        <w:insideV w:color="C9D1E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B6B6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33" Type="http://schemas.openxmlformats.org/officeDocument/2006/relationships/hyperlink" Target="customer-app-guide.docx" TargetMode="External"/><Relationship Id="rId29" Type="http://schemas.openxmlformats.org/officeDocument/2006/relationships/hyperlink" Target="manual-administrator-and-support.docx" TargetMode="External"/><Relationship Id="rId23" Type="http://schemas.openxmlformats.org/officeDocument/2006/relationships/hyperlink" Target="manual-campaign-manager.docx" TargetMode="External"/><Relationship Id="rId27" Type="http://schemas.openxmlformats.org/officeDocument/2006/relationships/hyperlink" Target="manual-claims-handler.docx" TargetMode="External"/><Relationship Id="rId25" Type="http://schemas.openxmlformats.org/officeDocument/2006/relationships/hyperlink" Target="manual-compliance-officer.docx" TargetMode="External"/><Relationship Id="rId26" Type="http://schemas.openxmlformats.org/officeDocument/2006/relationships/hyperlink" Target="manual-data-steward.docx" TargetMode="External"/><Relationship Id="rId30" Type="http://schemas.openxmlformats.org/officeDocument/2006/relationships/hyperlink" Target="manual-executive.docx" TargetMode="External"/><Relationship Id="rId28" Type="http://schemas.openxmlformats.org/officeDocument/2006/relationships/hyperlink" Target="manual-partner-manager.docx" TargetMode="External"/><Relationship Id="rId24" Type="http://schemas.openxmlformats.org/officeDocument/2006/relationships/hyperlink" Target="manual-rule-author-and-approver.docx" TargetMode="External"/><Relationship Id="rId21" Type="http://schemas.openxmlformats.org/officeDocument/2006/relationships/hyperlink" Target="manual-telesales-agent.docx" TargetMode="External"/><Relationship Id="rId22" Type="http://schemas.openxmlformats.org/officeDocument/2006/relationships/hyperlink" Target="manual-telesales-supervisor.docx" TargetMode="External"/><Relationship Id="rId32" Type="http://schemas.openxmlformats.org/officeDocument/2006/relationships/hyperlink" Target="partner-api-guide.docx" TargetMode="External"/><Relationship Id="rId20" Type="http://schemas.openxmlformats.org/officeDocument/2006/relationships/hyperlink" Target="user-manual.docx" TargetMode="External"/></Relationships>
</file>

<file path=word/_rels/footnotes.xml.rels><?xml version='1.0' encoding='UTF-8' standalone='yes'?>
<Relationships xmlns="http://schemas.openxmlformats.org/package/2006/relationships"><Relationship Id="rId33" Type="http://schemas.openxmlformats.org/officeDocument/2006/relationships/hyperlink" Target="customer-app-guide.docx" TargetMode="External"/><Relationship Id="rId29" Type="http://schemas.openxmlformats.org/officeDocument/2006/relationships/hyperlink" Target="manual-administrator-and-support.docx" TargetMode="External"/><Relationship Id="rId23" Type="http://schemas.openxmlformats.org/officeDocument/2006/relationships/hyperlink" Target="manual-campaign-manager.docx" TargetMode="External"/><Relationship Id="rId27" Type="http://schemas.openxmlformats.org/officeDocument/2006/relationships/hyperlink" Target="manual-claims-handler.docx" TargetMode="External"/><Relationship Id="rId25" Type="http://schemas.openxmlformats.org/officeDocument/2006/relationships/hyperlink" Target="manual-compliance-officer.docx" TargetMode="External"/><Relationship Id="rId26" Type="http://schemas.openxmlformats.org/officeDocument/2006/relationships/hyperlink" Target="manual-data-steward.docx" TargetMode="External"/><Relationship Id="rId30" Type="http://schemas.openxmlformats.org/officeDocument/2006/relationships/hyperlink" Target="manual-executive.docx" TargetMode="External"/><Relationship Id="rId28" Type="http://schemas.openxmlformats.org/officeDocument/2006/relationships/hyperlink" Target="manual-partner-manager.docx" TargetMode="External"/><Relationship Id="rId24" Type="http://schemas.openxmlformats.org/officeDocument/2006/relationships/hyperlink" Target="manual-rule-author-and-approver.docx" TargetMode="External"/><Relationship Id="rId21" Type="http://schemas.openxmlformats.org/officeDocument/2006/relationships/hyperlink" Target="manual-telesales-agent.docx" TargetMode="External"/><Relationship Id="rId22" Type="http://schemas.openxmlformats.org/officeDocument/2006/relationships/hyperlink" Target="manual-telesales-supervisor.docx" TargetMode="External"/><Relationship Id="rId32" Type="http://schemas.openxmlformats.org/officeDocument/2006/relationships/hyperlink" Target="partner-api-guide.docx" TargetMode="External"/><Relationship Id="rId20" Type="http://schemas.openxmlformats.org/officeDocument/2006/relationships/hyperlink" Target="user-manual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Manuals — TASCO Growth Platform (v1 UI)</dc:title>
  <dc:creator>iorta TechNXT</dc:creator>
  <cp:keywords/>
  <dcterms:created xsi:type="dcterms:W3CDTF">2026-10-07T17:45:24Z</dcterms:created>
  <dcterms:modified xsi:type="dcterms:W3CDTF">2026-10-07T17:45:24Z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· 07 October 2026</vt:lpwstr>
  </property>
  <property fmtid="{D5CDD505-2E9C-101B-9397-08002B2CF9AE}" pid="3" name="subtitle">
    <vt:lpwstr>TASCO Insurance × VETC Growth Platform — User Manuals</vt:lpwstr>
  </property>
</Properties>
</file>