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Compliance Officer Manual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rPr>
          <w:rStyle w:val="VerbatimChar"/>
        </w:rPr>
        <w:t xml:space="preserve">compliance_officer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 user: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MFA: required</w:t>
      </w:r>
    </w:p>
    <w:p>
      <w:pPr>
        <w:pStyle w:val="BodyText"/>
      </w:pPr>
      <w:r>
        <w:rPr>
          <w:bCs/>
          <w:b/>
        </w:rPr>
        <w:t xml:space="preserve">Your permissions:</w:t>
      </w:r>
      <w:r>
        <w:t xml:space="preserve"> </w:t>
      </w:r>
      <w:r>
        <w:t xml:space="preserve">read rules (</w:t>
      </w:r>
      <w:r>
        <w:rPr>
          <w:rStyle w:val="VerbatimChar"/>
        </w:rPr>
        <w:t xml:space="preserve">rules:read</w:t>
      </w:r>
      <w:r>
        <w:t xml:space="preserve">),</w:t>
      </w:r>
      <w:r>
        <w:t xml:space="preserve"> </w:t>
      </w:r>
      <w:r>
        <w:rPr>
          <w:bCs/>
          <w:b/>
        </w:rPr>
        <w:t xml:space="preserve">approve or reject 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rules:approve</w:t>
      </w:r>
      <w:r>
        <w:t xml:space="preserve">),</w:t>
      </w:r>
      <w:r>
        <w:t xml:space="preserve"> </w:t>
      </w:r>
      <w:r>
        <w:rPr>
          <w:bCs/>
          <w:b/>
        </w:rPr>
        <w:t xml:space="preserve">read the audit trail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audit:read</w:t>
      </w:r>
      <w:r>
        <w:t xml:space="preserve">), dashboards including governance (</w:t>
      </w:r>
      <w:r>
        <w:rPr>
          <w:rStyle w:val="VerbatimChar"/>
        </w:rPr>
        <w:t xml:space="preserve">dashboard:read</w:t>
      </w:r>
      <w:r>
        <w:t xml:space="preserve">),</w:t>
      </w:r>
      <w:r>
        <w:t xml:space="preserve"> </w:t>
      </w:r>
      <w:r>
        <w:rPr>
          <w:bCs/>
          <w:b/>
        </w:rPr>
        <w:t xml:space="preserve">data subject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dsar:manage</w:t>
      </w:r>
      <w:r>
        <w:t xml:space="preserve">), view customer records with personal data masked (</w:t>
      </w:r>
      <w:r>
        <w:rPr>
          <w:rStyle w:val="VerbatimChar"/>
        </w:rPr>
        <w:t xml:space="preserve">profile:read</w:t>
      </w:r>
      <w:r>
        <w:t xml:space="preserve">).</w:t>
      </w:r>
    </w:p>
    <w:p>
      <w:pPr>
        <w:pStyle w:val="BodyText"/>
      </w:pPr>
      <w:r>
        <w:t xml:space="preserve">You are the platform's second line of defence. You approve customer-facing and regulated rule changes, evidence compliance through the audit trail, and execute data subject access and erasure requests.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first. For approving rule changes, follow the approver steps in the</w:t>
      </w:r>
      <w:r>
        <w:t xml:space="preserve"> </w:t>
      </w:r>
      <w:hyperlink r:id="rId21">
        <w:r>
          <w:rPr>
            <w:rStyle w:val="Hyperlink"/>
          </w:rPr>
          <w:t xml:space="preserve">Rule Author and Approver Manual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Xb6355f65104f8400f2db154d995f49f2b8d96ff"/>
    <w:p>
      <w:pPr>
        <w:pStyle w:val="Heading2"/>
      </w:pPr>
      <w:r>
        <w:t xml:space="preserve">1. Regulatory controls built into the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Obligation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Control in the platform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 you check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unlawful discounts or inducements on price-regulated TNDS (Law on Insurance Business 08/2022/QH15)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 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copy_guard</w:t>
            </w:r>
            <w:r>
              <w:t xml:space="preserve">) blocks banned phrases when content is saved and again when a message is sent. Quotes for regulated products carry no discount field.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</w:t>
            </w:r>
            <w:r>
              <w:rPr>
                <w:rStyle w:val="VerbatimChar"/>
              </w:rPr>
              <w:t xml:space="preserve">copy_guard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benefits</w:t>
            </w:r>
            <w:r>
              <w:t xml:space="preserve">); Home → message status "blocked"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must be lawful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benefit has</w:t>
            </w:r>
            <w:r>
              <w:t xml:space="preserve"> </w:t>
            </w:r>
            <w:r>
              <w:rPr>
                <w:rStyle w:val="VerbatimChar"/>
              </w:rPr>
              <w:t xml:space="preserve">legalStatus</w:t>
            </w:r>
            <w:r>
              <w:t xml:space="preserve">. Only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items reach customers. Staff see</w:t>
            </w:r>
            <w:r>
              <w:t xml:space="preserve"> </w:t>
            </w:r>
            <w:r>
              <w:rPr>
                <w:rStyle w:val="VerbatimChar"/>
              </w:rPr>
              <w:t xml:space="preserve">pending_legal_review</w:t>
            </w:r>
            <w:r>
              <w:t xml:space="preserve"> </w:t>
            </w:r>
            <w:r>
              <w:t xml:space="preserve">items flagged.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</w:t>
            </w:r>
            <w:r>
              <w:rPr>
                <w:rStyle w:val="VerbatimChar"/>
              </w:rPr>
              <w:t xml:space="preserve">benefits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is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Anti-spam (Decree 91/2020/ND-CP)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policy</w:t>
            </w:r>
            <w:r>
              <w:t xml:space="preserve">: 08:00–20:00 ICT for marketing, ≤ 1 marketing contact per day and ≤ 3 per week, ≤ 2 call attempts per week, consent per channel, do-not-contact honoured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</w:t>
            </w:r>
            <w:r>
              <w:rPr>
                <w:rStyle w:val="VerbatimChar"/>
              </w:rPr>
              <w:t xml:space="preserve">contact_policy</w:t>
            </w:r>
            <w:r>
              <w:t xml:space="preserve">); skipped touchpoints show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data protection (Decree 13/2023/ND-CP and the PDP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centre (customer app). Purpose-based masking. Field-level encryption. DSAR export and erasure. Retention rule set. Every customer view audited.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page, DSAR actions,</w:t>
            </w:r>
            <w:r>
              <w:t xml:space="preserve"> </w:t>
            </w:r>
            <w:r>
              <w:rPr>
                <w:rStyle w:val="VerbatimChar"/>
              </w:rPr>
              <w:t xml:space="preserve">retention</w:t>
            </w:r>
            <w:r>
              <w:t xml:space="preserve"> </w:t>
            </w:r>
            <w:r>
              <w:t xml:space="preserve">rule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AI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discloses it is automated, states the call is recorded, never asks for OTP or payment, verifies the plate first and offers a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</w:t>
            </w:r>
            <w:r>
              <w:rPr>
                <w:rStyle w:val="VerbatimChar"/>
              </w:rPr>
              <w:t xml:space="preserve">content.voicebot</w:t>
            </w:r>
            <w:r>
              <w:t xml:space="preserve">); governance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caps (Ministry of Finance rules)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statutoryCaps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commission</w:t>
            </w:r>
            <w:r>
              <w:t xml:space="preserve"> </w:t>
            </w:r>
            <w:r>
              <w:t xml:space="preserve">enforced at validation and at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studio (</w:t>
            </w:r>
            <w:r>
              <w:rPr>
                <w:rStyle w:val="VerbatimChar"/>
              </w:rPr>
              <w:t xml:space="preserve">commission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Four-eyes control on 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enforced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Audit:</w:t>
            </w:r>
            <w:r>
              <w:t xml:space="preserve"> </w:t>
            </w:r>
            <w:r>
              <w:rPr>
                <w:rStyle w:val="VerbatimChar"/>
              </w:rPr>
              <w:t xml:space="preserve">rules.approved</w:t>
            </w:r>
            <w:r>
              <w:t xml:space="preserve"> </w:t>
            </w:r>
            <w:r>
              <w:t xml:space="preserve">shows the approver differs from the 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Tamper-evident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hash-chained audit trail with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→</w:t>
            </w:r>
            <w:r>
              <w:t xml:space="preserve"> </w:t>
            </w:r>
            <w:r>
              <w:rPr>
                <w:bCs/>
                <w:b/>
              </w:rPr>
              <w:t xml:space="preserve">Verify 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31484e7b182eb53f220433d95a4dab81ce5bfd"/>
    <w:p>
      <w:pPr>
        <w:pStyle w:val="Heading2"/>
      </w:pPr>
      <w:r>
        <w:t xml:space="preserve">2. Approving rule changes</w:t>
      </w:r>
    </w:p>
    <w:p>
      <w:pPr>
        <w:pStyle w:val="FirstParagraph"/>
      </w:pPr>
      <w:r>
        <w:t xml:space="preserve">Follow the approver procedure in the</w:t>
      </w:r>
      <w:r>
        <w:t xml:space="preserve"> </w:t>
      </w:r>
      <w:hyperlink r:id="rId21">
        <w:r>
          <w:rPr>
            <w:rStyle w:val="Hyperlink"/>
          </w:rPr>
          <w:t xml:space="preserve">Rule Author and Approver Manual</w:t>
        </w:r>
      </w:hyperlink>
      <w:r>
        <w:t xml:space="preserve">. Compliance-specific checks:</w:t>
      </w:r>
    </w:p>
    <w:p>
      <w:pPr>
        <w:pStyle w:val="BodyText"/>
      </w:pPr>
      <w:r>
        <w:rPr>
          <w:bCs/>
          <w:b/>
        </w:rPr>
        <w:t xml:space="preserve">Customer content (</w:t>
      </w:r>
      <w:r>
        <w:rPr>
          <w:rStyle w:val="VerbatimChar"/>
          <w:bCs/>
          <w:b/>
        </w:rPr>
        <w:t xml:space="preserve">content.messages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content.voicebot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benefits</w:t>
      </w:r>
      <w:r>
        <w:rPr>
          <w:bCs/>
          <w:b/>
        </w:rP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☐ Vietnamese text is clear, polite and truthful. The English text matches it.</w:t>
      </w:r>
    </w:p>
    <w:p>
      <w:pPr>
        <w:numPr>
          <w:ilvl w:val="0"/>
          <w:numId w:val="1001"/>
        </w:numPr>
        <w:pStyle w:val="Compact"/>
      </w:pPr>
      <w:r>
        <w:t xml:space="preserve">☐ No price-reduction wording or implication (the copy guard catches listed phrases; you catch the rest, for example "ưu đãi phí", "tiết kiệm hơn").</w:t>
      </w:r>
    </w:p>
    <w:p>
      <w:pPr>
        <w:numPr>
          <w:ilvl w:val="0"/>
          <w:numId w:val="1001"/>
        </w:numPr>
        <w:pStyle w:val="Compact"/>
      </w:pPr>
      <w:r>
        <w:t xml:space="preserve">☐ No promise of loyalty points, referral rewards or gifts unless legally approved.</w:t>
      </w:r>
    </w:p>
    <w:p>
      <w:pPr>
        <w:numPr>
          <w:ilvl w:val="0"/>
          <w:numId w:val="1001"/>
        </w:numPr>
        <w:pStyle w:val="Compact"/>
      </w:pPr>
      <w:r>
        <w:t xml:space="preserve">☐ The voice script keeps: automated-assistant disclosure, recording notice, "VETC không bao giờ yêu cầu mã OTP hay thanh toán qua điện thoại", plate-first verification, human option, opt-out handling.</w:t>
      </w:r>
    </w:p>
    <w:p>
      <w:pPr>
        <w:numPr>
          <w:ilvl w:val="0"/>
          <w:numId w:val="1001"/>
        </w:numPr>
        <w:pStyle w:val="Compact"/>
      </w:pPr>
      <w:r>
        <w:t xml:space="preserve">☐ New ZNS templates have been (or will be) approved by Zalo before activation.</w:t>
      </w:r>
    </w:p>
    <w:p>
      <w:pPr>
        <w:pStyle w:val="FirstParagraph"/>
      </w:pPr>
      <w:r>
        <w:rPr>
          <w:bCs/>
          <w:b/>
        </w:rPr>
        <w:t xml:space="preserve">Policy kinds (</w:t>
      </w:r>
      <w:r>
        <w:rPr>
          <w:rStyle w:val="VerbatimChar"/>
          <w:bCs/>
          <w:b/>
        </w:rPr>
        <w:t xml:space="preserve">contact_policy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retention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copy_guard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abac</w:t>
      </w:r>
      <w:r>
        <w:rPr>
          <w:bCs/>
          <w:b/>
        </w:rP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☐ The change is backed by a Legal/DPO or Security decision (reference in the comment).</w:t>
      </w:r>
    </w:p>
    <w:p>
      <w:pPr>
        <w:numPr>
          <w:ilvl w:val="0"/>
          <w:numId w:val="1002"/>
        </w:numPr>
        <w:pStyle w:val="Compact"/>
      </w:pPr>
      <w:r>
        <w:t xml:space="preserve">☐ Caps and consent are not loosened without that decision.</w:t>
      </w:r>
    </w:p>
    <w:p>
      <w:pPr>
        <w:numPr>
          <w:ilvl w:val="0"/>
          <w:numId w:val="1002"/>
        </w:numPr>
        <w:pStyle w:val="Compact"/>
      </w:pPr>
      <w:r>
        <w:t xml:space="preserve">☐ Removing phrases from</w:t>
      </w:r>
      <w:r>
        <w:t xml:space="preserve"> </w:t>
      </w:r>
      <w:r>
        <w:rPr>
          <w:rStyle w:val="VerbatimChar"/>
        </w:rPr>
        <w:t xml:space="preserve">copy_guard</w:t>
      </w:r>
      <w:r>
        <w:t xml:space="preserve"> </w:t>
      </w:r>
      <w:r>
        <w:t xml:space="preserve">is treated as high risk.</w:t>
      </w:r>
    </w:p>
    <w:p>
      <w:pPr>
        <w:pStyle w:val="FirstParagraph"/>
      </w:pPr>
      <w:r>
        <w:t xml:space="preserve">Record your rationale in the</w:t>
      </w:r>
      <w:r>
        <w:t xml:space="preserve"> </w:t>
      </w:r>
      <w:r>
        <w:rPr>
          <w:bCs/>
          <w:b/>
        </w:rPr>
        <w:t xml:space="preserve">Review comment</w:t>
      </w:r>
      <w:r>
        <w:t xml:space="preserve">. It is stored in the audit trail.</w:t>
      </w:r>
    </w:p>
    <w:p>
      <w:r>
        <w:pict>
          <v:rect style="width:0;height:1.5pt" o:hralign="center" o:hrstd="t" o:hr="t"/>
        </w:pict>
      </w:r>
    </w:p>
    <w:bookmarkEnd w:id="23"/>
    <w:bookmarkStart w:id="24" w:name="X71f8dc6c723088a64a99426bee7e2bed31c4386"/>
    <w:p>
      <w:pPr>
        <w:pStyle w:val="Heading2"/>
      </w:pPr>
      <w:r>
        <w:t xml:space="preserve">3. Governance dashboard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and select the</w:t>
      </w:r>
      <w:r>
        <w:t xml:space="preserve"> </w:t>
      </w:r>
      <w:r>
        <w:rPr>
          <w:bCs/>
          <w:b/>
        </w:rPr>
        <w:t xml:space="preserve">Governance</w:t>
      </w:r>
      <w:r>
        <w:t xml:space="preserve"> </w:t>
      </w:r>
      <w:r>
        <w:t xml:space="preserve">tab.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you will see: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Block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to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bot calls</w:t>
            </w:r>
            <w:r>
              <w:t xml:space="preserve">: total,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AI calls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Spikes in</w:t>
            </w:r>
            <w:r>
              <w:t xml:space="preserve"> </w:t>
            </w:r>
            <w:r>
              <w:rPr>
                <w:rStyle w:val="VerbatimChar"/>
              </w:rPr>
              <w:t xml:space="preserve">opted_out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wrong_person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plate_mismatch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Plate verification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rStyle w:val="VerbatimChar"/>
              </w:rPr>
              <w:t xml:space="preserve">plate_mismatch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) ÷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tolerance ≤ 15 % (pilot)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Opt-out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opted_out</w:t>
            </w:r>
            <w:r>
              <w:t xml:space="preserve"> </w:t>
            </w:r>
            <w:r>
              <w:t xml:space="preserve">÷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tolerance ≤ 5 % (pilot)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Disclosure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"automated assistant disclosed at call start; no payment or OTP requested"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stay true. Check the active voice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sets by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of draft, pending_approval, active, retired,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items waiting more than 1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entry count, head hash, or the broken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</w:tbl>
    <w:p>
      <w:pPr>
        <w:pStyle w:val="BodyText"/>
      </w:pPr>
      <w:r>
        <w:t xml:space="preserve">Review it weekly and report monthly to the Rules Governance Board.</w:t>
      </w:r>
    </w:p>
    <w:p>
      <w:r>
        <w:pict>
          <v:rect style="width:0;height:1.5pt" o:hralign="center" o:hrstd="t" o:hr="t"/>
        </w:pict>
      </w:r>
    </w:p>
    <w:bookmarkEnd w:id="24"/>
    <w:bookmarkStart w:id="26" w:name="Xa8cb0bd5b44b38084f444da8c2f7aef48cd865f"/>
    <w:p>
      <w:pPr>
        <w:pStyle w:val="Heading2"/>
      </w:pPr>
      <w:r>
        <w:t xml:space="preserve">4. Searching the audit trail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Audit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Search by any combination of: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Entity id</w:t>
      </w:r>
      <w:r>
        <w:t xml:space="preserve">: for example a customer/plate ID (</w:t>
      </w:r>
      <w:r>
        <w:rPr>
          <w:rStyle w:val="VerbatimChar"/>
        </w:rPr>
        <w:t xml:space="preserve">30A12345</w:t>
      </w:r>
      <w:r>
        <w:t xml:space="preserve">), rule version (</w:t>
      </w:r>
      <w:r>
        <w:rPr>
          <w:rStyle w:val="VerbatimChar"/>
        </w:rPr>
        <w:t xml:space="preserve">scoring@3</w:t>
      </w:r>
      <w:r>
        <w:t xml:space="preserve">), handoff (</w:t>
      </w:r>
      <w:r>
        <w:rPr>
          <w:rStyle w:val="VerbatimChar"/>
        </w:rPr>
        <w:t xml:space="preserve">HO-…</w:t>
      </w:r>
      <w:r>
        <w:t xml:space="preserve">), claim (</w:t>
      </w:r>
      <w:r>
        <w:rPr>
          <w:rStyle w:val="VerbatimChar"/>
        </w:rPr>
        <w:t xml:space="preserve">CL-…</w:t>
      </w:r>
      <w:r>
        <w:t xml:space="preserve">), order (</w:t>
      </w:r>
      <w:r>
        <w:rPr>
          <w:rStyle w:val="VerbatimChar"/>
        </w:rPr>
        <w:t xml:space="preserve">O-…</w:t>
      </w:r>
      <w:r>
        <w:t xml:space="preserve">), partner (</w:t>
      </w:r>
      <w:r>
        <w:rPr>
          <w:rStyle w:val="VerbatimChar"/>
        </w:rPr>
        <w:t xml:space="preserve">P-…</w:t>
      </w:r>
      <w:r>
        <w:t xml:space="preserve">), user (</w:t>
      </w:r>
      <w:r>
        <w:rPr>
          <w:rStyle w:val="VerbatimChar"/>
        </w:rPr>
        <w:t xml:space="preserve">U-…</w:t>
      </w:r>
      <w:r>
        <w:t xml:space="preserve">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Actor</w:t>
      </w:r>
      <w:r>
        <w:t xml:space="preserve">: the user ID (</w:t>
      </w:r>
      <w:r>
        <w:rPr>
          <w:rStyle w:val="VerbatimChar"/>
        </w:rPr>
        <w:t xml:space="preserve">U-…</w:t>
      </w:r>
      <w:r>
        <w:t xml:space="preserve">),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customer:&lt;id&gt;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partner:&lt;id&gt;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Action</w:t>
      </w:r>
      <w:r>
        <w:t xml:space="preserve">: see the table below.</w:t>
      </w:r>
    </w:p>
    <w:p>
      <w:pPr>
        <w:numPr>
          <w:ilvl w:val="0"/>
          <w:numId w:val="1004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Search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entries with time, actor, action, entity and details, plus each entry's hash. Personal data is never written into audit details (IDs only).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auth.login_failed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auth.login_locked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auth.mfa_failed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auth.password_changed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profile.viewed</w:t>
            </w:r>
            <w:r>
              <w:t xml:space="preserve"> </w:t>
            </w:r>
            <w:r>
              <w:t xml:space="preserve">(with whether PII was visible),</w:t>
            </w:r>
            <w:r>
              <w:t xml:space="preserve"> </w:t>
            </w:r>
            <w:r>
              <w:rPr>
                <w:rStyle w:val="VerbatimChar"/>
              </w:rPr>
              <w:t xml:space="preserve">profile.expiry_corrected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customer.expiry_declared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consent.withdrawn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dsar.access_exported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dsar.erased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rules.seeded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rules.draft_created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order.completed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order.payment_failed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order.issuance_failed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journeys.run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ecosystem.event_handled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voice.call_completed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leads.recomputed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claim.submitted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claim.status_changed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partner.status_changed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partner.api_key_issued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partner.api_key_revoked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and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data.ingested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dq.resolved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job.reconciliation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job.retention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Typical evidence queries: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Who approved the current tariff?</w:t>
      </w:r>
      <w:r>
        <w:t xml:space="preserve"> </w:t>
      </w:r>
      <w:r>
        <w:t xml:space="preserve">Entity</w:t>
      </w:r>
      <w:r>
        <w:t xml:space="preserve"> </w:t>
      </w:r>
      <w:r>
        <w:rPr>
          <w:rStyle w:val="VerbatimChar"/>
        </w:rPr>
        <w:t xml:space="preserve">tariff.tnds_car@&lt;n&gt;</w:t>
      </w:r>
      <w:r>
        <w:t xml:space="preserve">, action</w:t>
      </w:r>
      <w:r>
        <w:t xml:space="preserve"> </w:t>
      </w:r>
      <w:r>
        <w:rPr>
          <w:rStyle w:val="VerbatimChar"/>
        </w:rPr>
        <w:t xml:space="preserve">rules.approved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Who looked at this customer last month?</w:t>
      </w:r>
      <w:r>
        <w:t xml:space="preserve"> </w:t>
      </w:r>
      <w:r>
        <w:t xml:space="preserve">Entity = plate ID, action</w:t>
      </w:r>
      <w:r>
        <w:t xml:space="preserve"> </w:t>
      </w:r>
      <w:r>
        <w:rPr>
          <w:rStyle w:val="VerbatimChar"/>
        </w:rPr>
        <w:t xml:space="preserve">profile.viewed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Has this customer withdrawn consent?</w:t>
      </w:r>
      <w:r>
        <w:t xml:space="preserve"> </w:t>
      </w:r>
      <w:r>
        <w:t xml:space="preserve">Entity = plate ID, actions</w:t>
      </w:r>
      <w:r>
        <w:t xml:space="preserve"> </w:t>
      </w:r>
      <w:r>
        <w:rPr>
          <w:rStyle w:val="VerbatimChar"/>
        </w:rPr>
        <w:t xml:space="preserve">consent.updated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consent.withdrawn</w:t>
      </w:r>
      <w:r>
        <w:t xml:space="preserve">.</w:t>
      </w:r>
    </w:p>
    <w:bookmarkStart w:id="25" w:name="X4c9e6844a0d5ba55f0089ac898b787916d19937"/>
    <w:p>
      <w:pPr>
        <w:pStyle w:val="Heading3"/>
      </w:pPr>
      <w:r>
        <w:t xml:space="preserve">4.1 Verify the audit chain</w:t>
      </w:r>
    </w:p>
    <w:p>
      <w:pPr>
        <w:numPr>
          <w:ilvl w:val="0"/>
          <w:numId w:val="1007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Audit</w:t>
      </w:r>
      <w:r>
        <w:t xml:space="preserve">, select</w:t>
      </w:r>
      <w:r>
        <w:t xml:space="preserve"> </w:t>
      </w:r>
      <w:r>
        <w:rPr>
          <w:bCs/>
          <w:b/>
        </w:rPr>
        <w:t xml:space="preserve">Verify chain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with the number of entries and the head hash, or</w:t>
      </w:r>
      <w:r>
        <w:t xml:space="preserve"> </w:t>
      </w:r>
      <w:r>
        <w:rPr>
          <w:bCs/>
          <w:b/>
        </w:rPr>
        <w:t xml:space="preserve">Broken at entry N</w:t>
      </w:r>
      <w:r>
        <w:t xml:space="preserve"> </w:t>
      </w:r>
      <w:r>
        <w:t xml:space="preserve">with a reason (</w:t>
      </w:r>
      <w:r>
        <w:rPr>
          <w:rStyle w:val="VerbatimChar"/>
        </w:rPr>
        <w:t xml:space="preserve">prev hash 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hash mismatch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If broken: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attempt any fix. Record the result, notify Security and the platform owner at once, and preserve evidence (incident procedure).</w:t>
      </w:r>
    </w:p>
    <w:p>
      <w:pPr>
        <w:pStyle w:val="FirstParagraph"/>
      </w:pPr>
      <w:r>
        <w:t xml:space="preserve">Recommended: verify daily (support can automate it) and before every external audit.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09416815cefe41a6a84571ef172fefd676560d8"/>
    <w:p>
      <w:pPr>
        <w:pStyle w:val="Heading2"/>
      </w:pPr>
      <w:r>
        <w:t xml:space="preserve">5. Data subject requests (DSAR)</w:t>
      </w:r>
    </w:p>
    <w:p>
      <w:pPr>
        <w:pStyle w:val="FirstParagraph"/>
      </w:pPr>
      <w:r>
        <w:t xml:space="preserve">Customers can download their own data in the customer app (</w:t>
      </w:r>
      <w:r>
        <w:rPr>
          <w:bCs/>
          <w:b/>
        </w:rPr>
        <w:t xml:space="preserve">Tài khoản → Tải dữ liệu của tôi</w:t>
      </w:r>
      <w:r>
        <w:t xml:space="preserve">). You handle requests received through other channels (hotline, email, letter) and all</w:t>
      </w:r>
      <w:r>
        <w:t xml:space="preserve"> </w:t>
      </w:r>
      <w:r>
        <w:rPr>
          <w:bCs/>
          <w:b/>
        </w:rPr>
        <w:t xml:space="preserve">erasure</w:t>
      </w:r>
      <w:r>
        <w:t xml:space="preserve"> </w:t>
      </w:r>
      <w:r>
        <w:t xml:space="preserve">requests.</w:t>
      </w:r>
    </w:p>
    <w:bookmarkStart w:id="27" w:name="X9c8209ef4255d0909383bd13e9ba75d03535df5"/>
    <w:p>
      <w:pPr>
        <w:pStyle w:val="Heading3"/>
      </w:pPr>
      <w:r>
        <w:t xml:space="preserve">5.1 Before you act</w:t>
      </w:r>
    </w:p>
    <w:p>
      <w:pPr>
        <w:numPr>
          <w:ilvl w:val="0"/>
          <w:numId w:val="1008"/>
        </w:numPr>
        <w:pStyle w:val="Compact"/>
      </w:pPr>
      <w:r>
        <w:t xml:space="preserve">Log the request in the DSAR register: date received, channel, request type, legal deadline.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Verify identity</w:t>
      </w:r>
      <w:r>
        <w:t xml:space="preserve"> </w:t>
      </w:r>
      <w:r>
        <w:t xml:space="preserve">through the agreed procedure (for example, a request from the registered phone through the VETC app, or ID document checked by customer service). Never act on unverified requests.</w:t>
      </w:r>
    </w:p>
    <w:p>
      <w:pPr>
        <w:numPr>
          <w:ilvl w:val="0"/>
          <w:numId w:val="1008"/>
        </w:numPr>
        <w:pStyle w:val="Compact"/>
      </w:pPr>
      <w:r>
        <w:t xml:space="preserve">Identify the customer ID (normalised plate, for example</w:t>
      </w:r>
      <w:r>
        <w:t xml:space="preserve"> </w:t>
      </w:r>
      <w:r>
        <w:rPr>
          <w:rStyle w:val="VerbatimChar"/>
        </w:rPr>
        <w:t xml:space="preserve">30A12345</w:t>
      </w:r>
      <w:r>
        <w:t xml:space="preserve">).</w:t>
      </w:r>
    </w:p>
    <w:bookmarkEnd w:id="27"/>
    <w:bookmarkStart w:id="28" w:name="Xf29df76680bce6c8c753b26d8f3f3c652fe54f4"/>
    <w:p>
      <w:pPr>
        <w:pStyle w:val="Heading3"/>
      </w:pPr>
      <w:r>
        <w:t xml:space="preserve">5.2 Right of access: export</w:t>
      </w:r>
    </w:p>
    <w:p>
      <w:pPr>
        <w:numPr>
          <w:ilvl w:val="0"/>
          <w:numId w:val="1009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Audit</w:t>
      </w:r>
      <w:r>
        <w:t xml:space="preserve"> </w:t>
      </w:r>
      <w:r>
        <w:t xml:space="preserve">and search the customer ID, or open the customer in</w:t>
      </w:r>
      <w:r>
        <w:t xml:space="preserve"> </w:t>
      </w:r>
      <w:r>
        <w:rPr>
          <w:bCs/>
          <w:b/>
        </w:rPr>
        <w:t xml:space="preserve">Customer 360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DSAR → Export data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a JSON package generated now, containing the profile, lead record, policies, messages, source records and voice sessions. Download it.</w:t>
      </w:r>
    </w:p>
    <w:p>
      <w:pPr>
        <w:numPr>
          <w:ilvl w:val="0"/>
          <w:numId w:val="1009"/>
        </w:numPr>
        <w:pStyle w:val="Compact"/>
      </w:pPr>
      <w:r>
        <w:t xml:space="preserve">Deliver it to the customer through the secure channel agreed by the DPO (never ordinary email attachments without protection).</w:t>
      </w:r>
    </w:p>
    <w:p>
      <w:pPr>
        <w:numPr>
          <w:ilvl w:val="0"/>
          <w:numId w:val="1009"/>
        </w:numPr>
        <w:pStyle w:val="Compact"/>
      </w:pPr>
      <w:r>
        <w:t xml:space="preserve">The action is audited as</w:t>
      </w:r>
      <w:r>
        <w:t xml:space="preserve"> </w:t>
      </w:r>
      <w:r>
        <w:rPr>
          <w:rStyle w:val="VerbatimChar"/>
        </w:rPr>
        <w:t xml:space="preserve">dsar.access_exported</w:t>
      </w:r>
      <w:r>
        <w:t xml:space="preserve">.</w:t>
      </w:r>
    </w:p>
    <w:bookmarkEnd w:id="28"/>
    <w:bookmarkStart w:id="29" w:name="Xb8d4aa8000a356b625521b3a763273345e8266b"/>
    <w:p>
      <w:pPr>
        <w:pStyle w:val="Heading3"/>
      </w:pPr>
      <w:r>
        <w:t xml:space="preserve">5.3 Right to erasure: anonymise</w:t>
      </w:r>
    </w:p>
    <w:p>
      <w:pPr>
        <w:numPr>
          <w:ilvl w:val="0"/>
          <w:numId w:val="1010"/>
        </w:numPr>
        <w:pStyle w:val="Compact"/>
      </w:pPr>
      <w:r>
        <w:t xml:space="preserve">Confirm that erasure is legally appropriate. Records the law requires us to keep (policies, financial records) are retained but de-linked.</w:t>
      </w:r>
    </w:p>
    <w:p>
      <w:pPr>
        <w:numPr>
          <w:ilvl w:val="0"/>
          <w:numId w:val="1010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DSAR → Erase (anonymise)</w:t>
      </w:r>
      <w:r>
        <w:t xml:space="preserve">, read the confirmation and confirm.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you will see: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Success:</w:t>
      </w:r>
      <w:r>
        <w:t xml:space="preserve"> </w:t>
      </w:r>
      <w:r>
        <w:t xml:space="preserve">"Erased". Name and phone are removed, the customer is marked do-not-contact, the lead is deleted, source records lose phone and name, messages become "[erased]" and voice transcripts are cleared. Audited as</w:t>
      </w:r>
      <w:r>
        <w:t xml:space="preserve"> </w:t>
      </w:r>
      <w:r>
        <w:rPr>
          <w:rStyle w:val="VerbatimChar"/>
        </w:rPr>
        <w:t xml:space="preserve">dsar.erased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Refused:</w:t>
      </w:r>
      <w:r>
        <w:t xml:space="preserve"> </w:t>
      </w:r>
      <w:r>
        <w:t xml:space="preserve">"Active policy in force — personal data must be retained until expiry (legal obligation)". Tell the customer the reason and the date after which erasure can proceed. Diary the follow-up.</w:t>
      </w:r>
    </w:p>
    <w:p>
      <w:pPr>
        <w:numPr>
          <w:ilvl w:val="0"/>
          <w:numId w:val="1010"/>
        </w:numPr>
        <w:pStyle w:val="Compact"/>
      </w:pPr>
      <w:r>
        <w:t xml:space="preserve">Erasure cannot be undone.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Known v1 gap (KI-29):</w:t>
      </w:r>
      <w:r>
        <w:t xml:space="preserve"> </w:t>
      </w:r>
      <w:r>
        <w:t xml:space="preserve">erasure does not yet anonymise telesales</w:t>
      </w:r>
      <w:r>
        <w:t xml:space="preserve"> </w:t>
      </w:r>
      <w:r>
        <w:rPr>
          <w:bCs/>
          <w:b/>
        </w:rPr>
        <w:t xml:space="preserve">handoffs</w:t>
      </w:r>
      <w:r>
        <w:t xml:space="preserve"> </w:t>
      </w:r>
      <w:r>
        <w:t xml:space="preserve">(name, masked phone, talking points),</w:t>
      </w:r>
      <w:r>
        <w:t xml:space="preserve"> </w:t>
      </w:r>
      <w:r>
        <w:rPr>
          <w:bCs/>
          <w:b/>
        </w:rPr>
        <w:t xml:space="preserve">claims</w:t>
      </w:r>
      <w:r>
        <w:t xml:space="preserve"> </w:t>
      </w:r>
      <w:r>
        <w:t xml:space="preserve">(description, location) or</w:t>
      </w:r>
      <w:r>
        <w:t xml:space="preserve"> </w:t>
      </w:r>
      <w:r>
        <w:rPr>
          <w:bCs/>
          <w:b/>
        </w:rPr>
        <w:t xml:space="preserve">quotes</w:t>
      </w:r>
      <w:r>
        <w:t xml:space="preserve"> </w:t>
      </w:r>
      <w:r>
        <w:t xml:space="preserve">(plate). Until it is fixed, raise a ticket with support to anonymise these records manually, and record it in the DSAR register.</w:t>
      </w:r>
    </w:p>
    <w:bookmarkEnd w:id="29"/>
    <w:bookmarkStart w:id="30" w:name="X5b9acccaab30f5c9cc80ef053abaa0e5c96c7b0"/>
    <w:p>
      <w:pPr>
        <w:pStyle w:val="Heading3"/>
      </w:pPr>
      <w:r>
        <w:t xml:space="preserve">5.4 Consent withdrawal and objection to marketing</w:t>
      </w:r>
    </w:p>
    <w:p>
      <w:pPr>
        <w:pStyle w:val="FirstParagraph"/>
      </w:pPr>
      <w:r>
        <w:t xml:space="preserve">Customers can switch off marketing and calls in the app's consent centre, or ask the voice bot to stop calling ("đừng gọi nữa"), which records do-not-contact immediately. For requests received elsewhere, ask customer service to record them through the approved channel and verify</w:t>
      </w:r>
      <w:r>
        <w:t xml:space="preserve"> </w:t>
      </w:r>
      <w:r>
        <w:rPr>
          <w:rStyle w:val="VerbatimChar"/>
        </w:rPr>
        <w:t xml:space="preserve">consent.updated</w:t>
      </w:r>
      <w:r>
        <w:t xml:space="preserve"> </w:t>
      </w:r>
      <w:r>
        <w:t xml:space="preserve">in the audit trail.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6520b803552d6b3a0c8ae4c743e8fa3d340c649"/>
    <w:p>
      <w:pPr>
        <w:pStyle w:val="Heading2"/>
      </w:pPr>
      <w:r>
        <w:t xml:space="preserve">6. Monthly compliance checklist</w:t>
      </w:r>
    </w:p>
    <w:p>
      <w:pPr>
        <w:numPr>
          <w:ilvl w:val="0"/>
          <w:numId w:val="1012"/>
        </w:numPr>
        <w:pStyle w:val="Compact"/>
      </w:pPr>
      <w:r>
        <w:t xml:space="preserve">☐ Audit chain verified OK.</w:t>
      </w:r>
    </w:p>
    <w:p>
      <w:pPr>
        <w:numPr>
          <w:ilvl w:val="0"/>
          <w:numId w:val="1012"/>
        </w:numPr>
        <w:pStyle w:val="Compact"/>
      </w:pPr>
      <w:r>
        <w:t xml:space="preserve">☐ All rule activations in the month have a maker and a different checker. Comments are present for regulated kinds.</w:t>
      </w:r>
    </w:p>
    <w:p>
      <w:pPr>
        <w:numPr>
          <w:ilvl w:val="0"/>
          <w:numId w:val="1012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pending_legal_review</w:t>
      </w:r>
      <w:r>
        <w:t xml:space="preserve"> </w:t>
      </w:r>
      <w:r>
        <w:t xml:space="preserve">benefit shown to customers.</w:t>
      </w:r>
      <w:r>
        <w:t xml:space="preserve"> </w:t>
      </w:r>
      <w:r>
        <w:rPr>
          <w:rStyle w:val="VerbatimChar"/>
        </w:rPr>
        <w:t xml:space="preserve">referral.enabled</w:t>
      </w:r>
      <w:r>
        <w:t xml:space="preserve"> </w:t>
      </w:r>
      <w:r>
        <w:t xml:space="preserve">is still false unless approved.</w:t>
      </w:r>
    </w:p>
    <w:p>
      <w:pPr>
        <w:numPr>
          <w:ilvl w:val="0"/>
          <w:numId w:val="1012"/>
        </w:numPr>
        <w:pStyle w:val="Compact"/>
      </w:pPr>
      <w:r>
        <w:t xml:space="preserve">☐ Message status: zero sends blocked by the copy guard in production, or each one investigated.</w:t>
      </w:r>
    </w:p>
    <w:p>
      <w:pPr>
        <w:numPr>
          <w:ilvl w:val="0"/>
          <w:numId w:val="1012"/>
        </w:numPr>
        <w:pStyle w:val="Compact"/>
      </w:pPr>
      <w:r>
        <w:t xml:space="preserve">☐ Opt-out and complaint trends reviewed. Contact policy still appropriate.</w:t>
      </w:r>
    </w:p>
    <w:p>
      <w:pPr>
        <w:numPr>
          <w:ilvl w:val="0"/>
          <w:numId w:val="1012"/>
        </w:numPr>
        <w:pStyle w:val="Compact"/>
      </w:pPr>
      <w:r>
        <w:t xml:space="preserve">☐ DSARs closed within deadlines. Erasure refusals followed up.</w:t>
      </w:r>
    </w:p>
    <w:p>
      <w:pPr>
        <w:numPr>
          <w:ilvl w:val="0"/>
          <w:numId w:val="1012"/>
        </w:numPr>
        <w:pStyle w:val="Compact"/>
      </w:pPr>
      <w:r>
        <w:t xml:space="preserve">☐ Access review of privileged roles (with Security).</w:t>
      </w:r>
    </w:p>
    <w:p>
      <w:pPr>
        <w:numPr>
          <w:ilvl w:val="0"/>
          <w:numId w:val="1012"/>
        </w:numPr>
        <w:pStyle w:val="Compact"/>
      </w:pPr>
      <w:r>
        <w:t xml:space="preserve">☐ Commission statements reconciled for sample partners.</w:t>
      </w:r>
    </w:p>
    <w:p>
      <w:r>
        <w:pict>
          <v:rect style="width:0;height:1.5pt" o:hralign="center" o:hrstd="t" o:hr="t"/>
        </w:pict>
      </w:r>
    </w:p>
    <w:bookmarkEnd w:id="32"/>
    <w:bookmarkStart w:id="34" w:name="Xa8eebf661c29b2a8d0dc7fa75f58bd9e3c53e1f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 code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newest code. Check your phone clock. After 5 failures, wait 15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data masked in Customer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Expected. Your role does not need unmasked PII. DSAR export contains the full data for the data subject.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"Missing permission dsar:manage"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compliance officers can run DSAR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"Customer not found" on DSAR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plate normalisation (no spaces or dots), or the customer is already anonymised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21">
        <w:r>
          <w:rPr>
            <w:rStyle w:val="Hyperlink"/>
          </w:rPr>
          <w:t xml:space="preserve">Rule Author and Approver Manual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Data Steward Manual</w:t>
        </w:r>
      </w:hyperlink>
      <w:r>
        <w:t xml:space="preserve">.</w:t>
      </w:r>
    </w:p>
    <w:bookmarkEnd w:id="34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hyperlink" Target="manual-data-steward.docx" TargetMode="External"/><Relationship Id="rId21" Type="http://schemas.openxmlformats.org/officeDocument/2006/relationships/hyperlink" Target="manual-rule-author-and-approver.docx" TargetMode="External"/><Relationship Id="rId20" Type="http://schemas.openxmlformats.org/officeDocument/2006/relationships/hyperlink" Target="user-manual.docx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manual-data-steward.docx" TargetMode="External"/><Relationship Id="rId21" Type="http://schemas.openxmlformats.org/officeDocument/2006/relationships/hyperlink" Target="manual-rule-author-and-approver.docx" TargetMode="External"/><Relationship Id="rId20" Type="http://schemas.openxmlformats.org/officeDocument/2006/relationships/hyperlink" Target="user-manual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Officer Manual</dc:title>
  <dc:creator>iorta TechNXT</dc:creator>
  <cp:keywords/>
  <dcterms:created xsi:type="dcterms:W3CDTF">2026-10-07T17:45:25Z</dcterms:created>
  <dcterms:modified xsi:type="dcterms:W3CDTF">2026-10-07T17:45:25Z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