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Executive Manual</w:t>
      </w:r>
    </w:p>
    <w:p>
      <w:pPr>
        <w:pStyle w:val="Subtitle"/>
      </w:pPr>
      <w:r>
        <w:t xml:space="preserve">TASCO Insurance × VETC Growth Platform — User Manuals</w:t>
      </w:r>
    </w:p>
    <w:p>
      <w:pPr>
        <w:pStyle w:val="Author"/>
      </w:pPr>
      <w:r>
        <w:t xml:space="preserve">iorta TechNXT</w:t>
      </w:r>
    </w:p>
    <w:p>
      <w:pPr>
        <w:pStyle w:val="Date"/>
      </w:pPr>
      <w:r>
        <w:t xml:space="preserve">Version 1.0 · 07 October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Cs/>
          <w:b/>
        </w:rPr>
        <w:t xml:space="preserve">Role:</w:t>
      </w:r>
      <w:r>
        <w:t xml:space="preserve"> </w:t>
      </w:r>
      <w:r>
        <w:rPr>
          <w:rStyle w:val="VerbatimChar"/>
        </w:rPr>
        <w:t xml:space="preserve">executive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Demo user: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MFA:</w:t>
      </w:r>
      <w:r>
        <w:t xml:space="preserve"> </w:t>
      </w:r>
      <w:r>
        <w:t xml:space="preserve">recommended</w:t>
      </w:r>
    </w:p>
    <w:p>
      <w:pPr>
        <w:pStyle w:val="BodyText"/>
      </w:pPr>
      <w:r>
        <w:rPr>
          <w:bCs/>
          <w:b/>
        </w:rPr>
        <w:t xml:space="preserve">Your permission:</w:t>
      </w:r>
      <w:r>
        <w:t xml:space="preserve"> </w:t>
      </w:r>
      <w:r>
        <w:t xml:space="preserve">dashboards (</w:t>
      </w:r>
      <w:r>
        <w:rPr>
          <w:rStyle w:val="VerbatimChar"/>
        </w:rPr>
        <w:t xml:space="preserve">dashboard:read</w:t>
      </w:r>
      <w:r>
        <w:t xml:space="preserve">). You see</w:t>
      </w:r>
      <w:r>
        <w:t xml:space="preserve"> </w:t>
      </w:r>
      <w:r>
        <w:rPr>
          <w:bCs/>
          <w:b/>
        </w:rPr>
        <w:t xml:space="preserve">Home</w:t>
      </w:r>
      <w:r>
        <w:t xml:space="preserve"> </w:t>
      </w:r>
      <w:r>
        <w:t xml:space="preserve">only, with live KPIs computed directly from the platform, so no manual reporting is needed. You do not see individual customers' personal data.</w:t>
      </w:r>
    </w:p>
    <w:p>
      <w:pPr>
        <w:pStyle w:val="BodyText"/>
      </w:pPr>
      <w:r>
        <w:t xml:space="preserve">Read sections 3–4 of the</w:t>
      </w:r>
      <w:r>
        <w:t xml:space="preserve"> </w:t>
      </w:r>
      <w:hyperlink r:id="rId20">
        <w:r>
          <w:rPr>
            <w:rStyle w:val="Hyperlink"/>
          </w:rPr>
          <w:t xml:space="preserve">Staff User Manual</w:t>
        </w:r>
      </w:hyperlink>
      <w:r>
        <w:t xml:space="preserve"> </w:t>
      </w:r>
      <w:r>
        <w:t xml:space="preserve">for sign-in and navigation (about 5 minutes).</w:t>
      </w:r>
    </w:p>
    <w:p>
      <w:r>
        <w:pict>
          <v:rect style="width:0;height:1.5pt" o:hralign="center" o:hrstd="t" o:hr="t"/>
        </w:pict>
      </w:r>
    </w:p>
    <w:bookmarkStart w:id="21" w:name="X9b630fc049a566291d08683b5e01f7d1616929c"/>
    <w:p>
      <w:pPr>
        <w:pStyle w:val="Heading2"/>
      </w:pPr>
      <w:r>
        <w:t xml:space="preserve">1. Reading the dashboard in 5 minutes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bCs/>
          <w:b/>
        </w:rPr>
        <w:t xml:space="preserve">Home</w:t>
      </w:r>
      <w:r>
        <w:t xml:space="preserve">. The</w:t>
      </w:r>
      <w:r>
        <w:t xml:space="preserve"> </w:t>
      </w:r>
      <w:r>
        <w:rPr>
          <w:bCs/>
          <w:b/>
        </w:rPr>
        <w:t xml:space="preserve">as-of</w:t>
      </w:r>
      <w:r>
        <w:t xml:space="preserve"> </w:t>
      </w:r>
      <w:r>
        <w:t xml:space="preserve">date is shown at the top ("Growth across new business and retention").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#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Block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Question it answers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What good looks like (proposed)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Base</w:t>
            </w:r>
            <w:r>
              <w:t xml:space="preserve">: profiles, expiring in 30 days, lapsed/uninsured (≤ 60 days), profiles with usable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big is the opportunity right now?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Expiring-in-30 is the near-term pipeline. Lapsed vehicles are a new-business and road-safety opportunity.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Hot leads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Cs/>
                <w:b/>
              </w:rPr>
              <w:t xml:space="preserve">leads by 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much high-intent demand do we have?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stable or rising hot share as data quality improves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Journey mix</w:t>
            </w:r>
            <w:r>
              <w:t xml:space="preserve">: renewal (retention), conquest (other insurer), new vehicle, lapsed/uninsured, cross-sell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Are we growing new business as well as retaining?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Conquest + new vehicle + uninsured together larger than renewal is healthy growth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Data quality issues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Cs/>
                <w:b/>
              </w:rPr>
              <w:t xml:space="preserve">profiles with usable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we trust the targeting?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Usable-data share rising month on month (baseline ≈ 10 %)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Engagement</w:t>
            </w:r>
            <w:r>
              <w:t xml:space="preserve">: messages by channel, delivery status, voice bot outcomes, handoffs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Are we reaching customers without spamming?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blocked and failed share. Opt-outs ≤ 5 % of calls.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Sales</w:t>
            </w:r>
            <w:r>
              <w:t xml:space="preserve">: orders, GWP, by journey and channel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it converting, and where?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In-app (VETC app / Zalo) share ≥ 50 % in pilot. Partner API growing after launch.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Active policies by 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mix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Add-on attach (PA_SEAT, MOTOR_PD) rising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Claims</w:t>
            </w:r>
            <w:r>
              <w:t xml:space="preserve"> </w:t>
            </w:r>
            <w:r>
              <w:t xml:space="preserve">by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Are we keeping the claims promise?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Few claims stuck in</w:t>
            </w:r>
            <w:r>
              <w:t xml:space="preserve"> </w:t>
            </w:r>
            <w:r>
              <w:rPr>
                <w:rStyle w:val="VerbatimChar"/>
              </w:rPr>
              <w:t xml:space="preserve">submitted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Channel economics</w:t>
            </w:r>
            <w:r>
              <w:t xml:space="preserve">: voice-bot cost vs equivalent telesales cost, messaging cost,</w:t>
            </w:r>
            <w:r>
              <w:t xml:space="preserve"> </w:t>
            </w:r>
            <w:r>
              <w:rPr>
                <w:bCs/>
                <w:b/>
              </w:rPr>
              <w:t xml:space="preserve">acquisition cost per order (bot + messaging)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model efficient?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Saving vs telesales positive. Cost per order falling.</w:t>
            </w:r>
          </w:p>
        </w:tc>
      </w:tr>
    </w:tbl>
    <w:p>
      <w:pPr>
        <w:pStyle w:val="BodyText"/>
      </w:pPr>
      <w:r>
        <w:t xml:space="preserve">Notes on economics: unit costs come from the</w:t>
      </w:r>
      <w:r>
        <w:t xml:space="preserve"> </w:t>
      </w:r>
      <w:r>
        <w:rPr>
          <w:rStyle w:val="VerbatimChar"/>
        </w:rPr>
        <w:t xml:space="preserve">costs</w:t>
      </w:r>
      <w:r>
        <w:t xml:space="preserve"> </w:t>
      </w:r>
      <w:r>
        <w:t xml:space="preserve">rule set (for example voice bot 1,500 ₫/min, telesales 6,000 ₫/min, Zalo ZNS 300 ₫, SMS 700 ₫ per message). These are</w:t>
      </w:r>
      <w:r>
        <w:t xml:space="preserve"> </w:t>
      </w:r>
      <w:r>
        <w:rPr>
          <w:bCs/>
          <w:b/>
        </w:rPr>
        <w:t xml:space="preserve">assumptions</w:t>
      </w:r>
      <w:r>
        <w:t xml:space="preserve"> </w:t>
      </w:r>
      <w:r>
        <w:t xml:space="preserve">until replaced with contracted rates.</w:t>
      </w:r>
    </w:p>
    <w:bookmarkEnd w:id="21"/>
    <w:bookmarkStart w:id="22" w:name="X54a774b77eb6630ff7e76d1e8a333c2b17cf3c8"/>
    <w:p>
      <w:pPr>
        <w:pStyle w:val="Heading2"/>
      </w:pPr>
      <w:r>
        <w:t xml:space="preserve">2. Adoption tab</w:t>
      </w:r>
    </w:p>
    <w:p>
      <w:pPr>
        <w:pStyle w:val="FirstParagraph"/>
      </w:pPr>
      <w:r>
        <w:t xml:space="preserve">Shows how the organisation uses the platform: active users, sign-ins, failed sign-ins, handoff actions, and actions by type. Built-in targets: weekly active telesales ≥ 90 %, average clicks to renew ≤ 3, handoff first contact within 2 business hours, rule change lead time ≤ 1 day.</w:t>
      </w:r>
    </w:p>
    <w:bookmarkEnd w:id="22"/>
    <w:bookmarkStart w:id="23" w:name="X592ec5d02cafdde0a9317da52cf356e42cd736f"/>
    <w:p>
      <w:pPr>
        <w:pStyle w:val="Heading2"/>
      </w:pPr>
      <w:r>
        <w:t xml:space="preserve">3. Questions to ask your teams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If you see…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Ask…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Many hot leads but few orders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"Are handoffs worked within 2 hours? Are links sent?" (Telesales supervisor)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 blocked messages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"Which contact-policy reason is blocking? Are journeys overlapping?" (Campaign manager)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 voice opt-out or plate-mismatch rates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"Are we calling the right people? What does the data steward see?"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Usable-data share flat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"Is the confirm-expiry step working in the app?" (Product, Data)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Cost per order rising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"Is the channel mix shifting to telesales? Are bot calls converting?"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Partner orders flat after 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"Which partners are certified? Any channel-conflict issues?" (Partner manager)</w:t>
            </w:r>
          </w:p>
        </w:tc>
      </w:tr>
    </w:tbl>
    <w:bookmarkEnd w:id="23"/>
    <w:bookmarkStart w:id="24" w:name="X35603096d29833cf1b54f51df5e72c348a22a1e"/>
    <w:p>
      <w:pPr>
        <w:pStyle w:val="Heading2"/>
      </w:pPr>
      <w:r>
        <w:t xml:space="preserve">4. Important reminders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TNDS premiums are regulated and identical everywhere.</w:t>
      </w:r>
      <w:r>
        <w:t xml:space="preserve"> </w:t>
      </w:r>
      <w:r>
        <w:t xml:space="preserve">Growth comes from service value, not price. Any request for discounting must be refused (Law on Insurance Business 08/2022/QH15).</w:t>
      </w:r>
    </w:p>
    <w:p>
      <w:pPr>
        <w:numPr>
          <w:ilvl w:val="0"/>
          <w:numId w:val="1001"/>
        </w:numPr>
        <w:pStyle w:val="Compact"/>
      </w:pPr>
      <w:r>
        <w:t xml:space="preserve">KPI targets in the delivery documents are</w:t>
      </w:r>
      <w:r>
        <w:t xml:space="preserve"> </w:t>
      </w:r>
      <w:r>
        <w:rPr>
          <w:bCs/>
          <w:b/>
        </w:rPr>
        <w:t xml:space="preserve">proposals</w:t>
      </w:r>
      <w:r>
        <w:t xml:space="preserve"> </w:t>
      </w:r>
      <w:r>
        <w:t xml:space="preserve">to be agreed by the Steering Committee.</w:t>
      </w:r>
    </w:p>
    <w:p>
      <w:pPr>
        <w:numPr>
          <w:ilvl w:val="0"/>
          <w:numId w:val="1001"/>
        </w:numPr>
        <w:pStyle w:val="Compact"/>
      </w:pPr>
      <w:r>
        <w:t xml:space="preserve">Dashboards are live. Numbers can change during the day as journeys and sales run.</w:t>
      </w:r>
    </w:p>
    <w:bookmarkEnd w:id="24"/>
    <w:bookmarkStart w:id="25" w:name="Xd5b3d8a68c73b756968aad1dd84151376a19c17"/>
    <w:p>
      <w:pPr>
        <w:pStyle w:val="Heading2"/>
      </w:pPr>
      <w:r>
        <w:t xml:space="preserve">5. Troubleshooting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Problem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Dashboard empty in the sandbox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sandbox is seeded nightly. Ask support if it stays empty.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number looks wrong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 the as-of date and the block, and ask the Product Owner. Each number is traceable to platform data.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Want customer-level 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 the campaign manager or supervisor (role-based access protects personal data).</w:t>
            </w:r>
          </w:p>
        </w:tc>
      </w:tr>
    </w:tbl>
    <w:bookmarkEnd w:id="25"/>
    <w:sectPr>
      <w:headerReference r:id="rId9" w:type="default"/>
      <w:footerReference r:id="rId10" w:type="default"/>
      <w:pgSz w:h="16838" w:w="11906"/>
      <w:pgMar w:bottom="1020" w:left="1020" w:right="1020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Prepared by iorta TechNXT · Confidential · Page </w:t>
    </w:r>
    <w:r>
      <w:rPr>
        <w:sz w:val="16"/>
      </w:rPr>
      <w:fldChar w:fldCharType="begin"/>
      <w:instrText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213368"/>
        <w:sz w:val="16"/>
      </w:rPr>
      <w:t>TASCO Insurance × VETC — Growth Platform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eastAsia="Arial" w:hAnsi="Arial"/>
      <w:color w:val="121A33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cs="Arial" w:eastAsia="Arial" w:hAnsi="Arial"/>
      <w:color w:val="121A33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Arial" w:cs="Arial" w:eastAsia="Arial" w:hAnsi="Arial"/>
      <w:color w:val="121A33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cs="Arial" w:eastAsia="Arial" w:hAnsi="Arial"/>
      <w:color w:val="121A33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asciiTheme="majorHAnsi" w:cs="Arial" w:cstheme="majorBidi" w:eastAsia="Arial" w:eastAsiaTheme="majorEastAsia" w:hAnsi="Arial" w:hAnsiTheme="majorHAnsi"/>
      <w:b/>
      <w:bCs/>
      <w:color w:val="213368"/>
      <w:sz w:val="48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rial" w:cs="Arial" w:eastAsia="Arial" w:hAnsi="Arial"/>
      <w:b w:val="0"/>
      <w:color w:val="0B6B66"/>
      <w:sz w:val="26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rial" w:cs="Arial" w:eastAsia="Arial" w:hAnsi="Arial"/>
      <w:color w:val="121A33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Arial" w:cs="Arial" w:eastAsia="Arial" w:hAnsi="Arial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1E0" w:sz="4" w:val="single"/>
        <w:left w:color="C9D1E0" w:sz="4" w:val="single"/>
        <w:bottom w:color="C9D1E0" w:sz="4" w:val="single"/>
        <w:right w:color="C9D1E0" w:sz="4" w:val="single"/>
        <w:insideH w:color="C9D1E0" w:sz="4" w:val="single"/>
        <w:insideV w:color="C9D1E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B6B6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20" Type="http://schemas.openxmlformats.org/officeDocument/2006/relationships/hyperlink" Target="user-manual.docx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user-manual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Executive Manual</dc:title>
  <dc:creator>iorta TechNXT</dc:creator>
  <cp:keywords/>
  <dcterms:created xsi:type="dcterms:W3CDTF">2026-10-07T17:45:26Z</dcterms:created>
  <dcterms:modified xsi:type="dcterms:W3CDTF">2026-10-07T17:45:26Z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Version 1.0 · 07 October 2026</vt:lpwstr>
  </property>
  <property fmtid="{D5CDD505-2E9C-101B-9397-08002B2CF9AE}" pid="3" name="subtitle">
    <vt:lpwstr>TASCO Insurance × VETC Growth Platform — User Manuals</vt:lpwstr>
  </property>
</Properties>
</file>