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Partner Manager Manual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Role:</w:t>
      </w:r>
      <w:r>
        <w:t xml:space="preserve"> </w:t>
      </w:r>
      <w:r>
        <w:rPr>
          <w:rStyle w:val="VerbatimChar"/>
        </w:rPr>
        <w:t xml:space="preserve">partner_manager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user:</w:t>
      </w:r>
      <w:r>
        <w:t xml:space="preserve"> </w:t>
      </w:r>
      <w:r>
        <w:rPr>
          <w:rStyle w:val="VerbatimChar"/>
        </w:rPr>
        <w:t xml:space="preserve">partners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MFA:</w:t>
      </w:r>
      <w:r>
        <w:t xml:space="preserve"> </w:t>
      </w:r>
      <w:r>
        <w:t xml:space="preserve">not required by default (recommended)</w:t>
      </w:r>
    </w:p>
    <w:p>
      <w:pPr>
        <w:pStyle w:val="BodyText"/>
      </w:pPr>
      <w:r>
        <w:rPr>
          <w:bCs/>
          <w:b/>
        </w:rPr>
        <w:t xml:space="preserve">Your permissions:</w:t>
      </w:r>
      <w:r>
        <w:t xml:space="preserve"> </w:t>
      </w:r>
      <w:r>
        <w:t xml:space="preserve">manage partners (</w:t>
      </w:r>
      <w:r>
        <w:rPr>
          <w:rStyle w:val="VerbatimChar"/>
        </w:rPr>
        <w:t xml:space="preserve">partners:manage</w:t>
      </w:r>
      <w:r>
        <w:t xml:space="preserve">), read dashboards (</w:t>
      </w:r>
      <w:r>
        <w:rPr>
          <w:rStyle w:val="VerbatimChar"/>
        </w:rPr>
        <w:t xml:space="preserve">dashboard:read</w:t>
      </w:r>
      <w:r>
        <w:t xml:space="preserve">), read policies (</w:t>
      </w:r>
      <w:r>
        <w:rPr>
          <w:rStyle w:val="VerbatimChar"/>
        </w:rPr>
        <w:t xml:space="preserve">policy:read</w:t>
      </w:r>
      <w:r>
        <w:t xml:space="preserve">).</w:t>
      </w:r>
    </w:p>
    <w:p>
      <w:pPr>
        <w:pStyle w:val="BodyText"/>
      </w:pPr>
      <w:r>
        <w:t xml:space="preserve">Partners already close most TNDS deals. Instead of competing with them, the platform gives them an</w:t>
      </w:r>
      <w:r>
        <w:t xml:space="preserve"> </w:t>
      </w:r>
      <w:r>
        <w:rPr>
          <w:bCs/>
          <w:b/>
        </w:rPr>
        <w:t xml:space="preserve">API</w:t>
      </w:r>
      <w:r>
        <w:t xml:space="preserve"> </w:t>
      </w:r>
      <w:r>
        <w:t xml:space="preserve">to quote and sell TASCO cover using VETC data, with</w:t>
      </w:r>
      <w:r>
        <w:t xml:space="preserve"> </w:t>
      </w:r>
      <w:r>
        <w:rPr>
          <w:bCs/>
          <w:b/>
        </w:rPr>
        <w:t xml:space="preserve">transparent, capped commission</w:t>
      </w:r>
      <w:r>
        <w:t xml:space="preserve">. You onboard partners, control their API access and produce commission statements.</w:t>
      </w:r>
    </w:p>
    <w:p>
      <w:pPr>
        <w:pStyle w:val="BodyText"/>
      </w:pPr>
      <w:r>
        <w:t xml:space="preserve">Read the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 </w:t>
      </w:r>
      <w:r>
        <w:t xml:space="preserve">first. Give partner developers the</w:t>
      </w:r>
      <w:r>
        <w:t xml:space="preserve"> </w:t>
      </w:r>
      <w:hyperlink r:id="rId21">
        <w:r>
          <w:rPr>
            <w:rStyle w:val="Hyperlink"/>
          </w:rPr>
          <w:t xml:space="preserve">Partner API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X8d7802b25548dda1820a6504d679290f3f3ffe7"/>
    <w:p>
      <w:pPr>
        <w:pStyle w:val="Heading2"/>
      </w:pPr>
      <w:r>
        <w:t xml:space="preserve">1. Partner types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Examples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Typical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Car-loan banks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TNDS, physical damage,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 dealers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New-vehicle TNDS + physical damage (higher physical damage commission: 10 %)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TNDS,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operators, 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TNDS for many vehicles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inspection_center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kiểm centres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TNDS at inspection time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Commission</w:t>
      </w:r>
      <w:r>
        <w:t xml:space="preserve"> </w:t>
      </w:r>
      <w:r>
        <w:t xml:space="preserve">(from the active</w:t>
      </w:r>
      <w:r>
        <w:t xml:space="preserve"> </w:t>
      </w:r>
      <w:r>
        <w:rPr>
          <w:rStyle w:val="VerbatimChar"/>
        </w:rPr>
        <w:t xml:space="preserve">commission</w:t>
      </w:r>
      <w:r>
        <w:t xml:space="preserve"> </w:t>
      </w:r>
      <w:r>
        <w:t xml:space="preserve">rule set, as a share of</w:t>
      </w:r>
      <w:r>
        <w:t xml:space="preserve"> </w:t>
      </w:r>
      <w:r>
        <w:rPr>
          <w:bCs/>
          <w:b/>
        </w:rPr>
        <w:t xml:space="preserve">net</w:t>
      </w:r>
      <w:r>
        <w:t xml:space="preserve"> </w:t>
      </w:r>
      <w:r>
        <w:t xml:space="preserve">premium, capped by statutory limits):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Product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Rate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Statutory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TNDS (car, motorbike)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damage (MOTOR_PD), showroom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damage, other partners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accident (PA_SEAT)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</w:tr>
    </w:tbl>
    <w:p>
      <w:pPr>
        <w:pStyle w:val="BodyText"/>
      </w:pPr>
      <w:r>
        <w:t xml:space="preserve">Rates are configuration. TASCO Finance and Legal must confirm the figures, and changes go through the Rules studio with maker-checker approval.</w:t>
      </w:r>
    </w:p>
    <w:p>
      <w:r>
        <w:pict>
          <v:rect style="width:0;height:1.5pt" o:hralign="center" o:hrstd="t" o:hr="t"/>
        </w:pict>
      </w:r>
    </w:p>
    <w:bookmarkEnd w:id="22"/>
    <w:bookmarkStart w:id="23" w:name="X04e40711d86fdefe7265ceb5cbd296000a089e3"/>
    <w:p>
      <w:pPr>
        <w:pStyle w:val="Heading2"/>
      </w:pPr>
      <w:r>
        <w:t xml:space="preserve">2. Onboard a partner</w:t>
      </w:r>
    </w:p>
    <w:p>
      <w:pPr>
        <w:pStyle w:val="FirstParagraph"/>
      </w:pPr>
      <w:r>
        <w:rPr>
          <w:bCs/>
          <w:b/>
        </w:rPr>
        <w:t xml:space="preserve">Before you start:</w:t>
      </w:r>
      <w:r>
        <w:t xml:space="preserve"> </w:t>
      </w:r>
      <w:r>
        <w:t xml:space="preserve">signed partner agreement, KYC/due diligence completed, the partner's technical contact identified, and the commercial terms matching the active commission rules.</w:t>
      </w:r>
    </w:p>
    <w:p>
      <w:pPr>
        <w:numPr>
          <w:ilvl w:val="0"/>
          <w:numId w:val="1001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Partners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Onboard partner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Enter</w:t>
      </w:r>
      <w:r>
        <w:t xml:space="preserve"> </w:t>
      </w:r>
      <w:r>
        <w:rPr>
          <w:bCs/>
          <w:b/>
        </w:rPr>
        <w:t xml:space="preserve">Name</w:t>
      </w:r>
      <w:r>
        <w:t xml:space="preserve">,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(Bank, Car showroom, Agent, Fleet, Inspection centre) and</w:t>
      </w:r>
      <w:r>
        <w:t xml:space="preserve"> </w:t>
      </w:r>
      <w:r>
        <w:rPr>
          <w:bCs/>
          <w:b/>
        </w:rPr>
        <w:t xml:space="preserve">Region</w:t>
      </w:r>
      <w:r>
        <w:t xml:space="preserve"> </w:t>
      </w:r>
      <w:r>
        <w:t xml:space="preserve">(or ALL).</w:t>
      </w:r>
    </w:p>
    <w:p>
      <w:pPr>
        <w:numPr>
          <w:ilvl w:val="0"/>
          <w:numId w:val="1001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Create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"Partner created" with an ID such as</w:t>
      </w:r>
      <w:r>
        <w:t xml:space="preserve"> </w:t>
      </w:r>
      <w:r>
        <w:rPr>
          <w:rStyle w:val="VerbatimChar"/>
        </w:rPr>
        <w:t xml:space="preserve">P-1A2B3C4D</w:t>
      </w:r>
      <w:r>
        <w:t xml:space="preserve">, status</w:t>
      </w:r>
      <w:r>
        <w:t xml:space="preserve"> </w:t>
      </w:r>
      <w:r>
        <w:rPr>
          <w:bCs/>
          <w:b/>
        </w:rPr>
        <w:t xml:space="preserve">active</w:t>
      </w:r>
      <w:r>
        <w:t xml:space="preserve">. The action is audited (</w:t>
      </w:r>
      <w:r>
        <w:rPr>
          <w:rStyle w:val="VerbatimChar"/>
        </w:rPr>
        <w:t xml:space="preserve">partner.created</w:t>
      </w:r>
      <w:r>
        <w:t xml:space="preserve">).</w:t>
      </w:r>
    </w:p>
    <w:bookmarkEnd w:id="23"/>
    <w:bookmarkStart w:id="24" w:name="X37d5dfd802cbb7a89971d5401ece8e64bc8ecdd"/>
    <w:p>
      <w:pPr>
        <w:pStyle w:val="Heading2"/>
      </w:pPr>
      <w:r>
        <w:t xml:space="preserve">3. Issue an API key</w:t>
      </w:r>
    </w:p>
    <w:p>
      <w:pPr>
        <w:numPr>
          <w:ilvl w:val="0"/>
          <w:numId w:val="1002"/>
        </w:numPr>
        <w:pStyle w:val="Compact"/>
      </w:pPr>
      <w:r>
        <w:t xml:space="preserve">Open the partner and select</w:t>
      </w:r>
      <w:r>
        <w:t xml:space="preserve"> </w:t>
      </w:r>
      <w:r>
        <w:rPr>
          <w:bCs/>
          <w:b/>
        </w:rPr>
        <w:t xml:space="preserve">Issue API key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a dialog</w:t>
      </w:r>
      <w:r>
        <w:t xml:space="preserve"> </w:t>
      </w:r>
      <w:r>
        <w:rPr>
          <w:bCs/>
          <w:b/>
        </w:rPr>
        <w:t xml:space="preserve">"Copy this API key now — it will not be shown again"</w:t>
      </w:r>
      <w:r>
        <w:t xml:space="preserve"> </w:t>
      </w:r>
      <w:r>
        <w:t xml:space="preserve">with a key starting</w:t>
      </w:r>
      <w:r>
        <w:t xml:space="preserve"> </w:t>
      </w:r>
      <w:r>
        <w:rPr>
          <w:rStyle w:val="VerbatimChar"/>
        </w:rPr>
        <w:t xml:space="preserve">tpk_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and send it to the partner's named technical contact through a</w:t>
      </w:r>
      <w:r>
        <w:t xml:space="preserve"> </w:t>
      </w:r>
      <w:r>
        <w:rPr>
          <w:bCs/>
          <w:b/>
        </w:rPr>
        <w:t xml:space="preserve">secure channel</w:t>
      </w:r>
      <w:r>
        <w:t xml:space="preserve"> </w:t>
      </w:r>
      <w:r>
        <w:t xml:space="preserve">(for example an encrypted file plus a password by SMS). Never send it by plain email or chat.</w:t>
      </w:r>
    </w:p>
    <w:p>
      <w:pPr>
        <w:numPr>
          <w:ilvl w:val="0"/>
          <w:numId w:val="1002"/>
        </w:numPr>
        <w:pStyle w:val="Compact"/>
      </w:pPr>
      <w:r>
        <w:t xml:space="preserve">Confirm you have saved it, then close the dialog.</w:t>
      </w:r>
    </w:p>
    <w:p>
      <w:pPr>
        <w:pStyle w:val="FirstParagraph"/>
      </w:pPr>
      <w:r>
        <w:t xml:space="preserve">The platform stores only a hash of the key, so a lost key cannot be recovered. Issue a new one and revoke the old one. Each key has a short visible</w:t>
      </w:r>
      <w:r>
        <w:t xml:space="preserve"> </w:t>
      </w:r>
      <w:r>
        <w:rPr>
          <w:bCs/>
          <w:b/>
        </w:rPr>
        <w:t xml:space="preserve">prefix</w:t>
      </w:r>
      <w:r>
        <w:t xml:space="preserve"> </w:t>
      </w:r>
      <w:r>
        <w:t xml:space="preserve">and an ID (</w:t>
      </w:r>
      <w:r>
        <w:rPr>
          <w:rStyle w:val="VerbatimChar"/>
        </w:rPr>
        <w:t xml:space="preserve">K-…</w:t>
      </w:r>
      <w:r>
        <w:t xml:space="preserve">) to identify it.</w:t>
      </w:r>
    </w:p>
    <w:p>
      <w:pPr>
        <w:pStyle w:val="BlockText"/>
      </w:pPr>
      <w:r>
        <w:t xml:space="preserve">Issue</w:t>
      </w:r>
      <w:r>
        <w:t xml:space="preserve"> </w:t>
      </w:r>
      <w:r>
        <w:rPr>
          <w:bCs/>
          <w:b/>
        </w:rPr>
        <w:t xml:space="preserve">separate keys</w:t>
      </w:r>
      <w:r>
        <w:t xml:space="preserve"> </w:t>
      </w:r>
      <w:r>
        <w:t xml:space="preserve">for the partner's test and production systems, and rotate keys at least yearly.</w:t>
      </w:r>
    </w:p>
    <w:bookmarkEnd w:id="24"/>
    <w:bookmarkStart w:id="25" w:name="X4ae4e0f098abd7ef7006cf371a5ce0eae653e1c"/>
    <w:p>
      <w:pPr>
        <w:pStyle w:val="Heading2"/>
      </w:pPr>
      <w:r>
        <w:t xml:space="preserve">4. Revoke a key</w:t>
      </w:r>
    </w:p>
    <w:p>
      <w:pPr>
        <w:pStyle w:val="FirstParagraph"/>
      </w:pPr>
      <w:r>
        <w:t xml:space="preserve">Revoke when a key may be exposed, when the partner rotates keys, or when staff leave the partner.</w:t>
      </w:r>
    </w:p>
    <w:p>
      <w:pPr>
        <w:numPr>
          <w:ilvl w:val="0"/>
          <w:numId w:val="1003"/>
        </w:numPr>
        <w:pStyle w:val="Compact"/>
      </w:pPr>
      <w:r>
        <w:t xml:space="preserve">Open the partner and find the key by its ID and prefix.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Revoke</w:t>
      </w:r>
      <w:r>
        <w:t xml:space="preserve"> </w:t>
      </w:r>
      <w:r>
        <w:t xml:space="preserve">and confirm.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the key status changes to</w:t>
      </w:r>
      <w:r>
        <w:t xml:space="preserve"> </w:t>
      </w:r>
      <w:r>
        <w:rPr>
          <w:bCs/>
          <w:b/>
        </w:rPr>
        <w:t xml:space="preserve">revoked</w:t>
      </w:r>
      <w:r>
        <w:t xml:space="preserve">. Calls with it fail at once with</w:t>
      </w:r>
      <w:r>
        <w:t xml:space="preserve"> </w:t>
      </w:r>
      <w:r>
        <w:rPr>
          <w:rStyle w:val="VerbatimChar"/>
        </w:rPr>
        <w:t xml:space="preserve">401 UNAUTHENTICATED</w:t>
      </w:r>
      <w:r>
        <w:t xml:space="preserve"> </w:t>
      </w:r>
      <w:r>
        <w:t xml:space="preserve">("Valid X-Api-Key required").</w:t>
      </w:r>
    </w:p>
    <w:bookmarkEnd w:id="25"/>
    <w:bookmarkStart w:id="26" w:name="X8e953617218114f524f9a60e877bc52bc25da3e"/>
    <w:p>
      <w:pPr>
        <w:pStyle w:val="Heading2"/>
      </w:pPr>
      <w:r>
        <w:t xml:space="preserve">5. Suspend or reactivate a partner</w:t>
      </w:r>
    </w:p>
    <w:p>
      <w:pPr>
        <w:numPr>
          <w:ilvl w:val="0"/>
          <w:numId w:val="1004"/>
        </w:numPr>
        <w:pStyle w:val="Compact"/>
      </w:pPr>
      <w:r>
        <w:t xml:space="preserve">Open the partner and select</w:t>
      </w:r>
      <w:r>
        <w:t xml:space="preserve"> </w:t>
      </w:r>
      <w:r>
        <w:rPr>
          <w:bCs/>
          <w:b/>
        </w:rPr>
        <w:t xml:space="preserve">Suspend</w:t>
      </w:r>
      <w:r>
        <w:t xml:space="preserve"> </w:t>
      </w:r>
      <w:r>
        <w:t xml:space="preserve">(or</w:t>
      </w:r>
      <w:r>
        <w:t xml:space="preserve"> </w:t>
      </w:r>
      <w:r>
        <w:rPr>
          <w:bCs/>
          <w:b/>
        </w:rPr>
        <w:t xml:space="preserve">Activate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While suspended,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the partner's keys stop working. Existing policies remain valid.</w:t>
      </w:r>
    </w:p>
    <w:p>
      <w:pPr>
        <w:pStyle w:val="FirstParagraph"/>
      </w:pPr>
      <w:r>
        <w:t xml:space="preserve">Use suspension for contract breaches, compliance investigations or unpaid balances.</w:t>
      </w:r>
    </w:p>
    <w:bookmarkEnd w:id="26"/>
    <w:bookmarkStart w:id="27" w:name="X90aeff5b836e5229c044c16b74f0cfd741e2b98"/>
    <w:p>
      <w:pPr>
        <w:pStyle w:val="Heading2"/>
      </w:pPr>
      <w:r>
        <w:t xml:space="preserve">6. Commission statements</w:t>
      </w:r>
    </w:p>
    <w:p>
      <w:pPr>
        <w:numPr>
          <w:ilvl w:val="0"/>
          <w:numId w:val="1005"/>
        </w:numPr>
        <w:pStyle w:val="Compact"/>
      </w:pPr>
      <w:r>
        <w:t xml:space="preserve">Open the partner and select</w:t>
      </w:r>
      <w:r>
        <w:t xml:space="preserve"> </w:t>
      </w:r>
      <w:r>
        <w:rPr>
          <w:bCs/>
          <w:b/>
        </w:rPr>
        <w:t xml:space="preserve">Statement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Choose a period (</w:t>
      </w:r>
      <w:r>
        <w:rPr>
          <w:bCs/>
          <w:b/>
        </w:rPr>
        <w:t xml:space="preserve">From</w:t>
      </w:r>
      <w:r>
        <w:t xml:space="preserve">,</w:t>
      </w:r>
      <w:r>
        <w:t xml:space="preserve"> </w:t>
      </w:r>
      <w:r>
        <w:rPr>
          <w:bCs/>
          <w:b/>
        </w:rPr>
        <w:t xml:space="preserve">To</w:t>
      </w:r>
      <w:r>
        <w:t xml:space="preserve">) and select</w:t>
      </w:r>
      <w:r>
        <w:t xml:space="preserve"> </w:t>
      </w:r>
      <w:r>
        <w:rPr>
          <w:bCs/>
          <w:b/>
        </w:rPr>
        <w:t xml:space="preserve">Apply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number of completed orders,</w:t>
      </w:r>
      <w:r>
        <w:t xml:space="preserve"> </w:t>
      </w:r>
      <w:r>
        <w:rPr>
          <w:bCs/>
          <w:b/>
        </w:rPr>
        <w:t xml:space="preserve">total commission</w:t>
      </w:r>
      <w:r>
        <w:t xml:space="preserve">, and lines per order and product: order ID, date, product, rate, amount and the applied rule.</w:t>
      </w:r>
    </w:p>
    <w:p>
      <w:pPr>
        <w:numPr>
          <w:ilvl w:val="0"/>
          <w:numId w:val="1005"/>
        </w:numPr>
        <w:pStyle w:val="Compact"/>
      </w:pPr>
      <w:r>
        <w:t xml:space="preserve">Export the statement for Finance. Partners can download the same statement through the API, so both sides see identical figures.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orders (paid and issued) earn commission. Failed or refunded orders do not.</w:t>
      </w:r>
    </w:p>
    <w:bookmarkEnd w:id="27"/>
    <w:bookmarkStart w:id="28" w:name="Xdcc51203d7818289b0a601d891364537715c7b2"/>
    <w:p>
      <w:pPr>
        <w:pStyle w:val="Heading2"/>
      </w:pPr>
      <w:r>
        <w:t xml:space="preserve">7. Monitoring partner performance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Home</w:t>
      </w:r>
      <w:r>
        <w:t xml:space="preserve"> </w:t>
      </w:r>
      <w:r>
        <w:t xml:space="preserve">→ Sales →</w:t>
      </w:r>
      <w:r>
        <w:t xml:space="preserve"> </w:t>
      </w:r>
      <w:r>
        <w:rPr>
          <w:bCs/>
          <w:b/>
        </w:rPr>
        <w:t xml:space="preserve">by channel</w:t>
      </w:r>
      <w:r>
        <w:t xml:space="preserve"> </w:t>
      </w:r>
      <w:r>
        <w:t xml:space="preserve">shows orders through</w:t>
      </w:r>
      <w:r>
        <w:t xml:space="preserve"> </w:t>
      </w:r>
      <w:r>
        <w:rPr>
          <w:rStyle w:val="VerbatimChar"/>
        </w:rPr>
        <w:t xml:space="preserve">partner_api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Check policies sold by a partner through the partner's statement or the policies list.</w:t>
      </w:r>
    </w:p>
    <w:p>
      <w:pPr>
        <w:numPr>
          <w:ilvl w:val="0"/>
          <w:numId w:val="1006"/>
        </w:numPr>
        <w:pStyle w:val="Compact"/>
      </w:pPr>
      <w:r>
        <w:t xml:space="preserve">Watch for unusual patterns, such as spikes in quotes without orders, many new unknown plates, or repeated failures. Discuss them with Compliance.</w:t>
      </w:r>
    </w:p>
    <w:bookmarkEnd w:id="28"/>
    <w:bookmarkStart w:id="29" w:name="X6e248a8460567fa0a1f903309546f4cf9898a1d"/>
    <w:p>
      <w:pPr>
        <w:pStyle w:val="Heading2"/>
      </w:pPr>
      <w:r>
        <w:t xml:space="preserve">8. Rules of engagement (channel conflict)</w:t>
      </w:r>
    </w:p>
    <w:p>
      <w:pPr>
        <w:pStyle w:val="FirstParagraph"/>
      </w:pPr>
      <w:r>
        <w:t xml:space="preserve">Agree these with each partner and with marketing:</w:t>
      </w:r>
    </w:p>
    <w:p>
      <w:pPr>
        <w:numPr>
          <w:ilvl w:val="0"/>
          <w:numId w:val="1007"/>
        </w:numPr>
        <w:pStyle w:val="Compact"/>
      </w:pPr>
      <w:r>
        <w:t xml:space="preserve">Vehicles</w:t>
      </w:r>
      <w:r>
        <w:t xml:space="preserve"> </w:t>
      </w:r>
      <w:r>
        <w:rPr>
          <w:bCs/>
          <w:b/>
        </w:rPr>
        <w:t xml:space="preserve">quoted through a partner</w:t>
      </w:r>
      <w:r>
        <w:t xml:space="preserve"> </w:t>
      </w:r>
      <w:r>
        <w:t xml:space="preserve">are attributed to that partner. Discuss suppression windows for VETC conquest journeys with the campaign manager. This is configured in the</w:t>
      </w:r>
      <w:r>
        <w:t xml:space="preserve"> </w:t>
      </w:r>
      <w:r>
        <w:rPr>
          <w:rStyle w:val="VerbatimChar"/>
        </w:rPr>
        <w:t xml:space="preserve">nba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journeys</w:t>
      </w:r>
      <w:r>
        <w:t xml:space="preserve"> </w:t>
      </w:r>
      <w:r>
        <w:t xml:space="preserve">rules through maker-checker.</w:t>
      </w:r>
    </w:p>
    <w:p>
      <w:pPr>
        <w:numPr>
          <w:ilvl w:val="0"/>
          <w:numId w:val="1007"/>
        </w:numPr>
        <w:pStyle w:val="Compact"/>
      </w:pPr>
      <w:r>
        <w:t xml:space="preserve">Partners must not use discount wording for TNDS either.</w:t>
      </w:r>
    </w:p>
    <w:p>
      <w:pPr>
        <w:numPr>
          <w:ilvl w:val="0"/>
          <w:numId w:val="1007"/>
        </w:numPr>
        <w:pStyle w:val="Compact"/>
      </w:pPr>
      <w:r>
        <w:t xml:space="preserve">Partners must collect</w:t>
      </w:r>
      <w:r>
        <w:t xml:space="preserve"> </w:t>
      </w:r>
      <w:r>
        <w:rPr>
          <w:bCs/>
          <w:b/>
        </w:rPr>
        <w:t xml:space="preserve">marketing consent</w:t>
      </w:r>
      <w:r>
        <w:t xml:space="preserve"> </w:t>
      </w:r>
      <w:r>
        <w:t xml:space="preserve">properly if they pass</w:t>
      </w:r>
      <w:r>
        <w:t xml:space="preserve"> </w:t>
      </w:r>
      <w:r>
        <w:rPr>
          <w:rStyle w:val="VerbatimChar"/>
        </w:rPr>
        <w:t xml:space="preserve">consentMarketing: true</w:t>
      </w:r>
      <w:r>
        <w:t xml:space="preserve">.</w:t>
      </w:r>
    </w:p>
    <w:bookmarkEnd w:id="29"/>
    <w:bookmarkStart w:id="30" w:name="X604d32d4245089c058c4a17a722c369f414c972"/>
    <w:p>
      <w:pPr>
        <w:pStyle w:val="Heading2"/>
      </w:pPr>
      <w:r>
        <w:t xml:space="preserve">9.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reports</w:t>
            </w:r>
            <w:r>
              <w:t xml:space="preserve"> </w:t>
            </w:r>
            <w:r>
              <w:rPr>
                <w:rStyle w:val="VerbatimChar"/>
              </w:rPr>
              <w:t xml:space="preserve">401 Valid X-Api-Key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revoked, wrong key, partner suspended, or the header is missing. Check the status and issue a new key if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reports</w:t>
            </w:r>
            <w:r>
              <w:t xml:space="preserve"> </w:t>
            </w:r>
            <w:r>
              <w:rPr>
                <w:rStyle w:val="VerbatimChar"/>
              </w:rPr>
              <w:t xml:space="preserve">404 Quote not found</w:t>
            </w:r>
            <w:r>
              <w:t xml:space="preserve"> </w:t>
            </w:r>
            <w:r>
              <w:t xml:space="preserve">on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quote belongs to another partner, or the ID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reports</w:t>
            </w:r>
            <w:r>
              <w:t xml:space="preserve"> </w:t>
            </w:r>
            <w:r>
              <w:rPr>
                <w:rStyle w:val="VerbatimChar"/>
              </w:rPr>
              <w:t xml:space="preserve">422 Quote expired — please re-quote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Quotes last 24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Statement total looks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period. Only completed orders count. Check the active</w:t>
            </w:r>
            <w:r>
              <w:t xml:space="preserve"> </w:t>
            </w:r>
            <w:r>
              <w:rPr>
                <w:rStyle w:val="VerbatimChar"/>
              </w:rPr>
              <w:t xml:space="preserve">commission</w:t>
            </w:r>
            <w:r>
              <w:t xml:space="preserve"> </w:t>
            </w:r>
            <w:r>
              <w:t xml:space="preserve">version in the Rules studio.</w:t>
            </w: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21">
        <w:r>
          <w:rPr>
            <w:rStyle w:val="Hyperlink"/>
          </w:rPr>
          <w:t xml:space="preserve">Partner API Guide</w:t>
        </w:r>
      </w:hyperlink>
      <w:r>
        <w:t xml:space="preserve">.</w:t>
      </w:r>
    </w:p>
    <w:bookmarkEnd w:id="30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hyperlink" Target="partner-api-guide.docx" TargetMode="External"/><Relationship Id="rId20" Type="http://schemas.openxmlformats.org/officeDocument/2006/relationships/hyperlink" Target="user-manual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partner-api-guide.docx" TargetMode="External"/><Relationship Id="rId20" Type="http://schemas.openxmlformats.org/officeDocument/2006/relationships/hyperlink" Target="user-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Partner Manager Manual</dc:title>
  <dc:creator>iorta TechNXT</dc:creator>
  <cp:keywords/>
  <dcterms:created xsi:type="dcterms:W3CDTF">2026-10-07T17:45:26Z</dcterms:created>
  <dcterms:modified xsi:type="dcterms:W3CDTF">2026-10-07T17:45:26Z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