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 — TASCO Growth Platform</w:t>
      </w:r>
    </w:p>
    <w:p>
      <w:pPr>
        <w:pStyle w:val="Subtitle"/>
      </w:pPr>
      <w:r>
        <w:t xml:space="preserve">TASCO Insurance × VETC Growth Platform — Operations</w:t>
      </w:r>
    </w:p>
    <w:p>
      <w:pPr>
        <w:pStyle w:val="Author"/>
      </w:pPr>
      <w:r>
        <w:t xml:space="preserve">iorta TechNXT</w:t>
      </w:r>
    </w:p>
    <w:p>
      <w:pPr>
        <w:pStyle w:val="Date"/>
      </w:pPr>
      <w:r>
        <w:t xml:space="preserve">Version 1.0 · 07 October 2026</w:t>
      </w:r>
    </w:p>
    <w:p>
      <w:pPr>
        <w:pStyle w:val="FirstParagraph"/>
      </w:pPr>
      <w:r>
        <w:t xml:space="preserve">Operational documentation for running the TASCO Insurance × VETC motor insurance growth platform in production: support, monitoring, continuity, readiness, go-live and change.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Document</w:t>
            </w:r>
          </w:p>
        </w:tc>
        <w:tc>
          <w:tcPr>
            <w:shd w:val="clear" w:color="auto" w:fill="213368"/>
          </w:tcPr>
          <w:p>
            <w:pPr>
              <w:pStyle w:val="Compact"/>
              <w:jc w:val="left"/>
            </w:pPr>
            <w:r>
              <w:rPr>
                <w:b/>
                <w:color w:val="FFFFFF"/>
              </w:rPr>
              <w:t xml:space="preserve">Purpose</w:t>
            </w:r>
          </w:p>
        </w:tc>
        <w:tc>
          <w:tcPr>
            <w:shd w:val="clear" w:color="auto" w:fill="213368"/>
          </w:tcPr>
          <w:p>
            <w:pPr>
              <w:pStyle w:val="Compact"/>
              <w:jc w:val="left"/>
            </w:pPr>
            <w:r>
              <w:rPr>
                <w:b/>
                <w:color w:val="FFFFFF"/>
              </w:rPr>
              <w:t xml:space="preserve">Primary audience</w:t>
            </w:r>
          </w:p>
        </w:tc>
      </w:tr>
      <w:tr>
        <w:tc>
          <w:tcPr/>
          <w:p>
            <w:pPr>
              <w:pStyle w:val="Compact"/>
              <w:jc w:val="left"/>
            </w:pPr>
            <w:hyperlink r:id="rId20">
              <w:r>
                <w:rPr>
                  <w:rStyle w:val="Hyperlink"/>
                </w:rPr>
                <w:t xml:space="preserve">runbook-and-support-guide.md</w:t>
              </w:r>
            </w:hyperlink>
          </w:p>
        </w:tc>
        <w:tc>
          <w:tcPr/>
          <w:p>
            <w:pPr>
              <w:pStyle w:val="Compact"/>
              <w:jc w:val="left"/>
            </w:pPr>
            <w:r>
              <w:t xml:space="preserve">Support model (L1 service desk → L2 production support → L3 engineering → vendors), severity matrix and SLAs, on-call, log fields and queries, incident runbooks</w:t>
            </w:r>
            <w:r>
              <w:t xml:space="preserve"> </w:t>
            </w:r>
            <w:r>
              <w:rPr>
                <w:bCs/>
                <w:b/>
              </w:rPr>
              <w:t xml:space="preserve">RB-01 – RB-15</w:t>
            </w:r>
            <w:r>
              <w:t xml:space="preserve"> </w:t>
            </w:r>
            <w:r>
              <w:t xml:space="preserve">(DB/readiness, circuit breakers per integration, outbox backlog and dead letters, journey skips, audit chain, lockouts, rule rollback, payment-without-issuance, latency, memory, certificate verification, partner API), standard operating procedures</w:t>
            </w:r>
            <w:r>
              <w:t xml:space="preserve"> </w:t>
            </w:r>
            <w:r>
              <w:rPr>
                <w:bCs/>
                <w:b/>
              </w:rPr>
              <w:t xml:space="preserve">SOP-01 – SOP-09</w:t>
            </w:r>
            <w:r>
              <w:t xml:space="preserve"> </w:t>
            </w:r>
            <w:r>
              <w:t xml:space="preserve">(</w:t>
            </w:r>
            <w:r>
              <w:rPr>
                <w:rStyle w:val="VerbatimChar"/>
              </w:rPr>
              <w:t xml:space="preserve">DATA_KEYS</w:t>
            </w:r>
            <w:r>
              <w:t xml:space="preserve"> </w:t>
            </w:r>
            <w:r>
              <w:t xml:space="preserve">rotation,</w:t>
            </w:r>
            <w:r>
              <w:t xml:space="preserve"> </w:t>
            </w:r>
            <w:r>
              <w:rPr>
                <w:rStyle w:val="VerbatimChar"/>
              </w:rPr>
              <w:t xml:space="preserve">JWT_SECRET</w:t>
            </w:r>
            <w:r>
              <w:t xml:space="preserve"> </w:t>
            </w:r>
            <w:r>
              <w:t xml:space="preserve">rotation, offboarding, partner keys, DSAR, data correction, outbound kill switch, unlock/MFA reset, job reruns), L1 known-error answers</w:t>
            </w:r>
          </w:p>
        </w:tc>
        <w:tc>
          <w:tcPr/>
          <w:p>
            <w:pPr>
              <w:pStyle w:val="Compact"/>
              <w:jc w:val="left"/>
            </w:pPr>
            <w:r>
              <w:t xml:space="preserve">L1/L2/L3 support, on-call</w:t>
            </w:r>
          </w:p>
        </w:tc>
      </w:tr>
      <w:tr>
        <w:tc>
          <w:tcPr/>
          <w:p>
            <w:pPr>
              <w:pStyle w:val="Compact"/>
              <w:jc w:val="left"/>
            </w:pPr>
            <w:hyperlink r:id="rId21">
              <w:r>
                <w:rPr>
                  <w:rStyle w:val="Hyperlink"/>
                </w:rPr>
                <w:t xml:space="preserve">monitoring-and-alerting.md</w:t>
              </w:r>
            </w:hyperlink>
          </w:p>
        </w:tc>
        <w:tc>
          <w:tcPr/>
          <w:p>
            <w:pPr>
              <w:pStyle w:val="Compact"/>
              <w:jc w:val="left"/>
            </w:pPr>
            <w:r>
              <w:t xml:space="preserve">What the app exposes (</w:t>
            </w:r>
            <w:r>
              <w:rPr>
                <w:rStyle w:val="VerbatimChar"/>
              </w:rPr>
              <w:t xml:space="preserve">/metrics</w:t>
            </w:r>
            <w:r>
              <w:t xml:space="preserve">, probes,</w:t>
            </w:r>
            <w:r>
              <w:t xml:space="preserve"> </w:t>
            </w:r>
            <w:r>
              <w:rPr>
                <w:rStyle w:val="VerbatimChar"/>
              </w:rPr>
              <w:t xml:space="preserve">/api/ops/status</w:t>
            </w:r>
            <w:r>
              <w:t xml:space="preserve">, JSON logs), metric catalogue, SLIs/SLOs</w:t>
            </w:r>
            <w:r>
              <w:t xml:space="preserve"> </w:t>
            </w:r>
            <w:r>
              <w:rPr>
                <w:bCs/>
                <w:b/>
              </w:rPr>
              <w:t xml:space="preserve">SLO-01 – SLO-10</w:t>
            </w:r>
            <w:r>
              <w:t xml:space="preserve">, recording rules, dashboards D1–D7, Prometheus alert rules</w:t>
            </w:r>
            <w:r>
              <w:t xml:space="preserve"> </w:t>
            </w:r>
            <w:r>
              <w:rPr>
                <w:bCs/>
                <w:b/>
              </w:rPr>
              <w:t xml:space="preserve">ALR-xx</w:t>
            </w:r>
            <w:r>
              <w:t xml:space="preserve"> </w:t>
            </w:r>
            <w:r>
              <w:t xml:space="preserve">using the real metric names, business KPI alerts, log-based alerts, synthetic checks</w:t>
            </w:r>
            <w:r>
              <w:t xml:space="preserve"> </w:t>
            </w:r>
            <w:r>
              <w:rPr>
                <w:bCs/>
                <w:b/>
              </w:rPr>
              <w:t xml:space="preserve">SYN-01 – SYN-09</w:t>
            </w:r>
          </w:p>
        </w:tc>
        <w:tc>
          <w:tcPr/>
          <w:p>
            <w:pPr>
              <w:pStyle w:val="Compact"/>
              <w:jc w:val="left"/>
            </w:pPr>
            <w:r>
              <w:t xml:space="preserve">SRE, on-call, business owners</w:t>
            </w:r>
          </w:p>
        </w:tc>
      </w:tr>
      <w:tr>
        <w:tc>
          <w:tcPr/>
          <w:p>
            <w:pPr>
              <w:pStyle w:val="Compact"/>
              <w:jc w:val="left"/>
            </w:pPr>
            <w:hyperlink r:id="rId22">
              <w:r>
                <w:rPr>
                  <w:rStyle w:val="Hyperlink"/>
                </w:rPr>
                <w:t xml:space="preserve">dr-bcp.md</w:t>
              </w:r>
            </w:hyperlink>
          </w:p>
        </w:tc>
        <w:tc>
          <w:tcPr/>
          <w:p>
            <w:pPr>
              <w:pStyle w:val="Compact"/>
              <w:jc w:val="left"/>
            </w:pPr>
            <w:r>
              <w:t xml:space="preserve">Business impact analysis, RPO/RTO by tier, backups (PITR) and key escrow, DR topology (Hà Nội primary / TP.HCM warm standby, to be confirmed), failover/failback procedures FO-0/FO-1/FB-1/FO-2, DR tests</w:t>
            </w:r>
            <w:r>
              <w:t xml:space="preserve"> </w:t>
            </w:r>
            <w:r>
              <w:rPr>
                <w:bCs/>
                <w:b/>
              </w:rPr>
              <w:t xml:space="preserve">DR-T1 – DR-T7</w:t>
            </w:r>
            <w:r>
              <w:t xml:space="preserve"> </w:t>
            </w:r>
            <w:r>
              <w:t xml:space="preserve">and schedule, BCP for voice-vendor, telesales and partner outages, communication plan</w:t>
            </w:r>
          </w:p>
        </w:tc>
        <w:tc>
          <w:tcPr/>
          <w:p>
            <w:pPr>
              <w:pStyle w:val="Compact"/>
              <w:jc w:val="left"/>
            </w:pPr>
            <w:r>
              <w:t xml:space="preserve">TASCO IT, SRE, DBA, business continuity</w:t>
            </w:r>
          </w:p>
        </w:tc>
      </w:tr>
      <w:tr>
        <w:tc>
          <w:tcPr/>
          <w:p>
            <w:pPr>
              <w:pStyle w:val="Compact"/>
              <w:jc w:val="left"/>
            </w:pPr>
            <w:hyperlink r:id="rId23">
              <w:r>
                <w:rPr>
                  <w:rStyle w:val="Hyperlink"/>
                </w:rPr>
                <w:t xml:space="preserve">production-readiness-checklist.md</w:t>
              </w:r>
            </w:hyperlink>
          </w:p>
        </w:tc>
        <w:tc>
          <w:tcPr/>
          <w:p>
            <w:pPr>
              <w:pStyle w:val="Compact"/>
              <w:jc w:val="left"/>
            </w:pPr>
            <w:r>
              <w:t xml:space="preserve">Go-live checklist</w:t>
            </w:r>
            <w:r>
              <w:t xml:space="preserve"> </w:t>
            </w:r>
            <w:r>
              <w:rPr>
                <w:bCs/>
                <w:b/>
              </w:rPr>
              <w:t xml:space="preserve">PRC-xxx-nn</w:t>
            </w:r>
            <w:r>
              <w:t xml:space="preserve"> </w:t>
            </w:r>
            <w:r>
              <w:t xml:space="preserve">with owner and status across security, quality, performance, observability, DR, compliance and legal sign-offs (benefits</w:t>
            </w:r>
            <w:r>
              <w:t xml:space="preserve"> </w:t>
            </w:r>
            <w:r>
              <w:rPr>
                <w:rStyle w:val="VerbatimChar"/>
              </w:rPr>
              <w:t xml:space="preserve">pending_legal_review</w:t>
            </w:r>
            <w:r>
              <w:t xml:space="preserve">, Zalo template approvals, tariffs, commission caps, PDP), data migration and people</w:t>
            </w:r>
          </w:p>
        </w:tc>
        <w:tc>
          <w:tcPr/>
          <w:p>
            <w:pPr>
              <w:pStyle w:val="Compact"/>
              <w:jc w:val="left"/>
            </w:pPr>
            <w:r>
              <w:t xml:space="preserve">Delivery lead, SteerCo</w:t>
            </w:r>
          </w:p>
        </w:tc>
      </w:tr>
      <w:tr>
        <w:tc>
          <w:tcPr/>
          <w:p>
            <w:pPr>
              <w:pStyle w:val="Compact"/>
              <w:jc w:val="left"/>
            </w:pPr>
            <w:hyperlink r:id="rId24">
              <w:r>
                <w:rPr>
                  <w:rStyle w:val="Hyperlink"/>
                </w:rPr>
                <w:t xml:space="preserve">go-live-and-hypercare-plan.md</w:t>
              </w:r>
            </w:hyperlink>
          </w:p>
        </w:tc>
        <w:tc>
          <w:tcPr/>
          <w:p>
            <w:pPr>
              <w:pStyle w:val="Compact"/>
              <w:jc w:val="left"/>
            </w:pPr>
            <w:r>
              <w:t xml:space="preserve">Exposure levers (cohort, journey audience rules, product/channel switches), go/no-go criteria, T-minus cutover schedule to the pilot soft launch on 25 Jan 2027, pilot ramp around the Tết freeze, rollback levels R1–R6, hypercare (war room, daily KPI pack, exit criteria), transition to BAU</w:t>
            </w:r>
          </w:p>
        </w:tc>
        <w:tc>
          <w:tcPr/>
          <w:p>
            <w:pPr>
              <w:pStyle w:val="Compact"/>
              <w:jc w:val="left"/>
            </w:pPr>
            <w:r>
              <w:t xml:space="preserve">Cutover manager, SteerCo, war room</w:t>
            </w:r>
          </w:p>
        </w:tc>
      </w:tr>
      <w:tr>
        <w:tc>
          <w:tcPr/>
          <w:p>
            <w:pPr>
              <w:pStyle w:val="Compact"/>
              <w:jc w:val="left"/>
            </w:pPr>
            <w:hyperlink r:id="rId25">
              <w:r>
                <w:rPr>
                  <w:rStyle w:val="Hyperlink"/>
                </w:rPr>
                <w:t xml:space="preserve">release-and-change-management.md</w:t>
              </w:r>
            </w:hyperlink>
          </w:p>
        </w:tc>
        <w:tc>
          <w:tcPr/>
          <w:p>
            <w:pPr>
              <w:pStyle w:val="Compact"/>
              <w:jc w:val="left"/>
            </w:pPr>
            <w:r>
              <w:t xml:space="preserve">Code changes vs maker-checker rule changes, semver, trunk-based branching, CI/CD gates, CAB types, migration policy (never edit an applied migration; expand/contract), feature flags via rules, rule change procedure, release notes template, freeze calendar</w:t>
            </w:r>
          </w:p>
        </w:tc>
        <w:tc>
          <w:tcPr/>
          <w:p>
            <w:pPr>
              <w:pStyle w:val="Compact"/>
              <w:jc w:val="left"/>
            </w:pPr>
            <w:r>
              <w:t xml:space="preserve">Release manager, CAB, developers, rule authors</w:t>
            </w:r>
          </w:p>
        </w:tc>
      </w:tr>
    </w:tbl>
    <w:bookmarkStart w:id="28" w:name="X6a80508ae22c1c0a6083ad46a56cb1e26bde178"/>
    <w:p>
      <w:pPr>
        <w:pStyle w:val="Heading2"/>
      </w:pPr>
      <w:r>
        <w:t xml:space="preserve">Facts these documents rely on (from the code)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Area</w:t>
            </w:r>
          </w:p>
        </w:tc>
        <w:tc>
          <w:tcPr>
            <w:shd w:val="clear" w:color="auto" w:fill="213368"/>
          </w:tcPr>
          <w:p>
            <w:pPr>
              <w:pStyle w:val="Compact"/>
              <w:jc w:val="left"/>
            </w:pPr>
            <w:r>
              <w:rPr>
                <w:b/>
                <w:color w:val="FFFFFF"/>
              </w:rPr>
              <w:t xml:space="preserve">Fact</w:t>
            </w:r>
          </w:p>
        </w:tc>
      </w:tr>
      <w:tr>
        <w:tc>
          <w:tcPr/>
          <w:p>
            <w:pPr>
              <w:pStyle w:val="Compact"/>
              <w:jc w:val="left"/>
            </w:pPr>
            <w:r>
              <w:t xml:space="preserve">Probes</w:t>
            </w:r>
          </w:p>
        </w:tc>
        <w:tc>
          <w:tcPr/>
          <w:p>
            <w:pPr>
              <w:pStyle w:val="Compact"/>
              <w:jc w:val="left"/>
            </w:pPr>
            <w:r>
              <w:rPr>
                <w:rStyle w:val="VerbatimChar"/>
              </w:rPr>
              <w:t xml:space="preserve">GET /health/live</w:t>
            </w:r>
            <w:r>
              <w:t xml:space="preserve"> </w:t>
            </w:r>
            <w:r>
              <w:t xml:space="preserve">(process);</w:t>
            </w:r>
            <w:r>
              <w:t xml:space="preserve"> </w:t>
            </w:r>
            <w:r>
              <w:rPr>
                <w:rStyle w:val="VerbatimChar"/>
              </w:rPr>
              <w:t xml:space="preserve">GET /health/ready</w:t>
            </w:r>
            <w:r>
              <w:t xml:space="preserve"> </w:t>
            </w:r>
            <w:r>
              <w:t xml:space="preserve">→</w:t>
            </w:r>
            <w:r>
              <w:t xml:space="preserve"> </w:t>
            </w:r>
            <w:r>
              <w:rPr>
                <w:rStyle w:val="VerbatimChar"/>
              </w:rPr>
              <w:t xml:space="preserve">{status, store, db}</w:t>
            </w:r>
            <w:r>
              <w:t xml:space="preserve">, 503 when the DB ping fails or during shutdown</w:t>
            </w:r>
          </w:p>
        </w:tc>
      </w:tr>
      <w:tr>
        <w:tc>
          <w:tcPr/>
          <w:p>
            <w:pPr>
              <w:pStyle w:val="Compact"/>
              <w:jc w:val="left"/>
            </w:pPr>
            <w:r>
              <w:t xml:space="preserve">Ops API</w:t>
            </w:r>
          </w:p>
        </w:tc>
        <w:tc>
          <w:tcPr/>
          <w:p>
            <w:pPr>
              <w:pStyle w:val="Compact"/>
              <w:jc w:val="left"/>
            </w:pPr>
            <w:r>
              <w:rPr>
                <w:rStyle w:val="VerbatimChar"/>
              </w:rPr>
              <w:t xml:space="preserve">GET /api/ops/status</w:t>
            </w:r>
            <w:r>
              <w:t xml:space="preserve"> </w:t>
            </w:r>
            <w:r>
              <w:t xml:space="preserve">(circuits, active rule versions/checksums,</w:t>
            </w:r>
            <w:r>
              <w:t xml:space="preserve"> </w:t>
            </w:r>
            <w:r>
              <w:rPr>
                <w:rStyle w:val="VerbatimChar"/>
              </w:rPr>
              <w:t xml:space="preserve">eventBacklog</w:t>
            </w:r>
            <w:r>
              <w:t xml:space="preserve"> </w:t>
            </w:r>
            <w:r>
              <w:t xml:space="preserve">by status, audit count),</w:t>
            </w:r>
            <w:r>
              <w:t xml:space="preserve"> </w:t>
            </w:r>
            <w:r>
              <w:rPr>
                <w:rStyle w:val="VerbatimChar"/>
              </w:rPr>
              <w:t xml:space="preserve">GET /api/ops/jobs</w:t>
            </w:r>
            <w:r>
              <w:t xml:space="preserve">,</w:t>
            </w:r>
            <w:r>
              <w:t xml:space="preserve"> </w:t>
            </w:r>
            <w:r>
              <w:rPr>
                <w:rStyle w:val="VerbatimChar"/>
              </w:rPr>
              <w:t xml:space="preserve">POST /api/ops/jobs/{reconciliation|retention|relay}</w:t>
            </w:r>
          </w:p>
        </w:tc>
      </w:tr>
      <w:tr>
        <w:tc>
          <w:tcPr/>
          <w:p>
            <w:pPr>
              <w:pStyle w:val="Compact"/>
              <w:jc w:val="left"/>
            </w:pPr>
            <w:r>
              <w:t xml:space="preserve">Jobs (CLI)</w:t>
            </w:r>
          </w:p>
        </w:tc>
        <w:tc>
          <w:tcPr/>
          <w:p>
            <w:pPr>
              <w:pStyle w:val="Compact"/>
              <w:jc w:val="left"/>
            </w:pPr>
            <w:r>
              <w:rPr>
                <w:rStyle w:val="VerbatimChar"/>
              </w:rPr>
              <w:t xml:space="preserve">npm run job -- migrate|seed|rules|journeys|recompute|reconcile|retention|relay|openapi</w:t>
            </w:r>
            <w:r>
              <w:t xml:space="preserve"> </w:t>
            </w:r>
            <w:r>
              <w:t xml:space="preserve">(</w:t>
            </w:r>
            <w:r>
              <w:rPr>
                <w:rStyle w:val="VerbatimChar"/>
              </w:rPr>
              <w:t xml:space="preserve">seed</w:t>
            </w:r>
            <w:r>
              <w:t xml:space="preserve"> </w:t>
            </w:r>
            <w:r>
              <w:t xml:space="preserve">never in production: KI-01)</w:t>
            </w:r>
          </w:p>
        </w:tc>
      </w:tr>
      <w:tr>
        <w:tc>
          <w:tcPr/>
          <w:p>
            <w:pPr>
              <w:pStyle w:val="Compact"/>
              <w:jc w:val="left"/>
            </w:pPr>
            <w:r>
              <w:t xml:space="preserve">Breakers</w:t>
            </w:r>
          </w:p>
        </w:tc>
        <w:tc>
          <w:tcPr/>
          <w:p>
            <w:pPr>
              <w:pStyle w:val="Compact"/>
              <w:jc w:val="left"/>
            </w:pPr>
            <w:r>
              <w:rPr>
                <w:rStyle w:val="VerbatimChar"/>
              </w:rPr>
              <w:t xml:space="preserve">vetc-wallet</w:t>
            </w:r>
            <w:r>
              <w:t xml:space="preserve">,</w:t>
            </w:r>
            <w:r>
              <w:t xml:space="preserve"> </w:t>
            </w:r>
            <w:r>
              <w:rPr>
                <w:rStyle w:val="VerbatimChar"/>
              </w:rPr>
              <w:t xml:space="preserve">tasco-core</w:t>
            </w:r>
            <w:r>
              <w:t xml:space="preserve">,</w:t>
            </w:r>
            <w:r>
              <w:t xml:space="preserve"> </w:t>
            </w:r>
            <w:r>
              <w:rPr>
                <w:rStyle w:val="VerbatimChar"/>
              </w:rPr>
              <w:t xml:space="preserve">voice-ai</w:t>
            </w:r>
            <w:r>
              <w:t xml:space="preserve">,</w:t>
            </w:r>
            <w:r>
              <w:t xml:space="preserve"> </w:t>
            </w:r>
            <w:r>
              <w:rPr>
                <w:rStyle w:val="VerbatimChar"/>
              </w:rPr>
              <w:t xml:space="preserve">app-push</w:t>
            </w:r>
            <w:r>
              <w:t xml:space="preserve">,</w:t>
            </w:r>
            <w:r>
              <w:t xml:space="preserve"> </w:t>
            </w:r>
            <w:r>
              <w:rPr>
                <w:rStyle w:val="VerbatimChar"/>
              </w:rPr>
              <w:t xml:space="preserve">zalo-zns</w:t>
            </w:r>
            <w:r>
              <w:t xml:space="preserve">,</w:t>
            </w:r>
            <w:r>
              <w:t xml:space="preserve"> </w:t>
            </w:r>
            <w:r>
              <w:rPr>
                <w:rStyle w:val="VerbatimChar"/>
              </w:rPr>
              <w:t xml:space="preserve">sms</w:t>
            </w:r>
            <w:r>
              <w:t xml:space="preserve">: 5 failed calls → open 30 s; 5 s timeout, 2 retries (voice-ai 30 s, no retries)</w:t>
            </w:r>
          </w:p>
        </w:tc>
      </w:tr>
      <w:tr>
        <w:tc>
          <w:tcPr/>
          <w:p>
            <w:pPr>
              <w:pStyle w:val="Compact"/>
              <w:jc w:val="left"/>
            </w:pPr>
            <w:r>
              <w:t xml:space="preserve">Outbox</w:t>
            </w:r>
          </w:p>
        </w:tc>
        <w:tc>
          <w:tcPr/>
          <w:p>
            <w:pPr>
              <w:pStyle w:val="Compact"/>
              <w:jc w:val="left"/>
            </w:pPr>
            <w:r>
              <w:rPr>
                <w:rStyle w:val="VerbatimChar"/>
              </w:rPr>
              <w:t xml:space="preserve">domain_events</w:t>
            </w:r>
            <w:r>
              <w:t xml:space="preserve"> </w:t>
            </w:r>
            <w:r>
              <w:rPr>
                <w:rStyle w:val="VerbatimChar"/>
              </w:rPr>
              <w:t xml:space="preserve">pending → processing → done</w:t>
            </w:r>
            <w:r>
              <w:t xml:space="preserve">; 5 attempts →</w:t>
            </w:r>
            <w:r>
              <w:t xml:space="preserve"> </w:t>
            </w:r>
            <w:r>
              <w:rPr>
                <w:rStyle w:val="VerbatimChar"/>
              </w:rPr>
              <w:t xml:space="preserve">dead_letter</w:t>
            </w:r>
            <w:r>
              <w:t xml:space="preserve">; Postgres re-claims</w:t>
            </w:r>
            <w:r>
              <w:t xml:space="preserve"> </w:t>
            </w:r>
            <w:r>
              <w:rPr>
                <w:rStyle w:val="VerbatimChar"/>
              </w:rPr>
              <w:t xml:space="preserve">processing</w:t>
            </w:r>
            <w:r>
              <w:t xml:space="preserve"> </w:t>
            </w:r>
            <w:r>
              <w:t xml:space="preserve">after 5 min</w:t>
            </w:r>
          </w:p>
        </w:tc>
      </w:tr>
      <w:tr>
        <w:tc>
          <w:tcPr/>
          <w:p>
            <w:pPr>
              <w:pStyle w:val="Compact"/>
              <w:jc w:val="left"/>
            </w:pPr>
            <w:r>
              <w:t xml:space="preserve">Metrics</w:t>
            </w:r>
          </w:p>
        </w:tc>
        <w:tc>
          <w:tcPr/>
          <w:p>
            <w:pPr>
              <w:pStyle w:val="Compact"/>
              <w:jc w:val="left"/>
            </w:pPr>
            <w:r>
              <w:rPr>
                <w:rStyle w:val="VerbatimChar"/>
              </w:rPr>
              <w:t xml:space="preserve">http_requests_total</w:t>
            </w:r>
            <w:r>
              <w:t xml:space="preserve">,</w:t>
            </w:r>
            <w:r>
              <w:t xml:space="preserve"> </w:t>
            </w:r>
            <w:r>
              <w:rPr>
                <w:rStyle w:val="VerbatimChar"/>
              </w:rPr>
              <w:t xml:space="preserve">http_request_duration_seconds</w:t>
            </w:r>
            <w:r>
              <w:t xml:space="preserve">,</w:t>
            </w:r>
            <w:r>
              <w:t xml:space="preserve"> </w:t>
            </w:r>
            <w:r>
              <w:rPr>
                <w:rStyle w:val="VerbatimChar"/>
              </w:rPr>
              <w:t xml:space="preserve">integration_calls_total</w:t>
            </w:r>
            <w:r>
              <w:t xml:space="preserve">,</w:t>
            </w:r>
            <w:r>
              <w:t xml:space="preserve"> </w:t>
            </w:r>
            <w:r>
              <w:rPr>
                <w:rStyle w:val="VerbatimChar"/>
              </w:rPr>
              <w:t xml:space="preserve">integration_short_circuit_total</w:t>
            </w:r>
            <w:r>
              <w:t xml:space="preserve">,</w:t>
            </w:r>
            <w:r>
              <w:t xml:space="preserve"> </w:t>
            </w:r>
            <w:r>
              <w:rPr>
                <w:rStyle w:val="VerbatimChar"/>
              </w:rPr>
              <w:t xml:space="preserve">events_published_total</w:t>
            </w:r>
            <w:r>
              <w:t xml:space="preserve">,</w:t>
            </w:r>
            <w:r>
              <w:t xml:space="preserve"> </w:t>
            </w:r>
            <w:r>
              <w:rPr>
                <w:rStyle w:val="VerbatimChar"/>
              </w:rPr>
              <w:t xml:space="preserve">events_processed_total</w:t>
            </w:r>
            <w:r>
              <w:t xml:space="preserve">,</w:t>
            </w:r>
            <w:r>
              <w:t xml:space="preserve"> </w:t>
            </w:r>
            <w:r>
              <w:rPr>
                <w:rStyle w:val="VerbatimChar"/>
              </w:rPr>
              <w:t xml:space="preserve">messages_total</w:t>
            </w:r>
            <w:r>
              <w:t xml:space="preserve">,</w:t>
            </w:r>
            <w:r>
              <w:t xml:space="preserve"> </w:t>
            </w:r>
            <w:r>
              <w:rPr>
                <w:rStyle w:val="VerbatimChar"/>
              </w:rPr>
              <w:t xml:space="preserve">voice_calls_total</w:t>
            </w:r>
            <w:r>
              <w:t xml:space="preserve">,</w:t>
            </w:r>
            <w:r>
              <w:t xml:space="preserve"> </w:t>
            </w:r>
            <w:r>
              <w:rPr>
                <w:rStyle w:val="VerbatimChar"/>
              </w:rPr>
              <w:t xml:space="preserve">quotes_total</w:t>
            </w:r>
            <w:r>
              <w:t xml:space="preserve">,</w:t>
            </w:r>
            <w:r>
              <w:t xml:space="preserve"> </w:t>
            </w:r>
            <w:r>
              <w:rPr>
                <w:rStyle w:val="VerbatimChar"/>
              </w:rPr>
              <w:t xml:space="preserve">orders_completed_total</w:t>
            </w:r>
            <w:r>
              <w:t xml:space="preserve">,</w:t>
            </w:r>
            <w:r>
              <w:t xml:space="preserve"> </w:t>
            </w:r>
            <w:r>
              <w:rPr>
                <w:rStyle w:val="VerbatimChar"/>
              </w:rPr>
              <w:t xml:space="preserve">process_resident_memory_bytes</w:t>
            </w:r>
            <w:r>
              <w:t xml:space="preserve">,</w:t>
            </w:r>
            <w:r>
              <w:t xml:space="preserve"> </w:t>
            </w:r>
            <w:r>
              <w:rPr>
                <w:rStyle w:val="VerbatimChar"/>
              </w:rPr>
              <w:t xml:space="preserve">process_uptime_seconds</w:t>
            </w:r>
          </w:p>
        </w:tc>
      </w:tr>
      <w:tr>
        <w:tc>
          <w:tcPr/>
          <w:p>
            <w:pPr>
              <w:pStyle w:val="Compact"/>
              <w:jc w:val="left"/>
            </w:pPr>
            <w:r>
              <w:t xml:space="preserve">Shutdown</w:t>
            </w:r>
          </w:p>
        </w:tc>
        <w:tc>
          <w:tcPr/>
          <w:p>
            <w:pPr>
              <w:pStyle w:val="Compact"/>
              <w:jc w:val="left"/>
            </w:pPr>
            <w:r>
              <w:rPr>
                <w:rStyle w:val="VerbatimChar"/>
              </w:rPr>
              <w:t xml:space="preserve">SIGTERM</w:t>
            </w:r>
            <w:r>
              <w:t xml:space="preserve"> </w:t>
            </w:r>
            <w:r>
              <w:t xml:space="preserve">→ readiness false → drain → exit ≤ 25 s</w:t>
            </w:r>
          </w:p>
        </w:tc>
      </w:tr>
      <w:tr>
        <w:tc>
          <w:tcPr/>
          <w:p>
            <w:pPr>
              <w:pStyle w:val="Compact"/>
              <w:jc w:val="left"/>
            </w:pPr>
            <w:r>
              <w:t xml:space="preserve">Contact window</w:t>
            </w:r>
          </w:p>
        </w:tc>
        <w:tc>
          <w:tcPr/>
          <w:p>
            <w:pPr>
              <w:pStyle w:val="Compact"/>
              <w:jc w:val="left"/>
            </w:pPr>
            <w:r>
              <w:t xml:space="preserve">Marketing only 08:00–20:00 ICT (</w:t>
            </w:r>
            <w:r>
              <w:rPr>
                <w:rStyle w:val="VerbatimChar"/>
              </w:rPr>
              <w:t xml:space="preserve">contact_policy</w:t>
            </w:r>
            <w:r>
              <w:t xml:space="preserve">); run journeys at 08:30 ICT = 01:30 UTC</w:t>
            </w:r>
          </w:p>
        </w:tc>
      </w:tr>
    </w:tbl>
    <w:p>
      <w:pPr>
        <w:pStyle w:val="BodyText"/>
      </w:pPr>
      <w:r>
        <w:t xml:space="preserve">Known issues referenced as</w:t>
      </w:r>
      <w:r>
        <w:t xml:space="preserve"> </w:t>
      </w:r>
      <w:r>
        <w:rPr>
          <w:bCs/>
          <w:b/>
        </w:rPr>
        <w:t xml:space="preserve">KI-xx</w:t>
      </w:r>
      <w:r>
        <w:t xml:space="preserve"> </w:t>
      </w:r>
      <w:r>
        <w:t xml:space="preserve">are listed in the</w:t>
      </w:r>
      <w:r>
        <w:t xml:space="preserve"> </w:t>
      </w:r>
      <w:hyperlink r:id="rId26">
        <w:r>
          <w:rPr>
            <w:rStyle w:val="Hyperlink"/>
          </w:rPr>
          <w:t xml:space="preserve">test strategy, Appendix A</w:t>
        </w:r>
      </w:hyperlink>
      <w:r>
        <w:t xml:space="preserve">. Quality documents are indexed in</w:t>
      </w:r>
      <w:r>
        <w:t xml:space="preserve"> </w:t>
      </w:r>
      <w:hyperlink r:id="rId27">
        <w:r>
          <w:rPr>
            <w:rStyle w:val="Hyperlink"/>
          </w:rPr>
          <w:t xml:space="preserve">../quality/README.md</w:t>
        </w:r>
      </w:hyperlink>
      <w:r>
        <w:t xml:space="preserve">.</w:t>
      </w:r>
    </w:p>
    <w:p>
      <w:pPr>
        <w:pStyle w:val="BlockText"/>
      </w:pPr>
      <w:r>
        <w:rPr>
          <w:bCs/>
          <w:b/>
        </w:rPr>
        <w:t xml:space="preserve">Sandbox vs production:</w:t>
      </w:r>
      <w:r>
        <w:t xml:space="preserve"> </w:t>
      </w:r>
      <w:r>
        <w:t xml:space="preserve">the repository's outbound adapters (VETC wallet, TASCO core, Zalo ZNS, SMS, push, voice) are sandboxes. Partner contacts, DR egress allow-lists, hosting regions and Zalo template IDs are placeholders until the interface agreements are signed and are tracked in the readiness checklist.</w:t>
      </w:r>
    </w:p>
    <w:bookmarkEnd w:id="28"/>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21A33"/>
      <w:sz w:val="21"/>
    </w:rPr>
  </w:style>
  <w:style w:styleId="BodyText" w:type="paragraph">
    <w:name w:val="Body Text"/>
    <w:basedOn w:val="Normal"/>
    <w:link w:val="BodyTextChar"/>
    <w:pPr>
      <w:spacing w:after="180" w:before="180"/>
    </w:pPr>
    <w:qFormat/>
    <w:rPr>
      <w:rFonts w:ascii="Arial" w:cs="Arial" w:eastAsia="Arial" w:hAnsi="Arial"/>
      <w:color w:val="121A33"/>
      <w:sz w:val="21"/>
    </w:rPr>
  </w:style>
  <w:style w:customStyle="1" w:styleId="FirstParagraph" w:type="paragraph">
    <w:name w:val="First Paragraph"/>
    <w:basedOn w:val="BodyText"/>
    <w:next w:val="BodyText"/>
    <w:qFormat/>
    <w:rPr>
      <w:rFonts w:ascii="Arial" w:cs="Arial" w:eastAsia="Arial" w:hAnsi="Arial"/>
      <w:color w:val="121A33"/>
      <w:sz w:val="21"/>
    </w:rPr>
  </w:style>
  <w:style w:customStyle="1" w:styleId="Compact" w:type="paragraph">
    <w:name w:val="Compact"/>
    <w:basedOn w:val="BodyText"/>
    <w:qFormat/>
    <w:pPr>
      <w:spacing w:after="36" w:before="36"/>
    </w:pPr>
    <w:rPr>
      <w:rFonts w:ascii="Arial" w:cs="Arial" w:eastAsia="Arial" w:hAnsi="Arial"/>
      <w:color w:val="121A33"/>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213368"/>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21A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quality/00-index.docx" TargetMode="External"/><Relationship Id="rId26" Type="http://schemas.openxmlformats.org/officeDocument/2006/relationships/hyperlink" Target="../quality/test-strategy.docx" TargetMode="External"/><Relationship Id="rId22" Type="http://schemas.openxmlformats.org/officeDocument/2006/relationships/hyperlink" Target="dr-bcp.docx" TargetMode="External"/><Relationship Id="rId24" Type="http://schemas.openxmlformats.org/officeDocument/2006/relationships/hyperlink" Target="go-live-and-hypercare-plan.docx" TargetMode="External"/><Relationship Id="rId21" Type="http://schemas.openxmlformats.org/officeDocument/2006/relationships/hyperlink" Target="monitoring-and-alerting.docx" TargetMode="External"/><Relationship Id="rId23" Type="http://schemas.openxmlformats.org/officeDocument/2006/relationships/hyperlink" Target="production-readiness-checklist.docx" TargetMode="External"/><Relationship Id="rId25" Type="http://schemas.openxmlformats.org/officeDocument/2006/relationships/hyperlink" Target="release-and-change-management.docx" TargetMode="External"/><Relationship Id="rId20" Type="http://schemas.openxmlformats.org/officeDocument/2006/relationships/hyperlink" Target="runbook-and-support-guide.docx"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quality/00-index.docx" TargetMode="External"/><Relationship Id="rId26" Type="http://schemas.openxmlformats.org/officeDocument/2006/relationships/hyperlink" Target="../quality/test-strategy.docx" TargetMode="External"/><Relationship Id="rId22" Type="http://schemas.openxmlformats.org/officeDocument/2006/relationships/hyperlink" Target="dr-bcp.docx" TargetMode="External"/><Relationship Id="rId24" Type="http://schemas.openxmlformats.org/officeDocument/2006/relationships/hyperlink" Target="go-live-and-hypercare-plan.docx" TargetMode="External"/><Relationship Id="rId21" Type="http://schemas.openxmlformats.org/officeDocument/2006/relationships/hyperlink" Target="monitoring-and-alerting.docx" TargetMode="External"/><Relationship Id="rId23" Type="http://schemas.openxmlformats.org/officeDocument/2006/relationships/hyperlink" Target="production-readiness-checklist.docx" TargetMode="External"/><Relationship Id="rId25" Type="http://schemas.openxmlformats.org/officeDocument/2006/relationships/hyperlink" Target="release-and-change-management.docx" TargetMode="External"/><Relationship Id="rId20" Type="http://schemas.openxmlformats.org/officeDocument/2006/relationships/hyperlink" Target="runbook-and-support-guid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 TASCO Growth Platform</dc:title>
  <dc:creator>iorta TechNXT</dc:creator>
  <cp:keywords/>
  <dcterms:created xsi:type="dcterms:W3CDTF">2026-10-07T17:45:27Z</dcterms:created>
  <dcterms:modified xsi:type="dcterms:W3CDTF">2026-10-07T17:45:27Z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Operations</vt:lpwstr>
  </property>
</Properties>
</file>