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Production Readiness Checklist — TASCO Growth Platform</w:t>
      </w:r>
    </w:p>
    <w:p>
      <w:pPr>
        <w:pStyle w:val="Subtitle"/>
      </w:pPr>
      <w:r>
        <w:t xml:space="preserve">TASCO Insurance × VETC Growth Platform — Operations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G3 Go / No-go for pilot (22 Jan 2027)</w:t>
            </w:r>
            <w:r>
              <w:t xml:space="preserve">; re-run before</w:t>
            </w:r>
            <w:r>
              <w:t xml:space="preserve"> </w:t>
            </w:r>
            <w:r>
              <w:rPr>
                <w:bCs/>
                <w:b/>
              </w:rPr>
              <w:t xml:space="preserve">W1 nationwide (29 Mar 2027)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W2 partner API (26 Apr 2027)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iorta TechNXT Delivery Lead (compiles); TASCO IT Head (accepts)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started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 progress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(evidence linked) ·</w:t>
            </w:r>
            <w:r>
              <w:t xml:space="preserve"> </w:t>
            </w:r>
            <w:r>
              <w:rPr>
                <w:rStyle w:val="VerbatimChar"/>
              </w:rPr>
              <w:t xml:space="preserve">Waived</w:t>
            </w:r>
            <w:r>
              <w:t xml:space="preserve"> </w:t>
            </w:r>
            <w:r>
              <w:t xml:space="preserve">(approver + expiry) ·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rPr>
                <w:bCs/>
                <w:b/>
              </w:rPr>
              <w:t xml:space="preserve">P1</w:t>
            </w:r>
            <w:r>
              <w:t xml:space="preserve"> </w:t>
            </w:r>
            <w:r>
              <w:t xml:space="preserve">item must be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Waived</w:t>
            </w:r>
            <w:r>
              <w:t xml:space="preserve"> </w:t>
            </w:r>
            <w:r>
              <w:t xml:space="preserve">by the SteerCo for go-live. A waiver needs a named approver, a reason, compensating controls and an expiry date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column records the state at document creation (code review on 2026-10-07). Items blocked by a known issue cite the KI ID (</w:t>
      </w:r>
      <w:hyperlink r:id="rId20">
        <w:r>
          <w:rPr>
            <w:rStyle w:val="Hyperlink"/>
          </w:rPr>
          <w:t xml:space="preserve">register</w:t>
        </w:r>
      </w:hyperlink>
      <w:r>
        <w:t xml:space="preserve">). Update this table in place at each readiness review.</w:t>
      </w:r>
    </w:p>
    <w:p>
      <w:r>
        <w:pict>
          <v:rect style="width:0;height:1.5pt" o:hralign="center" o:hrstd="t" o:hr="t"/>
        </w:pict>
      </w:r>
    </w:p>
    <w:bookmarkStart w:id="21" w:name="Xf55877120281e78919bc0f02753f6d70c1c3546"/>
    <w:p>
      <w:pPr>
        <w:pStyle w:val="Heading2"/>
      </w:pPr>
      <w:r>
        <w:t xml:space="preserve">1. Security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Evidence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secrets in vault/KMS, injected via</w:t>
            </w:r>
            <w:r>
              <w:t xml:space="preserve"> </w:t>
            </w:r>
            <w:r>
              <w:rPr>
                <w:rStyle w:val="VerbatimChar"/>
              </w:rPr>
              <w:t xml:space="preserve">&lt;NAME&gt;_FILE</w:t>
            </w:r>
            <w:r>
              <w:t xml:space="preserve">; none in env files, images or git (gitleaks clean)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inventory, gitleaks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NODE_ENV=production</w:t>
            </w:r>
            <w:r>
              <w:t xml:space="preserve">; boot refuses missing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DATA_KEYS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BLIND_INDEX_KEY</w:t>
            </w:r>
            <w:r>
              <w:t xml:space="preserve"> </w:t>
            </w:r>
            <w:r>
              <w:t xml:space="preserve">(verified by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 config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DEMO_MODE=false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ALLOW_DEMO_IN_PRODUCTION</w:t>
            </w:r>
            <w:r>
              <w:t xml:space="preserve"> </w:t>
            </w:r>
            <w:r>
              <w:t xml:space="preserve">unset;</w:t>
            </w:r>
            <w:r>
              <w:t xml:space="preserve"> </w:t>
            </w:r>
            <w:r>
              <w:rPr>
                <w:rStyle w:val="VerbatimChar"/>
              </w:rPr>
              <w:t xml:space="preserve">/api/demo/totp/*</w:t>
            </w:r>
            <w:r>
              <w:t xml:space="preserve"> </w:t>
            </w:r>
            <w:r>
              <w:t xml:space="preserve">→ 404 (SYN-06)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npm run job -- seed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cannot run against PROD</w:t>
            </w:r>
            <w:r>
              <w:t xml:space="preserve"> </w:t>
            </w:r>
            <w:r>
              <w:t xml:space="preserve">(KI-01 fixed, or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  <w:r>
              <w:t xml:space="preserve"> </w:t>
            </w:r>
            <w:r>
              <w:t xml:space="preserve">excluded from PROD manifests and RBAC denies</w:t>
            </w:r>
            <w:r>
              <w:t xml:space="preserve"> </w:t>
            </w:r>
            <w:r>
              <w:rPr>
                <w:rStyle w:val="VerbatimChar"/>
              </w:rPr>
              <w:t xml:space="preserve">kubectl exec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PR / manifest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(KI-01)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demo users in the PROD DB (</w:t>
            </w:r>
            <w:r>
              <w:rPr>
                <w:rStyle w:val="VerbatimChar"/>
              </w:rPr>
              <w:t xml:space="preserve">GET /api/users</w:t>
            </w:r>
            <w:r>
              <w:t xml:space="preserve"> </w:t>
            </w:r>
            <w:r>
              <w:t xml:space="preserve">shows no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agent.hn</w:t>
            </w:r>
            <w:r>
              <w:t xml:space="preserve">… with the demo password); named accounts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enforced for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rule_approver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compliance_officer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data_steward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MFA_REQUIRED_ROLES</w:t>
            </w:r>
            <w:r>
              <w:t xml:space="preserve">) with self-enrolment; lockout across both factors and TOTP replay protection (KI-06 fixed); separation-of-duties pairs in</w:t>
            </w:r>
            <w:r>
              <w:t xml:space="preserve"> </w:t>
            </w:r>
            <w:r>
              <w:rPr>
                <w:rStyle w:val="VerbatimChar"/>
              </w:rPr>
              <w:t xml:space="preserve">rbac.json</w:t>
            </w:r>
            <w:r>
              <w:t xml:space="preserve"> </w:t>
            </w:r>
            <w:r>
              <w:t xml:space="preserve">reviewed by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TC-010, TC-020, TC-027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at the gateway/WAF in front of the in-process limiter (multi-replica, KI-07);</w:t>
            </w:r>
            <w:r>
              <w:t xml:space="preserve"> </w:t>
            </w:r>
            <w:r>
              <w:rPr>
                <w:rStyle w:val="VerbatimChar"/>
              </w:rPr>
              <w:t xml:space="preserve">TRUST_PROXY=true</w:t>
            </w:r>
            <w:r>
              <w:t xml:space="preserve"> </w:t>
            </w:r>
            <w:r>
              <w:t xml:space="preserve">with the real client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penetration test: no open critical/high; mediums with a dated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Pen-test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security gates green on the release tag: CodeQL,</w:t>
            </w:r>
            <w:r>
              <w:t xml:space="preserve"> </w:t>
            </w:r>
            <w:r>
              <w:rPr>
                <w:rStyle w:val="VerbatimChar"/>
              </w:rPr>
              <w:t xml:space="preserve">npm run audit</w:t>
            </w:r>
            <w:r>
              <w:t xml:space="preserve">, gitleaks, Trivy (no critical/high), ZAP baseline (no high), SBOM attached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run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METRICS_TOKEN</w:t>
            </w:r>
            <w:r>
              <w:t xml:space="preserve"> </w:t>
            </w:r>
            <w:r>
              <w:t xml:space="preserve">set;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not reachable from the internet (KI-14); NetworkPolicy allows only 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from outside → 401/404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  <w:r>
              <w:t xml:space="preserve"> </w:t>
            </w:r>
            <w:r>
              <w:t xml:space="preserve">set to the exact console/app 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everywhere: ingress certificate valid, HSTS (production),</w:t>
            </w:r>
            <w:r>
              <w:t xml:space="preserve"> </w:t>
            </w:r>
            <w:r>
              <w:rPr>
                <w:rStyle w:val="VerbatimChar"/>
              </w:rPr>
              <w:t xml:space="preserve">DATABASE_SSL=true</w:t>
            </w:r>
            <w:r>
              <w:t xml:space="preserve"> </w:t>
            </w:r>
            <w:r>
              <w:t xml:space="preserve">with a CA-verified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Labs grade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roles: app role with no DDL at runtime and not the table owner (migration Job uses a separate role);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immutability triggers enabled (migrations 001/002) and no UPDATE/DELETE/TRUNCATE grant for the app role; pgaudit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+</w:t>
            </w:r>
            <w:r>
              <w:t xml:space="preserve"> </w:t>
            </w:r>
            <w:r>
              <w:rPr>
                <w:rStyle w:val="VerbatimChar"/>
              </w:rPr>
              <w:t xml:space="preserve">pg_trigger</w:t>
            </w:r>
            <w:r>
              <w:t xml:space="preserve"> </w:t>
            </w: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review of staff roles and regions signed by line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IT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unlock / MFA reset procedure agreed (SOP-08) or KI-27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(KI-27)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PRC-SEC-16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links expire (</w:t>
            </w:r>
            <w:r>
              <w:rPr>
                <w:rStyle w:val="VerbatimChar"/>
              </w:rPr>
              <w:t xml:space="preserve">LINK_TTL_DAYS</w:t>
            </w:r>
            <w:r>
              <w:t xml:space="preserve">, done); separate link key from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(KI-08) or accept the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PR / risk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 (KI-08)</w:t>
            </w:r>
          </w:p>
        </w:tc>
      </w:tr>
    </w:tbl>
    <w:bookmarkEnd w:id="21"/>
    <w:bookmarkStart w:id="23" w:name="Xd0b7001f356f2ae71a37fd6b420770f083a32c5"/>
    <w:p>
      <w:pPr>
        <w:pStyle w:val="Heading2"/>
      </w:pPr>
      <w:r>
        <w:t xml:space="preserve">2. Functional and quality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Evidence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PRC-FUNC-01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signed off (all personas; compliance scenarios without waiver)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Business Owner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UAT sign-off sheet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PRC-FUNC-02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 passed with VETC wallet/SSO/app/events, TASCO core, Zalo ZNS, SMS, voice vendor (TC-150 – TC-155, TC-161)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(production adapters 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PRC-FUNC-03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gate (≥ 80/80/70 %) and all automated suites green on the release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PRC-FUNC-04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Front-end pages present in the release image: staff console (</w:t>
            </w:r>
            <w:r>
              <w:rPr>
                <w:rStyle w:val="VerbatimChar"/>
              </w:rPr>
              <w:t xml:space="preserve">index.html</w:t>
            </w:r>
            <w:r>
              <w:t xml:space="preserve">), customer app (</w:t>
            </w:r>
            <w:r>
              <w:rPr>
                <w:rStyle w:val="VerbatimChar"/>
              </w:rPr>
              <w:t xml:space="preserve">/app/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/verify/&lt;certNo&gt;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verify.html</w:t>
            </w:r>
            <w:r>
              <w:t xml:space="preserve">); SYN-09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 (pages added by UX workstream; KI-15 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PRC-FUNC-05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 1 known issues fixed: KI-01, KI-02, KI-28 (KI-09 fixed: keep TC-135 green)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PRs + regression TCs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PRC-FUNC-06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 2 known issues fixed or waived with a date: KI-03, KI-04, KI-05, KI-13, KI-18, KI-25, KI-33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lead /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PRC-FUNC-07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document published to partners and matching the release (TC-133)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docs/api/openapi.json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PRC-FUNC-08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Accessibility: axe 0 serious/critical; manual screen-reader pass on the renewal flow (TC-144, TC-145)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</w:tbl>
    <w:bookmarkEnd w:id="23"/>
    <w:bookmarkStart w:id="24" w:name="X1ce50cedf908d5d1cd532dfacaa7675aba901f7"/>
    <w:p>
      <w:pPr>
        <w:pStyle w:val="Heading2"/>
      </w:pPr>
      <w:r>
        <w:t xml:space="preserve">3. Performance and capacity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Evidence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PRC-PERF-01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PERF-S1 mixed load at the pilot design point (and 300 RPS before W1) meets the SLOs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PRC-PERF-02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Volume: pilot cohort (100–200 k) loaded and reconciled; 6 M volume test before 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 +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PERF-S7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PRC-PERF-03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journey run completes inside the window at pilot volume; extra runs scheduled until KI-05 is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+ 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(KI-05)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PRC-PERF-04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Soak 12 h with no leak (24 h before W1)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PERF-S11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PRC-PERF-05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HPA, PDB, resource requests/limits configured per the capacity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 (deploy assets)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PRC-PERF-06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PgBouncer or connection budget: replicas ×</w:t>
            </w:r>
            <w:r>
              <w:t xml:space="preserve"> </w:t>
            </w:r>
            <w:r>
              <w:rPr>
                <w:rStyle w:val="VerbatimChar"/>
              </w:rPr>
              <w:t xml:space="preserve">DB_POOL_MAX</w:t>
            </w:r>
            <w:r>
              <w:t xml:space="preserve"> </w:t>
            </w:r>
            <w:r>
              <w:t xml:space="preserve">&lt; 70 % of</w:t>
            </w:r>
            <w:r>
              <w:t xml:space="preserve"> </w:t>
            </w:r>
            <w:r>
              <w:rPr>
                <w:rStyle w:val="VerbatimChar"/>
              </w:rPr>
              <w:t xml:space="preserve">max_connections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</w:tbl>
    <w:bookmarkEnd w:id="24"/>
    <w:bookmarkStart w:id="25" w:name="Xddc0c11c1b433cf9a0283b95ae6f9a4a6b84713"/>
    <w:p>
      <w:pPr>
        <w:pStyle w:val="Heading2"/>
      </w:pPr>
      <w:r>
        <w:t xml:space="preserve">4. Observability and operations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Evidence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PRC-OPS-01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scraping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; dashboards D1–D7 live; alert rules ALR-xx loaded and</w:t>
            </w:r>
            <w:r>
              <w:t xml:space="preserve"> </w:t>
            </w:r>
            <w:r>
              <w:rPr>
                <w:rStyle w:val="VerbatimChar"/>
              </w:rPr>
              <w:t xml:space="preserve">promtool</w:t>
            </w:r>
            <w:r>
              <w:t xml:space="preserve">-tested; routes to on-call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PRC-OPS-02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/health/ready</w:t>
            </w:r>
            <w:r>
              <w:t xml:space="preserve"> </w:t>
            </w:r>
            <w:r>
              <w:t xml:space="preserve">used for readiness and</w:t>
            </w:r>
            <w:r>
              <w:t xml:space="preserve"> </w:t>
            </w:r>
            <w:r>
              <w:rPr>
                <w:rStyle w:val="VerbatimChar"/>
              </w:rPr>
              <w:t xml:space="preserve">/health/live</w:t>
            </w:r>
            <w:r>
              <w:t xml:space="preserve"> </w:t>
            </w:r>
            <w:r>
              <w:t xml:space="preserve">for liveness;</w:t>
            </w:r>
            <w:r>
              <w:t xml:space="preserve"> </w:t>
            </w:r>
            <w:r>
              <w:rPr>
                <w:bCs/>
                <w:b/>
              </w:rPr>
              <w:t xml:space="preserve">readiness shows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store:"postgres"</w:t>
            </w:r>
            <w:r>
              <w:t xml:space="preserve"> </w:t>
            </w:r>
            <w:r>
              <w:t xml:space="preserve">(KI-28 guard);</w:t>
            </w:r>
            <w:r>
              <w:t xml:space="preserve"> </w:t>
            </w:r>
            <w:r>
              <w:rPr>
                <w:rStyle w:val="VerbatimChar"/>
              </w:rPr>
              <w:t xml:space="preserve">terminationGracePeriodSeconds</w:t>
            </w:r>
            <w:r>
              <w:t xml:space="preserve"> </w:t>
            </w:r>
            <w:r>
              <w:t xml:space="preserve">≥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+ SYN-01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(KI-28)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PRC-OPS-03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shipped and searchable by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; retention ≥ 90 days; no PII in logs (LOG-07 clean)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query 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PRC-OPS-04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CronJobs deployed: journeys</w:t>
            </w:r>
            <w:r>
              <w:t xml:space="preserve"> </w:t>
            </w:r>
            <w:r>
              <w:rPr>
                <w:bCs/>
                <w:b/>
              </w:rPr>
              <w:t xml:space="preserve">01:30 UTC</w:t>
            </w:r>
            <w:r>
              <w:t xml:space="preserve"> </w:t>
            </w:r>
            <w:r>
              <w:t xml:space="preserve">(08:30 ICT), relay, reconcile, retention, weekly recompute;</w:t>
            </w:r>
            <w:r>
              <w:t xml:space="preserve"> </w:t>
            </w:r>
            <w:r>
              <w:rPr>
                <w:rStyle w:val="VerbatimChar"/>
              </w:rPr>
              <w:t xml:space="preserve">concurrencyPolicy: Forbid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seed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CronJob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PRC-OPS-05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Job runs before rollout;</w:t>
            </w:r>
            <w:r>
              <w:t xml:space="preserve"> </w:t>
            </w:r>
            <w:r>
              <w:rPr>
                <w:rStyle w:val="VerbatimChar"/>
              </w:rPr>
              <w:t xml:space="preserve">MIGRATE_ON_START=false</w:t>
            </w:r>
            <w:r>
              <w:t xml:space="preserve"> </w:t>
            </w:r>
            <w:r>
              <w:t xml:space="preserve">in Kubernetes (concurrent migrators are serialised by an advisory lock anyway, KI-30 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PRC-OPS-06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exporter metrics (</w:t>
            </w:r>
            <w:r>
              <w:rPr>
                <w:rStyle w:val="VerbatimChar"/>
              </w:rPr>
              <w:t xml:space="preserve">tasco_db_*</w:t>
            </w:r>
            <w:r>
              <w:t xml:space="preserve">) for the outbox backlog, journey backlog, open handoffs and order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PRC-OPS-07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 RB-01 – RB-15 and SOP-01 – SOP-09 walked through by L2 (tabletop)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+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PRC-OPS-08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On-call rota live (L2 + L3 hypercare); paging tested end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PRC-OPS-09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ITSM categories, severity matrix, SLAs configured; KEDB seeded (runbook 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PRC-OPS-10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checks SYN-01 – SYN-09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PRC-OPS-11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Dead-letter/stuck-event recovery tool (KI-03) or the SQL procedure in RB-06 approved by the 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lead / 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(KI-03)</w:t>
            </w:r>
          </w:p>
        </w:tc>
      </w:tr>
    </w:tbl>
    <w:bookmarkEnd w:id="25"/>
    <w:bookmarkStart w:id="26" w:name="Xdb058a910b6f2fa657ba9c16c17c0862b875f47"/>
    <w:p>
      <w:pPr>
        <w:pStyle w:val="Heading2"/>
      </w:pPr>
      <w:r>
        <w:t xml:space="preserve">5. Resilience and DR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Evidence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PRC-DR-01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PITR enabled, 35-day retention, cross-region copy; backup alert ALR-93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PRC-DR-02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DR-T1 restore test passed (≤ 60 min, RPO ≤ 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PRC-DR-03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DR-T2 AZ failover passed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PRC-DR-04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egress IPs allow-listed by VETC wallet, TASCO core, SMS, Zalo, voice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PRC-DR-05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escrow and recovery drill (DR-T5): all</w:t>
            </w:r>
            <w:r>
              <w:t xml:space="preserve"> </w:t>
            </w:r>
            <w:r>
              <w:rPr>
                <w:rStyle w:val="VerbatimChar"/>
              </w:rPr>
              <w:t xml:space="preserve">DATA_KEYS</w:t>
            </w:r>
            <w:r>
              <w:t xml:space="preserve"> </w:t>
            </w:r>
            <w:r>
              <w:t xml:space="preserve">IDs +</w:t>
            </w:r>
            <w:r>
              <w:t xml:space="preserve"> </w:t>
            </w:r>
            <w:r>
              <w:rPr>
                <w:rStyle w:val="VerbatimChar"/>
              </w:rPr>
              <w:t xml:space="preserve">BLIND_INDEX_KEY</w:t>
            </w:r>
            <w:r>
              <w:t xml:space="preserve"> </w:t>
            </w:r>
            <w:r>
              <w:t xml:space="preserve">recoverable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Drill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PRC-DR-06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Circuit-breaker behaviour verified per integration (TC-079, TC-140)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PRC-DR-07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outage BCP tabletop (DR-T6)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/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</w:tbl>
    <w:bookmarkEnd w:id="26"/>
    <w:bookmarkStart w:id="27" w:name="X98856d4440fbdb6697f968e9047c2960863ad7f"/>
    <w:p>
      <w:pPr>
        <w:pStyle w:val="Heading2"/>
      </w:pPr>
      <w:r>
        <w:t xml:space="preserve">6. Compliance and legal sign-offs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Evidence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PRC-COMP-01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inventory sign-off</w:t>
            </w:r>
            <w:r>
              <w:t xml:space="preserve">: every active</w:t>
            </w:r>
            <w:r>
              <w:t xml:space="preserve"> </w:t>
            </w:r>
            <w:r>
              <w:rPr>
                <w:rStyle w:val="VerbatimChar"/>
              </w:rPr>
              <w:t xml:space="preserve">content.messages</w:t>
            </w:r>
            <w:r>
              <w:t xml:space="preserve"> </w:t>
            </w:r>
            <w:r>
              <w:t xml:space="preserve">template, the</w:t>
            </w:r>
            <w:r>
              <w:t xml:space="preserve"> </w:t>
            </w:r>
            <w:r>
              <w:rPr>
                <w:rStyle w:val="VerbatimChar"/>
              </w:rPr>
              <w:t xml:space="preserve">content.voicebot</w:t>
            </w:r>
            <w:r>
              <w:t xml:space="preserve"> </w:t>
            </w:r>
            <w:r>
              <w:t xml:space="preserve">script and</w:t>
            </w:r>
            <w:r>
              <w:t xml:space="preserve"> </w:t>
            </w:r>
            <w:r>
              <w:rPr>
                <w:rStyle w:val="VerbatimChar"/>
              </w:rPr>
              <w:t xml:space="preserve">benefits</w:t>
            </w:r>
            <w:r>
              <w:t xml:space="preserve"> </w:t>
            </w:r>
            <w:r>
              <w:t xml:space="preserve">texts (vi) reviewed; no discount, rebate or cashback language; copy-guard list complete (KI-26 whitespace variants reviewed manually)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inventory with rule checksums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PRC-COMP-02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 policy confirmed by Legal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contact_policy.json</w:t>
            </w:r>
            <w:r>
              <w:t xml:space="preserve">: window 08:00–20:00, 1/day and 3/week marketing, 2 calls/week, consent mapping, service-message bypass) under Decree 91/2020/ND-CP and the PDP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PRC-COMP-03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Voice campaign and journeys respect the contact policy</w:t>
            </w:r>
            <w:r>
              <w:t xml:space="preserve">: KI-09 fixed (TC-135 green); the</w:t>
            </w:r>
            <w:r>
              <w:t xml:space="preserve"> </w:t>
            </w:r>
            <w:r>
              <w:rPr>
                <w:rStyle w:val="VerbatimChar"/>
              </w:rPr>
              <w:t xml:space="preserve">at</w:t>
            </w:r>
            <w:r>
              <w:t xml:space="preserve"> </w:t>
            </w:r>
            <w:r>
              <w:t xml:space="preserve">time override disabled in production (KI-33, TC-162); bot disclosure wording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+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TC-135, TC-162, script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 (KI-33 open)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PRC-COMP-04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Benefits with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legalStatus: pending_legal_review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loyalty_points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benefits.json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referral.json</w:t>
            </w:r>
            <w:r>
              <w:t xml:space="preserve"> </w:t>
            </w:r>
            <w:r>
              <w:t xml:space="preserve">disabled) remain hidden from customers until legal approval; any change to approved goes via maker-checker with the legal memo attached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Memo; TC-041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 (control in place; approval 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PRC-COMP-05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Zalo ZNS templates approved by Zalo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w:r>
              <w:rPr>
                <w:rStyle w:val="VerbatimChar"/>
              </w:rPr>
              <w:t xml:space="preserve">templateKey</w:t>
            </w:r>
            <w:r>
              <w:t xml:space="preserve"> </w:t>
            </w:r>
            <w:r>
              <w:t xml:space="preserve">used on</w:t>
            </w:r>
            <w:r>
              <w:t xml:space="preserve"> </w:t>
            </w:r>
            <w:r>
              <w:rPr>
                <w:rStyle w:val="VerbatimChar"/>
              </w:rPr>
              <w:t xml:space="preserve">zalo_zns</w:t>
            </w:r>
            <w:r>
              <w:t xml:space="preserve"> </w:t>
            </w:r>
            <w:r>
              <w:t xml:space="preserve">(all 12 keys in</w:t>
            </w:r>
            <w:r>
              <w:t xml:space="preserve"> </w:t>
            </w:r>
            <w:r>
              <w:rPr>
                <w:rStyle w:val="VerbatimChar"/>
              </w:rPr>
              <w:t xml:space="preserve">content.messages.json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verify_expiry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first_reminder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conquest_reminder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value_reminder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urgent_reminder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expiry_day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lapsed_notice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new_vehicle_welcome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inspection_tnds_check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cross_sell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purchase_confirmation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quote_ready</w:t>
            </w:r>
            <w:r>
              <w:t xml:space="preserve">) with parameter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+ Integration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Zalo approval IDs mapped to template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PRC-COMP-06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brandname registered; SMS templates registered where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PRC-COMP-07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Tariffs confirmed by TASCO underwriting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tariff.tnds_car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tariff.tnds_motorbike</w:t>
            </w:r>
            <w:r>
              <w:t xml:space="preserve"> </w:t>
            </w:r>
            <w:r>
              <w:t xml:space="preserve">(Decree 67/2023/ND-CP); the illustrative</w:t>
            </w:r>
            <w:r>
              <w:t xml:space="preserve"> </w:t>
            </w:r>
            <w:r>
              <w:rPr>
                <w:rStyle w:val="VerbatimChar"/>
              </w:rPr>
              <w:t xml:space="preserve">rating.motor_pd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rating.pa_seat</w:t>
            </w:r>
            <w:r>
              <w:t xml:space="preserve"> </w:t>
            </w:r>
            <w:r>
              <w:t xml:space="preserve">replaced with filed rates via maker-checker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Underwriting / Actuarial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rule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PRC-COMP-08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Commission caps confirmed by Finance and Legal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commission.json</w:t>
            </w:r>
            <w:r>
              <w:t xml:space="preserve"> </w:t>
            </w:r>
            <w:r>
              <w:rPr>
                <w:rStyle w:val="VerbatimChar"/>
              </w:rPr>
              <w:t xml:space="preserve">statutoryCaps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(before W2)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PRC-COMP-09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PDP compliance</w:t>
            </w:r>
            <w:r>
              <w:t xml:space="preserve">: privacy notice and consent wording in the app; DPIA completed; data processing agreements VETC ↔ TASCO ↔ iorta; cross-border transfer assessment (none expected)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PRC-COMP-10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DSAR procedure (SOP-05) operational; erasure covers profile, messages, sessions, handoffs and claims (KI-29 fixed; TC-107)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PRC-COMP-11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Retention: archival pipeline for profiles, messages, orders and certificates built or waived by Legal (KI-13);</w:t>
            </w:r>
            <w:r>
              <w:t xml:space="preserve"> </w:t>
            </w:r>
            <w:r>
              <w:rPr>
                <w:rStyle w:val="VerbatimChar"/>
              </w:rPr>
              <w:t xml:space="preserve">retention</w:t>
            </w:r>
            <w:r>
              <w:t xml:space="preserve"> </w:t>
            </w:r>
            <w:r>
              <w:t xml:space="preserve">CronJob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+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(KI-13)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PRC-COMP-12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 roles staffed: at least 2 approvers (MFA) and 2 authors, never the same person; emergency rollback pair on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PRC-COMP-13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chain verifying (</w:t>
            </w:r>
            <w:r>
              <w:rPr>
                <w:rStyle w:val="VerbatimChar"/>
              </w:rPr>
              <w:t xml:space="preserve">GET /api/audit/verify</w:t>
            </w:r>
            <w:r>
              <w:t xml:space="preserve"> </w:t>
            </w:r>
            <w:r>
              <w:t xml:space="preserve">ok) at go-live, chain head exported to WORM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+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</w:tbl>
    <w:bookmarkEnd w:id="27"/>
    <w:bookmarkStart w:id="28" w:name="Xac035878e52273a3f4cc90ca81732ceb2b921f5"/>
    <w:p>
      <w:pPr>
        <w:pStyle w:val="Heading2"/>
      </w:pPr>
      <w:r>
        <w:t xml:space="preserve">7. Data migration and initial load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Evidence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PRC-DATA-01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Data-sharing agreement for VETC account and TASCO core extracts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PRC-DATA-02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cohort extract (HN + HCM, expiry in 15–60 days + lapsed ≤ 60 days, 100–200 k) delivered and profiled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PRC-DATA-03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load executed in PROD in batches (≤ 2,000 records each, KI-16); counts reconcile (TC-112); DQ issue volume within the expected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steward +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PRC-DATA-04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recompute after load; journeys dry run on a sample; touchpoint volumes per day agreed with campaign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Dry-run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PRC-DATA-05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sets seeded (</w:t>
            </w:r>
            <w:r>
              <w:rPr>
                <w:rStyle w:val="VerbatimChar"/>
              </w:rPr>
              <w:t xml:space="preserve">npm run job -- rules</w:t>
            </w:r>
            <w:r>
              <w:t xml:space="preserve">) and every kind's checksum recorded in the change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/api/ops/status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PRC-DATA-06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master data and API keys issued for first partners (W2)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(W2)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</w:tbl>
    <w:bookmarkEnd w:id="28"/>
    <w:bookmarkStart w:id="30" w:name="X092539647cc091e83d8db22cf2f5dc7e56f3202"/>
    <w:p>
      <w:pPr>
        <w:pStyle w:val="Heading2"/>
      </w:pPr>
      <w:r>
        <w:t xml:space="preserve">8. People, process and support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Evidence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PRC-PPL-01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users trained (telesales squads HN/HCM, supervisors, campaign, compliance, steward, claims)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PRC-PPL-02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VETC CS briefed: scripts, KEDB, escalation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VETC CS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PRC-PPL-03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Hypercare plan, war room and daily KPI review scheduled (</w:t>
            </w:r>
            <w:hyperlink r:id="rId29">
              <w:r>
                <w:rPr>
                  <w:rStyle w:val="Hyperlink"/>
                </w:rPr>
                <w:t xml:space="preserve">go-live plan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PRC-PPL-04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notes and rollback plan for the go-live release approved by CAB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PRC-PPL-05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and customer communication assets approved (launch, incident templates)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+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</w:tbl>
    <w:bookmarkEnd w:id="30"/>
    <w:bookmarkStart w:id="31" w:name="Xd97758d5216d73d649ce290e5b26a3fe2c48da8"/>
    <w:p>
      <w:pPr>
        <w:pStyle w:val="Heading2"/>
      </w:pPr>
      <w:r>
        <w:t xml:space="preserve">9. Sign-off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Approver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Decision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CISO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and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Compliance Officer / Legal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IT Production Support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and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IT Head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Business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VETC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VETC Product Owner / IT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iorta TechNXT Delivery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../quality/test-strategy.docx" TargetMode="External"/><Relationship Id="rId22" Type="http://schemas.openxmlformats.org/officeDocument/2006/relationships/hyperlink" Target="../quality/uat-plan.docx" TargetMode="External"/><Relationship Id="rId29" Type="http://schemas.openxmlformats.org/officeDocument/2006/relationships/hyperlink" Target="go-live-and-hypercare-plan.docx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../quality/test-strategy.docx" TargetMode="External"/><Relationship Id="rId22" Type="http://schemas.openxmlformats.org/officeDocument/2006/relationships/hyperlink" Target="../quality/uat-plan.docx" TargetMode="External"/><Relationship Id="rId29" Type="http://schemas.openxmlformats.org/officeDocument/2006/relationships/hyperlink" Target="go-live-and-hypercare-pla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Readiness Checklist — TASCO Growth Platform</dc:title>
  <dc:creator>iorta TechNXT</dc:creator>
  <cp:keywords/>
  <dcterms:created xsi:type="dcterms:W3CDTF">2026-10-07T17:45:28Z</dcterms:created>
  <dcterms:modified xsi:type="dcterms:W3CDTF">2026-10-07T17:45:28Z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Operations</vt:lpwstr>
  </property>
</Properties>
</file>