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Release and Change Management — TASCO Growth Platform</w:t>
      </w:r>
    </w:p>
    <w:p>
      <w:pPr>
        <w:pStyle w:val="Subtitle"/>
      </w:pPr>
      <w:r>
        <w:t xml:space="preserve">TASCO Insurance × VETC Growth Platform — Operations</w:t>
      </w:r>
    </w:p>
    <w:p>
      <w:pPr>
        <w:pStyle w:val="Author"/>
      </w:pPr>
      <w:r>
        <w:t xml:space="preserve">iorta TechNXT</w:t>
      </w:r>
    </w:p>
    <w:p>
      <w:pPr>
        <w:pStyle w:val="Date"/>
      </w:pPr>
      <w:r>
        <w:t xml:space="preserve">Version 1.0 · 07 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Release Manager (iorta TechNXT during build and hypercare → TASCO 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Approvers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Advisory Board (CAB): TASCO IT Head (chair), TASCO PO, Compliance, Security, VETC IT (for changes affecting VETC interfaces), iorta Tech Lead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Related</w:t>
            </w:r>
          </w:p>
        </w:tc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Test strategy</w:t>
              </w:r>
            </w:hyperlink>
            <w:r>
              <w:t xml:space="preserve"> </w:t>
            </w:r>
            <w:r>
              <w:t xml:space="preserve">(CI gates) ·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Go-live plan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Runbook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Start w:id="26" w:name="X20773e0f1913fdefa3c729512d86ae1cd824c12"/>
    <w:p>
      <w:pPr>
        <w:pStyle w:val="Heading2"/>
      </w:pPr>
      <w:r>
        <w:t xml:space="preserve">1. Two kinds of change</w:t>
      </w:r>
    </w:p>
    <w:p>
      <w:pPr>
        <w:pStyle w:val="FirstParagraph"/>
      </w:pPr>
      <w:r>
        <w:t xml:space="preserve">The platform separates</w:t>
      </w:r>
      <w:r>
        <w:t xml:space="preserve"> </w:t>
      </w:r>
      <w:r>
        <w:rPr>
          <w:bCs/>
          <w:b/>
        </w:rPr>
        <w:t xml:space="preserve">code</w:t>
      </w:r>
      <w:r>
        <w:t xml:space="preserve"> </w:t>
      </w:r>
      <w:r>
        <w:t xml:space="preserve">from</w:t>
      </w:r>
      <w:r>
        <w:t xml:space="preserve"> </w:t>
      </w:r>
      <w:r>
        <w:rPr>
          <w:bCs/>
          <w:b/>
        </w:rPr>
        <w:t xml:space="preserve">business rules</w:t>
      </w:r>
      <w:r>
        <w:t xml:space="preserve">. They have different risk profiles and different paths to production.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</w:pP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Code / configuration change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Business-rule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db/migrations/*.sql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config/security/rbac.json</w:t>
            </w:r>
            <w:r>
              <w:t xml:space="preserve"> </w:t>
            </w:r>
            <w:r>
              <w:t xml:space="preserve">(security config is code),</w:t>
            </w:r>
            <w:r>
              <w:t xml:space="preserve"> </w:t>
            </w:r>
            <w:r>
              <w:rPr>
                <w:rStyle w:val="VerbatimChar"/>
              </w:rPr>
              <w:t xml:space="preserve">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deploy/**</w:t>
            </w:r>
            <w:r>
              <w:t xml:space="preserve">, environment variables and secrets, 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of the 21 rule kinds stored in the</w:t>
            </w:r>
            <w:r>
              <w:t xml:space="preserve"> </w:t>
            </w:r>
            <w:r>
              <w:rPr>
                <w:rStyle w:val="VerbatimChar"/>
              </w:rPr>
              <w:t xml:space="preserve">rulesets</w:t>
            </w:r>
            <w:r>
              <w:t xml:space="preserve"> </w:t>
            </w:r>
            <w:r>
              <w:t xml:space="preserve">table:</w:t>
            </w:r>
            <w:r>
              <w:t xml:space="preserve"> </w:t>
            </w:r>
            <w:r>
              <w:rPr>
                <w:rStyle w:val="VerbatimChar"/>
              </w:rPr>
              <w:t xml:space="preserve">scoring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journeys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triggers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benefits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contact_policy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copy_guard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content.messages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content.voicebot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tariff.*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rating.*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commission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enrichment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abac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retention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referral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service_levels</w:t>
            </w:r>
            <w:r>
              <w:t xml:space="preserve"> </w:t>
            </w:r>
            <w:r>
              <w:t xml:space="preserve">(quote TTL, claim acknowledgement SLA, evidence confidences)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 PR → CI gates → release tag → CAB → 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studio: draft → validate → simulate → submit →</w:t>
            </w:r>
            <w:r>
              <w:t xml:space="preserve"> </w:t>
            </w:r>
            <w:r>
              <w:rPr>
                <w:bCs/>
                <w:b/>
              </w:rPr>
              <w:t xml:space="preserve">approve by a different person</w:t>
            </w:r>
            <w:r>
              <w:t xml:space="preserve"> </w:t>
            </w:r>
            <w:r>
              <w:t xml:space="preserve">(maker-checker) → active within ~15 s on all replicas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Developers; release manager deploys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rule_author</w:t>
            </w:r>
            <w:r>
              <w:t xml:space="preserve"> </w:t>
            </w:r>
            <w:r>
              <w:t xml:space="preserve">drafts;</w:t>
            </w:r>
            <w:r>
              <w:t xml:space="preserve"> </w:t>
            </w:r>
            <w:r>
              <w:rPr>
                <w:rStyle w:val="VerbatimChar"/>
              </w:rPr>
              <w:t xml:space="preserve">rule_approver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compliance_officer</w:t>
            </w:r>
            <w:r>
              <w:t xml:space="preserve"> </w:t>
            </w:r>
            <w:r>
              <w:t xml:space="preserve">(MFA) approves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 review, CI results, release 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trail (</w:t>
            </w:r>
            <w:r>
              <w:rPr>
                <w:rStyle w:val="VerbatimChar"/>
              </w:rPr>
              <w:t xml:space="preserve">rules.draft_created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rules.submitted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rules.approved</w:t>
            </w:r>
            <w:r>
              <w:t xml:space="preserve">/</w:t>
            </w:r>
            <w:r>
              <w:rPr>
                <w:rStyle w:val="VerbatimChar"/>
              </w:rPr>
              <w:t xml:space="preserve">rejected</w:t>
            </w:r>
            <w:r>
              <w:t xml:space="preserve">), checksum, simulation result, approval comment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Redeploy the previous image tag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/api/rules/&lt;previous-id&gt;/rollback</w:t>
            </w:r>
            <w:r>
              <w:t xml:space="preserve"> </w:t>
            </w:r>
            <w:r>
              <w:t xml:space="preserve">→ new draft → 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(standard, normal or emergency)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CAB for routine rule changes.</w:t>
            </w:r>
            <w:r>
              <w:t xml:space="preserve"> </w:t>
            </w:r>
            <w:r>
              <w:t xml:space="preserve">Maker-checker is the control. CAB is notified weekly of activations.</w:t>
            </w:r>
            <w:r>
              <w:t xml:space="preserve"> </w:t>
            </w:r>
            <w:r>
              <w:rPr>
                <w:bCs/>
                <w:b/>
              </w:rPr>
              <w:t xml:space="preserve">Exceptions needing CAB/Compliance pre-approval:</w:t>
            </w:r>
            <w:r>
              <w:t xml:space="preserve"> </w:t>
            </w:r>
            <w:r>
              <w:rPr>
                <w:rStyle w:val="VerbatimChar"/>
              </w:rPr>
              <w:t xml:space="preserve">contact_policy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copy_guard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abac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commission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tariff.*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retention</w:t>
            </w:r>
            <w:r>
              <w:t xml:space="preserve">, and enabling anything with</w:t>
            </w:r>
            <w:r>
              <w:t xml:space="preserve"> </w:t>
            </w:r>
            <w:r>
              <w:rPr>
                <w:rStyle w:val="VerbatimChar"/>
              </w:rPr>
              <w:t xml:space="preserve">legalStatus: pending_legal_review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config/rules/*.json</w:t>
      </w:r>
      <w:r>
        <w:t xml:space="preserve"> </w:t>
      </w:r>
      <w:r>
        <w:t xml:space="preserve">in git holds only the</w:t>
      </w:r>
      <w:r>
        <w:t xml:space="preserve"> </w:t>
      </w:r>
      <w:r>
        <w:rPr>
          <w:bCs/>
          <w:b/>
        </w:rPr>
        <w:t xml:space="preserve">defaults</w:t>
      </w:r>
      <w:r>
        <w:t xml:space="preserve"> </w:t>
      </w:r>
      <w:r>
        <w:t xml:space="preserve">used to seed an empty database (</w:t>
      </w:r>
      <w:r>
        <w:rPr>
          <w:rStyle w:val="VerbatimChar"/>
        </w:rPr>
        <w:t xml:space="preserve">npm run job -- rules</w:t>
      </w:r>
      <w:r>
        <w:t xml:space="preserve"> </w:t>
      </w:r>
      <w:r>
        <w:t xml:space="preserve">loads kinds that have no version yet). Editing those files</w:t>
      </w:r>
      <w:r>
        <w:t xml:space="preserve"> </w:t>
      </w:r>
      <w:r>
        <w:rPr>
          <w:bCs/>
          <w:b/>
        </w:rPr>
        <w:t xml:space="preserve">does not change production rules</w:t>
      </w:r>
      <w:r>
        <w:t xml:space="preserve"> </w:t>
      </w:r>
      <w:r>
        <w:t xml:space="preserve">once seeded. Production rules change only through the rules studio. When a production rule change should also become the default for new environments, mirror it into git with a PR that references the rule version and checksum.</w:t>
      </w:r>
    </w:p>
    <w:p>
      <w:pPr>
        <w:pStyle w:val="BodyText"/>
      </w:pPr>
      <w:r>
        <w:drawing>
          <wp:inline>
            <wp:extent cx="6119999" cy="730028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tmp/claude-0/-home-user-TASCO/19e5534d-12b5-5956-9b60-3e77efde0f49/scratchpad/conv/img/operations__release-and-change-management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999" cy="7300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X995d3d9ee2fd59a41dc981f654452d3137861a3"/>
    <w:p>
      <w:pPr>
        <w:pStyle w:val="Heading2"/>
      </w:pPr>
      <w:r>
        <w:t xml:space="preserve">2. Versioning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Semantic versioning</w:t>
      </w:r>
      <w:r>
        <w:t xml:space="preserve"> </w:t>
      </w:r>
      <w:r>
        <w:t xml:space="preserve">of the application (</w:t>
      </w:r>
      <w:r>
        <w:rPr>
          <w:rStyle w:val="VerbatimChar"/>
        </w:rPr>
        <w:t xml:space="preserve">package.json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exposed in</w:t>
      </w:r>
      <w:r>
        <w:t xml:space="preserve"> </w:t>
      </w:r>
      <w:r>
        <w:rPr>
          <w:rStyle w:val="VerbatimChar"/>
        </w:rPr>
        <w:t xml:space="preserve">GET /api/meta</w:t>
      </w:r>
      <w:r>
        <w:t xml:space="preserve"> </w:t>
      </w:r>
      <w:r>
        <w:t xml:space="preserve">and the OpenAPI</w:t>
      </w:r>
      <w:r>
        <w:t xml:space="preserve"> </w:t>
      </w:r>
      <w:r>
        <w:rPr>
          <w:rStyle w:val="VerbatimChar"/>
        </w:rPr>
        <w:t xml:space="preserve">info.version</w:t>
      </w:r>
      <w:r>
        <w:t xml:space="preserve">):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MAJOR</w:t>
      </w:r>
      <w:r>
        <w:t xml:space="preserve">: breaking change to a public contract (partner API</w:t>
      </w:r>
      <w:r>
        <w:t xml:space="preserve"> </w:t>
      </w:r>
      <w:r>
        <w:rPr>
          <w:rStyle w:val="VerbatimChar"/>
        </w:rPr>
        <w:t xml:space="preserve">/api/partner/v1/*</w:t>
      </w:r>
      <w:r>
        <w:t xml:space="preserve">, customer API used by the VETC app, event payloads consumed outside the platform). The partner API is additionally versioned in the path (</w:t>
      </w:r>
      <w:r>
        <w:rPr>
          <w:rStyle w:val="VerbatimChar"/>
        </w:rPr>
        <w:t xml:space="preserve">/v1/</w:t>
      </w:r>
      <w:r>
        <w:t xml:space="preserve">), so a breaking partner change means</w:t>
      </w:r>
      <w:r>
        <w:t xml:space="preserve"> </w:t>
      </w:r>
      <w:r>
        <w:rPr>
          <w:rStyle w:val="VerbatimChar"/>
        </w:rPr>
        <w:t xml:space="preserve">/v2/</w:t>
      </w:r>
      <w:r>
        <w:t xml:space="preserve"> </w:t>
      </w:r>
      <w:r>
        <w:t xml:space="preserve">alongside</w:t>
      </w:r>
      <w:r>
        <w:t xml:space="preserve"> </w:t>
      </w:r>
      <w:r>
        <w:rPr>
          <w:rStyle w:val="VerbatimChar"/>
        </w:rPr>
        <w:t xml:space="preserve">/v1/</w:t>
      </w:r>
      <w:r>
        <w:t xml:space="preserve"> </w:t>
      </w:r>
      <w:r>
        <w:t xml:space="preserve">with a deprecation period of ≥ 6 months.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MINOR</w:t>
      </w:r>
      <w:r>
        <w:t xml:space="preserve">: backward-compatible features, new endpoints, new optional fields, new migrations (additive).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PATCH</w:t>
      </w:r>
      <w:r>
        <w:t xml:space="preserve">: bug fixes and security patches, with no contract change.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Images</w:t>
      </w:r>
      <w:r>
        <w:t xml:space="preserve"> </w:t>
      </w:r>
      <w:r>
        <w:t xml:space="preserve">are tagged</w:t>
      </w:r>
      <w:r>
        <w:t xml:space="preserve"> </w:t>
      </w:r>
      <w:r>
        <w:rPr>
          <w:rStyle w:val="VerbatimChar"/>
        </w:rPr>
        <w:t xml:space="preserve">vX.Y.Z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sha-&lt;gitsha&gt;</w:t>
      </w:r>
      <w:r>
        <w:t xml:space="preserve">. Deployments reference the immutable digest.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Rule sets</w:t>
      </w:r>
      <w:r>
        <w:t xml:space="preserve"> </w:t>
      </w:r>
      <w:r>
        <w:t xml:space="preserve">are versioned independently:</w:t>
      </w:r>
      <w:r>
        <w:t xml:space="preserve"> </w:t>
      </w:r>
      <w:r>
        <w:rPr>
          <w:rStyle w:val="VerbatimChar"/>
        </w:rPr>
        <w:t xml:space="preserve">&lt;kind&gt;@&lt;n&gt;</w:t>
      </w:r>
      <w:r>
        <w:t xml:space="preserve"> </w:t>
      </w:r>
      <w:r>
        <w:t xml:space="preserve">with a SHA-256 checksum (first 16 hex).</w:t>
      </w:r>
      <w:r>
        <w:t xml:space="preserve"> </w:t>
      </w:r>
      <w:r>
        <w:rPr>
          <w:rStyle w:val="VerbatimChar"/>
        </w:rPr>
        <w:t xml:space="preserve">GET /api/ops/status</w:t>
      </w:r>
      <w:r>
        <w:t xml:space="preserve"> </w:t>
      </w:r>
      <w:r>
        <w:t xml:space="preserve">lists the active version and checksum of each kind. The release notes record the rule versions validated with that release.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Database schema</w:t>
      </w:r>
      <w:r>
        <w:t xml:space="preserve">: numbered migrations</w:t>
      </w:r>
      <w:r>
        <w:t xml:space="preserve"> </w:t>
      </w:r>
      <w:r>
        <w:rPr>
          <w:rStyle w:val="VerbatimChar"/>
        </w:rPr>
        <w:t xml:space="preserve">NNN_description.sql</w:t>
      </w:r>
      <w:r>
        <w:t xml:space="preserve">, recorded in</w:t>
      </w:r>
      <w:r>
        <w:t xml:space="preserve"> </w:t>
      </w:r>
      <w:r>
        <w:rPr>
          <w:rStyle w:val="VerbatimChar"/>
        </w:rPr>
        <w:t xml:space="preserve">schema_migrations</w:t>
      </w:r>
      <w:r>
        <w:t xml:space="preserve">.</w:t>
      </w:r>
    </w:p>
    <w:bookmarkEnd w:id="27"/>
    <w:bookmarkStart w:id="28" w:name="X7fdfa47f28f6ca28dee2a9957bd71dfa3c17229"/>
    <w:p>
      <w:pPr>
        <w:pStyle w:val="Heading2"/>
      </w:pPr>
      <w:r>
        <w:t xml:space="preserve">3. Branching</w:t>
      </w:r>
    </w:p>
    <w:p>
      <w:pPr>
        <w:pStyle w:val="FirstParagraph"/>
      </w:pPr>
      <w:r>
        <w:t xml:space="preserve">Trunk-based development with short-lived branches.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Branch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 releasable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Protected; PR with ≥ 1 approving review (2 for</w:t>
            </w:r>
            <w:r>
              <w:t xml:space="preserve"> </w:t>
            </w:r>
            <w:r>
              <w:rPr>
                <w:rStyle w:val="VerbatimChar"/>
              </w:rPr>
              <w:t xml:space="preserve">src/application/identityService.js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accessPolicy.js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shared/crypto.js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config/security/*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db/migrations/*</w:t>
            </w:r>
            <w:r>
              <w:t xml:space="preserve">); all CI gates green; linear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feature/&lt;ticket&gt;-&lt;slug&gt;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 in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Rebased on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; lives ≤ 3 days; incomplete features hidden behind rule-based flags (§7)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release/X.Y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Stabilisation when a release needs a freeze (e.g. go-live, Tết)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Cut from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; fixes cherry-picked from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hotfix/X.Y.Z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Emergency fix on a released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release tag; merged back 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</w:tr>
    </w:tbl>
    <w:p>
      <w:pPr>
        <w:pStyle w:val="BodyText"/>
      </w:pPr>
      <w:r>
        <w:t xml:space="preserve">Commits reference the ticket ID. PR descriptions include the test evidence and, for migrations, the rollback/compatibility note.</w:t>
      </w:r>
    </w:p>
    <w:bookmarkEnd w:id="28"/>
    <w:bookmarkStart w:id="32" w:name="X38db17b07383949bf22bbfaa6f2b2b9ae55f23f"/>
    <w:p>
      <w:pPr>
        <w:pStyle w:val="Heading2"/>
      </w:pPr>
      <w:r>
        <w:t xml:space="preserve">4. CI/CD pipeline and gates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runs on every PR and on tags: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Stage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Command / tool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ci</w:t>
            </w:r>
            <w:r>
              <w:t xml:space="preserve"> </w:t>
            </w:r>
            <w:r>
              <w:t xml:space="preserve">(lockfile enforced)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run 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errors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Tests + coverage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run test:coverage</w:t>
            </w:r>
            <w:r>
              <w:t xml:space="preserve"> </w:t>
            </w:r>
            <w:r>
              <w:t xml:space="preserve">(unit + integration + API)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Lines ≥ 80 %, functions ≥ 80 %, branches ≥ 70 %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tests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run test:security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 tests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run test:pg</w:t>
            </w:r>
            <w:r>
              <w:t xml:space="preserve"> </w:t>
            </w:r>
            <w:r>
              <w:t xml:space="preserve">with a Postgres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new high/critical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Dependencies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run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high/critical in production dependencies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Secrets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gitleaks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 build → Trivy image + config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critical (PR); no critical/high (tag)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SBOM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CycloneDX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Attached to the release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ZAP baseline against the ephemeral/SANDBOX 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high (tag)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run job -- openapi</w:t>
            </w:r>
            <w:r>
              <w:t xml:space="preserve"> </w:t>
            </w:r>
            <w:r>
              <w:t xml:space="preserve">→ diff against</w:t>
            </w:r>
            <w:r>
              <w:t xml:space="preserve"> </w:t>
            </w:r>
            <w:r>
              <w:rPr>
                <w:rStyle w:val="VerbatimChar"/>
              </w:rPr>
              <w:t xml:space="preserve">docs/api/openapi.json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diff must be committed. A diff on</w:t>
            </w:r>
            <w:r>
              <w:t xml:space="preserve"> </w:t>
            </w:r>
            <w:r>
              <w:rPr>
                <w:rStyle w:val="VerbatimChar"/>
              </w:rPr>
              <w:t xml:space="preserve">/api/partner/v1/*</w:t>
            </w:r>
            <w:r>
              <w:t xml:space="preserve"> </w:t>
            </w:r>
            <w:r>
              <w:t xml:space="preserve">needs the</w:t>
            </w:r>
            <w:r>
              <w:t xml:space="preserve"> </w:t>
            </w:r>
            <w:r>
              <w:rPr>
                <w:rStyle w:val="VerbatimChar"/>
              </w:rPr>
              <w:t xml:space="preserve">partner-contract-change</w:t>
            </w:r>
            <w:r>
              <w:t xml:space="preserve"> </w:t>
            </w:r>
            <w:r>
              <w:t xml:space="preserve">label and partner notice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 immutability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Script: fail if any</w:t>
            </w:r>
            <w:r>
              <w:t xml:space="preserve"> </w:t>
            </w:r>
            <w:r>
              <w:rPr>
                <w:rStyle w:val="VerbatimChar"/>
              </w:rPr>
              <w:t xml:space="preserve">db/migrations/*.sql</w:t>
            </w:r>
            <w:r>
              <w:t xml:space="preserve"> </w:t>
            </w:r>
            <w:r>
              <w:t xml:space="preserve">present on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 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 smoke (tag)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run test:perf</w:t>
            </w:r>
            <w:r>
              <w:t xml:space="preserve"> </w:t>
            </w:r>
            <w:r>
              <w:t xml:space="preserve">against the ephemeral 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p95 within 120 % of the baseline</w:t>
            </w:r>
          </w:p>
        </w:tc>
      </w:tr>
    </w:tbl>
    <w:p>
      <w:pPr>
        <w:pStyle w:val="BodyText"/>
      </w:pPr>
      <w:r>
        <w:t xml:space="preserve">Deployment (CD), per environment, promoted with the</w:t>
      </w:r>
      <w:r>
        <w:t xml:space="preserve"> </w:t>
      </w:r>
      <w:r>
        <w:rPr>
          <w:bCs/>
          <w:b/>
        </w:rPr>
        <w:t xml:space="preserve">same image digest</w:t>
      </w:r>
      <w:r>
        <w:t xml:space="preserve">:</w:t>
      </w:r>
    </w:p>
    <w:p>
      <w:pPr>
        <w:pStyle w:val="BodyText"/>
      </w:pPr>
      <w:r>
        <w:drawing>
          <wp:inline>
            <wp:extent cx="6119999" cy="90536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tmp/claude-0/-home-user-TASCO/19e5534d-12b5-5956-9b60-3e77efde0f49/scratchpad/conv/img/operations__release-and-change-management-2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999" cy="905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 deployment sequence:</w:t>
      </w:r>
    </w:p>
    <w:p>
      <w:pPr>
        <w:numPr>
          <w:ilvl w:val="0"/>
          <w:numId w:val="1003"/>
        </w:numPr>
        <w:pStyle w:val="Compact"/>
      </w:pPr>
      <w:r>
        <w:t xml:space="preserve">CAB approval recorded.</w:t>
      </w:r>
    </w:p>
    <w:p>
      <w:pPr>
        <w:numPr>
          <w:ilvl w:val="0"/>
          <w:numId w:val="1003"/>
        </w:numPr>
        <w:pStyle w:val="Compact"/>
      </w:pPr>
      <w:r>
        <w:t xml:space="preserve">Migration Job (</w:t>
      </w:r>
      <w:r>
        <w:rPr>
          <w:rStyle w:val="VerbatimChar"/>
        </w:rPr>
        <w:t xml:space="preserve">npm run migrate</w:t>
      </w:r>
      <w:r>
        <w:t xml:space="preserve">, separate DB role with DDL rights) completes.</w:t>
      </w:r>
    </w:p>
    <w:p>
      <w:pPr>
        <w:numPr>
          <w:ilvl w:val="0"/>
          <w:numId w:val="1003"/>
        </w:numPr>
        <w:pStyle w:val="Compact"/>
      </w:pPr>
      <w:r>
        <w:t xml:space="preserve">Rolling update (</w:t>
      </w:r>
      <w:r>
        <w:rPr>
          <w:rStyle w:val="VerbatimChar"/>
        </w:rPr>
        <w:t xml:space="preserve">maxUnavailable: 0</w:t>
      </w:r>
      <w:r>
        <w:t xml:space="preserve">,</w:t>
      </w:r>
      <w:r>
        <w:t xml:space="preserve"> </w:t>
      </w:r>
      <w:r>
        <w:rPr>
          <w:rStyle w:val="VerbatimChar"/>
        </w:rPr>
        <w:t xml:space="preserve">maxSurge: 25 %</w:t>
      </w:r>
      <w:r>
        <w:t xml:space="preserve">). Readiness gates traffic;</w:t>
      </w:r>
      <w:r>
        <w:t xml:space="preserve"> </w:t>
      </w:r>
      <w:r>
        <w:rPr>
          <w:rStyle w:val="VerbatimChar"/>
        </w:rPr>
        <w:t xml:space="preserve">SIGTERM</w:t>
      </w:r>
      <w:r>
        <w:t xml:space="preserve"> </w:t>
      </w:r>
      <w:r>
        <w:t xml:space="preserve">drains old pods (≤ 25 s).</w:t>
      </w:r>
    </w:p>
    <w:p>
      <w:pPr>
        <w:numPr>
          <w:ilvl w:val="0"/>
          <w:numId w:val="1003"/>
        </w:numPr>
        <w:pStyle w:val="Compact"/>
      </w:pPr>
      <w:r>
        <w:t xml:space="preserve">Smoke tests (</w:t>
      </w:r>
      <w:hyperlink r:id="rId21">
        <w:r>
          <w:rPr>
            <w:rStyle w:val="Hyperlink"/>
          </w:rPr>
          <w:t xml:space="preserve">go-live plan §3.1</w:t>
        </w:r>
      </w:hyperlink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Watch dashboards D1–D3 for 30 min, then close the change.</w:t>
      </w:r>
    </w:p>
    <w:p>
      <w:pPr>
        <w:pStyle w:val="FirstParagraph"/>
      </w:pPr>
      <w:r>
        <w:t xml:space="preserve">Deployment windows:</w:t>
      </w:r>
      <w:r>
        <w:t xml:space="preserve"> </w:t>
      </w:r>
      <w:r>
        <w:rPr>
          <w:bCs/>
          <w:b/>
        </w:rPr>
        <w:t xml:space="preserve">Tue–Thu 21:00–23:00 ICT</w:t>
      </w:r>
      <w:r>
        <w:t xml:space="preserve"> </w:t>
      </w:r>
      <w:r>
        <w:t xml:space="preserve">(outside the 08:00–20:00 contact window and before the 08:30 journey run). No deployments on the day before public holidays, during Tết (1–14 Feb 2027) or during month-end renewal peaks unless emergency.</w:t>
      </w:r>
    </w:p>
    <w:bookmarkEnd w:id="32"/>
    <w:bookmarkStart w:id="33" w:name="X4e3de129d8d1beaed48742a34566b778db44d49"/>
    <w:p>
      <w:pPr>
        <w:pStyle w:val="Heading2"/>
      </w:pPr>
      <w:r>
        <w:t xml:space="preserve">5. CAB process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Change type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Examples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Approval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Lead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Standard</w:t>
            </w:r>
            <w:r>
              <w:t xml:space="preserve"> </w:t>
            </w:r>
            <w:r>
              <w:t xml:space="preserve">(pre-approved, low risk, repeatable)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 release passing all gates with no migration; scaling within HPA bounds; certificate renewal; SOP-04 partner key issue/revoke; SOP-03 offboarding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Release manager; logged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MINOR/MAJOR release; any migration; config/secret change (SOP-01, SOP-02); RBAC changes; infrastructure changes; new partner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Weekly CAB (Wednesday 14:00 ICT)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business 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Emergency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 1/2 fix; security patch for an actively exploited vulnerability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E-CAB: TASCO IT Head + PO (+ Compliance if customer-facing contact is affected), by phone/chat; ratified at the next CAB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</w:t>
            </w:r>
          </w:p>
        </w:tc>
      </w:tr>
    </w:tbl>
    <w:p>
      <w:pPr>
        <w:pStyle w:val="BodyText"/>
      </w:pPr>
      <w:r>
        <w:t xml:space="preserve">The change record contains: description, risk and impact, linked tickets, release notes, test evidence (CI run, SIT/UAT where applicable), migration plan and compatibility, deployment and rollback steps, verification steps, communication plan, and the window.</w:t>
      </w:r>
    </w:p>
    <w:bookmarkEnd w:id="33"/>
    <w:bookmarkStart w:id="34" w:name="Xc77c2fdd6e378304eb370ad414902ecc6c0d006"/>
    <w:p>
      <w:pPr>
        <w:pStyle w:val="Heading2"/>
      </w:pPr>
      <w:r>
        <w:t xml:space="preserve">6. Database migration policy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Never edit a migration that has been applied</w:t>
      </w:r>
      <w:r>
        <w:t xml:space="preserve"> </w:t>
      </w:r>
      <w:r>
        <w:t xml:space="preserve">to any shared environment, even if it is "only whitespace". The file name is the identity in</w:t>
      </w:r>
      <w:r>
        <w:t xml:space="preserve"> </w:t>
      </w:r>
      <w:r>
        <w:rPr>
          <w:rStyle w:val="VerbatimChar"/>
        </w:rPr>
        <w:t xml:space="preserve">schema_migrations</w:t>
      </w:r>
      <w:r>
        <w:t xml:space="preserve">, so an edit is silently skipped where already applied and diverges elsewhere. Add a new numbered file instead (</w:t>
      </w:r>
      <w:r>
        <w:rPr>
          <w:rStyle w:val="VerbatimChar"/>
        </w:rPr>
        <w:t xml:space="preserve">002_…sql</w:t>
      </w:r>
      <w:r>
        <w:t xml:space="preserve">). CI enforces this (§4). The header of</w:t>
      </w:r>
      <w:r>
        <w:t xml:space="preserve"> </w:t>
      </w:r>
      <w:r>
        <w:rPr>
          <w:rStyle w:val="VerbatimChar"/>
        </w:rPr>
        <w:t xml:space="preserve">db/migrations/001_init.sql</w:t>
      </w:r>
      <w:r>
        <w:t xml:space="preserve"> </w:t>
      </w:r>
      <w:r>
        <w:t xml:space="preserve">states the same rule.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Forward-only, expand/contract.</w:t>
      </w:r>
      <w:r>
        <w:t xml:space="preserve"> </w:t>
      </w:r>
      <w:r>
        <w:t xml:space="preserve">Every migration must be compatible with the</w:t>
      </w:r>
      <w:r>
        <w:t xml:space="preserve"> </w:t>
      </w:r>
      <w:r>
        <w:rPr>
          <w:bCs/>
          <w:b/>
        </w:rPr>
        <w:t xml:space="preserve">previous</w:t>
      </w:r>
      <w:r>
        <w:t xml:space="preserve"> </w:t>
      </w:r>
      <w:r>
        <w:t xml:space="preserve">application version, so an application rollback (R3) never needs a schema rollback:</w:t>
      </w:r>
    </w:p>
    <w:p>
      <w:pPr>
        <w:numPr>
          <w:ilvl w:val="1"/>
          <w:numId w:val="1005"/>
        </w:numPr>
        <w:pStyle w:val="Compact"/>
      </w:pPr>
      <w:r>
        <w:rPr>
          <w:iCs/>
          <w:i/>
        </w:rPr>
        <w:t xml:space="preserve">Expand</w:t>
      </w:r>
      <w:r>
        <w:t xml:space="preserve">: add tables, nullable columns and indexes (</w:t>
      </w:r>
      <w:r>
        <w:rPr>
          <w:rStyle w:val="VerbatimChar"/>
        </w:rPr>
        <w:t xml:space="preserve">CREATE INDEX CONCURRENTLY</w:t>
      </w:r>
      <w:r>
        <w:t xml:space="preserve"> </w:t>
      </w:r>
      <w:r>
        <w:t xml:space="preserve">in a dedicated migration for large tables. Note that</w:t>
      </w:r>
      <w:r>
        <w:t xml:space="preserve"> </w:t>
      </w:r>
      <w:r>
        <w:rPr>
          <w:rStyle w:val="VerbatimChar"/>
        </w:rPr>
        <w:t xml:space="preserve">migrate()</w:t>
      </w:r>
      <w:r>
        <w:t xml:space="preserve"> </w:t>
      </w:r>
      <w:r>
        <w:t xml:space="preserve">wraps each file in a transaction, so</w:t>
      </w:r>
      <w:r>
        <w:t xml:space="preserve"> </w:t>
      </w:r>
      <w:r>
        <w:rPr>
          <w:rStyle w:val="VerbatimChar"/>
        </w:rPr>
        <w:t xml:space="preserve">CONCURRENTLY</w:t>
      </w:r>
      <w:r>
        <w:t xml:space="preserve"> </w:t>
      </w:r>
      <w:r>
        <w:t xml:space="preserve">must instead go in a manual DBA step referenced by the change).</w:t>
      </w:r>
    </w:p>
    <w:p>
      <w:pPr>
        <w:numPr>
          <w:ilvl w:val="1"/>
          <w:numId w:val="1005"/>
        </w:numPr>
        <w:pStyle w:val="Compact"/>
      </w:pPr>
      <w:r>
        <w:rPr>
          <w:iCs/>
          <w:i/>
        </w:rPr>
        <w:t xml:space="preserve">Migrate data</w:t>
      </w:r>
      <w:r>
        <w:t xml:space="preserve">: in batches via a job, not inside the DDL migration.</w:t>
      </w:r>
    </w:p>
    <w:p>
      <w:pPr>
        <w:numPr>
          <w:ilvl w:val="1"/>
          <w:numId w:val="1005"/>
        </w:numPr>
        <w:pStyle w:val="Compact"/>
      </w:pPr>
      <w:r>
        <w:rPr>
          <w:iCs/>
          <w:i/>
        </w:rPr>
        <w:t xml:space="preserve">Contract</w:t>
      </w:r>
      <w:r>
        <w:t xml:space="preserve"> </w:t>
      </w:r>
      <w:r>
        <w:t xml:space="preserve">(drop or rename): only in a later release, once no running version uses the old structure.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Schema registry parity:</w:t>
      </w:r>
      <w:r>
        <w:t xml:space="preserve"> </w:t>
      </w:r>
      <w:r>
        <w:rPr>
          <w:rStyle w:val="VerbatimChar"/>
        </w:rPr>
        <w:t xml:space="preserve">src/adapters/persistence/schema.js</w:t>
      </w:r>
      <w:r>
        <w:t xml:space="preserve"> </w:t>
      </w:r>
      <w:r>
        <w:t xml:space="preserve">(collections, index columns, blind indexes) must match the SQL. A unit test checks parity (</w:t>
      </w:r>
      <w:r>
        <w:rPr>
          <w:rStyle w:val="VerbatimChar"/>
        </w:rPr>
        <w:t xml:space="preserve">test/unit/platform.test.js</w:t>
      </w:r>
      <w:r>
        <w:t xml:space="preserve">, "schema drift guard").</w:t>
      </w:r>
    </w:p>
    <w:p>
      <w:pPr>
        <w:numPr>
          <w:ilvl w:val="0"/>
          <w:numId w:val="1004"/>
        </w:numPr>
        <w:pStyle w:val="Compact"/>
      </w:pPr>
      <w:r>
        <w:t xml:space="preserve">Migrations are idempotent where possible (</w:t>
      </w:r>
      <w:r>
        <w:rPr>
          <w:rStyle w:val="VerbatimChar"/>
        </w:rPr>
        <w:t xml:space="preserve">IF NOT EXISTS</w:t>
      </w:r>
      <w:r>
        <w:t xml:space="preserve">), reviewed by the DBA, timed on PERF data (6 M rows), and run by the</w:t>
      </w:r>
      <w:r>
        <w:t xml:space="preserve"> </w:t>
      </w:r>
      <w:r>
        <w:rPr>
          <w:bCs/>
          <w:b/>
        </w:rPr>
        <w:t xml:space="preserve">migration Job</w:t>
      </w:r>
      <w:r>
        <w:t xml:space="preserve"> </w:t>
      </w:r>
      <w:r>
        <w:t xml:space="preserve">before the rollout (</w:t>
      </w:r>
      <w:r>
        <w:rPr>
          <w:rStyle w:val="VerbatimChar"/>
        </w:rPr>
        <w:t xml:space="preserve">MIGRATE_ON_START=false</w:t>
      </w:r>
      <w:r>
        <w:t xml:space="preserve"> </w:t>
      </w:r>
      <w:r>
        <w:t xml:space="preserve">in Kubernetes, KI-30).</w:t>
      </w:r>
    </w:p>
    <w:p>
      <w:pPr>
        <w:numPr>
          <w:ilvl w:val="0"/>
          <w:numId w:val="1004"/>
        </w:numPr>
        <w:pStyle w:val="Compact"/>
      </w:pPr>
      <w:r>
        <w:t xml:space="preserve">Destructive data changes (deletes, PII-touching updates) need a fresh PITR restore point noted in the change record and DPO consultation where personal data is affected.</w:t>
      </w:r>
    </w:p>
    <w:bookmarkEnd w:id="34"/>
    <w:bookmarkStart w:id="35" w:name="X8895d19c20e0e3b3f004ad165056da220a274db"/>
    <w:p>
      <w:pPr>
        <w:pStyle w:val="Heading2"/>
      </w:pPr>
      <w:r>
        <w:t xml:space="preserve">7. Feature flags via rules</w:t>
      </w:r>
    </w:p>
    <w:p>
      <w:pPr>
        <w:pStyle w:val="FirstParagraph"/>
      </w:pPr>
      <w:r>
        <w:t xml:space="preserve">The platform has no separate feature-flag service. Exposure is controlled through rule sets, which are versioned, simulated, maker-checker approved and audited: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Need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Rule kind and field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Turn a product on/off, or per channel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products.products[].status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.channels[]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Hide</w:t>
            </w:r>
            <w:r>
              <w:t xml:space="preserve"> </w:t>
            </w:r>
            <w:r>
              <w:rPr>
                <w:rStyle w:val="VerbatimChar"/>
              </w:rPr>
              <w:t xml:space="preserve">MOTOR_PD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partner_api</w:t>
            </w:r>
            <w:r>
              <w:t xml:space="preserve"> </w:t>
            </w:r>
            <w:r>
              <w:t xml:space="preserve">until the inspection flow is 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Bundles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products.bundles[].status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Activate a TNDS + PA bundle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Benefits to customers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benefits.items[].legalStatus</w:t>
            </w:r>
            <w:r>
              <w:t xml:space="preserve"> </w:t>
            </w:r>
            <w:r>
              <w:t xml:space="preserve">(only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 </w:t>
            </w:r>
            <w:r>
              <w:t xml:space="preserve">reaches customers) and</w:t>
            </w:r>
            <w:r>
              <w:t xml:space="preserve"> </w:t>
            </w:r>
            <w:r>
              <w:rPr>
                <w:rStyle w:val="VerbatimChar"/>
              </w:rPr>
              <w:t xml:space="preserve">available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hides an approved item that is not yet operational, e.g.</w:t>
            </w:r>
            <w:r>
              <w:t xml:space="preserve"> </w:t>
            </w:r>
            <w:r>
              <w:rPr>
                <w:rStyle w:val="VerbatimChar"/>
              </w:rPr>
              <w:t xml:space="preserve">auto_renew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loyalty_points</w:t>
            </w:r>
            <w:r>
              <w:t xml:space="preserve"> </w:t>
            </w:r>
            <w:r>
              <w:t xml:space="preserve">stays</w:t>
            </w:r>
            <w:r>
              <w:t xml:space="preserve"> </w:t>
            </w:r>
            <w:r>
              <w:rPr>
                <w:rStyle w:val="VerbatimChar"/>
              </w:rPr>
              <w:t xml:space="preserve">pending_legal_review</w:t>
            </w:r>
            <w:r>
              <w:t xml:space="preserve"> </w:t>
            </w:r>
            <w:r>
              <w:t xml:space="preserve">until Legal approves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 programme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referral.enabled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Disabled until legal 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Journey targeting / regional rollout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journeys.journeys[].audience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.steps[]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onlyTiers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Pilot: restrict the audience to</w:t>
            </w:r>
            <w:r>
              <w:t xml:space="preserve"> </w:t>
            </w:r>
            <w:r>
              <w:rPr>
                <w:rStyle w:val="VerbatimChar"/>
              </w:rPr>
              <w:t xml:space="preserve">region</w:t>
            </w:r>
            <w:r>
              <w:t xml:space="preserve"> </w:t>
            </w:r>
            <w:r>
              <w:t xml:space="preserve">∈ {Hà Nội, TP. Hồ Chí Minh}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 triggers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triggers.triggers[]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</w:t>
            </w:r>
            <w:r>
              <w:t xml:space="preserve"> </w:t>
            </w:r>
            <w:r>
              <w:rPr>
                <w:rStyle w:val="VerbatimChar"/>
              </w:rPr>
              <w:t xml:space="preserve">long_trip</w:t>
            </w:r>
            <w:r>
              <w:t xml:space="preserve"> </w:t>
            </w:r>
            <w:r>
              <w:t xml:space="preserve">at W2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Contact intensity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contact_policy</w:t>
            </w:r>
            <w:r>
              <w:t xml:space="preserve"> </w:t>
            </w:r>
            <w:r>
              <w:t xml:space="preserve">caps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Emergency marketing stop:</w:t>
            </w:r>
            <w:r>
              <w:t xml:space="preserve"> </w:t>
            </w:r>
            <w:r>
              <w:rPr>
                <w:rStyle w:val="VerbatimChar"/>
              </w:rPr>
              <w:t xml:space="preserve">maxMarketingContactsPerDay: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Voice script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content.voicebot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 wording and intents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 attributes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abac.policies[]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restriction (CAB-reviewed)</w:t>
            </w:r>
          </w:p>
        </w:tc>
      </w:tr>
    </w:tbl>
    <w:p>
      <w:pPr>
        <w:pStyle w:val="BodyText"/>
      </w:pPr>
      <w:r>
        <w:t xml:space="preserve">Code-level features that are not ready are</w:t>
      </w:r>
      <w:r>
        <w:t xml:space="preserve"> </w:t>
      </w:r>
      <w:r>
        <w:rPr>
          <w:bCs/>
          <w:b/>
        </w:rPr>
        <w:t xml:space="preserve">not merged into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main</w:t>
      </w:r>
      <w:r>
        <w:rPr>
          <w:bCs/>
          <w:b/>
        </w:rPr>
        <w:t xml:space="preserve"> </w:t>
      </w:r>
      <w:r>
        <w:rPr>
          <w:bCs/>
          <w:b/>
        </w:rPr>
        <w:t xml:space="preserve">enabled</w:t>
      </w:r>
      <w:r>
        <w:t xml:space="preserve">. They are either behind one of the rule switches above or not routed.</w:t>
      </w:r>
      <w:r>
        <w:t xml:space="preserve"> </w:t>
      </w:r>
      <w:r>
        <w:rPr>
          <w:rStyle w:val="VerbatimChar"/>
        </w:rPr>
        <w:t xml:space="preserve">demoOnly</w:t>
      </w:r>
      <w:r>
        <w:t xml:space="preserve"> </w:t>
      </w:r>
      <w:r>
        <w:t xml:space="preserve">routes are disabled whenever</w:t>
      </w:r>
      <w:r>
        <w:t xml:space="preserve"> </w:t>
      </w:r>
      <w:r>
        <w:rPr>
          <w:rStyle w:val="VerbatimChar"/>
        </w:rPr>
        <w:t xml:space="preserve">DEMO_MODE=false</w:t>
      </w:r>
      <w:r>
        <w:t xml:space="preserve">.</w:t>
      </w:r>
    </w:p>
    <w:bookmarkEnd w:id="35"/>
    <w:bookmarkStart w:id="36" w:name="X8ea1c1bbf994f88429723b6d90fd5080cbdcb11"/>
    <w:p>
      <w:pPr>
        <w:pStyle w:val="Heading2"/>
      </w:pPr>
      <w:r>
        <w:t xml:space="preserve">8. Rule change procedure (maker-checker)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Step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Who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How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Draft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rule_author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/api/rules {kind, payload, description}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Payload validated (</w:t>
            </w:r>
            <w:r>
              <w:rPr>
                <w:rStyle w:val="VerbatimChar"/>
              </w:rPr>
              <w:t xml:space="preserve">validatePayload</w:t>
            </w:r>
            <w:r>
              <w:t xml:space="preserve">: JSON Logic operators allow-listed, decision tables, kind-specific checks such as weights summing to 100 and commission ≤ statutory cap, plus the</w:t>
            </w:r>
            <w:r>
              <w:t xml:space="preserve"> </w:t>
            </w:r>
            <w:r>
              <w:rPr>
                <w:bCs/>
                <w:b/>
              </w:rPr>
              <w:t xml:space="preserve">copy guard</w:t>
            </w:r>
            <w:r>
              <w:t xml:space="preserve"> </w:t>
            </w:r>
            <w:r>
              <w:t xml:space="preserve">on content and benefits). Invalid → 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Validate / simulate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/api/rules/validate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POST /api/rules/simulate {profileId, kind, payload}</w:t>
            </w:r>
            <w:r>
              <w:t xml:space="preserve"> </w:t>
            </w:r>
            <w:r>
              <w:t xml:space="preserve">for scoring, nba, journeys and benefits on the reference profiles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attached to the change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Submit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 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/api/rules/:id/submit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drafts, only by the author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Review and approve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rule_approver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compliance_officer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not the author</w:t>
            </w:r>
            <w:r>
              <w:t xml:space="preserve">, with MFA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/api/rules/:id/approve {comment}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/reject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Self-approval → 403 (maker-checker)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Activate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previous active version is retired;</w:t>
            </w:r>
            <w:r>
              <w:t xml:space="preserve"> </w:t>
            </w:r>
            <w:r>
              <w:rPr>
                <w:rStyle w:val="VerbatimChar"/>
              </w:rPr>
              <w:t xml:space="preserve">rules.activated</w:t>
            </w:r>
            <w:r>
              <w:t xml:space="preserve"> </w:t>
            </w:r>
            <w:r>
              <w:t xml:space="preserve">event; caches invalidated; all replicas converge ≤ 15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</w:t>
            </w:r>
            <w:r>
              <w:t xml:space="preserve"> </w:t>
            </w:r>
            <w:r>
              <w:rPr>
                <w:rStyle w:val="VerbatimChar"/>
              </w:rPr>
              <w:t xml:space="preserve">rules.approved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supersedes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 + approver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/api/ops/status</w:t>
            </w:r>
            <w:r>
              <w:t xml:space="preserve"> </w:t>
            </w:r>
            <w:r>
              <w:t xml:space="preserve">shows the new version/checksum; monitor D4/D5 for 24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Weekly rule-change log to CAB: kind, version, checksum, purpose, approver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Rule changes affecting customers are made</w:t>
      </w:r>
      <w:r>
        <w:t xml:space="preserve"> </w:t>
      </w:r>
      <w:r>
        <w:rPr>
          <w:bCs/>
          <w:b/>
        </w:rPr>
        <w:t xml:space="preserve">outside the contact window or before 08:30</w:t>
      </w:r>
      <w:r>
        <w:t xml:space="preserve">, unless urgent, so a full journey run uses one consistent version.</w:t>
      </w:r>
    </w:p>
    <w:bookmarkEnd w:id="36"/>
    <w:bookmarkStart w:id="37" w:name="X3995f6e725d26f328d74eec623891ba68ffc464"/>
    <w:p>
      <w:pPr>
        <w:pStyle w:val="Heading2"/>
      </w:pPr>
      <w:r>
        <w:t xml:space="preserve">9. Release notes template</w:t>
      </w:r>
    </w:p>
    <w:p>
      <w:pPr>
        <w:pStyle w:val="SourceCode"/>
      </w:pPr>
      <w:r>
        <w:rPr>
          <w:rStyle w:val="FunctionTok"/>
        </w:rPr>
        <w:t xml:space="preserve"># Release vX.Y.Z — &lt;date&gt;</w:t>
      </w:r>
      <w:r>
        <w:br/>
      </w:r>
      <w:r>
        <w:br/>
      </w:r>
      <w:r>
        <w:rPr>
          <w:rStyle w:val="FunctionTok"/>
        </w:rPr>
        <w:t xml:space="preserve">## Summary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one-paragraph</w:t>
      </w:r>
      <w:r>
        <w:rPr>
          <w:rStyle w:val="NormalTok"/>
        </w:rPr>
        <w:t xml:space="preserve"> </w:t>
      </w:r>
      <w:r>
        <w:rPr>
          <w:rStyle w:val="ErrorTok"/>
        </w:rPr>
        <w:t xml:space="preserve">business</w:t>
      </w:r>
      <w:r>
        <w:rPr>
          <w:rStyle w:val="NormalTok"/>
        </w:rPr>
        <w:t xml:space="preserve"> </w:t>
      </w:r>
      <w:r>
        <w:rPr>
          <w:rStyle w:val="ErrorTok"/>
        </w:rPr>
        <w:t xml:space="preserve">summary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FunctionTok"/>
        </w:rPr>
        <w:t xml:space="preserve">## Changes</w:t>
      </w:r>
      <w:r>
        <w:br/>
      </w:r>
      <w:r>
        <w:rPr>
          <w:rStyle w:val="NormalTok"/>
        </w:rPr>
        <w:t xml:space="preserve">| Ticket | Type (feature/fix/security/ops) | Description | Customer/partner impact |</w:t>
      </w:r>
      <w:r>
        <w:br/>
      </w:r>
      <w:r>
        <w:rPr>
          <w:rStyle w:val="NormalTok"/>
        </w:rPr>
        <w:t xml:space="preserve">|---|---|---|---|</w:t>
      </w:r>
      <w:r>
        <w:br/>
      </w:r>
      <w:r>
        <w:br/>
      </w:r>
      <w:r>
        <w:rPr>
          <w:rStyle w:val="FunctionTok"/>
        </w:rPr>
        <w:t xml:space="preserve">## API and contract changes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OpenAPI diff: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none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link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; partner API (/api/partner/v1) impact: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none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details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date</w:t>
      </w:r>
      <w:r>
        <w:rPr>
          <w:rStyle w:val="DataTypeTok"/>
        </w:rPr>
        <w:t xml:space="preserve">&gt;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Event payload changes: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none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details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FunctionTok"/>
        </w:rPr>
        <w:t xml:space="preserve">## Database migrations</w:t>
      </w:r>
      <w:r>
        <w:br/>
      </w:r>
      <w:r>
        <w:rPr>
          <w:rStyle w:val="NormalTok"/>
        </w:rPr>
        <w:t xml:space="preserve">| File | Purpose | Backward compatible with vX.Y.(Z-1)? | Est. duration on PROD volume |</w:t>
      </w:r>
      <w:r>
        <w:br/>
      </w:r>
      <w:r>
        <w:rPr>
          <w:rStyle w:val="NormalTok"/>
        </w:rPr>
        <w:t xml:space="preserve">|---|---|---|---|</w:t>
      </w:r>
      <w:r>
        <w:br/>
      </w:r>
      <w:r>
        <w:br/>
      </w:r>
      <w:r>
        <w:rPr>
          <w:rStyle w:val="FunctionTok"/>
        </w:rPr>
        <w:t xml:space="preserve">## Configuration and secrets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New/changed env vars: &lt;…&gt; (defaults, required in production?)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Secret rotations: &lt;…&gt;</w:t>
      </w:r>
      <w:r>
        <w:br/>
      </w:r>
      <w:r>
        <w:br/>
      </w:r>
      <w:r>
        <w:rPr>
          <w:rStyle w:val="FunctionTok"/>
        </w:rPr>
        <w:t xml:space="preserve">## Rule sets validated with this release</w:t>
      </w:r>
      <w:r>
        <w:br/>
      </w:r>
      <w:r>
        <w:rPr>
          <w:rStyle w:val="NormalTok"/>
        </w:rPr>
        <w:t xml:space="preserve">| Kind | Version | Checksum |</w:t>
      </w:r>
      <w:r>
        <w:br/>
      </w:r>
      <w:r>
        <w:rPr>
          <w:rStyle w:val="NormalTok"/>
        </w:rPr>
        <w:t xml:space="preserve">|---|---|---|</w:t>
      </w:r>
      <w:r>
        <w:br/>
      </w:r>
      <w:r>
        <w:br/>
      </w:r>
      <w:r>
        <w:rPr>
          <w:rStyle w:val="FunctionTok"/>
        </w:rPr>
        <w:t xml:space="preserve">## Known issues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KI-xx: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status</w:t>
      </w:r>
      <w:r>
        <w:rPr>
          <w:rStyle w:val="NormalTok"/>
        </w:rPr>
        <w:t xml:space="preserve"> </w:t>
      </w:r>
      <w:r>
        <w:rPr>
          <w:rStyle w:val="ErrorTok"/>
        </w:rPr>
        <w:t xml:space="preserve">/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workaround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FunctionTok"/>
        </w:rPr>
        <w:t xml:space="preserve">## Test evidence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CI run: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link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(lint, coverage %, security, pg, CodeQL, audit, gitleaks, Trivy, ZAP, SBOM)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SIT/UAT: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link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; perf smoke: p95 vs baseline &lt;…&gt;</w:t>
      </w:r>
      <w:r>
        <w:br/>
      </w:r>
      <w:r>
        <w:br/>
      </w:r>
      <w:r>
        <w:rPr>
          <w:rStyle w:val="FunctionTok"/>
        </w:rPr>
        <w:t xml:space="preserve">## Deployment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Window: &lt;date/time ICT&gt;; steps: migration Job → rollout → smoke tests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Rollback: previous image &lt;tag/digest&gt;; rule rollback: &lt;n/a | ids&gt;</w:t>
      </w:r>
      <w:r>
        <w:br/>
      </w:r>
      <w:r>
        <w:br/>
      </w:r>
      <w:r>
        <w:rPr>
          <w:rStyle w:val="FunctionTok"/>
        </w:rPr>
        <w:t xml:space="preserve">## Approvals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CAB: &lt;id/date&gt;; Compliance (if customer-facing): &lt;name/date&gt;</w:t>
      </w:r>
    </w:p>
    <w:bookmarkEnd w:id="37"/>
    <w:bookmarkStart w:id="38" w:name="X8def078900564d63e55468689b5ab01a3446b67"/>
    <w:p>
      <w:pPr>
        <w:pStyle w:val="Heading2"/>
      </w:pPr>
      <w:r>
        <w:t xml:space="preserve">10. Freeze calendar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Period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Go-live release candidate (11–22 Jan 2027)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Fixes only on</w:t>
            </w:r>
            <w:r>
              <w:t xml:space="preserve"> </w:t>
            </w:r>
            <w:r>
              <w:rPr>
                <w:rStyle w:val="VerbatimChar"/>
              </w:rPr>
              <w:t xml:space="preserve">release/1.0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Tết Nguyên Đán (1–14 Feb 2027)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code deployments, no rule changes except emergency rollback (RB-10) or kill switch (SOP-07)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wave's first week (W1 from 29 Mar, W2 from 26 Apr)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Emergency changes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Month-end (last 2 business days)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normal changes affecting sales or journeys</w:t>
            </w:r>
          </w:p>
        </w:tc>
      </w:tr>
    </w:tbl>
    <w:bookmarkEnd w:id="38"/>
    <w:sectPr>
      <w:headerReference r:id="rId9" w:type="default"/>
      <w:footerReference r:id="rId10" w:type="default"/>
      <w:pgSz w:h="16838" w:w="11906"/>
      <w:pgMar w:bottom="1020" w:left="1020" w:right="102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Prepared by iorta TechNXT · Confidential · Page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213368"/>
        <w:sz w:val="16"/>
      </w:rPr>
      <w:t>TASCO Insurance × VETC — Growth Platform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color w:val="121A33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eastAsia="Arial" w:hAnsi="Arial"/>
      <w:color w:val="121A33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eastAsia="Arial" w:hAnsi="Arial"/>
      <w:color w:val="121A33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eastAsia="Arial" w:hAnsi="Arial"/>
      <w:color w:val="121A33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asciiTheme="majorHAnsi" w:cs="Arial" w:cstheme="majorBidi" w:eastAsia="Arial" w:eastAsiaTheme="majorEastAsia" w:hAnsi="Arial" w:hAnsiTheme="majorHAnsi"/>
      <w:b/>
      <w:bCs/>
      <w:color w:val="213368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cs="Arial" w:eastAsia="Arial" w:hAnsi="Arial"/>
      <w:b w:val="0"/>
      <w:color w:val="0B6B66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cs="Arial" w:eastAsia="Arial" w:hAnsi="Arial"/>
      <w:color w:val="121A33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1E0" w:sz="4" w:val="single"/>
        <w:left w:color="C9D1E0" w:sz="4" w:val="single"/>
        <w:bottom w:color="C9D1E0" w:sz="4" w:val="single"/>
        <w:right w:color="C9D1E0" w:sz="4" w:val="single"/>
        <w:insideH w:color="C9D1E0" w:sz="4" w:val="single"/>
        <w:insideV w:color="C9D1E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B6B6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3" Type="http://schemas.openxmlformats.org/officeDocument/2006/relationships/image" Target="media/rId23.png"/><Relationship Id="rId29" Type="http://schemas.openxmlformats.org/officeDocument/2006/relationships/image" Target="media/rId29.png"/><Relationship Id="rId20" Type="http://schemas.openxmlformats.org/officeDocument/2006/relationships/hyperlink" Target="../quality/test-strategy.docx" TargetMode="External"/><Relationship Id="rId21" Type="http://schemas.openxmlformats.org/officeDocument/2006/relationships/hyperlink" Target="go-live-and-hypercare-plan.docx" TargetMode="External"/><Relationship Id="rId22" Type="http://schemas.openxmlformats.org/officeDocument/2006/relationships/hyperlink" Target="runbook-and-support-guide.docx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../quality/test-strategy.docx" TargetMode="External"/><Relationship Id="rId21" Type="http://schemas.openxmlformats.org/officeDocument/2006/relationships/hyperlink" Target="go-live-and-hypercare-plan.docx" TargetMode="External"/><Relationship Id="rId22" Type="http://schemas.openxmlformats.org/officeDocument/2006/relationships/hyperlink" Target="runbook-and-support-guide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Release and Change Management — TASCO Growth Platform</dc:title>
  <dc:creator>iorta TechNXT</dc:creator>
  <cp:keywords/>
  <dcterms:created xsi:type="dcterms:W3CDTF">2026-10-07T17:45:29Z</dcterms:created>
  <dcterms:modified xsi:type="dcterms:W3CDTF">2026-10-07T17:45:29Z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· 07 October 2026</vt:lpwstr>
  </property>
  <property fmtid="{D5CDD505-2E9C-101B-9397-08002B2CF9AE}" pid="3" name="subtitle">
    <vt:lpwstr>TASCO Insurance × VETC Growth Platform — Operations</vt:lpwstr>
  </property>
</Properties>
</file>