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Usability Testing Plan</w:t>
      </w:r>
    </w:p>
    <w:p>
      <w:pPr>
        <w:pStyle w:val="Subtitle"/>
      </w:pPr>
      <w:r>
        <w:t xml:space="preserve">TASCO Insurance × VETC Growth Platform — User Experience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prove, with real users, that the v1 UI meets its usability goals before the pilot, and keep improving it during the pilot. The goals are renewal in ≤ 3 taps, agents moving from claim to outcome in ≤ 6 clicks, rule changes without IT help, and a trustworthy experience for customers who are wary of insurance calls.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iorta TechNXT UX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Product Owner, VETC Product (customer app), VETC call-centre manager (agents)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 prototype (Discovery wk 2) · R1 MVP (Sprint 3) · R2 release candidate (UAT wk T2) · R3 pilot in-field (pilot wk 2–3)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 Nội and TP. Hồ Chí Minh (VETC/TASCO offices, call-centre floors, and customer intercepts at VETC service points and inspection centres), plus remote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with</w:t>
            </w:r>
            <w:r>
              <w:t xml:space="preserve"> </w:t>
            </w:r>
            <w:r>
              <w:rPr>
                <w:rStyle w:val="VerbatimChar"/>
              </w:rPr>
              <w:t xml:space="preserve">DEMO_MODE=true</w:t>
            </w:r>
            <w:r>
              <w:t xml:space="preserve">, synthetic data and seeded demo users; customer app via demo picker or signed links on test phones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1145c84fd3e018c7221371f6b140765e548bfce"/>
    <w:p>
      <w:pPr>
        <w:pStyle w:val="Heading2"/>
      </w:pPr>
      <w:r>
        <w:t xml:space="preserve">1. Research questions</w:t>
      </w:r>
    </w:p>
    <w:p>
      <w:pPr>
        <w:numPr>
          <w:ilvl w:val="0"/>
          <w:numId w:val="1001"/>
        </w:numPr>
        <w:pStyle w:val="Compact"/>
      </w:pPr>
      <w:r>
        <w:t xml:space="preserve">Can customers renew from a reminder in ≤ 3 taps without help, and do they trust it?</w:t>
      </w:r>
    </w:p>
    <w:p>
      <w:pPr>
        <w:numPr>
          <w:ilvl w:val="0"/>
          <w:numId w:val="1001"/>
        </w:numPr>
        <w:pStyle w:val="Compact"/>
      </w:pPr>
      <w:r>
        <w:t xml:space="preserve">Do customers understand the cover status card (expiry, "estimated" vs "verified") and are they willing to confirm or correct their expiry?</w:t>
      </w:r>
    </w:p>
    <w:p>
      <w:pPr>
        <w:numPr>
          <w:ilvl w:val="0"/>
          <w:numId w:val="1001"/>
        </w:numPr>
        <w:pStyle w:val="Compact"/>
      </w:pPr>
      <w:r>
        <w:t xml:space="preserve">Do customers understand benefits without any discount framing, and do the benefits influence their choice?</w:t>
      </w:r>
    </w:p>
    <w:p>
      <w:pPr>
        <w:numPr>
          <w:ilvl w:val="0"/>
          <w:numId w:val="1001"/>
        </w:numPr>
        <w:pStyle w:val="Compact"/>
      </w:pPr>
      <w:r>
        <w:t xml:space="preserve">Can telesales agents claim, call, quote and record outcomes quickly? Do they use the talking points?</w:t>
      </w:r>
    </w:p>
    <w:p>
      <w:pPr>
        <w:numPr>
          <w:ilvl w:val="0"/>
          <w:numId w:val="1001"/>
        </w:numPr>
        <w:pStyle w:val="Compact"/>
      </w:pPr>
      <w:r>
        <w:t xml:space="preserve">Do agents and supervisors understand the explainable score and the next best action, and do they trust them?</w:t>
      </w:r>
    </w:p>
    <w:p>
      <w:pPr>
        <w:numPr>
          <w:ilvl w:val="0"/>
          <w:numId w:val="1001"/>
        </w:numPr>
        <w:pStyle w:val="Compact"/>
      </w:pPr>
      <w:r>
        <w:t xml:space="preserve">Can rule authors draft, validate and simulate a change, and can approvers review it confidently?</w:t>
      </w:r>
    </w:p>
    <w:p>
      <w:pPr>
        <w:numPr>
          <w:ilvl w:val="0"/>
          <w:numId w:val="1001"/>
        </w:numPr>
        <w:pStyle w:val="Compact"/>
      </w:pPr>
      <w:r>
        <w:t xml:space="preserve">Can compliance find audit evidence and execute a DSAR without guidance?</w:t>
      </w:r>
    </w:p>
    <w:p>
      <w:pPr>
        <w:numPr>
          <w:ilvl w:val="0"/>
          <w:numId w:val="1001"/>
        </w:numPr>
        <w:pStyle w:val="Compact"/>
      </w:pPr>
      <w:r>
        <w:t xml:space="preserve">Are the staff console and customer app accessible to users with low vision or who rely on a keyboard or screen reader?</w:t>
      </w:r>
    </w:p>
    <w:p>
      <w:r>
        <w:pict>
          <v:rect style="width:0;height:1.5pt" o:hralign="center" o:hrstd="t" o:hr="t"/>
        </w:pict>
      </w:r>
    </w:p>
    <w:bookmarkEnd w:id="20"/>
    <w:bookmarkStart w:id="21" w:name="X13a0e8c10c405dd53d0e570bcbfcb0c8de7ee9e"/>
    <w:p>
      <w:pPr>
        <w:pStyle w:val="Heading2"/>
      </w:pPr>
      <w:r>
        <w:t xml:space="preserve">2. Methods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Rounds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we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Moderated task-based tests</w:t>
            </w:r>
            <w:r>
              <w:t xml:space="preserve"> </w:t>
            </w:r>
            <w:r>
              <w:t xml:space="preserve">(think-aloud, 45–60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Customers, agents, supervisors, campaign, authors/approvers, compliance, stewards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success, errors, time on task, comprehension, 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Usability Scale (SUS)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moderated participants + pilot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usability score per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Ease Question (SEQ)</w:t>
            </w:r>
            <w:r>
              <w:t xml:space="preserve"> </w:t>
            </w:r>
            <w:r>
              <w:t xml:space="preserve">after each task (1–7)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moderated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Perceived difficulty per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First-click testing</w:t>
            </w:r>
            <w:r>
              <w:t xml:space="preserve"> </w:t>
            </w:r>
            <w:r>
              <w:t xml:space="preserve">(remote, unmoderated)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R0–R1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customers, 20+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and label clarity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Tree testing</w:t>
            </w:r>
            <w:r>
              <w:t xml:space="preserve"> </w:t>
            </w:r>
            <w:r>
              <w:t xml:space="preserve">of the staff console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staff across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Findability of pages (labels VI/EN)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observation / contextual inquiry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R0,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agents per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call-floor conditions, headsets, multitasking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Accessibility usability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users: low vision, screen-reader user, older drivers (60+)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Real-world accessibility beyond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 + in-app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pilot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Taps-to-renew, drop-off per step, help-drawer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 test</w:t>
            </w:r>
            <w:r>
              <w:t xml:space="preserve"> </w:t>
            </w:r>
            <w:r>
              <w:t xml:space="preserve">(pilot)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performance of cover card and benefit framing (copy-guard compliant)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24bfe3b5ae914a0c3640f4a3a723cdc772c0ce"/>
    <w:p>
      <w:pPr>
        <w:pStyle w:val="Heading2"/>
      </w:pPr>
      <w:r>
        <w:t xml:space="preserve">3. Recruitment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Segment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 per city (HN / HCM)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Criteria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Recruitment channel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Incentive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 — VETC app users with car TNDS due in ≤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of ages (25–40, 40–55, 55+), genders, TASCO and non-TASCO insured, Android and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in-app invitation (with consent), service-point intercepts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service voucher (non-cash, not tied to premium; approved by 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 — lapsed or unknown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unknown or lapsed ≤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data (consented research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 — fleet / company vehicles (secondary)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of tenure (&lt; 6 months, &gt; 2 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Call-centre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in lieu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Call-centre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Campaign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(either city)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TASCO/VETC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authors / approvers /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 /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TASCO product and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stewards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TASCO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vision, screen-reader user, 60+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Disability organisations, VETC customer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Honorarium</w:t>
            </w:r>
          </w:p>
        </w:tc>
      </w:tr>
    </w:tbl>
    <w:p>
      <w:pPr>
        <w:pStyle w:val="BodyText"/>
      </w:pPr>
      <w:r>
        <w:t xml:space="preserve">Five to six participants per segment per round find most usability problems. Quantitative benchmarks (SUS, time on task) are aggregated across rounds R2 and R3.</w:t>
      </w:r>
    </w:p>
    <w:p>
      <w:pPr>
        <w:pStyle w:val="BodyText"/>
      </w:pPr>
      <w:r>
        <w:rPr>
          <w:bCs/>
          <w:b/>
        </w:rPr>
        <w:t xml:space="preserve">Ethics and privacy:</w:t>
      </w:r>
      <w:r>
        <w:t xml:space="preserve"> </w:t>
      </w:r>
      <w:r>
        <w:t xml:space="preserve">informed consent (Vietnamese) covering recording and data use. Sessions use</w:t>
      </w:r>
      <w:r>
        <w:t xml:space="preserve"> </w:t>
      </w:r>
      <w:r>
        <w:rPr>
          <w:bCs/>
          <w:b/>
        </w:rPr>
        <w:t xml:space="preserve">synthetic data only</w:t>
      </w:r>
      <w:r>
        <w:t xml:space="preserve">. Real customer data is never shown in tests. Recordings are stored for 90 days and then deleted. Participants may stop at any time.</w:t>
      </w:r>
    </w:p>
    <w:p>
      <w:r>
        <w:pict>
          <v:rect style="width:0;height:1.5pt" o:hralign="center" o:hrstd="t" o:hr="t"/>
        </w:pict>
      </w:r>
    </w:p>
    <w:bookmarkEnd w:id="22"/>
    <w:bookmarkStart w:id="27" w:name="X6a8515b36fa135b428dd9a618646945f2824ef1"/>
    <w:p>
      <w:pPr>
        <w:pStyle w:val="Heading2"/>
      </w:pPr>
      <w:r>
        <w:t xml:space="preserve">4. Test scripts</w:t>
      </w:r>
    </w:p>
    <w:bookmarkStart w:id="23" w:name="X1c1d498cc53bf4dfc84758146e7d2bfbb4b400f"/>
    <w:p>
      <w:pPr>
        <w:pStyle w:val="Heading3"/>
      </w:pPr>
      <w:r>
        <w:t xml:space="preserve">4.1 Session structure (moderated, 60 min)</w:t>
      </w:r>
    </w:p>
    <w:p>
      <w:pPr>
        <w:numPr>
          <w:ilvl w:val="0"/>
          <w:numId w:val="1002"/>
        </w:numPr>
        <w:pStyle w:val="Compact"/>
      </w:pPr>
      <w:r>
        <w:t xml:space="preserve">Welcome and consent (5 min). "We are testing the product, not you."</w:t>
      </w:r>
    </w:p>
    <w:p>
      <w:pPr>
        <w:numPr>
          <w:ilvl w:val="0"/>
          <w:numId w:val="1002"/>
        </w:numPr>
        <w:pStyle w:val="Compact"/>
      </w:pPr>
      <w:r>
        <w:t xml:space="preserve">Background questions (5 min): current renewal habits, VETC app use, attitudes to insurance calls (customers); current tools and pain points (staff).</w:t>
      </w:r>
    </w:p>
    <w:p>
      <w:pPr>
        <w:numPr>
          <w:ilvl w:val="0"/>
          <w:numId w:val="1002"/>
        </w:numPr>
        <w:pStyle w:val="Compact"/>
      </w:pPr>
      <w:r>
        <w:t xml:space="preserve">Tasks (35–40 min), think-aloud, with SEQ after each task.</w:t>
      </w:r>
    </w:p>
    <w:p>
      <w:pPr>
        <w:numPr>
          <w:ilvl w:val="0"/>
          <w:numId w:val="1002"/>
        </w:numPr>
        <w:pStyle w:val="Compact"/>
      </w:pPr>
      <w:r>
        <w:t xml:space="preserve">SUS questionnaire (Vietnamese version) (3 min).</w:t>
      </w:r>
    </w:p>
    <w:p>
      <w:pPr>
        <w:numPr>
          <w:ilvl w:val="0"/>
          <w:numId w:val="1002"/>
        </w:numPr>
        <w:pStyle w:val="Compact"/>
      </w:pPr>
      <w:r>
        <w:t xml:space="preserve">Debrief (7 min): trust, what was confusing, what they'd tell a friend or colleague.</w:t>
      </w:r>
    </w:p>
    <w:bookmarkEnd w:id="23"/>
    <w:bookmarkStart w:id="24" w:name="Xcc879ba4d3c01fcb84cafd98050f33ce3b8140f"/>
    <w:p>
      <w:pPr>
        <w:pStyle w:val="Heading3"/>
      </w:pPr>
      <w:r>
        <w:t xml:space="preserve">4.2 Customer tasks (customer app, test phone)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Scenario (read aloud in Vietnamese)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Success criteria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vừa nhận tin nhắn từ VETC rằng bảo hiểm TNDS xe của bạn sắp hết hạn. Hãy gia hạn bảo hiểm." (You received a VETC message that your TNDS is expiring. Please renew.)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Reaches e-certificate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 success, ≤ 3 taps, ≤ 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"Ứng dụng hỏi ngày hết hạn bảo hiểm hiện tại. Ngày đúng là 20/11/2026. Hãy cập nhật."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date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90 %, ≤ 45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muốn thêm bảo hiểm cho người ngồi trên xe. Hãy xem phí và thêm vào."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Add-on included in the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"Cảnh sát giao thông muốn kiểm tra bảo hiểm của bạn. Hãy cho họ xem."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the e-certificate QR; the verification page shows "valid"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không muốn nhận cuộc gọi tư vấn nữa. Hãy thay đổi."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consent off and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vừa bị va chạm nhẹ. Hãy báo tai nạn."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FNOL submitted, and the participant understands the 4-hour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muốn tải dữ liệu cá nhân của mình."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 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(comprehension)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"Theo bạn, mua qua VETC có rẻ hơn không? Bạn được gì?" (Is it cheaper via VETC? What do you get?)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that the price is the same and names ≥ 1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(trust, 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 to a recorded voice bot call (synthetic). "Bạn có tin cuộc gọi này không? Vì sao?"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Mentions the disclosure, no-OTP promise or plate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Qualitative</w:t>
            </w:r>
          </w:p>
        </w:tc>
      </w:tr>
    </w:tbl>
    <w:bookmarkEnd w:id="24"/>
    <w:bookmarkStart w:id="25" w:name="X37c8cef1f612fa13c8cf874fe0a325b09c0c805"/>
    <w:p>
      <w:pPr>
        <w:pStyle w:val="Heading3"/>
      </w:pPr>
      <w:r>
        <w:t xml:space="preserve">4.3 Telesales agent tasks (staff console, desktop + headset)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Scenario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Success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in as</w:t>
            </w:r>
            <w:r>
              <w:t xml:space="preserve"> </w:t>
            </w:r>
            <w:r>
              <w:rPr>
                <w:rStyle w:val="VerbatimChar"/>
              </w:rPr>
              <w:t xml:space="preserve">agent.hn</w:t>
            </w:r>
            <w:r>
              <w:t xml:space="preserve"> </w:t>
            </w:r>
            <w:r>
              <w:t xml:space="preserve">and find the most urgent customer who wants a call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the right handoff (hot, oldest)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90 %, ≤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for the call: what should you mention, and what concerns did the customer raise?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≥ 2 talking points and the trust or price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 wants TNDS plus accident cover for 7 seats. Quote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quote with PA_SEAT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85 %, ≤ 90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 prefers to pay in their app. Complete the sale.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the one-tap link, not issuing over the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 asks "Can you give me a discount?" How does the screen help you answer?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the regulated-price explanation and value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that the customer will decide 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with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this customer has a score of 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the factor reasons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</w:tr>
    </w:tbl>
    <w:bookmarkEnd w:id="25"/>
    <w:bookmarkStart w:id="26" w:name="Xbc0bea872356f7568ab5867cf2c3044eab68873"/>
    <w:p>
      <w:pPr>
        <w:pStyle w:val="Heading3"/>
      </w:pPr>
      <w:r>
        <w:t xml:space="preserve">4.4 Supervisor, campaign, rules, compliance, data, claims tasks (abridged)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Reassign a handoff from an absent agent. Find how many handoffs are older than one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Campaign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hot leads expiring within 14 days in TP.HCM. Run due touchpoints and explain why 3 were skipped. Simulate a wallet top-up event for a customer.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the hot threshold from 70 to 75, validate, simulate on a given customer, and submit. Try to add "giảm giá" to a template and explain the rejection.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approve the author's change. Try to approve your own draft (expect it to be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who approved the last scoring change. Verify the audit chain. Export a customer's data for a DSAR. Attempt erasure on a customer with an active policy and explain the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</w:t>
            </w:r>
            <w:r>
              <w:t xml:space="preserve"> </w:t>
            </w:r>
            <w:r>
              <w:rPr>
                <w:rStyle w:val="VerbatimChar"/>
              </w:rPr>
              <w:t xml:space="preserve">plate_mismatch</w:t>
            </w:r>
            <w:r>
              <w:t xml:space="preserve"> </w:t>
            </w:r>
            <w:r>
              <w:t xml:space="preserve">issue. Correct an expiry with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the claim closest to breaching its SLA. Move a claim to assessor assigned.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66f8504704b611fde1f245fb73ded789904c97a"/>
    <w:p>
      <w:pPr>
        <w:pStyle w:val="Heading2"/>
      </w:pPr>
      <w:r>
        <w:t xml:space="preserve">5. Metrics and targets (proposed)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app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Staff console (agents)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Staff console (other roles)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success (unassisted)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 core tasks (C1, C2, C4, 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90 % core tasks (A1, A3, A4, A6)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on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(C1) median ≤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→ outcome ≤ 4 min excluding call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change draft → submit ≤ 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Taps / clicks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≤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→ outcome ≤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non-critical error per task. 0 critical errors (wrong purchase, wrong customer).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 (1–7)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5.5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75 (R2), ≥ 80 (R3)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 (R2), ≥ 75 (R3)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Comprehension: "same price everywhere"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95 % (agents)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 rating ("I trust this is really VETC/TASCO", 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 participants core task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Severity scale for findings: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task completion or causes a wrong financial or privacy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before the next release. Blocks G3.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delay or frustration; most users recover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within the current or next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Minor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irritation or cosmetic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Backlog, prioritised by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Enhancement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X129b5ae2a8c0a702bf8ceda47f882d759c05cb9"/>
    <w:p>
      <w:pPr>
        <w:pStyle w:val="Heading2"/>
      </w:pPr>
      <w:r>
        <w:t xml:space="preserve">6. Iteration loop</w:t>
      </w:r>
    </w:p>
    <w:p>
      <w:pPr>
        <w:pStyle w:val="FirstParagraph"/>
      </w:pPr>
      <w:r>
        <w:drawing>
          <wp:inline>
            <wp:extent cx="6119999" cy="55595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ux__usability-testing-plan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55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Synthesis within 48 hours:</w:t>
      </w:r>
      <w:r>
        <w:t xml:space="preserve"> </w:t>
      </w:r>
      <w:r>
        <w:t xml:space="preserve">notes tagged by task and severity, with highlight clips (synthetic data only).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Findings report</w:t>
      </w:r>
      <w:r>
        <w:t xml:space="preserve"> </w:t>
      </w:r>
      <w:r>
        <w:t xml:space="preserve">with problem, evidence (quotes, metrics), severity, recommendation and owner, shared in the sprint review.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Decisions</w:t>
      </w:r>
      <w:r>
        <w:t xml:space="preserve"> </w:t>
      </w:r>
      <w:r>
        <w:t xml:space="preserve">in the weekly design review. S1/S2 items go into the next sprint. Content changes that are rule content (templates, voice lines, benefit wording) go through the Rules studio with Compliance approval.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Re-test</w:t>
      </w:r>
      <w:r>
        <w:t xml:space="preserve"> </w:t>
      </w:r>
      <w:r>
        <w:t xml:space="preserve">of every S1/S2 fix in the next 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Track</w:t>
      </w:r>
      <w:r>
        <w:t xml:space="preserve"> </w:t>
      </w:r>
      <w:r>
        <w:t xml:space="preserve">the metrics trend per round in the SteerCo pack.</w:t>
      </w:r>
    </w:p>
    <w:p>
      <w:r>
        <w:pict>
          <v:rect style="width:0;height:1.5pt" o:hralign="center" o:hrstd="t" o:hr="t"/>
        </w:pict>
      </w:r>
    </w:p>
    <w:bookmarkEnd w:id="32"/>
    <w:bookmarkStart w:id="33" w:name="Xbdbacb4205bd96ccca509c4bd83f79b2a69ce97"/>
    <w:p>
      <w:pPr>
        <w:pStyle w:val="Heading2"/>
      </w:pPr>
      <w:r>
        <w:t xml:space="preserve">7.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Round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Sessions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wk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customers, 6 agents (clickable prototype), tree test 20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findings, IA decisions (G1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 (end)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customers, 8 agents, 6 other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findings, first 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wk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customers incl. accessibility, 10 agents, 10 other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report (G3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wk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observation + analytics + A/B + SUS survey of all pilot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UX report (G4 input)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9fa66f76064c58445c1d6faa8d0b84b4f33afbd"/>
    <w:p>
      <w:pPr>
        <w:pStyle w:val="Heading2"/>
      </w:pPr>
      <w:r>
        <w:t xml:space="preserve">8. Roles in a session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Moderator (UX researcher, Vietnamese native speaker)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session, stays 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Note-taker (BA)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observations, timings and errors in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Observer (PO, engineers, VETC/TASCO stakeholders)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 remotely or in an observation room, does not interrupt, writes sticky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the sandbox, test phones and demo users between sessions</w:t>
            </w:r>
          </w:p>
        </w:tc>
      </w:tr>
    </w:tbl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9" Type="http://schemas.openxmlformats.org/officeDocument/2006/relationships/image" Target="media/rId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Usability Testing Plan</dc:title>
  <dc:creator>iorta TechNXT</dc:creator>
  <cp:keywords/>
  <dcterms:created xsi:type="dcterms:W3CDTF">2026-10-07T17:45:33Z</dcterms:created>
  <dcterms:modified xsi:type="dcterms:W3CDTF">2026-10-07T17:45:33Z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Experience</vt:lpwstr>
  </property>
</Properties>
</file>