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576000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337820"/>
                        </a:xfrm>
                        <a:prstGeom prst="rect">
                          <a:avLst/>
                        </a:prstGeom>
                        <a:noFill/>
                        <a:ln w="9525">
                          <a:noFill/>
                          <a:miter lim="800000"/>
                          <a:headEnd/>
                          <a:tailEnd/>
                        </a:ln>
                      </wps:spPr>
                      <wps:txbx>
                        <w:txbxContent>
                          <w:p w14:paraId="54FA1EBF" w14:textId="6A6CA9D8" w:rsidR="00913938" w:rsidRPr="00851AA2" w:rsidRDefault="002D24EB" w:rsidP="00913938">
                            <w:pPr>
                              <w:jc w:val="center"/>
                              <w:rPr>
                                <w:b/>
                                <w:bCs/>
                                <w:color w:val="071B2C"/>
                                <w:sz w:val="28"/>
                                <w:szCs w:val="28"/>
                              </w:rPr>
                            </w:pPr>
                            <w:r>
                              <w:rPr>
                                <w:b/>
                                <w:bCs/>
                                <w:color w:val="071B2C"/>
                                <w:sz w:val="28"/>
                                <w:szCs w:val="28"/>
                              </w:rPr>
                              <w:t xml:space="preserve">TASCO Motor Insurance Growth Platform · TGP-ARC-01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5760000" cy="476885"/>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60000" cy="476885"/>
                        </a:xfrm>
                        <a:prstGeom prst="rect">
                          <a:avLst/>
                        </a:prstGeom>
                        <a:noFill/>
                        <a:ln w="9525">
                          <a:noFill/>
                          <a:miter lim="800000"/>
                          <a:headEnd/>
                          <a:tailEnd/>
                        </a:ln>
                      </wps:spPr>
                      <wps:txbx>
                        <w:txbxContent>
                          <w:p w14:paraId="539063F1" w14:textId="4B04DDEF" w:rsidR="003F0D95" w:rsidRPr="00E75E19" w:rsidRDefault="003F0D95" w:rsidP="003F0D95">
                            <w:pPr>
                              <w:jc w:val="center"/>
                              <w:rPr>
                                <w:b/>
                                <w:bCs/>
                                <w:color w:val="1D74BA"/>
                                <w:sz w:val="44"/>
                                <w:szCs w:val="44"/>
                                <w:lang w:val="en-MY"/>
                              </w:rPr>
                            </w:pPr>
                            <w:r>
                              <w:rPr>
                                <w:b/>
                                <w:bCs/>
                                <w:color w:val="1D74BA"/>
                                <w:sz w:val="44"/>
                                <w:szCs w:val="44"/>
                                <w:lang w:val="en-MY"/>
                              </w:rPr>
                              <w:t xml:space="preserve">Solution Architecture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4791400</wp:posOffset>
                </wp:positionH>
                <wp:positionV relativeFrom="paragraph">
                  <wp:posOffset>4124960</wp:posOffset>
                </wp:positionV>
                <wp:extent cx="26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3064779C" w14:textId="169D6E01" w:rsidR="003C3BF4" w:rsidRPr="002F15FD" w:rsidRDefault="0064254C" w:rsidP="003C3BF4">
                            <w:pPr>
                              <w:jc w:val="right"/>
                              <w:rPr>
                                <w:b/>
                                <w:bCs/>
                                <w:color w:val="1D74BA"/>
                              </w:rPr>
                            </w:pPr>
                            <w:r>
                              <w:rPr>
                                <w:color w:val="1D74BA"/>
                              </w:rPr>
                              <w:t xml:space="preserve">Date – </w:t>
                            </w:r>
                            <w:r>
                              <w:rPr>
                                <w:b/>
                                <w:bCs/>
                                <w:color w:val="1D74BA"/>
                              </w:rPr>
                              <w:t xml:space="preserve">08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2930472</wp:posOffset>
                </wp:positionH>
                <wp:positionV relativeFrom="paragraph">
                  <wp:posOffset>4124960</wp:posOffset>
                </wp:positionV>
                <wp:extent cx="17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0000" cy="266700"/>
                        </a:xfrm>
                        <a:prstGeom prst="rect">
                          <a:avLst/>
                        </a:prstGeom>
                        <a:noFill/>
                        <a:ln w="9525">
                          <a:noFill/>
                          <a:miter lim="800000"/>
                          <a:headEnd/>
                          <a:tailEnd/>
                        </a:ln>
                      </wps:spPr>
                      <wps:txbx>
                        <w:txbxContent>
                          <w:p w14:paraId="1A3BCAB9" w14:textId="1233059B" w:rsidR="003C3BF4" w:rsidRPr="002F15FD" w:rsidRDefault="003C3BF4" w:rsidP="003C3BF4">
                            <w:pPr>
                              <w:jc w:val="center"/>
                              <w:rPr>
                                <w:b/>
                                <w:bCs/>
                                <w:color w:val="1D74BA"/>
                              </w:rPr>
                            </w:pPr>
                            <w:r>
                              <w:rPr>
                                <w:color w:val="1D74BA"/>
                              </w:rPr>
                              <w:t xml:space="preserve">Version – </w:t>
                            </w:r>
                            <w:r>
                              <w:rPr>
                                <w:b/>
                                <w:bCs/>
                                <w:color w:val="1D74BA"/>
                              </w:rPr>
                              <w:t xml:space="preserve">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3000000" cy="266700"/>
                <wp:effectExtent l="0" t="0" r="0" b="0"/>
                <wp:wrapSquare wrapText="bothSides"/>
                <wp:docPr id="5001"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Pr>
                                <w:color w:val="1D74BA"/>
                              </w:rPr>
                              <w:t xml:space="preserve">Prepared by – </w:t>
                            </w:r>
                            <w:r>
                              <w:rPr>
                                <w:b/>
                                <w:bCs/>
                                <w:color w:val="1D74BA"/>
                              </w:rPr>
                              <w:t xml:space="preserve">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pPr>
        <w:pStyle w:val="TOC1"/>
      </w:pPr>
      <w:r>
        <w:rPr>
          <w:noProof/>
        </w:rPr>
        <w:fldChar w:fldCharType="begin"/>
      </w:r>
      <w:r>
        <w:rPr>
          <w:noProof/>
        </w:rPr>
        <w:instrText xml:space="preserve"> TOC \o "1-3" \h \z \u </w:instrText>
      </w:r>
      <w:r>
        <w:rPr>
          <w:noProof/>
        </w:rPr>
        <w:fldChar w:fldCharType="separate"/>
      </w:r>
      <w:hyperlink w:anchor="_Toc300000001" w:history="1">
        <w:r>
          <w:rPr>
            <w:noProof/>
          </w:rPr>
          <w:t>1.</w:t>
        </w:r>
        <w:r>
          <w:rPr>
            <w:noProof/>
          </w:rPr>
          <w:tab/>
        </w:r>
        <w:r>
          <w:rPr>
            <w:noProof/>
          </w:rPr>
          <w:t xml:space="preserve">Document Control</w:t>
        </w:r>
        <w:r>
          <w:rPr>
            <w:noProof/>
            <w:webHidden/>
          </w:rPr>
          <w:tab/>
        </w:r>
        <w:r>
          <w:rPr>
            <w:noProof/>
            <w:webHidden/>
          </w:rPr>
          <w:fldChar w:fldCharType="begin"/>
        </w:r>
        <w:r>
          <w:rPr>
            <w:noProof/>
            <w:webHidden/>
          </w:rPr>
          <w:instrText xml:space="preserve"> PAGEREF _Toc300000001 \h </w:instrText>
        </w:r>
        <w:r>
          <w:rPr>
            <w:noProof/>
            <w:webHidden/>
          </w:rPr>
          <w:fldChar w:fldCharType="separate"/>
        </w:r>
        <w:r>
          <w:rPr>
            <w:noProof/>
            <w:webHidden/>
          </w:rPr>
          <w:t>3</w:t>
        </w:r>
        <w:r>
          <w:rPr>
            <w:noProof/>
            <w:webHidden/>
          </w:rPr>
          <w:fldChar w:fldCharType="end"/>
        </w:r>
      </w:hyperlink>
    </w:p>
    <w:p>
      <w:pPr>
        <w:pStyle w:val="TOC1"/>
      </w:pPr>
      <w:hyperlink w:anchor="_Toc300000002" w:history="1">
        <w:r>
          <w:rPr>
            <w:noProof/>
          </w:rPr>
          <w:t>2.</w:t>
        </w:r>
        <w:r>
          <w:rPr>
            <w:noProof/>
          </w:rPr>
          <w:tab/>
        </w:r>
        <w:r>
          <w:rPr>
            <w:noProof/>
          </w:rPr>
          <w:t xml:space="preserve">Acronyms</w:t>
        </w:r>
        <w:r>
          <w:rPr>
            <w:noProof/>
            <w:webHidden/>
          </w:rPr>
          <w:tab/>
        </w:r>
        <w:r>
          <w:rPr>
            <w:noProof/>
            <w:webHidden/>
          </w:rPr>
          <w:fldChar w:fldCharType="begin"/>
        </w:r>
        <w:r>
          <w:rPr>
            <w:noProof/>
            <w:webHidden/>
          </w:rPr>
          <w:instrText xml:space="preserve"> PAGEREF _Toc300000002 \h </w:instrText>
        </w:r>
        <w:r>
          <w:rPr>
            <w:noProof/>
            <w:webHidden/>
          </w:rPr>
          <w:fldChar w:fldCharType="separate"/>
        </w:r>
        <w:r>
          <w:rPr>
            <w:noProof/>
            <w:webHidden/>
          </w:rPr>
          <w:t>3</w:t>
        </w:r>
        <w:r>
          <w:rPr>
            <w:noProof/>
            <w:webHidden/>
          </w:rPr>
          <w:fldChar w:fldCharType="end"/>
        </w:r>
      </w:hyperlink>
    </w:p>
    <w:p>
      <w:pPr>
        <w:pStyle w:val="TOC1"/>
      </w:pPr>
      <w:hyperlink w:anchor="_Toc300000003" w:history="1">
        <w:r>
          <w:rPr>
            <w:noProof/>
          </w:rPr>
          <w:t>3.</w:t>
        </w:r>
        <w:r>
          <w:rPr>
            <w:noProof/>
          </w:rPr>
          <w:tab/>
        </w:r>
        <w:r>
          <w:rPr>
            <w:noProof/>
          </w:rPr>
          <w:t xml:space="preserve">Introduction</w:t>
        </w:r>
        <w:r>
          <w:rPr>
            <w:noProof/>
            <w:webHidden/>
          </w:rPr>
          <w:tab/>
        </w:r>
        <w:r>
          <w:rPr>
            <w:noProof/>
            <w:webHidden/>
          </w:rPr>
          <w:fldChar w:fldCharType="begin"/>
        </w:r>
        <w:r>
          <w:rPr>
            <w:noProof/>
            <w:webHidden/>
          </w:rPr>
          <w:instrText xml:space="preserve"> PAGEREF _Toc300000003 \h </w:instrText>
        </w:r>
        <w:r>
          <w:rPr>
            <w:noProof/>
            <w:webHidden/>
          </w:rPr>
          <w:fldChar w:fldCharType="separate"/>
        </w:r>
        <w:r>
          <w:rPr>
            <w:noProof/>
            <w:webHidden/>
          </w:rPr>
          <w:t>5</w:t>
        </w:r>
        <w:r>
          <w:rPr>
            <w:noProof/>
            <w:webHidden/>
          </w:rPr>
          <w:fldChar w:fldCharType="end"/>
        </w:r>
      </w:hyperlink>
    </w:p>
    <w:p>
      <w:pPr>
        <w:pStyle w:val="TOC2"/>
      </w:pPr>
      <w:hyperlink w:anchor="_Toc300000004" w:history="1">
        <w:r>
          <w:rPr>
            <w:noProof/>
          </w:rPr>
          <w:t>3.1.</w:t>
        </w:r>
        <w:r>
          <w:rPr>
            <w:noProof/>
          </w:rPr>
          <w:tab/>
        </w:r>
        <w:r>
          <w:rPr>
            <w:noProof/>
          </w:rPr>
          <w:t xml:space="preserve">Purpose</w:t>
        </w:r>
        <w:r>
          <w:rPr>
            <w:noProof/>
            <w:webHidden/>
          </w:rPr>
          <w:tab/>
        </w:r>
        <w:r>
          <w:rPr>
            <w:noProof/>
            <w:webHidden/>
          </w:rPr>
          <w:fldChar w:fldCharType="begin"/>
        </w:r>
        <w:r>
          <w:rPr>
            <w:noProof/>
            <w:webHidden/>
          </w:rPr>
          <w:instrText xml:space="preserve"> PAGEREF _Toc300000004 \h </w:instrText>
        </w:r>
        <w:r>
          <w:rPr>
            <w:noProof/>
            <w:webHidden/>
          </w:rPr>
          <w:fldChar w:fldCharType="separate"/>
        </w:r>
        <w:r>
          <w:rPr>
            <w:noProof/>
            <w:webHidden/>
          </w:rPr>
          <w:t>5</w:t>
        </w:r>
        <w:r>
          <w:rPr>
            <w:noProof/>
            <w:webHidden/>
          </w:rPr>
          <w:fldChar w:fldCharType="end"/>
        </w:r>
      </w:hyperlink>
    </w:p>
    <w:p>
      <w:pPr>
        <w:pStyle w:val="TOC2"/>
      </w:pPr>
      <w:hyperlink w:anchor="_Toc300000005" w:history="1">
        <w:r>
          <w:rPr>
            <w:noProof/>
          </w:rPr>
          <w:t>3.2.</w:t>
        </w:r>
        <w:r>
          <w:rPr>
            <w:noProof/>
          </w:rPr>
          <w:tab/>
        </w:r>
        <w:r>
          <w:rPr>
            <w:noProof/>
          </w:rPr>
          <w:t xml:space="preserve">Scope</w:t>
        </w:r>
        <w:r>
          <w:rPr>
            <w:noProof/>
            <w:webHidden/>
          </w:rPr>
          <w:tab/>
        </w:r>
        <w:r>
          <w:rPr>
            <w:noProof/>
            <w:webHidden/>
          </w:rPr>
          <w:fldChar w:fldCharType="begin"/>
        </w:r>
        <w:r>
          <w:rPr>
            <w:noProof/>
            <w:webHidden/>
          </w:rPr>
          <w:instrText xml:space="preserve"> PAGEREF _Toc300000005 \h </w:instrText>
        </w:r>
        <w:r>
          <w:rPr>
            <w:noProof/>
            <w:webHidden/>
          </w:rPr>
          <w:fldChar w:fldCharType="separate"/>
        </w:r>
        <w:r>
          <w:rPr>
            <w:noProof/>
            <w:webHidden/>
          </w:rPr>
          <w:t>5</w:t>
        </w:r>
        <w:r>
          <w:rPr>
            <w:noProof/>
            <w:webHidden/>
          </w:rPr>
          <w:fldChar w:fldCharType="end"/>
        </w:r>
      </w:hyperlink>
    </w:p>
    <w:p>
      <w:pPr>
        <w:pStyle w:val="TOC2"/>
      </w:pPr>
      <w:hyperlink w:anchor="_Toc300000006" w:history="1">
        <w:r>
          <w:rPr>
            <w:noProof/>
          </w:rPr>
          <w:t>3.3.</w:t>
        </w:r>
        <w:r>
          <w:rPr>
            <w:noProof/>
          </w:rPr>
          <w:tab/>
        </w:r>
        <w:r>
          <w:rPr>
            <w:noProof/>
          </w:rPr>
          <w:t xml:space="preserve">Audience</w:t>
        </w:r>
        <w:r>
          <w:rPr>
            <w:noProof/>
            <w:webHidden/>
          </w:rPr>
          <w:tab/>
        </w:r>
        <w:r>
          <w:rPr>
            <w:noProof/>
            <w:webHidden/>
          </w:rPr>
          <w:fldChar w:fldCharType="begin"/>
        </w:r>
        <w:r>
          <w:rPr>
            <w:noProof/>
            <w:webHidden/>
          </w:rPr>
          <w:instrText xml:space="preserve"> PAGEREF _Toc300000006 \h </w:instrText>
        </w:r>
        <w:r>
          <w:rPr>
            <w:noProof/>
            <w:webHidden/>
          </w:rPr>
          <w:fldChar w:fldCharType="separate"/>
        </w:r>
        <w:r>
          <w:rPr>
            <w:noProof/>
            <w:webHidden/>
          </w:rPr>
          <w:t>5</w:t>
        </w:r>
        <w:r>
          <w:rPr>
            <w:noProof/>
            <w:webHidden/>
          </w:rPr>
          <w:fldChar w:fldCharType="end"/>
        </w:r>
      </w:hyperlink>
    </w:p>
    <w:p>
      <w:pPr>
        <w:pStyle w:val="TOC2"/>
      </w:pPr>
      <w:hyperlink w:anchor="_Toc300000007" w:history="1">
        <w:r>
          <w:rPr>
            <w:noProof/>
          </w:rPr>
          <w:t>3.4.</w:t>
        </w:r>
        <w:r>
          <w:rPr>
            <w:noProof/>
          </w:rPr>
          <w:tab/>
        </w:r>
        <w:r>
          <w:rPr>
            <w:noProof/>
          </w:rPr>
          <w:t xml:space="preserve">Related documents</w:t>
        </w:r>
        <w:r>
          <w:rPr>
            <w:noProof/>
            <w:webHidden/>
          </w:rPr>
          <w:tab/>
        </w:r>
        <w:r>
          <w:rPr>
            <w:noProof/>
            <w:webHidden/>
          </w:rPr>
          <w:fldChar w:fldCharType="begin"/>
        </w:r>
        <w:r>
          <w:rPr>
            <w:noProof/>
            <w:webHidden/>
          </w:rPr>
          <w:instrText xml:space="preserve"> PAGEREF _Toc300000007 \h </w:instrText>
        </w:r>
        <w:r>
          <w:rPr>
            <w:noProof/>
            <w:webHidden/>
          </w:rPr>
          <w:fldChar w:fldCharType="separate"/>
        </w:r>
        <w:r>
          <w:rPr>
            <w:noProof/>
            <w:webHidden/>
          </w:rPr>
          <w:t>5</w:t>
        </w:r>
        <w:r>
          <w:rPr>
            <w:noProof/>
            <w:webHidden/>
          </w:rPr>
          <w:fldChar w:fldCharType="end"/>
        </w:r>
      </w:hyperlink>
    </w:p>
    <w:p>
      <w:pPr>
        <w:pStyle w:val="TOC1"/>
      </w:pPr>
      <w:hyperlink w:anchor="_Toc300000008" w:history="1">
        <w:r>
          <w:rPr>
            <w:noProof/>
          </w:rPr>
          <w:t>4.</w:t>
        </w:r>
        <w:r>
          <w:rPr>
            <w:noProof/>
          </w:rPr>
          <w:tab/>
        </w:r>
        <w:r>
          <w:rPr>
            <w:noProof/>
          </w:rPr>
          <w:t xml:space="preserve">Architecture principles</w:t>
        </w:r>
        <w:r>
          <w:rPr>
            <w:noProof/>
            <w:webHidden/>
          </w:rPr>
          <w:tab/>
        </w:r>
        <w:r>
          <w:rPr>
            <w:noProof/>
            <w:webHidden/>
          </w:rPr>
          <w:fldChar w:fldCharType="begin"/>
        </w:r>
        <w:r>
          <w:rPr>
            <w:noProof/>
            <w:webHidden/>
          </w:rPr>
          <w:instrText xml:space="preserve"> PAGEREF _Toc300000008 \h </w:instrText>
        </w:r>
        <w:r>
          <w:rPr>
            <w:noProof/>
            <w:webHidden/>
          </w:rPr>
          <w:fldChar w:fldCharType="separate"/>
        </w:r>
        <w:r>
          <w:rPr>
            <w:noProof/>
            <w:webHidden/>
          </w:rPr>
          <w:t>5</w:t>
        </w:r>
        <w:r>
          <w:rPr>
            <w:noProof/>
            <w:webHidden/>
          </w:rPr>
          <w:fldChar w:fldCharType="end"/>
        </w:r>
      </w:hyperlink>
    </w:p>
    <w:p>
      <w:pPr>
        <w:pStyle w:val="TOC1"/>
      </w:pPr>
      <w:hyperlink w:anchor="_Toc300000009" w:history="1">
        <w:r>
          <w:rPr>
            <w:noProof/>
          </w:rPr>
          <w:t>5.</w:t>
        </w:r>
        <w:r>
          <w:rPr>
            <w:noProof/>
          </w:rPr>
          <w:tab/>
        </w:r>
        <w:r>
          <w:rPr>
            <w:noProof/>
          </w:rPr>
          <w:t xml:space="preserve">Context</w:t>
        </w:r>
        <w:r>
          <w:rPr>
            <w:noProof/>
            <w:webHidden/>
          </w:rPr>
          <w:tab/>
        </w:r>
        <w:r>
          <w:rPr>
            <w:noProof/>
            <w:webHidden/>
          </w:rPr>
          <w:fldChar w:fldCharType="begin"/>
        </w:r>
        <w:r>
          <w:rPr>
            <w:noProof/>
            <w:webHidden/>
          </w:rPr>
          <w:instrText xml:space="preserve"> PAGEREF _Toc300000009 \h </w:instrText>
        </w:r>
        <w:r>
          <w:rPr>
            <w:noProof/>
            <w:webHidden/>
          </w:rPr>
          <w:fldChar w:fldCharType="separate"/>
        </w:r>
        <w:r>
          <w:rPr>
            <w:noProof/>
            <w:webHidden/>
          </w:rPr>
          <w:t>6</w:t>
        </w:r>
        <w:r>
          <w:rPr>
            <w:noProof/>
            <w:webHidden/>
          </w:rPr>
          <w:fldChar w:fldCharType="end"/>
        </w:r>
      </w:hyperlink>
    </w:p>
    <w:p>
      <w:pPr>
        <w:pStyle w:val="TOC2"/>
      </w:pPr>
      <w:hyperlink w:anchor="_Toc300000010" w:history="1">
        <w:r>
          <w:rPr>
            <w:noProof/>
          </w:rPr>
          <w:t>5.1.</w:t>
        </w:r>
        <w:r>
          <w:rPr>
            <w:noProof/>
          </w:rPr>
          <w:tab/>
        </w:r>
        <w:r>
          <w:rPr>
            <w:noProof/>
          </w:rPr>
          <w:t xml:space="preserve">Business context</w:t>
        </w:r>
        <w:r>
          <w:rPr>
            <w:noProof/>
            <w:webHidden/>
          </w:rPr>
          <w:tab/>
        </w:r>
        <w:r>
          <w:rPr>
            <w:noProof/>
            <w:webHidden/>
          </w:rPr>
          <w:fldChar w:fldCharType="begin"/>
        </w:r>
        <w:r>
          <w:rPr>
            <w:noProof/>
            <w:webHidden/>
          </w:rPr>
          <w:instrText xml:space="preserve"> PAGEREF _Toc300000010 \h </w:instrText>
        </w:r>
        <w:r>
          <w:rPr>
            <w:noProof/>
            <w:webHidden/>
          </w:rPr>
          <w:fldChar w:fldCharType="separate"/>
        </w:r>
        <w:r>
          <w:rPr>
            <w:noProof/>
            <w:webHidden/>
          </w:rPr>
          <w:t>6</w:t>
        </w:r>
        <w:r>
          <w:rPr>
            <w:noProof/>
            <w:webHidden/>
          </w:rPr>
          <w:fldChar w:fldCharType="end"/>
        </w:r>
      </w:hyperlink>
    </w:p>
    <w:p>
      <w:pPr>
        <w:pStyle w:val="TOC2"/>
      </w:pPr>
      <w:hyperlink w:anchor="_Toc300000011" w:history="1">
        <w:r>
          <w:rPr>
            <w:noProof/>
          </w:rPr>
          <w:t>5.2.</w:t>
        </w:r>
        <w:r>
          <w:rPr>
            <w:noProof/>
          </w:rPr>
          <w:tab/>
        </w:r>
        <w:r>
          <w:rPr>
            <w:noProof/>
          </w:rPr>
          <w:t xml:space="preserve">System context</w:t>
        </w:r>
        <w:r>
          <w:rPr>
            <w:noProof/>
            <w:webHidden/>
          </w:rPr>
          <w:tab/>
        </w:r>
        <w:r>
          <w:rPr>
            <w:noProof/>
            <w:webHidden/>
          </w:rPr>
          <w:fldChar w:fldCharType="begin"/>
        </w:r>
        <w:r>
          <w:rPr>
            <w:noProof/>
            <w:webHidden/>
          </w:rPr>
          <w:instrText xml:space="preserve"> PAGEREF _Toc300000011 \h </w:instrText>
        </w:r>
        <w:r>
          <w:rPr>
            <w:noProof/>
            <w:webHidden/>
          </w:rPr>
          <w:fldChar w:fldCharType="separate"/>
        </w:r>
        <w:r>
          <w:rPr>
            <w:noProof/>
            <w:webHidden/>
          </w:rPr>
          <w:t>6</w:t>
        </w:r>
        <w:r>
          <w:rPr>
            <w:noProof/>
            <w:webHidden/>
          </w:rPr>
          <w:fldChar w:fldCharType="end"/>
        </w:r>
      </w:hyperlink>
    </w:p>
    <w:p>
      <w:pPr>
        <w:pStyle w:val="TOC1"/>
      </w:pPr>
      <w:hyperlink w:anchor="_Toc300000012" w:history="1">
        <w:r>
          <w:rPr>
            <w:noProof/>
          </w:rPr>
          <w:t>6.</w:t>
        </w:r>
        <w:r>
          <w:rPr>
            <w:noProof/>
          </w:rPr>
          <w:tab/>
        </w:r>
        <w:r>
          <w:rPr>
            <w:noProof/>
          </w:rPr>
          <w:t xml:space="preserve">Functional architecture</w:t>
        </w:r>
        <w:r>
          <w:rPr>
            <w:noProof/>
            <w:webHidden/>
          </w:rPr>
          <w:tab/>
        </w:r>
        <w:r>
          <w:rPr>
            <w:noProof/>
            <w:webHidden/>
          </w:rPr>
          <w:fldChar w:fldCharType="begin"/>
        </w:r>
        <w:r>
          <w:rPr>
            <w:noProof/>
            <w:webHidden/>
          </w:rPr>
          <w:instrText xml:space="preserve"> PAGEREF _Toc300000012 \h </w:instrText>
        </w:r>
        <w:r>
          <w:rPr>
            <w:noProof/>
            <w:webHidden/>
          </w:rPr>
          <w:fldChar w:fldCharType="separate"/>
        </w:r>
        <w:r>
          <w:rPr>
            <w:noProof/>
            <w:webHidden/>
          </w:rPr>
          <w:t>8</w:t>
        </w:r>
        <w:r>
          <w:rPr>
            <w:noProof/>
            <w:webHidden/>
          </w:rPr>
          <w:fldChar w:fldCharType="end"/>
        </w:r>
      </w:hyperlink>
    </w:p>
    <w:p>
      <w:pPr>
        <w:pStyle w:val="TOC2"/>
      </w:pPr>
      <w:hyperlink w:anchor="_Toc300000013" w:history="1">
        <w:r>
          <w:rPr>
            <w:noProof/>
          </w:rPr>
          <w:t>6.1.</w:t>
        </w:r>
        <w:r>
          <w:rPr>
            <w:noProof/>
          </w:rPr>
          <w:tab/>
        </w:r>
        <w:r>
          <w:rPr>
            <w:noProof/>
          </w:rPr>
          <w:t xml:space="preserve">Layered view</w:t>
        </w:r>
        <w:r>
          <w:rPr>
            <w:noProof/>
            <w:webHidden/>
          </w:rPr>
          <w:tab/>
        </w:r>
        <w:r>
          <w:rPr>
            <w:noProof/>
            <w:webHidden/>
          </w:rPr>
          <w:fldChar w:fldCharType="begin"/>
        </w:r>
        <w:r>
          <w:rPr>
            <w:noProof/>
            <w:webHidden/>
          </w:rPr>
          <w:instrText xml:space="preserve"> PAGEREF _Toc300000013 \h </w:instrText>
        </w:r>
        <w:r>
          <w:rPr>
            <w:noProof/>
            <w:webHidden/>
          </w:rPr>
          <w:fldChar w:fldCharType="separate"/>
        </w:r>
        <w:r>
          <w:rPr>
            <w:noProof/>
            <w:webHidden/>
          </w:rPr>
          <w:t>8</w:t>
        </w:r>
        <w:r>
          <w:rPr>
            <w:noProof/>
            <w:webHidden/>
          </w:rPr>
          <w:fldChar w:fldCharType="end"/>
        </w:r>
      </w:hyperlink>
    </w:p>
    <w:p>
      <w:pPr>
        <w:pStyle w:val="TOC2"/>
      </w:pPr>
      <w:hyperlink w:anchor="_Toc300000014" w:history="1">
        <w:r>
          <w:rPr>
            <w:noProof/>
          </w:rPr>
          <w:t>6.2.</w:t>
        </w:r>
        <w:r>
          <w:rPr>
            <w:noProof/>
          </w:rPr>
          <w:tab/>
        </w:r>
        <w:r>
          <w:rPr>
            <w:noProof/>
          </w:rPr>
          <w:t xml:space="preserve">Capabilities</w:t>
        </w:r>
        <w:r>
          <w:rPr>
            <w:noProof/>
            <w:webHidden/>
          </w:rPr>
          <w:tab/>
        </w:r>
        <w:r>
          <w:rPr>
            <w:noProof/>
            <w:webHidden/>
          </w:rPr>
          <w:fldChar w:fldCharType="begin"/>
        </w:r>
        <w:r>
          <w:rPr>
            <w:noProof/>
            <w:webHidden/>
          </w:rPr>
          <w:instrText xml:space="preserve"> PAGEREF _Toc300000014 \h </w:instrText>
        </w:r>
        <w:r>
          <w:rPr>
            <w:noProof/>
            <w:webHidden/>
          </w:rPr>
          <w:fldChar w:fldCharType="separate"/>
        </w:r>
        <w:r>
          <w:rPr>
            <w:noProof/>
            <w:webHidden/>
          </w:rPr>
          <w:t>9</w:t>
        </w:r>
        <w:r>
          <w:rPr>
            <w:noProof/>
            <w:webHidden/>
          </w:rPr>
          <w:fldChar w:fldCharType="end"/>
        </w:r>
      </w:hyperlink>
    </w:p>
    <w:p>
      <w:pPr>
        <w:pStyle w:val="TOC1"/>
      </w:pPr>
      <w:hyperlink w:anchor="_Toc300000015" w:history="1">
        <w:r>
          <w:rPr>
            <w:noProof/>
          </w:rPr>
          <w:t>7.</w:t>
        </w:r>
        <w:r>
          <w:rPr>
            <w:noProof/>
          </w:rPr>
          <w:tab/>
        </w:r>
        <w:r>
          <w:rPr>
            <w:noProof/>
          </w:rPr>
          <w:t xml:space="preserve">Technical architecture</w:t>
        </w:r>
        <w:r>
          <w:rPr>
            <w:noProof/>
            <w:webHidden/>
          </w:rPr>
          <w:tab/>
        </w:r>
        <w:r>
          <w:rPr>
            <w:noProof/>
            <w:webHidden/>
          </w:rPr>
          <w:fldChar w:fldCharType="begin"/>
        </w:r>
        <w:r>
          <w:rPr>
            <w:noProof/>
            <w:webHidden/>
          </w:rPr>
          <w:instrText xml:space="preserve"> PAGEREF _Toc300000015 \h </w:instrText>
        </w:r>
        <w:r>
          <w:rPr>
            <w:noProof/>
            <w:webHidden/>
          </w:rPr>
          <w:fldChar w:fldCharType="separate"/>
        </w:r>
        <w:r>
          <w:rPr>
            <w:noProof/>
            <w:webHidden/>
          </w:rPr>
          <w:t>10</w:t>
        </w:r>
        <w:r>
          <w:rPr>
            <w:noProof/>
            <w:webHidden/>
          </w:rPr>
          <w:fldChar w:fldCharType="end"/>
        </w:r>
      </w:hyperlink>
    </w:p>
    <w:p>
      <w:pPr>
        <w:pStyle w:val="TOC2"/>
      </w:pPr>
      <w:hyperlink w:anchor="_Toc300000016" w:history="1">
        <w:r>
          <w:rPr>
            <w:noProof/>
          </w:rPr>
          <w:t>7.1.</w:t>
        </w:r>
        <w:r>
          <w:rPr>
            <w:noProof/>
          </w:rPr>
          <w:tab/>
        </w:r>
        <w:r>
          <w:rPr>
            <w:noProof/>
          </w:rPr>
          <w:t xml:space="preserve">Ports and adapters</w:t>
        </w:r>
        <w:r>
          <w:rPr>
            <w:noProof/>
            <w:webHidden/>
          </w:rPr>
          <w:tab/>
        </w:r>
        <w:r>
          <w:rPr>
            <w:noProof/>
            <w:webHidden/>
          </w:rPr>
          <w:fldChar w:fldCharType="begin"/>
        </w:r>
        <w:r>
          <w:rPr>
            <w:noProof/>
            <w:webHidden/>
          </w:rPr>
          <w:instrText xml:space="preserve"> PAGEREF _Toc300000016 \h </w:instrText>
        </w:r>
        <w:r>
          <w:rPr>
            <w:noProof/>
            <w:webHidden/>
          </w:rPr>
          <w:fldChar w:fldCharType="separate"/>
        </w:r>
        <w:r>
          <w:rPr>
            <w:noProof/>
            <w:webHidden/>
          </w:rPr>
          <w:t>10</w:t>
        </w:r>
        <w:r>
          <w:rPr>
            <w:noProof/>
            <w:webHidden/>
          </w:rPr>
          <w:fldChar w:fldCharType="end"/>
        </w:r>
      </w:hyperlink>
    </w:p>
    <w:p>
      <w:pPr>
        <w:pStyle w:val="TOC2"/>
      </w:pPr>
      <w:hyperlink w:anchor="_Toc300000017" w:history="1">
        <w:r>
          <w:rPr>
            <w:noProof/>
          </w:rPr>
          <w:t>7.2.</w:t>
        </w:r>
        <w:r>
          <w:rPr>
            <w:noProof/>
          </w:rPr>
          <w:tab/>
        </w:r>
        <w:r>
          <w:rPr>
            <w:noProof/>
          </w:rPr>
          <w:t xml:space="preserve">Layers and technology</w:t>
        </w:r>
        <w:r>
          <w:rPr>
            <w:noProof/>
            <w:webHidden/>
          </w:rPr>
          <w:tab/>
        </w:r>
        <w:r>
          <w:rPr>
            <w:noProof/>
            <w:webHidden/>
          </w:rPr>
          <w:fldChar w:fldCharType="begin"/>
        </w:r>
        <w:r>
          <w:rPr>
            <w:noProof/>
            <w:webHidden/>
          </w:rPr>
          <w:instrText xml:space="preserve"> PAGEREF _Toc300000017 \h </w:instrText>
        </w:r>
        <w:r>
          <w:rPr>
            <w:noProof/>
            <w:webHidden/>
          </w:rPr>
          <w:fldChar w:fldCharType="separate"/>
        </w:r>
        <w:r>
          <w:rPr>
            <w:noProof/>
            <w:webHidden/>
          </w:rPr>
          <w:t>11</w:t>
        </w:r>
        <w:r>
          <w:rPr>
            <w:noProof/>
            <w:webHidden/>
          </w:rPr>
          <w:fldChar w:fldCharType="end"/>
        </w:r>
      </w:hyperlink>
    </w:p>
    <w:p>
      <w:pPr>
        <w:pStyle w:val="TOC2"/>
      </w:pPr>
      <w:hyperlink w:anchor="_Toc300000018" w:history="1">
        <w:r>
          <w:rPr>
            <w:noProof/>
          </w:rPr>
          <w:t>7.3.</w:t>
        </w:r>
        <w:r>
          <w:rPr>
            <w:noProof/>
          </w:rPr>
          <w:tab/>
        </w:r>
        <w:r>
          <w:rPr>
            <w:noProof/>
          </w:rPr>
          <w:t xml:space="preserve">Ports and current adapters</w:t>
        </w:r>
        <w:r>
          <w:rPr>
            <w:noProof/>
            <w:webHidden/>
          </w:rPr>
          <w:tab/>
        </w:r>
        <w:r>
          <w:rPr>
            <w:noProof/>
            <w:webHidden/>
          </w:rPr>
          <w:fldChar w:fldCharType="begin"/>
        </w:r>
        <w:r>
          <w:rPr>
            <w:noProof/>
            <w:webHidden/>
          </w:rPr>
          <w:instrText xml:space="preserve"> PAGEREF _Toc300000018 \h </w:instrText>
        </w:r>
        <w:r>
          <w:rPr>
            <w:noProof/>
            <w:webHidden/>
          </w:rPr>
          <w:fldChar w:fldCharType="separate"/>
        </w:r>
        <w:r>
          <w:rPr>
            <w:noProof/>
            <w:webHidden/>
          </w:rPr>
          <w:t>12</w:t>
        </w:r>
        <w:r>
          <w:rPr>
            <w:noProof/>
            <w:webHidden/>
          </w:rPr>
          <w:fldChar w:fldCharType="end"/>
        </w:r>
      </w:hyperlink>
    </w:p>
    <w:p>
      <w:pPr>
        <w:pStyle w:val="TOC2"/>
      </w:pPr>
      <w:hyperlink w:anchor="_Toc300000019" w:history="1">
        <w:r>
          <w:rPr>
            <w:noProof/>
          </w:rPr>
          <w:t>7.4.</w:t>
        </w:r>
        <w:r>
          <w:rPr>
            <w:noProof/>
          </w:rPr>
          <w:tab/>
        </w:r>
        <w:r>
          <w:rPr>
            <w:noProof/>
          </w:rPr>
          <w:t xml:space="preserve">Runtime processes</w:t>
        </w:r>
        <w:r>
          <w:rPr>
            <w:noProof/>
            <w:webHidden/>
          </w:rPr>
          <w:tab/>
        </w:r>
        <w:r>
          <w:rPr>
            <w:noProof/>
            <w:webHidden/>
          </w:rPr>
          <w:fldChar w:fldCharType="begin"/>
        </w:r>
        <w:r>
          <w:rPr>
            <w:noProof/>
            <w:webHidden/>
          </w:rPr>
          <w:instrText xml:space="preserve"> PAGEREF _Toc300000019 \h </w:instrText>
        </w:r>
        <w:r>
          <w:rPr>
            <w:noProof/>
            <w:webHidden/>
          </w:rPr>
          <w:fldChar w:fldCharType="separate"/>
        </w:r>
        <w:r>
          <w:rPr>
            <w:noProof/>
            <w:webHidden/>
          </w:rPr>
          <w:t>13</w:t>
        </w:r>
        <w:r>
          <w:rPr>
            <w:noProof/>
            <w:webHidden/>
          </w:rPr>
          <w:fldChar w:fldCharType="end"/>
        </w:r>
      </w:hyperlink>
    </w:p>
    <w:p>
      <w:pPr>
        <w:pStyle w:val="TOC2"/>
      </w:pPr>
      <w:hyperlink w:anchor="_Toc300000020" w:history="1">
        <w:r>
          <w:rPr>
            <w:noProof/>
          </w:rPr>
          <w:t>7.5.</w:t>
        </w:r>
        <w:r>
          <w:rPr>
            <w:noProof/>
          </w:rPr>
          <w:tab/>
        </w:r>
        <w:r>
          <w:rPr>
            <w:noProof/>
          </w:rPr>
          <w:t xml:space="preserve">Event-driven reactions</w:t>
        </w:r>
        <w:r>
          <w:rPr>
            <w:noProof/>
            <w:webHidden/>
          </w:rPr>
          <w:tab/>
        </w:r>
        <w:r>
          <w:rPr>
            <w:noProof/>
            <w:webHidden/>
          </w:rPr>
          <w:fldChar w:fldCharType="begin"/>
        </w:r>
        <w:r>
          <w:rPr>
            <w:noProof/>
            <w:webHidden/>
          </w:rPr>
          <w:instrText xml:space="preserve"> PAGEREF _Toc300000020 \h </w:instrText>
        </w:r>
        <w:r>
          <w:rPr>
            <w:noProof/>
            <w:webHidden/>
          </w:rPr>
          <w:fldChar w:fldCharType="separate"/>
        </w:r>
        <w:r>
          <w:rPr>
            <w:noProof/>
            <w:webHidden/>
          </w:rPr>
          <w:t>13</w:t>
        </w:r>
        <w:r>
          <w:rPr>
            <w:noProof/>
            <w:webHidden/>
          </w:rPr>
          <w:fldChar w:fldCharType="end"/>
        </w:r>
      </w:hyperlink>
    </w:p>
    <w:p>
      <w:pPr>
        <w:pStyle w:val="TOC2"/>
      </w:pPr>
      <w:hyperlink w:anchor="_Toc300000021" w:history="1">
        <w:r>
          <w:rPr>
            <w:noProof/>
          </w:rPr>
          <w:t>7.6.</w:t>
        </w:r>
        <w:r>
          <w:rPr>
            <w:noProof/>
          </w:rPr>
          <w:tab/>
        </w:r>
        <w:r>
          <w:rPr>
            <w:noProof/>
          </w:rPr>
          <w:t xml:space="preserve">Configurability</w:t>
        </w:r>
        <w:r>
          <w:rPr>
            <w:noProof/>
            <w:webHidden/>
          </w:rPr>
          <w:tab/>
        </w:r>
        <w:r>
          <w:rPr>
            <w:noProof/>
            <w:webHidden/>
          </w:rPr>
          <w:fldChar w:fldCharType="begin"/>
        </w:r>
        <w:r>
          <w:rPr>
            <w:noProof/>
            <w:webHidden/>
          </w:rPr>
          <w:instrText xml:space="preserve"> PAGEREF _Toc300000021 \h </w:instrText>
        </w:r>
        <w:r>
          <w:rPr>
            <w:noProof/>
            <w:webHidden/>
          </w:rPr>
          <w:fldChar w:fldCharType="separate"/>
        </w:r>
        <w:r>
          <w:rPr>
            <w:noProof/>
            <w:webHidden/>
          </w:rPr>
          <w:t>15</w:t>
        </w:r>
        <w:r>
          <w:rPr>
            <w:noProof/>
            <w:webHidden/>
          </w:rPr>
          <w:fldChar w:fldCharType="end"/>
        </w:r>
      </w:hyperlink>
    </w:p>
    <w:p>
      <w:pPr>
        <w:pStyle w:val="TOC1"/>
      </w:pPr>
      <w:hyperlink w:anchor="_Toc300000022" w:history="1">
        <w:r>
          <w:rPr>
            <w:noProof/>
          </w:rPr>
          <w:t>8.</w:t>
        </w:r>
        <w:r>
          <w:rPr>
            <w:noProof/>
          </w:rPr>
          <w:tab/>
        </w:r>
        <w:r>
          <w:rPr>
            <w:noProof/>
          </w:rPr>
          <w:t xml:space="preserve">Key flows</w:t>
        </w:r>
        <w:r>
          <w:rPr>
            <w:noProof/>
            <w:webHidden/>
          </w:rPr>
          <w:tab/>
        </w:r>
        <w:r>
          <w:rPr>
            <w:noProof/>
            <w:webHidden/>
          </w:rPr>
          <w:fldChar w:fldCharType="begin"/>
        </w:r>
        <w:r>
          <w:rPr>
            <w:noProof/>
            <w:webHidden/>
          </w:rPr>
          <w:instrText xml:space="preserve"> PAGEREF _Toc300000022 \h </w:instrText>
        </w:r>
        <w:r>
          <w:rPr>
            <w:noProof/>
            <w:webHidden/>
          </w:rPr>
          <w:fldChar w:fldCharType="separate"/>
        </w:r>
        <w:r>
          <w:rPr>
            <w:noProof/>
            <w:webHidden/>
          </w:rPr>
          <w:t>16</w:t>
        </w:r>
        <w:r>
          <w:rPr>
            <w:noProof/>
            <w:webHidden/>
          </w:rPr>
          <w:fldChar w:fldCharType="end"/>
        </w:r>
      </w:hyperlink>
    </w:p>
    <w:p>
      <w:pPr>
        <w:pStyle w:val="TOC2"/>
      </w:pPr>
      <w:hyperlink w:anchor="_Toc300000023" w:history="1">
        <w:r>
          <w:rPr>
            <w:noProof/>
          </w:rPr>
          <w:t>8.1.</w:t>
        </w:r>
        <w:r>
          <w:rPr>
            <w:noProof/>
          </w:rPr>
          <w:tab/>
        </w:r>
        <w:r>
          <w:rPr>
            <w:noProof/>
          </w:rPr>
          <w:t xml:space="preserve">From data to next-best action</w:t>
        </w:r>
        <w:r>
          <w:rPr>
            <w:noProof/>
            <w:webHidden/>
          </w:rPr>
          <w:tab/>
        </w:r>
        <w:r>
          <w:rPr>
            <w:noProof/>
            <w:webHidden/>
          </w:rPr>
          <w:fldChar w:fldCharType="begin"/>
        </w:r>
        <w:r>
          <w:rPr>
            <w:noProof/>
            <w:webHidden/>
          </w:rPr>
          <w:instrText xml:space="preserve"> PAGEREF _Toc300000023 \h </w:instrText>
        </w:r>
        <w:r>
          <w:rPr>
            <w:noProof/>
            <w:webHidden/>
          </w:rPr>
          <w:fldChar w:fldCharType="separate"/>
        </w:r>
        <w:r>
          <w:rPr>
            <w:noProof/>
            <w:webHidden/>
          </w:rPr>
          <w:t>16</w:t>
        </w:r>
        <w:r>
          <w:rPr>
            <w:noProof/>
            <w:webHidden/>
          </w:rPr>
          <w:fldChar w:fldCharType="end"/>
        </w:r>
      </w:hyperlink>
    </w:p>
    <w:p>
      <w:pPr>
        <w:pStyle w:val="TOC2"/>
      </w:pPr>
      <w:hyperlink w:anchor="_Toc300000024" w:history="1">
        <w:r>
          <w:rPr>
            <w:noProof/>
          </w:rPr>
          <w:t>8.2.</w:t>
        </w:r>
        <w:r>
          <w:rPr>
            <w:noProof/>
          </w:rPr>
          <w:tab/>
        </w:r>
        <w:r>
          <w:rPr>
            <w:noProof/>
          </w:rPr>
          <w:t xml:space="preserve">Renewal journey, end to end</w:t>
        </w:r>
        <w:r>
          <w:rPr>
            <w:noProof/>
            <w:webHidden/>
          </w:rPr>
          <w:tab/>
        </w:r>
        <w:r>
          <w:rPr>
            <w:noProof/>
            <w:webHidden/>
          </w:rPr>
          <w:fldChar w:fldCharType="begin"/>
        </w:r>
        <w:r>
          <w:rPr>
            <w:noProof/>
            <w:webHidden/>
          </w:rPr>
          <w:instrText xml:space="preserve"> PAGEREF _Toc300000024 \h </w:instrText>
        </w:r>
        <w:r>
          <w:rPr>
            <w:noProof/>
            <w:webHidden/>
          </w:rPr>
          <w:fldChar w:fldCharType="separate"/>
        </w:r>
        <w:r>
          <w:rPr>
            <w:noProof/>
            <w:webHidden/>
          </w:rPr>
          <w:t>18</w:t>
        </w:r>
        <w:r>
          <w:rPr>
            <w:noProof/>
            <w:webHidden/>
          </w:rPr>
          <w:fldChar w:fldCharType="end"/>
        </w:r>
      </w:hyperlink>
    </w:p>
    <w:p>
      <w:pPr>
        <w:pStyle w:val="TOC2"/>
      </w:pPr>
      <w:hyperlink w:anchor="_Toc300000025" w:history="1">
        <w:r>
          <w:rPr>
            <w:noProof/>
          </w:rPr>
          <w:t>8.3.</w:t>
        </w:r>
        <w:r>
          <w:rPr>
            <w:noProof/>
          </w:rPr>
          <w:tab/>
        </w:r>
        <w:r>
          <w:rPr>
            <w:noProof/>
          </w:rPr>
          <w:t xml:space="preserve">Quick renewal</w:t>
        </w:r>
        <w:r>
          <w:rPr>
            <w:noProof/>
            <w:webHidden/>
          </w:rPr>
          <w:tab/>
        </w:r>
        <w:r>
          <w:rPr>
            <w:noProof/>
            <w:webHidden/>
          </w:rPr>
          <w:fldChar w:fldCharType="begin"/>
        </w:r>
        <w:r>
          <w:rPr>
            <w:noProof/>
            <w:webHidden/>
          </w:rPr>
          <w:instrText xml:space="preserve"> PAGEREF _Toc300000025 \h </w:instrText>
        </w:r>
        <w:r>
          <w:rPr>
            <w:noProof/>
            <w:webHidden/>
          </w:rPr>
          <w:fldChar w:fldCharType="separate"/>
        </w:r>
        <w:r>
          <w:rPr>
            <w:noProof/>
            <w:webHidden/>
          </w:rPr>
          <w:t>19</w:t>
        </w:r>
        <w:r>
          <w:rPr>
            <w:noProof/>
            <w:webHidden/>
          </w:rPr>
          <w:fldChar w:fldCharType="end"/>
        </w:r>
      </w:hyperlink>
    </w:p>
    <w:p>
      <w:pPr>
        <w:pStyle w:val="TOC2"/>
      </w:pPr>
      <w:hyperlink w:anchor="_Toc300000026" w:history="1">
        <w:r>
          <w:rPr>
            <w:noProof/>
          </w:rPr>
          <w:t>8.4.</w:t>
        </w:r>
        <w:r>
          <w:rPr>
            <w:noProof/>
          </w:rPr>
          <w:tab/>
        </w:r>
        <w:r>
          <w:rPr>
            <w:noProof/>
          </w:rPr>
          <w:t xml:space="preserve">Data-subject requests</w:t>
        </w:r>
        <w:r>
          <w:rPr>
            <w:noProof/>
            <w:webHidden/>
          </w:rPr>
          <w:tab/>
        </w:r>
        <w:r>
          <w:rPr>
            <w:noProof/>
            <w:webHidden/>
          </w:rPr>
          <w:fldChar w:fldCharType="begin"/>
        </w:r>
        <w:r>
          <w:rPr>
            <w:noProof/>
            <w:webHidden/>
          </w:rPr>
          <w:instrText xml:space="preserve"> PAGEREF _Toc300000026 \h </w:instrText>
        </w:r>
        <w:r>
          <w:rPr>
            <w:noProof/>
            <w:webHidden/>
          </w:rPr>
          <w:fldChar w:fldCharType="separate"/>
        </w:r>
        <w:r>
          <w:rPr>
            <w:noProof/>
            <w:webHidden/>
          </w:rPr>
          <w:t>20</w:t>
        </w:r>
        <w:r>
          <w:rPr>
            <w:noProof/>
            <w:webHidden/>
          </w:rPr>
          <w:fldChar w:fldCharType="end"/>
        </w:r>
      </w:hyperlink>
    </w:p>
    <w:p>
      <w:pPr>
        <w:pStyle w:val="TOC2"/>
      </w:pPr>
      <w:hyperlink w:anchor="_Toc300000027" w:history="1">
        <w:r>
          <w:rPr>
            <w:noProof/>
          </w:rPr>
          <w:t>8.5.</w:t>
        </w:r>
        <w:r>
          <w:rPr>
            <w:noProof/>
          </w:rPr>
          <w:tab/>
        </w:r>
        <w:r>
          <w:rPr>
            <w:noProof/>
          </w:rPr>
          <w:t xml:space="preserve">Rule change with maker-checker</w:t>
        </w:r>
        <w:r>
          <w:rPr>
            <w:noProof/>
            <w:webHidden/>
          </w:rPr>
          <w:tab/>
        </w:r>
        <w:r>
          <w:rPr>
            <w:noProof/>
            <w:webHidden/>
          </w:rPr>
          <w:fldChar w:fldCharType="begin"/>
        </w:r>
        <w:r>
          <w:rPr>
            <w:noProof/>
            <w:webHidden/>
          </w:rPr>
          <w:instrText xml:space="preserve"> PAGEREF _Toc300000027 \h </w:instrText>
        </w:r>
        <w:r>
          <w:rPr>
            <w:noProof/>
            <w:webHidden/>
          </w:rPr>
          <w:fldChar w:fldCharType="separate"/>
        </w:r>
        <w:r>
          <w:rPr>
            <w:noProof/>
            <w:webHidden/>
          </w:rPr>
          <w:t>20</w:t>
        </w:r>
        <w:r>
          <w:rPr>
            <w:noProof/>
            <w:webHidden/>
          </w:rPr>
          <w:fldChar w:fldCharType="end"/>
        </w:r>
      </w:hyperlink>
    </w:p>
    <w:p>
      <w:pPr>
        <w:pStyle w:val="TOC2"/>
      </w:pPr>
      <w:hyperlink w:anchor="_Toc300000028" w:history="1">
        <w:r>
          <w:rPr>
            <w:noProof/>
          </w:rPr>
          <w:t>8.6.</w:t>
        </w:r>
        <w:r>
          <w:rPr>
            <w:noProof/>
          </w:rPr>
          <w:tab/>
        </w:r>
        <w:r>
          <w:rPr>
            <w:noProof/>
          </w:rPr>
          <w:t xml:space="preserve">VETC ecosystem events</w:t>
        </w:r>
        <w:r>
          <w:rPr>
            <w:noProof/>
            <w:webHidden/>
          </w:rPr>
          <w:tab/>
        </w:r>
        <w:r>
          <w:rPr>
            <w:noProof/>
            <w:webHidden/>
          </w:rPr>
          <w:fldChar w:fldCharType="begin"/>
        </w:r>
        <w:r>
          <w:rPr>
            <w:noProof/>
            <w:webHidden/>
          </w:rPr>
          <w:instrText xml:space="preserve"> PAGEREF _Toc300000028 \h </w:instrText>
        </w:r>
        <w:r>
          <w:rPr>
            <w:noProof/>
            <w:webHidden/>
          </w:rPr>
          <w:fldChar w:fldCharType="separate"/>
        </w:r>
        <w:r>
          <w:rPr>
            <w:noProof/>
            <w:webHidden/>
          </w:rPr>
          <w:t>21</w:t>
        </w:r>
        <w:r>
          <w:rPr>
            <w:noProof/>
            <w:webHidden/>
          </w:rPr>
          <w:fldChar w:fldCharType="end"/>
        </w:r>
      </w:hyperlink>
    </w:p>
    <w:p>
      <w:pPr>
        <w:pStyle w:val="TOC1"/>
      </w:pPr>
      <w:hyperlink w:anchor="_Toc300000029" w:history="1">
        <w:r>
          <w:rPr>
            <w:noProof/>
          </w:rPr>
          <w:t>9.</w:t>
        </w:r>
        <w:r>
          <w:rPr>
            <w:noProof/>
          </w:rPr>
          <w:tab/>
        </w:r>
        <w:r>
          <w:rPr>
            <w:noProof/>
          </w:rPr>
          <w:t xml:space="preserve">Quality attributes</w:t>
        </w:r>
        <w:r>
          <w:rPr>
            <w:noProof/>
            <w:webHidden/>
          </w:rPr>
          <w:tab/>
        </w:r>
        <w:r>
          <w:rPr>
            <w:noProof/>
            <w:webHidden/>
          </w:rPr>
          <w:fldChar w:fldCharType="begin"/>
        </w:r>
        <w:r>
          <w:rPr>
            <w:noProof/>
            <w:webHidden/>
          </w:rPr>
          <w:instrText xml:space="preserve"> PAGEREF _Toc300000029 \h </w:instrText>
        </w:r>
        <w:r>
          <w:rPr>
            <w:noProof/>
            <w:webHidden/>
          </w:rPr>
          <w:fldChar w:fldCharType="separate"/>
        </w:r>
        <w:r>
          <w:rPr>
            <w:noProof/>
            <w:webHidden/>
          </w:rPr>
          <w:t>22</w:t>
        </w:r>
        <w:r>
          <w:rPr>
            <w:noProof/>
            <w:webHidden/>
          </w:rPr>
          <w:fldChar w:fldCharType="end"/>
        </w:r>
      </w:hyperlink>
    </w:p>
    <w:p>
      <w:pPr>
        <w:pStyle w:val="TOC2"/>
      </w:pPr>
      <w:hyperlink w:anchor="_Toc300000030" w:history="1">
        <w:r>
          <w:rPr>
            <w:noProof/>
          </w:rPr>
          <w:t>9.1.</w:t>
        </w:r>
        <w:r>
          <w:rPr>
            <w:noProof/>
          </w:rPr>
          <w:tab/>
        </w:r>
        <w:r>
          <w:rPr>
            <w:noProof/>
          </w:rPr>
          <w:t xml:space="preserve">Targets</w:t>
        </w:r>
        <w:r>
          <w:rPr>
            <w:noProof/>
            <w:webHidden/>
          </w:rPr>
          <w:tab/>
        </w:r>
        <w:r>
          <w:rPr>
            <w:noProof/>
            <w:webHidden/>
          </w:rPr>
          <w:fldChar w:fldCharType="begin"/>
        </w:r>
        <w:r>
          <w:rPr>
            <w:noProof/>
            <w:webHidden/>
          </w:rPr>
          <w:instrText xml:space="preserve"> PAGEREF _Toc300000030 \h </w:instrText>
        </w:r>
        <w:r>
          <w:rPr>
            <w:noProof/>
            <w:webHidden/>
          </w:rPr>
          <w:fldChar w:fldCharType="separate"/>
        </w:r>
        <w:r>
          <w:rPr>
            <w:noProof/>
            <w:webHidden/>
          </w:rPr>
          <w:t>22</w:t>
        </w:r>
        <w:r>
          <w:rPr>
            <w:noProof/>
            <w:webHidden/>
          </w:rPr>
          <w:fldChar w:fldCharType="end"/>
        </w:r>
      </w:hyperlink>
    </w:p>
    <w:p>
      <w:pPr>
        <w:pStyle w:val="TOC2"/>
      </w:pPr>
      <w:hyperlink w:anchor="_Toc300000031" w:history="1">
        <w:r>
          <w:rPr>
            <w:noProof/>
          </w:rPr>
          <w:t>9.2.</w:t>
        </w:r>
        <w:r>
          <w:rPr>
            <w:noProof/>
          </w:rPr>
          <w:tab/>
        </w:r>
        <w:r>
          <w:rPr>
            <w:noProof/>
          </w:rPr>
          <w:t xml:space="preserve">Scalability</w:t>
        </w:r>
        <w:r>
          <w:rPr>
            <w:noProof/>
            <w:webHidden/>
          </w:rPr>
          <w:tab/>
        </w:r>
        <w:r>
          <w:rPr>
            <w:noProof/>
            <w:webHidden/>
          </w:rPr>
          <w:fldChar w:fldCharType="begin"/>
        </w:r>
        <w:r>
          <w:rPr>
            <w:noProof/>
            <w:webHidden/>
          </w:rPr>
          <w:instrText xml:space="preserve"> PAGEREF _Toc300000031 \h </w:instrText>
        </w:r>
        <w:r>
          <w:rPr>
            <w:noProof/>
            <w:webHidden/>
          </w:rPr>
          <w:fldChar w:fldCharType="separate"/>
        </w:r>
        <w:r>
          <w:rPr>
            <w:noProof/>
            <w:webHidden/>
          </w:rPr>
          <w:t>22</w:t>
        </w:r>
        <w:r>
          <w:rPr>
            <w:noProof/>
            <w:webHidden/>
          </w:rPr>
          <w:fldChar w:fldCharType="end"/>
        </w:r>
      </w:hyperlink>
    </w:p>
    <w:p>
      <w:pPr>
        <w:pStyle w:val="TOC1"/>
      </w:pPr>
      <w:hyperlink w:anchor="_Toc300000032" w:history="1">
        <w:r>
          <w:rPr>
            <w:noProof/>
          </w:rPr>
          <w:t>10.</w:t>
        </w:r>
        <w:r>
          <w:rPr>
            <w:noProof/>
          </w:rPr>
          <w:tab/>
        </w:r>
        <w:r>
          <w:rPr>
            <w:noProof/>
          </w:rPr>
          <w:t xml:space="preserve">Constraints and assumptions</w:t>
        </w:r>
        <w:r>
          <w:rPr>
            <w:noProof/>
            <w:webHidden/>
          </w:rPr>
          <w:tab/>
        </w:r>
        <w:r>
          <w:rPr>
            <w:noProof/>
            <w:webHidden/>
          </w:rPr>
          <w:fldChar w:fldCharType="begin"/>
        </w:r>
        <w:r>
          <w:rPr>
            <w:noProof/>
            <w:webHidden/>
          </w:rPr>
          <w:instrText xml:space="preserve"> PAGEREF _Toc300000032 \h </w:instrText>
        </w:r>
        <w:r>
          <w:rPr>
            <w:noProof/>
            <w:webHidden/>
          </w:rPr>
          <w:fldChar w:fldCharType="separate"/>
        </w:r>
        <w:r>
          <w:rPr>
            <w:noProof/>
            <w:webHidden/>
          </w:rPr>
          <w:t>23</w:t>
        </w:r>
        <w:r>
          <w:rPr>
            <w:noProof/>
            <w:webHidden/>
          </w:rPr>
          <w:fldChar w:fldCharType="end"/>
        </w:r>
      </w:hyperlink>
    </w:p>
    <w:p>
      <w:pPr>
        <w:pStyle w:val="TOC1"/>
      </w:pPr>
      <w:hyperlink w:anchor="_Toc300000033" w:history="1">
        <w:r>
          <w:rPr>
            <w:noProof/>
          </w:rPr>
          <w:t>11.</w:t>
        </w:r>
        <w:r>
          <w:rPr>
            <w:noProof/>
          </w:rPr>
          <w:tab/>
        </w:r>
        <w:r>
          <w:rPr>
            <w:noProof/>
          </w:rPr>
          <w:t xml:space="preserve">Evolution path</w:t>
        </w:r>
        <w:r>
          <w:rPr>
            <w:noProof/>
            <w:webHidden/>
          </w:rPr>
          <w:tab/>
        </w:r>
        <w:r>
          <w:rPr>
            <w:noProof/>
            <w:webHidden/>
          </w:rPr>
          <w:fldChar w:fldCharType="begin"/>
        </w:r>
        <w:r>
          <w:rPr>
            <w:noProof/>
            <w:webHidden/>
          </w:rPr>
          <w:instrText xml:space="preserve"> PAGEREF _Toc300000033 \h </w:instrText>
        </w:r>
        <w:r>
          <w:rPr>
            <w:noProof/>
            <w:webHidden/>
          </w:rPr>
          <w:fldChar w:fldCharType="separate"/>
        </w:r>
        <w:r>
          <w:rPr>
            <w:noProof/>
            <w:webHidden/>
          </w:rPr>
          <w:t>24</w:t>
        </w:r>
        <w:r>
          <w:rPr>
            <w:noProof/>
            <w:webHidden/>
          </w:rPr>
          <w:fldChar w:fldCharType="end"/>
        </w:r>
      </w:hyperlink>
    </w:p>
    <w:p>
      <w:pPr>
        <w:pStyle w:val="TOC1"/>
      </w:pPr>
      <w:hyperlink w:anchor="_Toc300000034" w:history="1">
        <w:r>
          <w:rPr>
            <w:noProof/>
          </w:rPr>
          <w:t>12.</w:t>
        </w:r>
        <w:r>
          <w:rPr>
            <w:noProof/>
          </w:rPr>
          <w:tab/>
        </w:r>
        <w:r>
          <w:rPr>
            <w:noProof/>
          </w:rPr>
          <w:t xml:space="preserve">Appendix</w:t>
        </w:r>
        <w:r>
          <w:rPr>
            <w:noProof/>
            <w:webHidden/>
          </w:rPr>
          <w:tab/>
        </w:r>
        <w:r>
          <w:rPr>
            <w:noProof/>
            <w:webHidden/>
          </w:rPr>
          <w:fldChar w:fldCharType="begin"/>
        </w:r>
        <w:r>
          <w:rPr>
            <w:noProof/>
            <w:webHidden/>
          </w:rPr>
          <w:instrText xml:space="preserve"> PAGEREF _Toc300000034 \h </w:instrText>
        </w:r>
        <w:r>
          <w:rPr>
            <w:noProof/>
            <w:webHidden/>
          </w:rPr>
          <w:fldChar w:fldCharType="separate"/>
        </w:r>
        <w:r>
          <w:rPr>
            <w:noProof/>
            <w:webHidden/>
          </w:rPr>
          <w:t>24</w:t>
        </w:r>
        <w:r>
          <w:rPr>
            <w:noProof/>
            <w:webHidden/>
          </w:rPr>
          <w:fldChar w:fldCharType="end"/>
        </w:r>
      </w:hyperlink>
    </w:p>
    <w:p>
      <w:pPr>
        <w:pStyle w:val="TOC2"/>
      </w:pPr>
      <w:hyperlink w:anchor="_Toc300000035" w:history="1">
        <w:r>
          <w:rPr>
            <w:noProof/>
          </w:rPr>
          <w:t>12.1.</w:t>
        </w:r>
        <w:r>
          <w:rPr>
            <w:noProof/>
          </w:rPr>
          <w:tab/>
        </w:r>
        <w:r>
          <w:rPr>
            <w:noProof/>
          </w:rPr>
          <w:t xml:space="preserve">Source map</w:t>
        </w:r>
        <w:r>
          <w:rPr>
            <w:noProof/>
            <w:webHidden/>
          </w:rPr>
          <w:tab/>
        </w:r>
        <w:r>
          <w:rPr>
            <w:noProof/>
            <w:webHidden/>
          </w:rPr>
          <w:fldChar w:fldCharType="begin"/>
        </w:r>
        <w:r>
          <w:rPr>
            <w:noProof/>
            <w:webHidden/>
          </w:rPr>
          <w:instrText xml:space="preserve"> PAGEREF _Toc300000035 \h </w:instrText>
        </w:r>
        <w:r>
          <w:rPr>
            <w:noProof/>
            <w:webHidden/>
          </w:rPr>
          <w:fldChar w:fldCharType="separate"/>
        </w:r>
        <w:r>
          <w:rPr>
            <w:noProof/>
            <w:webHidden/>
          </w:rPr>
          <w:t>24</w:t>
        </w:r>
        <w:r>
          <w:rPr>
            <w:noProof/>
            <w:webHidden/>
          </w:rPr>
          <w:fldChar w:fldCharType="end"/>
        </w:r>
      </w:hyperlink>
    </w:p>
    <w:p>
      <w:pPr>
        <w:pStyle w:val="TOC1"/>
      </w:pPr>
      <w:hyperlink w:anchor="_Toc300000036" w:history="1">
        <w:r>
          <w:rPr>
            <w:noProof/>
          </w:rPr>
          <w:t>13.</w:t>
        </w:r>
        <w:r>
          <w:rPr>
            <w:noProof/>
          </w:rPr>
          <w:tab/>
        </w:r>
        <w:r>
          <w:rPr>
            <w:noProof/>
          </w:rPr>
          <w:t xml:space="preserve">Sign-Off</w:t>
        </w:r>
        <w:r>
          <w:rPr>
            <w:noProof/>
            <w:webHidden/>
          </w:rPr>
          <w:tab/>
        </w:r>
        <w:r>
          <w:rPr>
            <w:noProof/>
            <w:webHidden/>
          </w:rPr>
          <w:fldChar w:fldCharType="begin"/>
        </w:r>
        <w:r>
          <w:rPr>
            <w:noProof/>
            <w:webHidden/>
          </w:rPr>
          <w:instrText xml:space="preserve"> PAGEREF _Toc300000036 \h </w:instrText>
        </w:r>
        <w:r>
          <w:rPr>
            <w:noProof/>
            <w:webHidden/>
          </w:rPr>
          <w:fldChar w:fldCharType="separate"/>
        </w:r>
        <w:r>
          <w:rPr>
            <w:noProof/>
            <w:webHidden/>
          </w:rPr>
          <w:t>26</w:t>
        </w:r>
        <w:r>
          <w:rPr>
            <w:noProof/>
            <w:webHidden/>
          </w:rPr>
          <w:fldChar w:fldCharType="end"/>
        </w:r>
      </w:hyperlink>
      <w:r>
        <w:rPr>
          <w:noProof/>
        </w:rPr>
        <w:fldChar w:fldCharType="end"/>
      </w:r>
    </w:p>
    <w:p w14:paraId="375D9C08"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1" w:name="_Toc11824118"/>
      <w:bookmarkStart w:id="2" w:name="_Toc48319687"/>
      <w:bookmarkStart w:id="3" w:name="_Toc300000001"/>
      <w:r w:rsidRPr="00212D69">
        <w:rPr>
          <w:rStyle w:val="BookTitle"/>
          <w:b w:val="0"/>
        </w:rPr>
        <w:t xml:space="preserve"> </w:t>
      </w:r>
      <w:bookmarkStart w:id="4" w:name="_Toc233203387"/>
      <w:r w:rsidRPr="00465CAB">
        <w:rPr>
          <w:rStyle w:val="BookTitle"/>
          <w:bCs w:val="0"/>
          <w:i w:val="0"/>
          <w:iCs w:val="0"/>
          <w:spacing w:val="0"/>
        </w:rPr>
        <w:t>Document Control</w:t>
      </w:r>
      <w:bookmarkEnd w:id="1"/>
      <w:bookmarkEnd w:id="2"/>
      <w:bookmarkEnd w:id="4"/>
      <w:bookmarkEnd w:id="3"/>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286"/>
        <w:gridCol w:w="991"/>
        <w:gridCol w:w="1821"/>
        <w:gridCol w:w="1500"/>
        <w:gridCol w:w="2142"/>
        <w:gridCol w:w="1287"/>
      </w:tblGrid>
      <w:tr w:rsidR="002B183A" w14:paraId="4E198CD6" w14:textId="77777777" w:rsidTr="002923F3">
        <w:trPr>
          <w:cantSplit/>
          <w:trHeight w:val="440"/>
          <w:tblHeader/>
        </w:trPr>
        <w:tc>
          <w:tcPr>
            <w:tcW w:w="1286" w:type="dxa"/>
            <w:shd w:val="clear" w:color="auto" w:fill="0F4761"/>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Date</w:t>
            </w:r>
          </w:p>
        </w:tc>
        <w:tc>
          <w:tcPr>
            <w:tcW w:w="991" w:type="dxa"/>
            <w:shd w:val="clear" w:color="auto" w:fill="0F4761"/>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Version</w:t>
            </w:r>
          </w:p>
        </w:tc>
        <w:tc>
          <w:tcPr>
            <w:tcW w:w="1821" w:type="dxa"/>
            <w:shd w:val="clear" w:color="auto" w:fill="0F4761"/>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Author &amp; Business Unit Info</w:t>
            </w:r>
          </w:p>
        </w:tc>
        <w:tc>
          <w:tcPr>
            <w:tcW w:w="1500" w:type="dxa"/>
            <w:shd w:val="clear" w:color="auto" w:fill="0F4761"/>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Reviewed By &amp; Business Unit Info</w:t>
            </w:r>
          </w:p>
        </w:tc>
        <w:tc>
          <w:tcPr>
            <w:tcW w:w="2142" w:type="dxa"/>
            <w:shd w:val="clear" w:color="auto" w:fill="0F4761"/>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Approved By &amp; Business Unit Info</w:t>
            </w:r>
          </w:p>
        </w:tc>
        <w:tc>
          <w:tcPr>
            <w:tcW w:w="1287" w:type="dxa"/>
            <w:shd w:val="clear" w:color="auto" w:fill="0F4761"/>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FFFFFF"/>
                <w:sz w:val="16"/>
                <w:szCs w:val="16"/>
              </w:rPr>
              <w:t>Change History</w:t>
            </w:r>
          </w:p>
        </w:tc>
      </w:tr>
      <w:tr w:rsidR="002B183A" w:rsidRPr="00BB346A" w14:paraId="0CC92F71" w14:textId="77777777" w:rsidTr="002923F3">
        <w:trPr>
          <w:cantSplit/>
          <w:trHeight w:val="449"/>
        </w:trPr>
        <w:tc>
          <w:tcPr>
            <w:tcW w:w="1286" w:type="dxa"/>
            <w:vAlign w:val="top"/>
          </w:tcPr>
          <w:p w14:paraId="453CD40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08/10/2026</w:t>
            </w:r>
          </w:p>
        </w:tc>
        <w:tc>
          <w:tcPr>
            <w:tcW w:w="991" w:type="dxa"/>
            <w:vAlign w:val="top"/>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1.0</w:t>
            </w:r>
          </w:p>
        </w:tc>
        <w:tc>
          <w:tcPr>
            <w:tcW w:w="1821" w:type="dxa"/>
            <w:vAlign w:val="top"/>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r>
              <w:rPr>
                <w:rFonts w:ascii="Segoe UI" w:eastAsia="Arial" w:hAnsi="Segoe UI" w:cs="Segoe UI"/>
                <w:color w:val="101820"/>
                <w:sz w:val="16"/>
                <w:szCs w:val="16"/>
              </w:rPr>
              <w:br/>
              <w:t xml:space="preserve">Solution Architecture</w:t>
            </w:r>
          </w:p>
        </w:tc>
        <w:tc>
          <w:tcPr>
            <w:tcW w:w="1500" w:type="dxa"/>
            <w:vAlign w:val="top"/>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IT Architecture</w:t>
            </w:r>
          </w:p>
        </w:tc>
        <w:tc>
          <w:tcPr>
            <w:tcW w:w="2142" w:type="dxa"/>
            <w:vAlign w:val="top"/>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r>
              <w:rPr>
                <w:rFonts w:ascii="Segoe UI" w:eastAsia="Arial" w:hAnsi="Segoe UI" w:cs="Segoe UI"/>
                <w:color w:val="101820"/>
                <w:sz w:val="16"/>
                <w:szCs w:val="16"/>
              </w:rPr>
              <w:br/>
              <w:t xml:space="preserve">Programme Sponsor</w:t>
            </w:r>
          </w:p>
        </w:tc>
        <w:tc>
          <w:tcPr>
            <w:tcW w:w="1287" w:type="dxa"/>
            <w:vAlign w:val="top"/>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Initial issue for submission</w:t>
            </w:r>
          </w:p>
        </w:tc>
      </w:tr>
    </w:tbl>
    <w:p w14:paraId="1D2DA8DE" w14:textId="77777777" w:rsidR="002B183A" w:rsidRDefault="002B183A" w:rsidP="002B183A">
      <w:pPr>
        <w:rPr>
          <w:rFonts w:ascii="Segoe UI" w:hAnsi="Segoe UI" w:cs="Segoe UI"/>
          <w:sz w:val="18"/>
          <w:szCs w:val="16"/>
          <w:lang w:bidi="en-US"/>
        </w:rPr>
      </w:pP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5" w:name="_Toc233203388"/>
      <w:bookmarkStart w:id="6" w:name="_Toc300000002"/>
      <w:r>
        <w:rPr>
          <w:rStyle w:val="BookTitle"/>
          <w:bCs w:val="0"/>
          <w:i w:val="0"/>
          <w:iCs w:val="0"/>
          <w:spacing w:val="0"/>
        </w:rPr>
        <w:t>Acronyms</w:t>
      </w:r>
      <w:bookmarkEnd w:id="5"/>
      <w:bookmarkEnd w:id="6"/>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565"/>
        <w:gridCol w:w="7462"/>
      </w:tblGrid>
      <w:tr w:rsidR="002B183A" w14:paraId="388F227F" w14:textId="77777777" w:rsidTr="002923F3">
        <w:trPr>
          <w:cantSplit/>
          <w:trHeight w:val="440"/>
          <w:tblHeader/>
        </w:trPr>
        <w:tc>
          <w:tcPr>
            <w:tcW w:w="1565" w:type="dxa"/>
            <w:shd w:val="clear" w:color="auto" w:fill="0F4761"/>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Acronym / Symbol</w:t>
            </w:r>
          </w:p>
        </w:tc>
        <w:tc>
          <w:tcPr>
            <w:tcW w:w="7462" w:type="dxa"/>
            <w:shd w:val="clear" w:color="auto" w:fill="0F4761"/>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FFFFFF"/>
                <w:sz w:val="16"/>
                <w:szCs w:val="16"/>
              </w:rPr>
              <w:t>Definition / Meaning</w:t>
            </w:r>
          </w:p>
        </w:tc>
      </w:tr>
      <w:tr w:rsidR="002B183A" w:rsidRPr="00BB346A" w14:paraId="73CFB63E" w14:textId="77777777" w:rsidTr="002923F3">
        <w:trPr>
          <w:cantSplit/>
          <w:trHeight w:val="449"/>
        </w:trPr>
        <w:tc>
          <w:tcPr>
            <w:tcW w:w="156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ADR</w:t>
            </w:r>
          </w:p>
        </w:tc>
        <w:tc>
          <w:tcPr>
            <w:tcW w:w="746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Architecture decision record</w:t>
            </w:r>
          </w:p>
        </w:tc>
      </w:tr>
      <w:tr w:rsidR="002B183A" w:rsidRPr="00BB346A" w14:paraId="73CFB63E" w14:textId="77777777" w:rsidTr="002923F3">
        <w:trPr>
          <w:cantSplit/>
          <w:trHeight w:val="449"/>
        </w:trPr>
        <w:tc>
          <w:tcPr>
            <w:tcW w:w="156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AES</w:t>
            </w:r>
          </w:p>
        </w:tc>
        <w:tc>
          <w:tcPr>
            <w:tcW w:w="746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Advanced Encryption Standard</w:t>
            </w:r>
          </w:p>
        </w:tc>
      </w:tr>
      <w:tr w:rsidR="002B183A" w:rsidRPr="00BB346A" w14:paraId="73CFB63E" w14:textId="77777777" w:rsidTr="002923F3">
        <w:trPr>
          <w:cantSplit/>
          <w:trHeight w:val="449"/>
        </w:trPr>
        <w:tc>
          <w:tcPr>
            <w:tcW w:w="156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AI</w:t>
            </w:r>
          </w:p>
        </w:tc>
        <w:tc>
          <w:tcPr>
            <w:tcW w:w="746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Artificial intelligence</w:t>
            </w:r>
          </w:p>
        </w:tc>
      </w:tr>
      <w:tr w:rsidR="002B183A" w:rsidRPr="00BB346A" w14:paraId="73CFB63E" w14:textId="77777777" w:rsidTr="002923F3">
        <w:trPr>
          <w:cantSplit/>
          <w:trHeight w:val="449"/>
        </w:trPr>
        <w:tc>
          <w:tcPr>
            <w:tcW w:w="156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API</w:t>
            </w:r>
          </w:p>
        </w:tc>
        <w:tc>
          <w:tcPr>
            <w:tcW w:w="746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Application programming interface</w:t>
            </w:r>
          </w:p>
        </w:tc>
      </w:tr>
      <w:tr w:rsidR="002B183A" w:rsidRPr="00BB346A" w14:paraId="73CFB63E" w14:textId="77777777" w:rsidTr="002923F3">
        <w:trPr>
          <w:cantSplit/>
          <w:trHeight w:val="449"/>
        </w:trPr>
        <w:tc>
          <w:tcPr>
            <w:tcW w:w="156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CDC</w:t>
            </w:r>
          </w:p>
        </w:tc>
        <w:tc>
          <w:tcPr>
            <w:tcW w:w="746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Change data capture</w:t>
            </w:r>
          </w:p>
        </w:tc>
      </w:tr>
      <w:tr w:rsidR="002B183A" w:rsidRPr="00BB346A" w14:paraId="73CFB63E" w14:textId="77777777" w:rsidTr="002923F3">
        <w:trPr>
          <w:cantSplit/>
          <w:trHeight w:val="449"/>
        </w:trPr>
        <w:tc>
          <w:tcPr>
            <w:tcW w:w="156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CI/CD</w:t>
            </w:r>
          </w:p>
        </w:tc>
        <w:tc>
          <w:tcPr>
            <w:tcW w:w="746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Continuous integration and continuous delivery</w:t>
            </w:r>
          </w:p>
        </w:tc>
      </w:tr>
      <w:tr w:rsidR="002B183A" w:rsidRPr="00BB346A" w14:paraId="73CFB63E" w14:textId="77777777" w:rsidTr="002923F3">
        <w:trPr>
          <w:cantSplit/>
          <w:trHeight w:val="449"/>
        </w:trPr>
        <w:tc>
          <w:tcPr>
            <w:tcW w:w="156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CTI</w:t>
            </w:r>
          </w:p>
        </w:tc>
        <w:tc>
          <w:tcPr>
            <w:tcW w:w="746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Computer telephony integration</w:t>
            </w:r>
          </w:p>
        </w:tc>
      </w:tr>
      <w:tr w:rsidR="002B183A" w:rsidRPr="00BB346A" w14:paraId="73CFB63E" w14:textId="77777777" w:rsidTr="002923F3">
        <w:trPr>
          <w:cantSplit/>
          <w:trHeight w:val="449"/>
        </w:trPr>
        <w:tc>
          <w:tcPr>
            <w:tcW w:w="156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DPO</w:t>
            </w:r>
          </w:p>
        </w:tc>
        <w:tc>
          <w:tcPr>
            <w:tcW w:w="746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Data protection officer</w:t>
            </w:r>
          </w:p>
        </w:tc>
      </w:tr>
      <w:tr w:rsidR="002B183A" w:rsidRPr="00BB346A" w14:paraId="73CFB63E" w14:textId="77777777" w:rsidTr="002923F3">
        <w:trPr>
          <w:cantSplit/>
          <w:trHeight w:val="449"/>
        </w:trPr>
        <w:tc>
          <w:tcPr>
            <w:tcW w:w="156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GCM</w:t>
            </w:r>
          </w:p>
        </w:tc>
        <w:tc>
          <w:tcPr>
            <w:tcW w:w="746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Galois/Counter Mode</w:t>
            </w:r>
          </w:p>
        </w:tc>
      </w:tr>
      <w:tr w:rsidR="002B183A" w:rsidRPr="00BB346A" w14:paraId="73CFB63E" w14:textId="77777777" w:rsidTr="002923F3">
        <w:trPr>
          <w:cantSplit/>
          <w:trHeight w:val="449"/>
        </w:trPr>
        <w:tc>
          <w:tcPr>
            <w:tcW w:w="156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HTML5</w:t>
            </w:r>
          </w:p>
        </w:tc>
        <w:tc>
          <w:tcPr>
            <w:tcW w:w="746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HyperText Markup Language, version 5</w:t>
            </w:r>
          </w:p>
        </w:tc>
      </w:tr>
      <w:tr w:rsidR="002B183A" w:rsidRPr="00BB346A" w14:paraId="73CFB63E" w14:textId="77777777" w:rsidTr="002923F3">
        <w:trPr>
          <w:cantSplit/>
          <w:trHeight w:val="449"/>
        </w:trPr>
        <w:tc>
          <w:tcPr>
            <w:tcW w:w="156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HTTP</w:t>
            </w:r>
          </w:p>
        </w:tc>
        <w:tc>
          <w:tcPr>
            <w:tcW w:w="746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Hypertext Transfer Protocol</w:t>
            </w:r>
          </w:p>
        </w:tc>
      </w:tr>
      <w:tr w:rsidR="002B183A" w:rsidRPr="00BB346A" w14:paraId="73CFB63E" w14:textId="77777777" w:rsidTr="002923F3">
        <w:trPr>
          <w:cantSplit/>
          <w:trHeight w:val="449"/>
        </w:trPr>
        <w:tc>
          <w:tcPr>
            <w:tcW w:w="156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w:t>
            </w:r>
          </w:p>
        </w:tc>
        <w:tc>
          <w:tcPr>
            <w:tcW w:w="746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Information technology</w:t>
            </w:r>
          </w:p>
        </w:tc>
      </w:tr>
      <w:tr w:rsidR="002B183A" w:rsidRPr="00BB346A" w14:paraId="73CFB63E" w14:textId="77777777" w:rsidTr="002923F3">
        <w:trPr>
          <w:cantSplit/>
          <w:trHeight w:val="449"/>
        </w:trPr>
        <w:tc>
          <w:tcPr>
            <w:tcW w:w="156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JSON</w:t>
            </w:r>
          </w:p>
        </w:tc>
        <w:tc>
          <w:tcPr>
            <w:tcW w:w="746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JavaScript Object Notation</w:t>
            </w:r>
          </w:p>
        </w:tc>
      </w:tr>
      <w:tr w:rsidR="002B183A" w:rsidRPr="00BB346A" w14:paraId="73CFB63E" w14:textId="77777777" w:rsidTr="002923F3">
        <w:trPr>
          <w:cantSplit/>
          <w:trHeight w:val="449"/>
        </w:trPr>
        <w:tc>
          <w:tcPr>
            <w:tcW w:w="156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MFA</w:t>
            </w:r>
          </w:p>
        </w:tc>
        <w:tc>
          <w:tcPr>
            <w:tcW w:w="746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Multi-factor authentication</w:t>
            </w:r>
          </w:p>
        </w:tc>
      </w:tr>
      <w:tr w:rsidR="002B183A" w:rsidRPr="00BB346A" w14:paraId="73CFB63E" w14:textId="77777777" w:rsidTr="002923F3">
        <w:trPr>
          <w:cantSplit/>
          <w:trHeight w:val="449"/>
        </w:trPr>
        <w:tc>
          <w:tcPr>
            <w:tcW w:w="156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MVP</w:t>
            </w:r>
          </w:p>
        </w:tc>
        <w:tc>
          <w:tcPr>
            <w:tcW w:w="746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Minimum viable product</w:t>
            </w:r>
          </w:p>
        </w:tc>
      </w:tr>
      <w:tr w:rsidR="002B183A" w:rsidRPr="00BB346A" w14:paraId="73CFB63E" w14:textId="77777777" w:rsidTr="002923F3">
        <w:trPr>
          <w:cantSplit/>
          <w:trHeight w:val="449"/>
        </w:trPr>
        <w:tc>
          <w:tcPr>
            <w:tcW w:w="156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OIDC</w:t>
            </w:r>
          </w:p>
        </w:tc>
        <w:tc>
          <w:tcPr>
            <w:tcW w:w="746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OpenID Connect</w:t>
            </w:r>
          </w:p>
        </w:tc>
      </w:tr>
      <w:tr w:rsidR="002B183A" w:rsidRPr="00BB346A" w14:paraId="73CFB63E" w14:textId="77777777" w:rsidTr="002923F3">
        <w:trPr>
          <w:cantSplit/>
          <w:trHeight w:val="449"/>
        </w:trPr>
        <w:tc>
          <w:tcPr>
            <w:tcW w:w="156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PII</w:t>
            </w:r>
          </w:p>
        </w:tc>
        <w:tc>
          <w:tcPr>
            <w:tcW w:w="746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Personally identifiable information</w:t>
            </w:r>
          </w:p>
        </w:tc>
      </w:tr>
      <w:tr w:rsidR="002B183A" w:rsidRPr="00BB346A" w14:paraId="73CFB63E" w14:textId="77777777" w:rsidTr="002923F3">
        <w:trPr>
          <w:cantSplit/>
          <w:trHeight w:val="449"/>
        </w:trPr>
        <w:tc>
          <w:tcPr>
            <w:tcW w:w="156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REST</w:t>
            </w:r>
          </w:p>
        </w:tc>
        <w:tc>
          <w:tcPr>
            <w:tcW w:w="746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Representational state transfer</w:t>
            </w:r>
          </w:p>
        </w:tc>
      </w:tr>
      <w:tr w:rsidR="002B183A" w:rsidRPr="00BB346A" w14:paraId="73CFB63E" w14:textId="77777777" w:rsidTr="002923F3">
        <w:trPr>
          <w:cantSplit/>
          <w:trHeight w:val="449"/>
        </w:trPr>
        <w:tc>
          <w:tcPr>
            <w:tcW w:w="156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RPO</w:t>
            </w:r>
          </w:p>
        </w:tc>
        <w:tc>
          <w:tcPr>
            <w:tcW w:w="746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Recovery point objective</w:t>
            </w:r>
          </w:p>
        </w:tc>
      </w:tr>
      <w:tr w:rsidR="002B183A" w:rsidRPr="00BB346A" w14:paraId="73CFB63E" w14:textId="77777777" w:rsidTr="002923F3">
        <w:trPr>
          <w:cantSplit/>
          <w:trHeight w:val="449"/>
        </w:trPr>
        <w:tc>
          <w:tcPr>
            <w:tcW w:w="156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RTO</w:t>
            </w:r>
          </w:p>
        </w:tc>
        <w:tc>
          <w:tcPr>
            <w:tcW w:w="746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Recovery time objective</w:t>
            </w:r>
          </w:p>
        </w:tc>
      </w:tr>
      <w:tr w:rsidR="002B183A" w:rsidRPr="00BB346A" w14:paraId="73CFB63E" w14:textId="77777777" w:rsidTr="002923F3">
        <w:trPr>
          <w:cantSplit/>
          <w:trHeight w:val="449"/>
        </w:trPr>
        <w:tc>
          <w:tcPr>
            <w:tcW w:w="156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SIT</w:t>
            </w:r>
          </w:p>
        </w:tc>
        <w:tc>
          <w:tcPr>
            <w:tcW w:w="746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System integration testing</w:t>
            </w:r>
          </w:p>
        </w:tc>
      </w:tr>
      <w:tr w:rsidR="002B183A" w:rsidRPr="00BB346A" w14:paraId="73CFB63E" w14:textId="77777777" w:rsidTr="002923F3">
        <w:trPr>
          <w:cantSplit/>
          <w:trHeight w:val="449"/>
        </w:trPr>
        <w:tc>
          <w:tcPr>
            <w:tcW w:w="156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SMS</w:t>
            </w:r>
          </w:p>
        </w:tc>
        <w:tc>
          <w:tcPr>
            <w:tcW w:w="746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Short message service</w:t>
            </w:r>
          </w:p>
        </w:tc>
      </w:tr>
      <w:tr w:rsidR="002B183A" w:rsidRPr="00BB346A" w14:paraId="73CFB63E" w14:textId="77777777" w:rsidTr="002923F3">
        <w:trPr>
          <w:cantSplit/>
          <w:trHeight w:val="449"/>
        </w:trPr>
        <w:tc>
          <w:tcPr>
            <w:tcW w:w="156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SQL</w:t>
            </w:r>
          </w:p>
        </w:tc>
        <w:tc>
          <w:tcPr>
            <w:tcW w:w="746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Structured Query Language</w:t>
            </w:r>
          </w:p>
        </w:tc>
      </w:tr>
      <w:tr w:rsidR="002B183A" w:rsidRPr="00BB346A" w14:paraId="73CFB63E" w14:textId="77777777" w:rsidTr="002923F3">
        <w:trPr>
          <w:cantSplit/>
          <w:trHeight w:val="449"/>
        </w:trPr>
        <w:tc>
          <w:tcPr>
            <w:tcW w:w="156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SSO</w:t>
            </w:r>
          </w:p>
        </w:tc>
        <w:tc>
          <w:tcPr>
            <w:tcW w:w="746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Single sign-on</w:t>
            </w:r>
          </w:p>
        </w:tc>
      </w:tr>
      <w:tr w:rsidR="002B183A" w:rsidRPr="00BB346A" w14:paraId="73CFB63E" w14:textId="77777777" w:rsidTr="002923F3">
        <w:trPr>
          <w:cantSplit/>
          <w:trHeight w:val="449"/>
        </w:trPr>
        <w:tc>
          <w:tcPr>
            <w:tcW w:w="156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TLS</w:t>
            </w:r>
          </w:p>
        </w:tc>
        <w:tc>
          <w:tcPr>
            <w:tcW w:w="746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Transport Layer Security</w:t>
            </w:r>
          </w:p>
        </w:tc>
      </w:tr>
      <w:tr w:rsidR="002B183A" w:rsidRPr="00BB346A" w14:paraId="73CFB63E" w14:textId="77777777" w:rsidTr="002923F3">
        <w:trPr>
          <w:cantSplit/>
          <w:trHeight w:val="449"/>
        </w:trPr>
        <w:tc>
          <w:tcPr>
            <w:tcW w:w="156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TNDS</w:t>
            </w:r>
          </w:p>
        </w:tc>
        <w:tc>
          <w:tcPr>
            <w:tcW w:w="746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Compulsory motor third-party liability insurance (Bảo hiểm TNDS bắt buộc)</w:t>
            </w:r>
          </w:p>
        </w:tc>
      </w:tr>
      <w:tr w:rsidR="002B183A" w:rsidRPr="00BB346A" w14:paraId="73CFB63E" w14:textId="77777777" w:rsidTr="002923F3">
        <w:trPr>
          <w:cantSplit/>
          <w:trHeight w:val="449"/>
        </w:trPr>
        <w:tc>
          <w:tcPr>
            <w:tcW w:w="156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TOTP</w:t>
            </w:r>
          </w:p>
        </w:tc>
        <w:tc>
          <w:tcPr>
            <w:tcW w:w="746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Time-based one-time password</w:t>
            </w:r>
          </w:p>
        </w:tc>
      </w:tr>
      <w:tr w:rsidR="002B183A" w:rsidRPr="00BB346A" w14:paraId="73CFB63E" w14:textId="77777777" w:rsidTr="002923F3">
        <w:trPr>
          <w:cantSplit/>
          <w:trHeight w:val="449"/>
        </w:trPr>
        <w:tc>
          <w:tcPr>
            <w:tcW w:w="156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UAT</w:t>
            </w:r>
          </w:p>
        </w:tc>
        <w:tc>
          <w:tcPr>
            <w:tcW w:w="746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User acceptance testing</w:t>
            </w:r>
          </w:p>
        </w:tc>
      </w:tr>
      <w:tr w:rsidR="002B183A" w:rsidRPr="00BB346A" w14:paraId="73CFB63E" w14:textId="77777777" w:rsidTr="002923F3">
        <w:trPr>
          <w:cantSplit/>
          <w:trHeight w:val="449"/>
        </w:trPr>
        <w:tc>
          <w:tcPr>
            <w:tcW w:w="156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URL</w:t>
            </w:r>
          </w:p>
        </w:tc>
        <w:tc>
          <w:tcPr>
            <w:tcW w:w="746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Uniform resource locator</w:t>
            </w:r>
          </w:p>
        </w:tc>
      </w:tr>
      <w:tr w:rsidR="002B183A" w:rsidRPr="00BB346A" w14:paraId="73CFB63E" w14:textId="77777777" w:rsidTr="002923F3">
        <w:trPr>
          <w:cantSplit/>
          <w:trHeight w:val="449"/>
        </w:trPr>
        <w:tc>
          <w:tcPr>
            <w:tcW w:w="156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VAT</w:t>
            </w:r>
          </w:p>
        </w:tc>
        <w:tc>
          <w:tcPr>
            <w:tcW w:w="746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Value added tax</w:t>
            </w:r>
          </w:p>
        </w:tc>
      </w:tr>
      <w:tr w:rsidR="002B183A" w:rsidRPr="00BB346A" w14:paraId="73CFB63E" w14:textId="77777777" w:rsidTr="002923F3">
        <w:trPr>
          <w:cantSplit/>
          <w:trHeight w:val="449"/>
        </w:trPr>
        <w:tc>
          <w:tcPr>
            <w:tcW w:w="156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VETC</w:t>
            </w:r>
          </w:p>
        </w:tc>
        <w:tc>
          <w:tcPr>
            <w:tcW w:w="746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Vietnam Electronic Toll Collection</w:t>
            </w:r>
          </w:p>
        </w:tc>
      </w:tr>
      <w:tr w:rsidR="002B183A" w:rsidRPr="00BB346A" w14:paraId="73CFB63E" w14:textId="77777777" w:rsidTr="002923F3">
        <w:trPr>
          <w:cantSplit/>
          <w:trHeight w:val="449"/>
        </w:trPr>
        <w:tc>
          <w:tcPr>
            <w:tcW w:w="1565" w:type="dxa"/>
            <w:vAlign w:val="top"/>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ZNS</w:t>
            </w:r>
          </w:p>
        </w:tc>
        <w:tc>
          <w:tcPr>
            <w:tcW w:w="7462" w:type="dxa"/>
            <w:vAlign w:val="top"/>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Zalo Notification Service</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7" w:name="_Toc300000003"/>
      <w:r>
        <w:rPr>
          <w:rStyle w:val="BookTitle"/>
          <w:bCs w:val="0"/>
          <w:i w:val="0"/>
          <w:iCs w:val="0"/>
          <w:spacing w:val="0"/>
        </w:rPr>
        <w:t xml:space="preserve">Introduction</w:t>
      </w:r>
      <w:bookmarkEnd w:id="7"/>
    </w:p>
    <w:p>
      <w:pPr>
        <w:pStyle w:val="Heading2"/>
      </w:pPr>
      <w:bookmarkStart w:id="8" w:name="_Toc300000004"/>
      <w:r>
        <w:t xml:space="preserve">Purpose</w:t>
      </w:r>
      <w:bookmarkEnd w:id="8"/>
    </w:p>
    <w:p>
      <w:pPr>
        <w:pStyle w:val="FirstParagraph"/>
      </w:pPr>
      <w:r>
        <w:t xml:space="preserve">This document describes the architecture of the TASCO Growth Platform: the principles it follows, the context it operates in, its functional and technical structure, the main runtime flows and the quality targets it is built to meet. It is the entry point to the architecture set; the other architecture documents go deeper into one concern each.</w:t>
      </w:r>
    </w:p>
    <w:p>
      <w:pPr>
        <w:pStyle w:val="Heading2"/>
      </w:pPr>
      <w:bookmarkStart w:id="9" w:name="_Toc300000005"/>
      <w:r>
        <w:t xml:space="preserve">Scope</w:t>
      </w:r>
      <w:bookmarkEnd w:id="9"/>
    </w:p>
    <w:p>
      <w:pPr>
        <w:pStyle w:val="FirstParagraph"/>
      </w:pPr>
      <w:r>
        <w:t xml:space="preserve">The scope is the platform as built in the codebase delivered with this submission (the application under</w:t>
      </w:r>
      <w:r>
        <w:t xml:space="preserve"> </w:t>
      </w:r>
      <w:r>
        <w:rPr>
          <w:rStyle w:val="CodeChar"/>
        </w:rPr>
        <w:t xml:space="preserve">src/</w:t>
      </w:r>
      <w:r>
        <w:t xml:space="preserve">, business rules under</w:t>
      </w:r>
      <w:r>
        <w:t xml:space="preserve"> </w:t>
      </w:r>
      <w:r>
        <w:rPr>
          <w:rStyle w:val="CodeChar"/>
        </w:rPr>
        <w:t xml:space="preserve">config/</w:t>
      </w:r>
      <w:r>
        <w:t xml:space="preserve">, database migrations under</w:t>
      </w:r>
      <w:r>
        <w:t xml:space="preserve"> </w:t>
      </w:r>
      <w:r>
        <w:rPr>
          <w:rStyle w:val="CodeChar"/>
        </w:rPr>
        <w:t xml:space="preserve">db/</w:t>
      </w:r>
      <w:r>
        <w:t xml:space="preserve">), together with the production design for TASCO’s hosting in Vietnam. Where an external system is reached through a sandbox adapter today, this document says so. Business requirements and commercial terms are out of scope and are covered by the business documents.</w:t>
      </w:r>
    </w:p>
    <w:p>
      <w:pPr>
        <w:pStyle w:val="Heading2"/>
      </w:pPr>
      <w:bookmarkStart w:id="10" w:name="_Toc300000006"/>
      <w:r>
        <w:t xml:space="preserve">Audience</w:t>
      </w:r>
      <w:bookmarkEnd w:id="10"/>
    </w:p>
    <w:p>
      <w:pPr>
        <w:pStyle w:val="FirstParagraph"/>
      </w:pPr>
      <w:r>
        <w:t xml:space="preserve">TASCO Insurance IT architecture, information security and delivery leads; VETC technical leads; the iorta TechNXT delivery team.</w:t>
      </w:r>
    </w:p>
    <w:p>
      <w:pPr>
        <w:pStyle w:val="Heading2"/>
      </w:pPr>
      <w:bookmarkStart w:id="11" w:name="_Toc300000007"/>
      <w:r>
        <w:t xml:space="preserve">Related documents</w:t>
      </w:r>
      <w:bookmarkEnd w:id="1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468"/>
        <w:gridCol w:w="3412"/>
        <w:gridCol w:w="4147"/>
      </w:tblGrid>
      <w:tr>
        <w:trPr>
          <w:cantSplit/>
          <w:tblHeader/>
        </w:trPr>
        <w:tc>
          <w:tcPr>
            <w:tcW w:w="1468" w:type="dxa"/>
            <w:shd w:val="clear" w:color="auto" w:fill="0F4761"/>
            <w:vAlign w:val="center"/>
          </w:tcPr>
          <w:p>
            <w:pPr>
              <w:pStyle w:val="TableHeading"/>
              <w:jc w:val="left"/>
            </w:pPr>
            <w:r>
              <w:rPr>
                <w:color w:val="FFFFFF"/>
              </w:rPr>
              <w:t xml:space="preserve">ID</w:t>
            </w:r>
          </w:p>
        </w:tc>
        <w:tc>
          <w:tcPr>
            <w:tcW w:w="3412" w:type="dxa"/>
            <w:shd w:val="clear" w:color="auto" w:fill="0F4761"/>
            <w:vAlign w:val="center"/>
          </w:tcPr>
          <w:p>
            <w:pPr>
              <w:pStyle w:val="TableHeading"/>
              <w:jc w:val="left"/>
            </w:pPr>
            <w:r>
              <w:rPr>
                <w:color w:val="FFFFFF"/>
              </w:rPr>
              <w:t xml:space="preserve">Title</w:t>
            </w:r>
          </w:p>
        </w:tc>
        <w:tc>
          <w:tcPr>
            <w:tcW w:w="4147" w:type="dxa"/>
            <w:shd w:val="clear" w:color="auto" w:fill="0F4761"/>
            <w:vAlign w:val="center"/>
          </w:tcPr>
          <w:p>
            <w:pPr>
              <w:pStyle w:val="TableHeading"/>
              <w:jc w:val="left"/>
            </w:pPr>
            <w:r>
              <w:rPr>
                <w:color w:val="FFFFFF"/>
              </w:rPr>
              <w:t xml:space="preserve">Relationship</w:t>
            </w:r>
          </w:p>
        </w:tc>
      </w:tr>
      <w:tr>
        <w:trPr>
          <w:cantSplit/>
        </w:trPr>
        <w:tc>
          <w:tcPr>
            <w:tcW w:w="1468" w:type="dxa"/>
            <w:noWrap/>
            <w:vAlign w:val="top"/>
          </w:tcPr>
          <w:p>
            <w:pPr>
              <w:pStyle w:val="TableText"/>
              <w:jc w:val="left"/>
            </w:pPr>
            <w:r>
              <w:t xml:space="preserve">TGP-BUS-02</w:t>
            </w:r>
          </w:p>
        </w:tc>
        <w:tc>
          <w:tcPr>
            <w:tcW w:w="3412" w:type="dxa"/>
            <w:vAlign w:val="top"/>
          </w:tcPr>
          <w:p>
            <w:pPr>
              <w:pStyle w:val="TableText"/>
              <w:jc w:val="left"/>
            </w:pPr>
            <w:r>
              <w:t xml:space="preserve">Functional Requirements Specification</w:t>
            </w:r>
          </w:p>
        </w:tc>
        <w:tc>
          <w:tcPr>
            <w:tcW w:w="4147" w:type="dxa"/>
            <w:vAlign w:val="top"/>
          </w:tcPr>
          <w:p>
            <w:pPr>
              <w:pStyle w:val="TableText"/>
              <w:jc w:val="left"/>
            </w:pPr>
            <w:r>
              <w:t xml:space="preserve">What the platform must do</w:t>
            </w:r>
          </w:p>
        </w:tc>
      </w:tr>
      <w:tr>
        <w:trPr>
          <w:cantSplit/>
        </w:trPr>
        <w:tc>
          <w:tcPr>
            <w:tcW w:w="1468" w:type="dxa"/>
            <w:shd w:val="clear" w:color="auto" w:fill="F4F7FB"/>
            <w:noWrap/>
            <w:vAlign w:val="top"/>
          </w:tcPr>
          <w:p>
            <w:pPr>
              <w:pStyle w:val="TableText"/>
              <w:jc w:val="left"/>
            </w:pPr>
            <w:r>
              <w:t xml:space="preserve">TGP-BUS-03</w:t>
            </w:r>
          </w:p>
        </w:tc>
        <w:tc>
          <w:tcPr>
            <w:tcW w:w="3412" w:type="dxa"/>
            <w:shd w:val="clear" w:color="auto" w:fill="F4F7FB"/>
            <w:vAlign w:val="top"/>
          </w:tcPr>
          <w:p>
            <w:pPr>
              <w:pStyle w:val="TableText"/>
              <w:jc w:val="left"/>
            </w:pPr>
            <w:r>
              <w:t xml:space="preserve">Non-Functional Requirements</w:t>
            </w:r>
          </w:p>
        </w:tc>
        <w:tc>
          <w:tcPr>
            <w:tcW w:w="4147" w:type="dxa"/>
            <w:shd w:val="clear" w:color="auto" w:fill="F4F7FB"/>
            <w:vAlign w:val="top"/>
          </w:tcPr>
          <w:p>
            <w:pPr>
              <w:pStyle w:val="TableText"/>
              <w:jc w:val="left"/>
            </w:pPr>
            <w:r>
              <w:t xml:space="preserve">Quality targets referenced in section 7</w:t>
            </w:r>
          </w:p>
        </w:tc>
      </w:tr>
      <w:tr>
        <w:trPr>
          <w:cantSplit/>
        </w:trPr>
        <w:tc>
          <w:tcPr>
            <w:tcW w:w="1468" w:type="dxa"/>
            <w:noWrap/>
            <w:vAlign w:val="top"/>
          </w:tcPr>
          <w:p>
            <w:pPr>
              <w:pStyle w:val="TableText"/>
              <w:jc w:val="left"/>
            </w:pPr>
            <w:r>
              <w:t xml:space="preserve">TGP-ARC-02</w:t>
            </w:r>
          </w:p>
        </w:tc>
        <w:tc>
          <w:tcPr>
            <w:tcW w:w="3412" w:type="dxa"/>
            <w:vAlign w:val="top"/>
          </w:tcPr>
          <w:p>
            <w:pPr>
              <w:pStyle w:val="TableText"/>
              <w:jc w:val="left"/>
            </w:pPr>
            <w:r>
              <w:t xml:space="preserve">Integration Architecture</w:t>
            </w:r>
          </w:p>
        </w:tc>
        <w:tc>
          <w:tcPr>
            <w:tcW w:w="4147" w:type="dxa"/>
            <w:vAlign w:val="top"/>
          </w:tcPr>
          <w:p>
            <w:pPr>
              <w:pStyle w:val="TableText"/>
              <w:jc w:val="left"/>
            </w:pPr>
            <w:r>
              <w:t xml:space="preserve">Contracts and sequences for every external system</w:t>
            </w:r>
          </w:p>
        </w:tc>
      </w:tr>
      <w:tr>
        <w:trPr>
          <w:cantSplit/>
        </w:trPr>
        <w:tc>
          <w:tcPr>
            <w:tcW w:w="1468" w:type="dxa"/>
            <w:shd w:val="clear" w:color="auto" w:fill="F4F7FB"/>
            <w:noWrap/>
            <w:vAlign w:val="top"/>
          </w:tcPr>
          <w:p>
            <w:pPr>
              <w:pStyle w:val="TableText"/>
              <w:jc w:val="left"/>
            </w:pPr>
            <w:r>
              <w:t xml:space="preserve">TGP-ARC-03</w:t>
            </w:r>
          </w:p>
        </w:tc>
        <w:tc>
          <w:tcPr>
            <w:tcW w:w="3412" w:type="dxa"/>
            <w:shd w:val="clear" w:color="auto" w:fill="F4F7FB"/>
            <w:vAlign w:val="top"/>
          </w:tcPr>
          <w:p>
            <w:pPr>
              <w:pStyle w:val="TableText"/>
              <w:jc w:val="left"/>
            </w:pPr>
            <w:r>
              <w:t xml:space="preserve">Data Architecture</w:t>
            </w:r>
          </w:p>
        </w:tc>
        <w:tc>
          <w:tcPr>
            <w:tcW w:w="4147" w:type="dxa"/>
            <w:shd w:val="clear" w:color="auto" w:fill="F4F7FB"/>
            <w:vAlign w:val="top"/>
          </w:tcPr>
          <w:p>
            <w:pPr>
              <w:pStyle w:val="TableText"/>
              <w:jc w:val="left"/>
            </w:pPr>
            <w:r>
              <w:t xml:space="preserve">Data model, golden record, retention</w:t>
            </w:r>
          </w:p>
        </w:tc>
      </w:tr>
      <w:tr>
        <w:trPr>
          <w:cantSplit/>
        </w:trPr>
        <w:tc>
          <w:tcPr>
            <w:tcW w:w="1468" w:type="dxa"/>
            <w:noWrap/>
            <w:vAlign w:val="top"/>
          </w:tcPr>
          <w:p>
            <w:pPr>
              <w:pStyle w:val="TableText"/>
              <w:jc w:val="left"/>
            </w:pPr>
            <w:r>
              <w:t xml:space="preserve">TGP-ARC-04</w:t>
            </w:r>
          </w:p>
        </w:tc>
        <w:tc>
          <w:tcPr>
            <w:tcW w:w="3412" w:type="dxa"/>
            <w:vAlign w:val="top"/>
          </w:tcPr>
          <w:p>
            <w:pPr>
              <w:pStyle w:val="TableText"/>
              <w:jc w:val="left"/>
            </w:pPr>
            <w:r>
              <w:t xml:space="preserve">Security Architecture</w:t>
            </w:r>
          </w:p>
        </w:tc>
        <w:tc>
          <w:tcPr>
            <w:tcW w:w="4147" w:type="dxa"/>
            <w:vAlign w:val="top"/>
          </w:tcPr>
          <w:p>
            <w:pPr>
              <w:pStyle w:val="TableText"/>
              <w:jc w:val="left"/>
            </w:pPr>
            <w:r>
              <w:t xml:space="preserve">Threat model, access control, cryptography</w:t>
            </w:r>
          </w:p>
        </w:tc>
      </w:tr>
      <w:tr>
        <w:trPr>
          <w:cantSplit/>
        </w:trPr>
        <w:tc>
          <w:tcPr>
            <w:tcW w:w="1468" w:type="dxa"/>
            <w:shd w:val="clear" w:color="auto" w:fill="F4F7FB"/>
            <w:noWrap/>
            <w:vAlign w:val="top"/>
          </w:tcPr>
          <w:p>
            <w:pPr>
              <w:pStyle w:val="TableText"/>
              <w:jc w:val="left"/>
            </w:pPr>
            <w:r>
              <w:t xml:space="preserve">TGP-ARC-05</w:t>
            </w:r>
          </w:p>
        </w:tc>
        <w:tc>
          <w:tcPr>
            <w:tcW w:w="3412" w:type="dxa"/>
            <w:shd w:val="clear" w:color="auto" w:fill="F4F7FB"/>
            <w:vAlign w:val="top"/>
          </w:tcPr>
          <w:p>
            <w:pPr>
              <w:pStyle w:val="TableText"/>
              <w:jc w:val="left"/>
            </w:pPr>
            <w:r>
              <w:t xml:space="preserve">Deployment and Infrastructure Architecture</w:t>
            </w:r>
          </w:p>
        </w:tc>
        <w:tc>
          <w:tcPr>
            <w:tcW w:w="4147" w:type="dxa"/>
            <w:shd w:val="clear" w:color="auto" w:fill="F4F7FB"/>
            <w:vAlign w:val="top"/>
          </w:tcPr>
          <w:p>
            <w:pPr>
              <w:pStyle w:val="TableText"/>
              <w:jc w:val="left"/>
            </w:pPr>
            <w:r>
              <w:t xml:space="preserve">Environments, Kubernetes, PostgreSQL, CI/CD</w:t>
            </w:r>
          </w:p>
        </w:tc>
      </w:tr>
      <w:tr>
        <w:trPr>
          <w:cantSplit/>
        </w:trPr>
        <w:tc>
          <w:tcPr>
            <w:tcW w:w="1468" w:type="dxa"/>
            <w:noWrap/>
            <w:vAlign w:val="top"/>
          </w:tcPr>
          <w:p>
            <w:pPr>
              <w:pStyle w:val="TableText"/>
              <w:jc w:val="left"/>
            </w:pPr>
            <w:r>
              <w:t xml:space="preserve">TGP-ARC-06</w:t>
            </w:r>
          </w:p>
        </w:tc>
        <w:tc>
          <w:tcPr>
            <w:tcW w:w="3412" w:type="dxa"/>
            <w:vAlign w:val="top"/>
          </w:tcPr>
          <w:p>
            <w:pPr>
              <w:pStyle w:val="TableText"/>
              <w:jc w:val="left"/>
            </w:pPr>
            <w:r>
              <w:t xml:space="preserve">AI Governance</w:t>
            </w:r>
          </w:p>
        </w:tc>
        <w:tc>
          <w:tcPr>
            <w:tcW w:w="4147" w:type="dxa"/>
            <w:vAlign w:val="top"/>
          </w:tcPr>
          <w:p>
            <w:pPr>
              <w:pStyle w:val="TableText"/>
              <w:jc w:val="left"/>
            </w:pPr>
            <w:r>
              <w:t xml:space="preserve">Voice assistant and scoring governance</w:t>
            </w:r>
          </w:p>
        </w:tc>
      </w:tr>
      <w:tr>
        <w:trPr>
          <w:cantSplit/>
        </w:trPr>
        <w:tc>
          <w:tcPr>
            <w:tcW w:w="1468" w:type="dxa"/>
            <w:shd w:val="clear" w:color="auto" w:fill="F4F7FB"/>
            <w:noWrap/>
            <w:vAlign w:val="top"/>
          </w:tcPr>
          <w:p>
            <w:pPr>
              <w:pStyle w:val="TableText"/>
              <w:jc w:val="left"/>
            </w:pPr>
            <w:r>
              <w:t xml:space="preserve">TGP-ARC-07</w:t>
            </w:r>
          </w:p>
        </w:tc>
        <w:tc>
          <w:tcPr>
            <w:tcW w:w="3412" w:type="dxa"/>
            <w:shd w:val="clear" w:color="auto" w:fill="F4F7FB"/>
            <w:vAlign w:val="top"/>
          </w:tcPr>
          <w:p>
            <w:pPr>
              <w:pStyle w:val="TableText"/>
              <w:jc w:val="left"/>
            </w:pPr>
            <w:r>
              <w:t xml:space="preserve">Architecture Decision Records</w:t>
            </w:r>
          </w:p>
        </w:tc>
        <w:tc>
          <w:tcPr>
            <w:tcW w:w="4147" w:type="dxa"/>
            <w:shd w:val="clear" w:color="auto" w:fill="F4F7FB"/>
            <w:vAlign w:val="top"/>
          </w:tcPr>
          <w:p>
            <w:pPr>
              <w:pStyle w:val="TableText"/>
              <w:jc w:val="left"/>
            </w:pPr>
            <w:r>
              <w:t xml:space="preserve">The decisions behind this design</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2" w:name="_Toc300000008"/>
      <w:r>
        <w:rPr>
          <w:rStyle w:val="BookTitle"/>
          <w:bCs w:val="0"/>
          <w:i w:val="0"/>
          <w:iCs w:val="0"/>
          <w:spacing w:val="0"/>
        </w:rPr>
        <w:t xml:space="preserve">Architecture principles</w:t>
      </w:r>
      <w:bookmarkEnd w:id="12"/>
    </w:p>
    <w:p>
      <w:pPr>
        <w:pStyle w:val="FirstParagraph"/>
      </w:pPr>
      <w:r>
        <w:t xml:space="preserve">The platform follows eight principles. Each one is enforced by something concrete in the code or the delivery process, not only by intent.</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214"/>
        <w:gridCol w:w="6813"/>
      </w:tblGrid>
      <w:tr>
        <w:trPr>
          <w:cantSplit/>
          <w:tblHeader/>
        </w:trPr>
        <w:tc>
          <w:tcPr>
            <w:tcW w:w="2214" w:type="dxa"/>
            <w:shd w:val="clear" w:color="auto" w:fill="0F4761"/>
            <w:vAlign w:val="center"/>
          </w:tcPr>
          <w:p>
            <w:pPr>
              <w:pStyle w:val="TableHeading"/>
              <w:jc w:val="left"/>
            </w:pPr>
            <w:r>
              <w:rPr>
                <w:color w:val="FFFFFF"/>
              </w:rPr>
              <w:t xml:space="preserve">Principle</w:t>
            </w:r>
          </w:p>
        </w:tc>
        <w:tc>
          <w:tcPr>
            <w:tcW w:w="6813" w:type="dxa"/>
            <w:shd w:val="clear" w:color="auto" w:fill="0F4761"/>
            <w:vAlign w:val="center"/>
          </w:tcPr>
          <w:p>
            <w:pPr>
              <w:pStyle w:val="TableHeading"/>
              <w:jc w:val="left"/>
            </w:pPr>
            <w:r>
              <w:rPr>
                <w:color w:val="FFFFFF"/>
              </w:rPr>
              <w:t xml:space="preserve">What it means in practice</w:t>
            </w:r>
          </w:p>
        </w:tc>
      </w:tr>
      <w:tr>
        <w:trPr>
          <w:cantSplit/>
        </w:trPr>
        <w:tc>
          <w:tcPr>
            <w:tcW w:w="2214" w:type="dxa"/>
            <w:vAlign w:val="top"/>
          </w:tcPr>
          <w:p>
            <w:pPr>
              <w:pStyle w:val="TableText"/>
              <w:jc w:val="left"/>
            </w:pPr>
            <w:r>
              <w:t xml:space="preserve">TASCO core is the system of record</w:t>
            </w:r>
          </w:p>
        </w:tc>
        <w:tc>
          <w:tcPr>
            <w:tcW w:w="6813" w:type="dxa"/>
            <w:vAlign w:val="top"/>
          </w:tcPr>
          <w:p>
            <w:pPr>
              <w:pStyle w:val="TableText"/>
              <w:jc w:val="left"/>
            </w:pPr>
            <w:r>
              <w:t xml:space="preserve">Products, rating and policies belong to TASCO core. The platform requests a price from core for every bindable quote and binds exactly that quote. It never sets a premium on its own authority in production.</w:t>
            </w:r>
          </w:p>
        </w:tc>
      </w:tr>
      <w:tr>
        <w:trPr>
          <w:cantSplit/>
        </w:trPr>
        <w:tc>
          <w:tcPr>
            <w:tcW w:w="2214" w:type="dxa"/>
            <w:shd w:val="clear" w:color="auto" w:fill="F4F7FB"/>
            <w:vAlign w:val="top"/>
          </w:tcPr>
          <w:p>
            <w:pPr>
              <w:pStyle w:val="TableText"/>
              <w:jc w:val="left"/>
            </w:pPr>
            <w:r>
              <w:t xml:space="preserve">Business rules are configuration</w:t>
            </w:r>
          </w:p>
        </w:tc>
        <w:tc>
          <w:tcPr>
            <w:tcW w:w="6813" w:type="dxa"/>
            <w:shd w:val="clear" w:color="auto" w:fill="F4F7FB"/>
            <w:vAlign w:val="top"/>
          </w:tcPr>
          <w:p>
            <w:pPr>
              <w:pStyle w:val="TableText"/>
              <w:jc w:val="left"/>
            </w:pPr>
            <w:r>
              <w:t xml:space="preserve">Tariffs, scoring, journeys, message templates, the voice script, consent policy and retention are versioned rule sets. A change is validated, approved by a second person and audited, without a software release.</w:t>
            </w:r>
          </w:p>
        </w:tc>
      </w:tr>
      <w:tr>
        <w:trPr>
          <w:cantSplit/>
        </w:trPr>
        <w:tc>
          <w:tcPr>
            <w:tcW w:w="2214" w:type="dxa"/>
            <w:vAlign w:val="top"/>
          </w:tcPr>
          <w:p>
            <w:pPr>
              <w:pStyle w:val="TableText"/>
              <w:jc w:val="left"/>
            </w:pPr>
            <w:r>
              <w:t xml:space="preserve">Integrations sit behind ports</w:t>
            </w:r>
          </w:p>
        </w:tc>
        <w:tc>
          <w:tcPr>
            <w:tcW w:w="6813" w:type="dxa"/>
            <w:vAlign w:val="top"/>
          </w:tcPr>
          <w:p>
            <w:pPr>
              <w:pStyle w:val="TableText"/>
              <w:jc w:val="left"/>
            </w:pPr>
            <w:r>
              <w:t xml:space="preserve">Each external system is reached through a defined interface with its own adapter. Replacing a voice vendor or an SMS provider means writing one adapter.</w:t>
            </w:r>
          </w:p>
        </w:tc>
      </w:tr>
      <w:tr>
        <w:trPr>
          <w:cantSplit/>
        </w:trPr>
        <w:tc>
          <w:tcPr>
            <w:tcW w:w="2214" w:type="dxa"/>
            <w:shd w:val="clear" w:color="auto" w:fill="F4F7FB"/>
            <w:vAlign w:val="top"/>
          </w:tcPr>
          <w:p>
            <w:pPr>
              <w:pStyle w:val="TableText"/>
              <w:jc w:val="left"/>
            </w:pPr>
            <w:r>
              <w:t xml:space="preserve">Every decision is explainable</w:t>
            </w:r>
          </w:p>
        </w:tc>
        <w:tc>
          <w:tcPr>
            <w:tcW w:w="6813" w:type="dxa"/>
            <w:shd w:val="clear" w:color="auto" w:fill="F4F7FB"/>
            <w:vAlign w:val="top"/>
          </w:tcPr>
          <w:p>
            <w:pPr>
              <w:pStyle w:val="TableText"/>
              <w:jc w:val="left"/>
            </w:pPr>
            <w:r>
              <w:t xml:space="preserve">Each lead score carries its factor reasons, each next-best action carries the rule that chose it, and each journey step records why a message was or was not sent.</w:t>
            </w:r>
          </w:p>
        </w:tc>
      </w:tr>
      <w:tr>
        <w:trPr>
          <w:cantSplit/>
        </w:trPr>
        <w:tc>
          <w:tcPr>
            <w:tcW w:w="2214" w:type="dxa"/>
            <w:vAlign w:val="top"/>
          </w:tcPr>
          <w:p>
            <w:pPr>
              <w:pStyle w:val="TableText"/>
              <w:jc w:val="left"/>
            </w:pPr>
            <w:r>
              <w:t xml:space="preserve">Reuse before build</w:t>
            </w:r>
          </w:p>
        </w:tc>
        <w:tc>
          <w:tcPr>
            <w:tcW w:w="6813" w:type="dxa"/>
            <w:vAlign w:val="top"/>
          </w:tcPr>
          <w:p>
            <w:pPr>
              <w:pStyle w:val="TableText"/>
              <w:jc w:val="left"/>
            </w:pPr>
            <w:r>
              <w:t xml:space="preserve">One set of customer services serves every front door: the VETC app, TASCO’s app and website, a Zalo Mini App and partners such as Tasco360. TASCO core, the VETC wallet, TASCO’s payment gateway, Zalo and the contact centre are reused through ports, not rebuilt.</w:t>
            </w:r>
          </w:p>
        </w:tc>
      </w:tr>
      <w:tr>
        <w:trPr>
          <w:cantSplit/>
        </w:trPr>
        <w:tc>
          <w:tcPr>
            <w:tcW w:w="2214" w:type="dxa"/>
            <w:shd w:val="clear" w:color="auto" w:fill="F4F7FB"/>
            <w:vAlign w:val="top"/>
          </w:tcPr>
          <w:p>
            <w:pPr>
              <w:pStyle w:val="TableText"/>
              <w:jc w:val="left"/>
            </w:pPr>
            <w:r>
              <w:t xml:space="preserve">Security and privacy by design</w:t>
            </w:r>
          </w:p>
        </w:tc>
        <w:tc>
          <w:tcPr>
            <w:tcW w:w="6813" w:type="dxa"/>
            <w:shd w:val="clear" w:color="auto" w:fill="F4F7FB"/>
            <w:vAlign w:val="top"/>
          </w:tcPr>
          <w:p>
            <w:pPr>
              <w:pStyle w:val="TableText"/>
              <w:jc w:val="left"/>
            </w:pPr>
            <w:r>
              <w:t xml:space="preserve">Deny by default, least privilege, field-level encryption of personal data, consent checks before every contact and a tamper-evident audit trail.</w:t>
            </w:r>
          </w:p>
        </w:tc>
      </w:tr>
      <w:tr>
        <w:trPr>
          <w:cantSplit/>
        </w:trPr>
        <w:tc>
          <w:tcPr>
            <w:tcW w:w="2214" w:type="dxa"/>
            <w:vAlign w:val="top"/>
          </w:tcPr>
          <w:p>
            <w:pPr>
              <w:pStyle w:val="TableText"/>
              <w:jc w:val="left"/>
            </w:pPr>
            <w:r>
              <w:t xml:space="preserve">Small supply chain</w:t>
            </w:r>
          </w:p>
        </w:tc>
        <w:tc>
          <w:tcPr>
            <w:tcW w:w="6813" w:type="dxa"/>
            <w:vAlign w:val="top"/>
          </w:tcPr>
          <w:p>
            <w:pPr>
              <w:pStyle w:val="TableText"/>
              <w:jc w:val="left"/>
            </w:pPr>
            <w:r>
              <w:t xml:space="preserve">One runtime dependency (the PostgreSQL driver). HTTP, cryptography, validation and metrics use the Node.js standard library.</w:t>
            </w:r>
          </w:p>
        </w:tc>
      </w:tr>
      <w:tr>
        <w:trPr>
          <w:cantSplit/>
        </w:trPr>
        <w:tc>
          <w:tcPr>
            <w:tcW w:w="2214" w:type="dxa"/>
            <w:shd w:val="clear" w:color="auto" w:fill="F4F7FB"/>
            <w:vAlign w:val="top"/>
          </w:tcPr>
          <w:p>
            <w:pPr>
              <w:pStyle w:val="TableText"/>
              <w:jc w:val="left"/>
            </w:pPr>
            <w:r>
              <w:t xml:space="preserve">Same behaviour everywhere</w:t>
            </w:r>
          </w:p>
        </w:tc>
        <w:tc>
          <w:tcPr>
            <w:tcW w:w="6813" w:type="dxa"/>
            <w:shd w:val="clear" w:color="auto" w:fill="F4F7FB"/>
            <w:vAlign w:val="top"/>
          </w:tcPr>
          <w:p>
            <w:pPr>
              <w:pStyle w:val="TableText"/>
              <w:jc w:val="left"/>
            </w:pPr>
            <w:r>
              <w:t xml:space="preserve">One container image for every environment. The in-memory store used in development shares encryption, filtering and audit-chain code with the PostgreSQL store.</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3" w:name="_Toc300000009"/>
      <w:r>
        <w:rPr>
          <w:rStyle w:val="BookTitle"/>
          <w:bCs w:val="0"/>
          <w:i w:val="0"/>
          <w:iCs w:val="0"/>
          <w:spacing w:val="0"/>
        </w:rPr>
        <w:t xml:space="preserve">Context</w:t>
      </w:r>
      <w:bookmarkEnd w:id="13"/>
    </w:p>
    <w:p>
      <w:pPr>
        <w:pStyle w:val="Heading2"/>
      </w:pPr>
      <w:bookmarkStart w:id="14" w:name="_Toc300000010"/>
      <w:r>
        <w:t xml:space="preserve">Business context</w:t>
      </w:r>
      <w:bookmarkEnd w:id="14"/>
    </w:p>
    <w:p>
      <w:pPr>
        <w:pStyle w:val="FirstParagraph"/>
      </w:pPr>
      <w:r>
        <w:t xml:space="preserve">VETC operates electronic toll collection for about 6 million vehicles and holds a plate, a phone number and engagement signals for each of them. Only about one record in ten carries a verified motor insurance certificate. TASCO Insurance wants to use this base to win new TNDS business, retain its own customers and work with the banks, showrooms, agents, fleets and inspection centres that close most TNDS sales today.</w:t>
      </w:r>
    </w:p>
    <w:p>
      <w:pPr>
        <w:pStyle w:val="BodyText"/>
      </w:pPr>
      <w:r>
        <w:t xml:space="preserve">The TNDS premium is set by regulation, so price cannot be the lever (to be confirmed by TASCO legal against Decree 67/2023/ND-CP). The platform competes on data quality, timing, channel and service value, and it keeps every customer contact within consent and contact-policy limits.</w:t>
      </w:r>
    </w:p>
    <w:p>
      <w:pPr>
        <w:pStyle w:val="Heading2"/>
      </w:pPr>
      <w:bookmarkStart w:id="15" w:name="_Toc300000011"/>
      <w:r>
        <w:t xml:space="preserve">System context</w:t>
      </w:r>
      <w:bookmarkEnd w:id="15"/>
    </w:p>
    <w:p>
      <w:pPr>
        <w:pStyle w:val="FirstParagraph"/>
      </w:pPr>
      <w:r>
        <w:t xml:space="preserve">The platform sits between the vehicle owner, TASCO and VETC staff, partners and the systems that hold products, policies, payments and channels. The diagram below shows who and what the platform talks to.</w:t>
      </w:r>
    </w:p>
    <w:p xmlns:a="http://schemas.openxmlformats.org/drawingml/2006/main" xmlns:pic="http://schemas.openxmlformats.org/drawingml/2006/picture">
      <w:pPr>
        <w:pStyle w:val="Figure"/>
      </w:pPr>
      <w:r>
        <w:drawing>
          <wp:inline>
            <wp:extent cx="5727700" cy="4859866"/>
            <wp:effectExtent b="0" l="0" r="0" t="0"/>
            <wp:docPr descr="System context: the people and systems the platform talks to" title="" id="5002" name="Picture"/>
            <a:graphic>
              <a:graphicData uri="http://schemas.openxmlformats.org/drawingml/2006/picture">
                <pic:pic>
                  <pic:nvPicPr>
                    <pic:cNvPr descr="/home/user/TASCO/tools/docs-source/gen/.cache/mermaid/f0b0a09e75918a72.png" id="29" name="Picture"/>
                    <pic:cNvPicPr>
                      <a:picLocks noChangeArrowheads="1" noChangeAspect="1"/>
                    </pic:cNvPicPr>
                  </pic:nvPicPr>
                  <pic:blipFill>
                    <a:blip r:embed="rIdG1"/>
                    <a:stretch>
                      <a:fillRect/>
                    </a:stretch>
                  </pic:blipFill>
                  <pic:spPr bwMode="auto">
                    <a:xfrm>
                      <a:off x="0" y="0"/>
                      <a:ext cx="5727700" cy="4859866"/>
                    </a:xfrm>
                    <a:prstGeom prst="rect">
                      <a:avLst/>
                    </a:prstGeom>
                    <a:noFill/>
                    <a:ln w="9525">
                      <a:noFill/>
                      <a:headEnd/>
                      <a:tailEnd/>
                    </a:ln>
                  </pic:spPr>
                </pic:pic>
              </a:graphicData>
            </a:graphic>
          </wp:inline>
        </w:drawing>
      </w:r>
    </w:p>
    <w:p>
      <w:pPr>
        <w:pStyle w:val="Caption"/>
      </w:pPr>
      <w:r>
        <w:t xml:space="preserve">Figure 1 – System context: the people and systems the platform talks to</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526"/>
        <w:gridCol w:w="7501"/>
      </w:tblGrid>
      <w:tr>
        <w:trPr>
          <w:cantSplit/>
          <w:tblHeader/>
        </w:trPr>
        <w:tc>
          <w:tcPr>
            <w:tcW w:w="1526" w:type="dxa"/>
            <w:shd w:val="clear" w:color="auto" w:fill="0F4761"/>
            <w:vAlign w:val="center"/>
          </w:tcPr>
          <w:p>
            <w:pPr>
              <w:pStyle w:val="TableHeading"/>
              <w:jc w:val="left"/>
            </w:pPr>
            <w:r>
              <w:rPr>
                <w:color w:val="FFFFFF"/>
              </w:rPr>
              <w:t xml:space="preserve">Actor or system</w:t>
            </w:r>
          </w:p>
        </w:tc>
        <w:tc>
          <w:tcPr>
            <w:tcW w:w="7501" w:type="dxa"/>
            <w:shd w:val="clear" w:color="auto" w:fill="0F4761"/>
            <w:vAlign w:val="center"/>
          </w:tcPr>
          <w:p>
            <w:pPr>
              <w:pStyle w:val="TableHeading"/>
              <w:jc w:val="left"/>
            </w:pPr>
            <w:r>
              <w:rPr>
                <w:color w:val="FFFFFF"/>
              </w:rPr>
              <w:t xml:space="preserve">Interaction with the platform</w:t>
            </w:r>
          </w:p>
        </w:tc>
      </w:tr>
      <w:tr>
        <w:trPr>
          <w:cantSplit/>
        </w:trPr>
        <w:tc>
          <w:tcPr>
            <w:tcW w:w="1526" w:type="dxa"/>
            <w:vAlign w:val="top"/>
          </w:tcPr>
          <w:p>
            <w:pPr>
              <w:pStyle w:val="TableText"/>
              <w:jc w:val="left"/>
            </w:pPr>
            <w:r>
              <w:t xml:space="preserve">Vehicle owner</w:t>
            </w:r>
          </w:p>
        </w:tc>
        <w:tc>
          <w:tcPr>
            <w:tcW w:w="7501" w:type="dxa"/>
            <w:vAlign w:val="top"/>
          </w:tcPr>
          <w:p>
            <w:pPr>
              <w:pStyle w:val="TableText"/>
              <w:jc w:val="left"/>
            </w:pPr>
            <w:r>
              <w:t xml:space="preserve">Uses the customer app in one of four hosts: the VETC app (MVP), TASCO’s app and website (scale module S3) or a Zalo Mini App (S4). Checks cover, confirms the vehicle and expiry date, renews by the quick or the full path, pays, manages consent, downloads their data and reports a claim. Every sale records the host channel.</w:t>
            </w:r>
          </w:p>
        </w:tc>
      </w:tr>
      <w:tr>
        <w:trPr>
          <w:cantSplit/>
        </w:trPr>
        <w:tc>
          <w:tcPr>
            <w:tcW w:w="1526" w:type="dxa"/>
            <w:shd w:val="clear" w:color="auto" w:fill="F4F7FB"/>
            <w:vAlign w:val="top"/>
          </w:tcPr>
          <w:p>
            <w:pPr>
              <w:pStyle w:val="TableText"/>
              <w:jc w:val="left"/>
            </w:pPr>
            <w:r>
              <w:t xml:space="preserve">TASCO and VETC staff</w:t>
            </w:r>
          </w:p>
        </w:tc>
        <w:tc>
          <w:tcPr>
            <w:tcW w:w="7501" w:type="dxa"/>
            <w:shd w:val="clear" w:color="auto" w:fill="F4F7FB"/>
            <w:vAlign w:val="top"/>
          </w:tcPr>
          <w:p>
            <w:pPr>
              <w:pStyle w:val="TableText"/>
              <w:jc w:val="left"/>
            </w:pPr>
            <w:r>
              <w:t xml:space="preserve">Use the staff console across 13 roles: telesales, campaign, rules, compliance, data stewardship, claims, partner management, audit, operations and administration. Staff quote and send quotes; they never take payment.</w:t>
            </w:r>
          </w:p>
        </w:tc>
      </w:tr>
      <w:tr>
        <w:trPr>
          <w:cantSplit/>
        </w:trPr>
        <w:tc>
          <w:tcPr>
            <w:tcW w:w="1526" w:type="dxa"/>
            <w:vAlign w:val="top"/>
          </w:tcPr>
          <w:p>
            <w:pPr>
              <w:pStyle w:val="TableText"/>
              <w:jc w:val="left"/>
            </w:pPr>
            <w:r>
              <w:t xml:space="preserve">Partners</w:t>
            </w:r>
          </w:p>
        </w:tc>
        <w:tc>
          <w:tcPr>
            <w:tcW w:w="7501" w:type="dxa"/>
            <w:vAlign w:val="top"/>
          </w:tcPr>
          <w:p>
            <w:pPr>
              <w:pStyle w:val="TableText"/>
              <w:jc w:val="left"/>
            </w:pPr>
            <w:r>
              <w:t xml:space="preserve">Call the Partner API to quote and bind for their own customers. The partner collects the premium.</w:t>
            </w:r>
          </w:p>
        </w:tc>
      </w:tr>
      <w:tr>
        <w:trPr>
          <w:cantSplit/>
        </w:trPr>
        <w:tc>
          <w:tcPr>
            <w:tcW w:w="1526" w:type="dxa"/>
            <w:shd w:val="clear" w:color="auto" w:fill="F4F7FB"/>
            <w:vAlign w:val="top"/>
          </w:tcPr>
          <w:p>
            <w:pPr>
              <w:pStyle w:val="TableText"/>
              <w:jc w:val="left"/>
            </w:pPr>
            <w:r>
              <w:t xml:space="preserve">TASCO core</w:t>
            </w:r>
          </w:p>
        </w:tc>
        <w:tc>
          <w:tcPr>
            <w:tcW w:w="7501" w:type="dxa"/>
            <w:shd w:val="clear" w:color="auto" w:fill="F4F7FB"/>
            <w:vAlign w:val="top"/>
          </w:tcPr>
          <w:p>
            <w:pPr>
              <w:pStyle w:val="TableText"/>
              <w:jc w:val="left"/>
            </w:pPr>
            <w:r>
              <w:t xml:space="preserve">Master for the product catalogue and rating; binds and issues policies; supplies the policy book; receives claim notifications.</w:t>
            </w:r>
          </w:p>
        </w:tc>
      </w:tr>
      <w:tr>
        <w:trPr>
          <w:cantSplit/>
        </w:trPr>
        <w:tc>
          <w:tcPr>
            <w:tcW w:w="1526" w:type="dxa"/>
            <w:vAlign w:val="top"/>
          </w:tcPr>
          <w:p>
            <w:pPr>
              <w:pStyle w:val="TableText"/>
              <w:jc w:val="left"/>
            </w:pPr>
            <w:r>
              <w:t xml:space="preserve">VETC platform</w:t>
            </w:r>
          </w:p>
        </w:tc>
        <w:tc>
          <w:tcPr>
            <w:tcW w:w="7501" w:type="dxa"/>
            <w:vAlign w:val="top"/>
          </w:tcPr>
          <w:p>
            <w:pPr>
              <w:pStyle w:val="TableText"/>
              <w:jc w:val="left"/>
            </w:pPr>
            <w:r>
              <w:t xml:space="preserve">Supplies account and vehicle data and tag events, hosts the customer app as a web view, delivers push notifications and debits the VETC wallet with the customer’s confirmation (VETC app and Zalo Mini App).</w:t>
            </w:r>
          </w:p>
        </w:tc>
      </w:tr>
      <w:tr>
        <w:trPr>
          <w:cantSplit/>
        </w:trPr>
        <w:tc>
          <w:tcPr>
            <w:tcW w:w="1526" w:type="dxa"/>
            <w:shd w:val="clear" w:color="auto" w:fill="F4F7FB"/>
            <w:vAlign w:val="top"/>
          </w:tcPr>
          <w:p>
            <w:pPr>
              <w:pStyle w:val="TableText"/>
              <w:jc w:val="left"/>
            </w:pPr>
            <w:r>
              <w:t xml:space="preserve">TASCO payment gateway</w:t>
            </w:r>
          </w:p>
        </w:tc>
        <w:tc>
          <w:tcPr>
            <w:tcW w:w="7501" w:type="dxa"/>
            <w:shd w:val="clear" w:color="auto" w:fill="F4F7FB"/>
            <w:vAlign w:val="top"/>
          </w:tcPr>
          <w:p>
            <w:pPr>
              <w:pStyle w:val="TableText"/>
              <w:jc w:val="left"/>
            </w:pPr>
            <w:r>
              <w:t xml:space="preserve">TASCO’s existing online payment gateway (the one behind e.baohiemtasco.vn), used when the customer app runs in TASCO’s app or website. A sandbox adapter today.</w:t>
            </w:r>
          </w:p>
        </w:tc>
      </w:tr>
      <w:tr>
        <w:trPr>
          <w:cantSplit/>
        </w:trPr>
        <w:tc>
          <w:tcPr>
            <w:tcW w:w="1526" w:type="dxa"/>
            <w:vAlign w:val="top"/>
          </w:tcPr>
          <w:p>
            <w:pPr>
              <w:pStyle w:val="TableText"/>
              <w:jc w:val="left"/>
            </w:pPr>
            <w:r>
              <w:t xml:space="preserve">Zalo ZNS and SMS</w:t>
            </w:r>
          </w:p>
        </w:tc>
        <w:tc>
          <w:tcPr>
            <w:tcW w:w="7501" w:type="dxa"/>
            <w:vAlign w:val="top"/>
          </w:tcPr>
          <w:p>
            <w:pPr>
              <w:pStyle w:val="TableText"/>
              <w:jc w:val="left"/>
            </w:pPr>
            <w:r>
              <w:t xml:space="preserve">Deliver pre-approved service and marketing templates.</w:t>
            </w:r>
          </w:p>
        </w:tc>
      </w:tr>
      <w:tr>
        <w:trPr>
          <w:cantSplit/>
        </w:trPr>
        <w:tc>
          <w:tcPr>
            <w:tcW w:w="1526" w:type="dxa"/>
            <w:shd w:val="clear" w:color="auto" w:fill="F4F7FB"/>
            <w:vAlign w:val="top"/>
          </w:tcPr>
          <w:p>
            <w:pPr>
              <w:pStyle w:val="TableText"/>
              <w:jc w:val="left"/>
            </w:pPr>
            <w:r>
              <w:t xml:space="preserve">Voice AI vendor</w:t>
            </w:r>
          </w:p>
        </w:tc>
        <w:tc>
          <w:tcPr>
            <w:tcW w:w="7501" w:type="dxa"/>
            <w:shd w:val="clear" w:color="auto" w:fill="F4F7FB"/>
            <w:vAlign w:val="top"/>
          </w:tcPr>
          <w:p>
            <w:pPr>
              <w:pStyle w:val="TableText"/>
              <w:jc w:val="left"/>
            </w:pPr>
            <w:r>
              <w:t xml:space="preserve">Places automated calls, provides Vietnamese speech recognition and text to speech, and speaks only approved script lines.</w:t>
            </w:r>
          </w:p>
        </w:tc>
      </w:tr>
      <w:tr>
        <w:trPr>
          <w:cantSplit/>
        </w:trPr>
        <w:tc>
          <w:tcPr>
            <w:tcW w:w="1526" w:type="dxa"/>
            <w:vAlign w:val="top"/>
          </w:tcPr>
          <w:p>
            <w:pPr>
              <w:pStyle w:val="TableText"/>
              <w:jc w:val="left"/>
            </w:pPr>
            <w:r>
              <w:t xml:space="preserve">TASCO data warehouse</w:t>
            </w:r>
          </w:p>
        </w:tc>
        <w:tc>
          <w:tcPr>
            <w:tcW w:w="7501" w:type="dxa"/>
            <w:vAlign w:val="top"/>
          </w:tcPr>
          <w:p>
            <w:pPr>
              <w:pStyle w:val="TableText"/>
              <w:jc w:val="left"/>
            </w:pPr>
            <w:r>
              <w:t xml:space="preserve">Receives a daily pseudonymised extract for reporting (scale phase).</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6" w:name="_Toc300000012"/>
      <w:r>
        <w:rPr>
          <w:rStyle w:val="BookTitle"/>
          <w:bCs w:val="0"/>
          <w:i w:val="0"/>
          <w:iCs w:val="0"/>
          <w:spacing w:val="0"/>
        </w:rPr>
        <w:t xml:space="preserve">Functional architecture</w:t>
      </w:r>
      <w:bookmarkEnd w:id="16"/>
    </w:p>
    <w:p>
      <w:pPr>
        <w:pStyle w:val="Heading2"/>
      </w:pPr>
      <w:bookmarkStart w:id="17" w:name="_Toc300000013"/>
      <w:r>
        <w:t xml:space="preserve">Layered view</w:t>
      </w:r>
      <w:bookmarkEnd w:id="17"/>
    </w:p>
    <w:p>
      <w:pPr>
        <w:pStyle w:val="FirstParagraph"/>
      </w:pPr>
      <w:r>
        <w:t xml:space="preserve">The platform is organised in six layers, from the channels customers and staff use down to the systems of record. Each row in the diagram is one layer.</w:t>
      </w:r>
    </w:p>
    <w:p xmlns:a="http://schemas.openxmlformats.org/drawingml/2006/main" xmlns:pic="http://schemas.openxmlformats.org/drawingml/2006/picture">
      <w:pPr>
        <w:pStyle w:val="Figure"/>
      </w:pPr>
      <w:r>
        <w:drawing>
          <wp:inline>
            <wp:extent cx="5727700" cy="5727700"/>
            <wp:effectExtent b="0" l="0" r="0" t="0"/>
            <wp:docPr descr="Layered view, in which business services use the foundation and reach the systems of record through the integration adapters" title="" id="5003" name="Picture"/>
            <a:graphic>
              <a:graphicData uri="http://schemas.openxmlformats.org/drawingml/2006/picture">
                <pic:pic>
                  <pic:nvPicPr>
                    <pic:cNvPr descr="/home/user/TASCO/tools/docs-source/gen/.cache/mermaid/351481218dc6ecc1.png" id="34" name="Picture"/>
                    <pic:cNvPicPr>
                      <a:picLocks noChangeArrowheads="1" noChangeAspect="1"/>
                    </pic:cNvPicPr>
                  </pic:nvPicPr>
                  <pic:blipFill>
                    <a:blip r:embed="rIdG2"/>
                    <a:stretch>
                      <a:fillRect/>
                    </a:stretch>
                  </pic:blipFill>
                  <pic:spPr bwMode="auto">
                    <a:xfrm>
                      <a:off x="0" y="0"/>
                      <a:ext cx="5727700" cy="5727700"/>
                    </a:xfrm>
                    <a:prstGeom prst="rect">
                      <a:avLst/>
                    </a:prstGeom>
                    <a:noFill/>
                    <a:ln w="9525">
                      <a:noFill/>
                      <a:headEnd/>
                      <a:tailEnd/>
                    </a:ln>
                  </pic:spPr>
                </pic:pic>
              </a:graphicData>
            </a:graphic>
          </wp:inline>
        </w:drawing>
      </w:r>
    </w:p>
    <w:p>
      <w:pPr>
        <w:pStyle w:val="Caption"/>
      </w:pPr>
      <w:r>
        <w:t xml:space="preserve">Figure 2 – Layered view, in which business services use the foundation and reach the systems of record through the integration adapters</w:t>
      </w:r>
    </w:p>
    <w:p>
      <w:pPr>
        <w:pStyle w:val="Heading2"/>
      </w:pPr>
      <w:bookmarkStart w:id="18" w:name="_Toc300000014"/>
      <w:r>
        <w:t xml:space="preserve">Capabilities</w:t>
      </w:r>
      <w:bookmarkEnd w:id="18"/>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875"/>
        <w:gridCol w:w="4691"/>
        <w:gridCol w:w="2461"/>
      </w:tblGrid>
      <w:tr>
        <w:trPr>
          <w:cantSplit/>
          <w:tblHeader/>
        </w:trPr>
        <w:tc>
          <w:tcPr>
            <w:tcW w:w="1875" w:type="dxa"/>
            <w:shd w:val="clear" w:color="auto" w:fill="0F4761"/>
            <w:vAlign w:val="center"/>
          </w:tcPr>
          <w:p>
            <w:pPr>
              <w:pStyle w:val="TableHeading"/>
              <w:jc w:val="left"/>
            </w:pPr>
            <w:r>
              <w:rPr>
                <w:color w:val="FFFFFF"/>
              </w:rPr>
              <w:t xml:space="preserve">Capability</w:t>
            </w:r>
          </w:p>
        </w:tc>
        <w:tc>
          <w:tcPr>
            <w:tcW w:w="4691" w:type="dxa"/>
            <w:shd w:val="clear" w:color="auto" w:fill="0F4761"/>
            <w:vAlign w:val="center"/>
          </w:tcPr>
          <w:p>
            <w:pPr>
              <w:pStyle w:val="TableHeading"/>
              <w:jc w:val="left"/>
            </w:pPr>
            <w:r>
              <w:rPr>
                <w:color w:val="FFFFFF"/>
              </w:rPr>
              <w:t xml:space="preserve">What it does</w:t>
            </w:r>
          </w:p>
        </w:tc>
        <w:tc>
          <w:tcPr>
            <w:tcW w:w="2461" w:type="dxa"/>
            <w:shd w:val="clear" w:color="auto" w:fill="0F4761"/>
            <w:vAlign w:val="center"/>
          </w:tcPr>
          <w:p>
            <w:pPr>
              <w:pStyle w:val="TableHeading"/>
              <w:jc w:val="left"/>
            </w:pPr>
            <w:r>
              <w:rPr>
                <w:color w:val="FFFFFF"/>
              </w:rPr>
              <w:t xml:space="preserve">Main components</w:t>
            </w:r>
          </w:p>
        </w:tc>
      </w:tr>
      <w:tr>
        <w:trPr>
          <w:cantSplit/>
        </w:trPr>
        <w:tc>
          <w:tcPr>
            <w:tcW w:w="1875" w:type="dxa"/>
            <w:vAlign w:val="top"/>
          </w:tcPr>
          <w:p>
            <w:pPr>
              <w:pStyle w:val="TableText"/>
              <w:jc w:val="left"/>
            </w:pPr>
            <w:r>
              <w:t xml:space="preserve">Customer data and golden record</w:t>
            </w:r>
          </w:p>
        </w:tc>
        <w:tc>
          <w:tcPr>
            <w:tcW w:w="4691" w:type="dxa"/>
            <w:vAlign w:val="top"/>
          </w:tcPr>
          <w:p>
            <w:pPr>
              <w:pStyle w:val="TableText"/>
              <w:jc w:val="left"/>
            </w:pPr>
            <w:r>
              <w:t xml:space="preserve">Lands records from VETC, partners and telesales lists, normalises plates and phones, and builds one profile per vehicle with field lineage and a data quality score</w:t>
            </w:r>
          </w:p>
        </w:tc>
        <w:tc>
          <w:tcPr>
            <w:tcW w:w="2461" w:type="dxa"/>
            <w:vAlign w:val="top"/>
          </w:tcPr>
          <w:p>
            <w:pPr>
              <w:pStyle w:val="TableText"/>
              <w:jc w:val="left"/>
            </w:pPr>
            <w:r>
              <w:t xml:space="preserve">Ingestion service, enrichment domain</w:t>
            </w:r>
          </w:p>
        </w:tc>
      </w:tr>
      <w:tr>
        <w:trPr>
          <w:cantSplit/>
        </w:trPr>
        <w:tc>
          <w:tcPr>
            <w:tcW w:w="1875" w:type="dxa"/>
            <w:shd w:val="clear" w:color="auto" w:fill="F4F7FB"/>
            <w:vAlign w:val="top"/>
          </w:tcPr>
          <w:p>
            <w:pPr>
              <w:pStyle w:val="TableText"/>
              <w:jc w:val="left"/>
            </w:pPr>
            <w:r>
              <w:t xml:space="preserve">Lead intelligence</w:t>
            </w:r>
          </w:p>
        </w:tc>
        <w:tc>
          <w:tcPr>
            <w:tcW w:w="4691" w:type="dxa"/>
            <w:shd w:val="clear" w:color="auto" w:fill="F4F7FB"/>
            <w:vAlign w:val="top"/>
          </w:tcPr>
          <w:p>
            <w:pPr>
              <w:pStyle w:val="TableText"/>
              <w:jc w:val="left"/>
            </w:pPr>
            <w:r>
              <w:t xml:space="preserve">Scores each vehicle (explainable factors), assigns a journey and a next-best action, and selects relevant benefits</w:t>
            </w:r>
          </w:p>
        </w:tc>
        <w:tc>
          <w:tcPr>
            <w:tcW w:w="2461" w:type="dxa"/>
            <w:shd w:val="clear" w:color="auto" w:fill="F4F7FB"/>
            <w:vAlign w:val="top"/>
          </w:tcPr>
          <w:p>
            <w:pPr>
              <w:pStyle w:val="TableText"/>
              <w:jc w:val="left"/>
            </w:pPr>
            <w:r>
              <w:t xml:space="preserve">Lead service, leads domain</w:t>
            </w:r>
          </w:p>
        </w:tc>
      </w:tr>
      <w:tr>
        <w:trPr>
          <w:cantSplit/>
        </w:trPr>
        <w:tc>
          <w:tcPr>
            <w:tcW w:w="1875" w:type="dxa"/>
            <w:vAlign w:val="top"/>
          </w:tcPr>
          <w:p>
            <w:pPr>
              <w:pStyle w:val="TableText"/>
              <w:jc w:val="left"/>
            </w:pPr>
            <w:r>
              <w:t xml:space="preserve">Journeys and contact policy</w:t>
            </w:r>
          </w:p>
        </w:tc>
        <w:tc>
          <w:tcPr>
            <w:tcW w:w="4691" w:type="dxa"/>
            <w:vAlign w:val="top"/>
          </w:tcPr>
          <w:p>
            <w:pPr>
              <w:pStyle w:val="TableText"/>
              <w:jc w:val="left"/>
            </w:pPr>
            <w:r>
              <w:t xml:space="preserve">Plans and runs touchpoints on app push, Zalo ZNS, SMS, voice and telesales, within consent, contact window and frequency caps, with a copy guard on every message</w:t>
            </w:r>
          </w:p>
        </w:tc>
        <w:tc>
          <w:tcPr>
            <w:tcW w:w="2461" w:type="dxa"/>
            <w:vAlign w:val="top"/>
          </w:tcPr>
          <w:p>
            <w:pPr>
              <w:pStyle w:val="TableText"/>
              <w:jc w:val="left"/>
            </w:pPr>
            <w:r>
              <w:t xml:space="preserve">Journey service, contact policy domain</w:t>
            </w:r>
          </w:p>
        </w:tc>
      </w:tr>
      <w:tr>
        <w:trPr>
          <w:cantSplit/>
        </w:trPr>
        <w:tc>
          <w:tcPr>
            <w:tcW w:w="1875" w:type="dxa"/>
            <w:shd w:val="clear" w:color="auto" w:fill="F4F7FB"/>
            <w:vAlign w:val="top"/>
          </w:tcPr>
          <w:p>
            <w:pPr>
              <w:pStyle w:val="TableText"/>
              <w:jc w:val="left"/>
            </w:pPr>
            <w:r>
              <w:t xml:space="preserve">Voice assistant</w:t>
            </w:r>
          </w:p>
        </w:tc>
        <w:tc>
          <w:tcPr>
            <w:tcW w:w="4691" w:type="dxa"/>
            <w:shd w:val="clear" w:color="auto" w:fill="F4F7FB"/>
            <w:vAlign w:val="top"/>
          </w:tcPr>
          <w:p>
            <w:pPr>
              <w:pStyle w:val="TableText"/>
              <w:jc w:val="left"/>
            </w:pPr>
            <w:r>
              <w:t xml:space="preserve">Runs governed automated calls with plate-first verification and hands interested customers to telesales</w:t>
            </w:r>
          </w:p>
        </w:tc>
        <w:tc>
          <w:tcPr>
            <w:tcW w:w="2461" w:type="dxa"/>
            <w:shd w:val="clear" w:color="auto" w:fill="F4F7FB"/>
            <w:vAlign w:val="top"/>
          </w:tcPr>
          <w:p>
            <w:pPr>
              <w:pStyle w:val="TableText"/>
              <w:jc w:val="left"/>
            </w:pPr>
            <w:r>
              <w:t xml:space="preserve">Voice service, dialogue domain</w:t>
            </w:r>
          </w:p>
        </w:tc>
      </w:tr>
      <w:tr>
        <w:trPr>
          <w:cantSplit/>
        </w:trPr>
        <w:tc>
          <w:tcPr>
            <w:tcW w:w="1875" w:type="dxa"/>
            <w:vAlign w:val="top"/>
          </w:tcPr>
          <w:p>
            <w:pPr>
              <w:pStyle w:val="TableText"/>
              <w:jc w:val="left"/>
            </w:pPr>
            <w:r>
              <w:t xml:space="preserve">Sales</w:t>
            </w:r>
          </w:p>
        </w:tc>
        <w:tc>
          <w:tcPr>
            <w:tcW w:w="4691" w:type="dxa"/>
            <w:vAlign w:val="top"/>
          </w:tcPr>
          <w:p>
            <w:pPr>
              <w:pStyle w:val="TableText"/>
              <w:jc w:val="left"/>
            </w:pPr>
            <w:r>
              <w:t xml:space="preserve">Quotes through TASCO core, sends quotes to the customer, takes payment only from the customer in the customer app (VETC wallet in VETC hosts, TASCO payment gateway in TASCO hosts), issues policies and e-certificates</w:t>
            </w:r>
          </w:p>
        </w:tc>
        <w:tc>
          <w:tcPr>
            <w:tcW w:w="2461" w:type="dxa"/>
            <w:vAlign w:val="top"/>
          </w:tcPr>
          <w:p>
            <w:pPr>
              <w:pStyle w:val="TableText"/>
              <w:jc w:val="left"/>
            </w:pPr>
            <w:r>
              <w:t xml:space="preserve">Sales, rating and catalogue services</w:t>
            </w:r>
          </w:p>
        </w:tc>
      </w:tr>
      <w:tr>
        <w:trPr>
          <w:cantSplit/>
        </w:trPr>
        <w:tc>
          <w:tcPr>
            <w:tcW w:w="1875" w:type="dxa"/>
            <w:shd w:val="clear" w:color="auto" w:fill="F4F7FB"/>
            <w:vAlign w:val="top"/>
          </w:tcPr>
          <w:p>
            <w:pPr>
              <w:pStyle w:val="TableText"/>
              <w:jc w:val="left"/>
            </w:pPr>
            <w:r>
              <w:t xml:space="preserve">Quick renewal</w:t>
            </w:r>
          </w:p>
        </w:tc>
        <w:tc>
          <w:tcPr>
            <w:tcW w:w="4691" w:type="dxa"/>
            <w:shd w:val="clear" w:color="auto" w:fill="F4F7FB"/>
            <w:vAlign w:val="top"/>
          </w:tcPr>
          <w:p>
            <w:pPr>
              <w:pStyle w:val="TableText"/>
              <w:jc w:val="left"/>
            </w:pPr>
            <w:r>
              <w:t xml:space="preserve">Decides on the server, case by case, whether a returning customer can renew in 3 steps instead of the full 6-step flow, from the quick-renewal settings in the service levels rule set</w:t>
            </w:r>
          </w:p>
        </w:tc>
        <w:tc>
          <w:tcPr>
            <w:tcW w:w="2461" w:type="dxa"/>
            <w:shd w:val="clear" w:color="auto" w:fill="F4F7FB"/>
            <w:vAlign w:val="top"/>
          </w:tcPr>
          <w:p>
            <w:pPr>
              <w:pStyle w:val="TableText"/>
              <w:jc w:val="left"/>
            </w:pPr>
            <w:r>
              <w:t xml:space="preserve">Quick-renewal domain module, customer service</w:t>
            </w:r>
          </w:p>
        </w:tc>
      </w:tr>
      <w:tr>
        <w:trPr>
          <w:cantSplit/>
        </w:trPr>
        <w:tc>
          <w:tcPr>
            <w:tcW w:w="1875" w:type="dxa"/>
            <w:vAlign w:val="top"/>
          </w:tcPr>
          <w:p>
            <w:pPr>
              <w:pStyle w:val="TableText"/>
              <w:jc w:val="left"/>
            </w:pPr>
            <w:r>
              <w:t xml:space="preserve">Partners and commission</w:t>
            </w:r>
          </w:p>
        </w:tc>
        <w:tc>
          <w:tcPr>
            <w:tcW w:w="4691" w:type="dxa"/>
            <w:vAlign w:val="top"/>
          </w:tcPr>
          <w:p>
            <w:pPr>
              <w:pStyle w:val="TableText"/>
              <w:jc w:val="left"/>
            </w:pPr>
            <w:r>
              <w:t xml:space="preserve">Onboards partners, issues API keys with scopes, records partner sales and computes commission within statutory caps</w:t>
            </w:r>
          </w:p>
        </w:tc>
        <w:tc>
          <w:tcPr>
            <w:tcW w:w="2461" w:type="dxa"/>
            <w:vAlign w:val="top"/>
          </w:tcPr>
          <w:p>
            <w:pPr>
              <w:pStyle w:val="TableText"/>
              <w:jc w:val="left"/>
            </w:pPr>
            <w:r>
              <w:t xml:space="preserve">Partner service</w:t>
            </w:r>
          </w:p>
        </w:tc>
      </w:tr>
      <w:tr>
        <w:trPr>
          <w:cantSplit/>
        </w:trPr>
        <w:tc>
          <w:tcPr>
            <w:tcW w:w="1875" w:type="dxa"/>
            <w:shd w:val="clear" w:color="auto" w:fill="F4F7FB"/>
            <w:vAlign w:val="top"/>
          </w:tcPr>
          <w:p>
            <w:pPr>
              <w:pStyle w:val="TableText"/>
              <w:jc w:val="left"/>
            </w:pPr>
            <w:r>
              <w:t xml:space="preserve">Claims intake</w:t>
            </w:r>
          </w:p>
        </w:tc>
        <w:tc>
          <w:tcPr>
            <w:tcW w:w="4691" w:type="dxa"/>
            <w:shd w:val="clear" w:color="auto" w:fill="F4F7FB"/>
            <w:vAlign w:val="top"/>
          </w:tcPr>
          <w:p>
            <w:pPr>
              <w:pStyle w:val="TableText"/>
              <w:jc w:val="left"/>
            </w:pPr>
            <w:r>
              <w:t xml:space="preserve">Captures first notice of loss from the customer app and acknowledges it within the service level</w:t>
            </w:r>
          </w:p>
        </w:tc>
        <w:tc>
          <w:tcPr>
            <w:tcW w:w="2461" w:type="dxa"/>
            <w:shd w:val="clear" w:color="auto" w:fill="F4F7FB"/>
            <w:vAlign w:val="top"/>
          </w:tcPr>
          <w:p>
            <w:pPr>
              <w:pStyle w:val="TableText"/>
              <w:jc w:val="left"/>
            </w:pPr>
            <w:r>
              <w:t xml:space="preserve">Claims service</w:t>
            </w:r>
          </w:p>
        </w:tc>
      </w:tr>
      <w:tr>
        <w:trPr>
          <w:cantSplit/>
        </w:trPr>
        <w:tc>
          <w:tcPr>
            <w:tcW w:w="1875" w:type="dxa"/>
            <w:vAlign w:val="top"/>
          </w:tcPr>
          <w:p>
            <w:pPr>
              <w:pStyle w:val="TableText"/>
              <w:jc w:val="left"/>
            </w:pPr>
            <w:r>
              <w:t xml:space="preserve">Identity, consent and privacy</w:t>
            </w:r>
          </w:p>
        </w:tc>
        <w:tc>
          <w:tcPr>
            <w:tcW w:w="4691" w:type="dxa"/>
            <w:vAlign w:val="top"/>
          </w:tcPr>
          <w:p>
            <w:pPr>
              <w:pStyle w:val="TableText"/>
              <w:jc w:val="left"/>
            </w:pPr>
            <w:r>
              <w:t xml:space="preserve">Staff sign-in with MFA, role and attribute-based access, consent centre, and a register of data-subject requests (access and erasure) with response deadlines, identity verification and audit</w:t>
            </w:r>
          </w:p>
        </w:tc>
        <w:tc>
          <w:tcPr>
            <w:tcW w:w="2461" w:type="dxa"/>
            <w:vAlign w:val="top"/>
          </w:tcPr>
          <w:p>
            <w:pPr>
              <w:pStyle w:val="TableText"/>
              <w:jc w:val="left"/>
            </w:pPr>
            <w:r>
              <w:t xml:space="preserve">Identity service, access policy, customer service, data-subject request service</w:t>
            </w:r>
          </w:p>
        </w:tc>
      </w:tr>
      <w:tr>
        <w:trPr>
          <w:cantSplit/>
        </w:trPr>
        <w:tc>
          <w:tcPr>
            <w:tcW w:w="1875" w:type="dxa"/>
            <w:shd w:val="clear" w:color="auto" w:fill="F4F7FB"/>
            <w:vAlign w:val="top"/>
          </w:tcPr>
          <w:p>
            <w:pPr>
              <w:pStyle w:val="TableText"/>
              <w:jc w:val="left"/>
            </w:pPr>
            <w:r>
              <w:t xml:space="preserve">Rules governance</w:t>
            </w:r>
          </w:p>
        </w:tc>
        <w:tc>
          <w:tcPr>
            <w:tcW w:w="4691" w:type="dxa"/>
            <w:shd w:val="clear" w:color="auto" w:fill="F4F7FB"/>
            <w:vAlign w:val="top"/>
          </w:tcPr>
          <w:p>
            <w:pPr>
              <w:pStyle w:val="TableText"/>
              <w:jc w:val="left"/>
            </w:pPr>
            <w:r>
              <w:t xml:space="preserve">Versioned rule sets with validation, simulation, maker-checker approval and rollback</w:t>
            </w:r>
          </w:p>
        </w:tc>
        <w:tc>
          <w:tcPr>
            <w:tcW w:w="2461" w:type="dxa"/>
            <w:shd w:val="clear" w:color="auto" w:fill="F4F7FB"/>
            <w:vAlign w:val="top"/>
          </w:tcPr>
          <w:p>
            <w:pPr>
              <w:pStyle w:val="TableText"/>
              <w:jc w:val="left"/>
            </w:pPr>
            <w:r>
              <w:t xml:space="preserve">Rules service, rules engine</w:t>
            </w:r>
          </w:p>
        </w:tc>
      </w:tr>
      <w:tr>
        <w:trPr>
          <w:cantSplit/>
        </w:trPr>
        <w:tc>
          <w:tcPr>
            <w:tcW w:w="1875" w:type="dxa"/>
            <w:vAlign w:val="top"/>
          </w:tcPr>
          <w:p>
            <w:pPr>
              <w:pStyle w:val="TableText"/>
              <w:jc w:val="left"/>
            </w:pPr>
            <w:r>
              <w:t xml:space="preserve">Insights and operations</w:t>
            </w:r>
          </w:p>
        </w:tc>
        <w:tc>
          <w:tcPr>
            <w:tcW w:w="4691" w:type="dxa"/>
            <w:vAlign w:val="top"/>
          </w:tcPr>
          <w:p>
            <w:pPr>
              <w:pStyle w:val="TableText"/>
              <w:jc w:val="left"/>
            </w:pPr>
            <w:r>
              <w:t xml:space="preserve">Business and governance dashboards, reconciliation, retention, job history and integration status</w:t>
            </w:r>
          </w:p>
        </w:tc>
        <w:tc>
          <w:tcPr>
            <w:tcW w:w="2461" w:type="dxa"/>
            <w:vAlign w:val="top"/>
          </w:tcPr>
          <w:p>
            <w:pPr>
              <w:pStyle w:val="TableText"/>
              <w:jc w:val="left"/>
            </w:pPr>
            <w:r>
              <w:t xml:space="preserve">Insights and operations services</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19" w:name="_Toc300000015"/>
      <w:r>
        <w:rPr>
          <w:rStyle w:val="BookTitle"/>
          <w:bCs w:val="0"/>
          <w:i w:val="0"/>
          <w:iCs w:val="0"/>
          <w:spacing w:val="0"/>
        </w:rPr>
        <w:t xml:space="preserve">Technical architecture</w:t>
      </w:r>
      <w:bookmarkEnd w:id="19"/>
    </w:p>
    <w:p>
      <w:pPr>
        <w:pStyle w:val="Heading2"/>
      </w:pPr>
      <w:bookmarkStart w:id="20" w:name="_Toc300000016"/>
      <w:r>
        <w:t xml:space="preserve">Ports and adapters</w:t>
      </w:r>
      <w:bookmarkEnd w:id="20"/>
    </w:p>
    <w:p>
      <w:pPr>
        <w:pStyle w:val="FirstParagraph"/>
      </w:pPr>
      <w:r>
        <w:t xml:space="preserve">The application follows a hexagonal (ports and adapters) design, recorded in ADR-001 (TGP-ARC-07 Architecture Decision Records). Business logic sits at the centre and knows nothing about HTTP, databases or vendors. Application services coordinate that logic and reach the outside world only through ports. A single composition root decides which adapter implements each port.</w:t>
      </w:r>
    </w:p>
    <w:p xmlns:a="http://schemas.openxmlformats.org/drawingml/2006/main" xmlns:pic="http://schemas.openxmlformats.org/drawingml/2006/picture">
      <w:pPr>
        <w:pStyle w:val="Figure"/>
      </w:pPr>
      <w:r>
        <w:drawing>
          <wp:inline>
            <wp:extent cx="5727700" cy="4915408"/>
            <wp:effectExtent b="0" l="0" r="0" t="0"/>
            <wp:docPr descr="Ports and adapters: business logic at the centre, adapters at the edges" title="" id="5004" name="Picture"/>
            <a:graphic>
              <a:graphicData uri="http://schemas.openxmlformats.org/drawingml/2006/picture">
                <pic:pic>
                  <pic:nvPicPr>
                    <pic:cNvPr descr="/home/user/TASCO/tools/docs-source/gen/.cache/mermaid/63c4597f6a6191b2.png" id="40" name="Picture"/>
                    <pic:cNvPicPr>
                      <a:picLocks noChangeArrowheads="1" noChangeAspect="1"/>
                    </pic:cNvPicPr>
                  </pic:nvPicPr>
                  <pic:blipFill>
                    <a:blip r:embed="rIdG3"/>
                    <a:stretch>
                      <a:fillRect/>
                    </a:stretch>
                  </pic:blipFill>
                  <pic:spPr bwMode="auto">
                    <a:xfrm>
                      <a:off x="0" y="0"/>
                      <a:ext cx="5727700" cy="4915408"/>
                    </a:xfrm>
                    <a:prstGeom prst="rect">
                      <a:avLst/>
                    </a:prstGeom>
                    <a:noFill/>
                    <a:ln w="9525">
                      <a:noFill/>
                      <a:headEnd/>
                      <a:tailEnd/>
                    </a:ln>
                  </pic:spPr>
                </pic:pic>
              </a:graphicData>
            </a:graphic>
          </wp:inline>
        </w:drawing>
      </w:r>
    </w:p>
    <w:p>
      <w:pPr>
        <w:pStyle w:val="Caption"/>
      </w:pPr>
      <w:r>
        <w:t xml:space="preserve">Figure 3 – Ports and adapters: business logic at the centre, adapters at the edges</w:t>
      </w:r>
    </w:p>
    <w:p>
      <w:pPr>
        <w:pStyle w:val="BodyText"/>
      </w:pPr>
      <w:r>
        <w:t xml:space="preserve">The dependency rule is strict. Domain modules (</w:t>
      </w:r>
      <w:r>
        <w:rPr>
          <w:rStyle w:val="CodeChar"/>
        </w:rPr>
        <w:t xml:space="preserve">src/domain</w:t>
      </w:r>
      <w:r>
        <w:t xml:space="preserve">) and the rules engine (</w:t>
      </w:r>
      <w:r>
        <w:rPr>
          <w:rStyle w:val="CodeChar"/>
        </w:rPr>
        <w:t xml:space="preserve">src/rules</w:t>
      </w:r>
      <w:r>
        <w:t xml:space="preserve">) depend only on the shared kernel; they perform no input or output and read no clock, so they are tested deterministically. Application services (</w:t>
      </w:r>
      <w:r>
        <w:rPr>
          <w:rStyle w:val="CodeChar"/>
        </w:rPr>
        <w:t xml:space="preserve">src/application</w:t>
      </w:r>
      <w:r>
        <w:t xml:space="preserve">) receive the store, rules, audit, event bus, clock and gateways as constructor arguments and never load an adapter themselves. Only</w:t>
      </w:r>
      <w:r>
        <w:t xml:space="preserve"> </w:t>
      </w:r>
      <w:r>
        <w:rPr>
          <w:rStyle w:val="CodeChar"/>
        </w:rPr>
        <w:t xml:space="preserve">src/bootstrap/container.js</w:t>
      </w:r>
      <w:r>
        <w:t xml:space="preserve"> </w:t>
      </w:r>
      <w:r>
        <w:t xml:space="preserve">chooses adapters, for example the PostgreSQL store when a database URL is set.</w:t>
      </w:r>
    </w:p>
    <w:p>
      <w:pPr>
        <w:pStyle w:val="Heading2"/>
      </w:pPr>
      <w:bookmarkStart w:id="21" w:name="_Toc300000017"/>
      <w:r>
        <w:t xml:space="preserve">Layers and technology</w:t>
      </w:r>
      <w:bookmarkEnd w:id="21"/>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656"/>
        <w:gridCol w:w="4137"/>
        <w:gridCol w:w="3234"/>
      </w:tblGrid>
      <w:tr>
        <w:trPr>
          <w:cantSplit/>
          <w:tblHeader/>
        </w:trPr>
        <w:tc>
          <w:tcPr>
            <w:tcW w:w="1656" w:type="dxa"/>
            <w:shd w:val="clear" w:color="auto" w:fill="0F4761"/>
            <w:vAlign w:val="center"/>
          </w:tcPr>
          <w:p>
            <w:pPr>
              <w:pStyle w:val="TableHeading"/>
              <w:jc w:val="left"/>
            </w:pPr>
            <w:r>
              <w:rPr>
                <w:color w:val="FFFFFF"/>
              </w:rPr>
              <w:t xml:space="preserve">Layer</w:t>
            </w:r>
          </w:p>
        </w:tc>
        <w:tc>
          <w:tcPr>
            <w:tcW w:w="4137" w:type="dxa"/>
            <w:shd w:val="clear" w:color="auto" w:fill="0F4761"/>
            <w:vAlign w:val="center"/>
          </w:tcPr>
          <w:p>
            <w:pPr>
              <w:pStyle w:val="TableHeading"/>
              <w:jc w:val="left"/>
            </w:pPr>
            <w:r>
              <w:rPr>
                <w:color w:val="FFFFFF"/>
              </w:rPr>
              <w:t xml:space="preserve">Contents</w:t>
            </w:r>
          </w:p>
        </w:tc>
        <w:tc>
          <w:tcPr>
            <w:tcW w:w="3234" w:type="dxa"/>
            <w:shd w:val="clear" w:color="auto" w:fill="0F4761"/>
            <w:vAlign w:val="center"/>
          </w:tcPr>
          <w:p>
            <w:pPr>
              <w:pStyle w:val="TableHeading"/>
              <w:jc w:val="left"/>
            </w:pPr>
            <w:r>
              <w:rPr>
                <w:color w:val="FFFFFF"/>
              </w:rPr>
              <w:t xml:space="preserve">Technology</w:t>
            </w:r>
          </w:p>
        </w:tc>
      </w:tr>
      <w:tr>
        <w:trPr>
          <w:cantSplit/>
        </w:trPr>
        <w:tc>
          <w:tcPr>
            <w:tcW w:w="1656" w:type="dxa"/>
            <w:vAlign w:val="top"/>
          </w:tcPr>
          <w:p>
            <w:pPr>
              <w:pStyle w:val="TableText"/>
              <w:jc w:val="left"/>
            </w:pPr>
            <w:r>
              <w:t xml:space="preserve">Presentation</w:t>
            </w:r>
          </w:p>
        </w:tc>
        <w:tc>
          <w:tcPr>
            <w:tcW w:w="4137" w:type="dxa"/>
            <w:vAlign w:val="top"/>
          </w:tcPr>
          <w:p>
            <w:pPr>
              <w:pStyle w:val="TableText"/>
              <w:jc w:val="left"/>
            </w:pPr>
            <w:r>
              <w:t xml:space="preserve">Staff console, customer app, public certificate check</w:t>
            </w:r>
          </w:p>
        </w:tc>
        <w:tc>
          <w:tcPr>
            <w:tcW w:w="3234" w:type="dxa"/>
            <w:vAlign w:val="top"/>
          </w:tcPr>
          <w:p>
            <w:pPr>
              <w:pStyle w:val="TableText"/>
              <w:jc w:val="left"/>
            </w:pPr>
            <w:r>
              <w:t xml:space="preserve">HTML5 and JavaScript modules, no third-party runtime, strict content security policy, design tokens. Console in Vietnamese and English, customer app in Vietnamese.</w:t>
            </w:r>
          </w:p>
        </w:tc>
      </w:tr>
      <w:tr>
        <w:trPr>
          <w:cantSplit/>
        </w:trPr>
        <w:tc>
          <w:tcPr>
            <w:tcW w:w="1656" w:type="dxa"/>
            <w:shd w:val="clear" w:color="auto" w:fill="F4F7FB"/>
            <w:vAlign w:val="top"/>
          </w:tcPr>
          <w:p>
            <w:pPr>
              <w:pStyle w:val="TableText"/>
              <w:jc w:val="left"/>
            </w:pPr>
            <w:r>
              <w:t xml:space="preserve">API</w:t>
            </w:r>
          </w:p>
        </w:tc>
        <w:tc>
          <w:tcPr>
            <w:tcW w:w="4137" w:type="dxa"/>
            <w:shd w:val="clear" w:color="auto" w:fill="F4F7FB"/>
            <w:vAlign w:val="top"/>
          </w:tcPr>
          <w:p>
            <w:pPr>
              <w:pStyle w:val="TableText"/>
              <w:jc w:val="left"/>
            </w:pPr>
            <w:r>
              <w:t xml:space="preserve">REST operations described in OpenAPI 3.1, generated from the route table; rate limiting, idempotency keys, input validation</w:t>
            </w:r>
          </w:p>
        </w:tc>
        <w:tc>
          <w:tcPr>
            <w:tcW w:w="3234" w:type="dxa"/>
            <w:shd w:val="clear" w:color="auto" w:fill="F4F7FB"/>
            <w:vAlign w:val="top"/>
          </w:tcPr>
          <w:p>
            <w:pPr>
              <w:pStyle w:val="TableText"/>
              <w:jc w:val="left"/>
            </w:pPr>
            <w:r>
              <w:t xml:space="preserve">Node.js 22 standard HTTP server</w:t>
            </w:r>
          </w:p>
        </w:tc>
      </w:tr>
      <w:tr>
        <w:trPr>
          <w:cantSplit/>
        </w:trPr>
        <w:tc>
          <w:tcPr>
            <w:tcW w:w="1656" w:type="dxa"/>
            <w:vAlign w:val="top"/>
          </w:tcPr>
          <w:p>
            <w:pPr>
              <w:pStyle w:val="TableText"/>
              <w:jc w:val="left"/>
            </w:pPr>
            <w:r>
              <w:t xml:space="preserve">Application</w:t>
            </w:r>
          </w:p>
        </w:tc>
        <w:tc>
          <w:tcPr>
            <w:tcW w:w="4137" w:type="dxa"/>
            <w:vAlign w:val="top"/>
          </w:tcPr>
          <w:p>
            <w:pPr>
              <w:pStyle w:val="TableText"/>
              <w:jc w:val="left"/>
            </w:pPr>
            <w:r>
              <w:t xml:space="preserve">Ingestion, leads, journeys, voice, sales, rating, catalogue, partners, claims, customers, data-subject requests, identity, rules, insights, operations, audit</w:t>
            </w:r>
          </w:p>
        </w:tc>
        <w:tc>
          <w:tcPr>
            <w:tcW w:w="3234" w:type="dxa"/>
            <w:vAlign w:val="top"/>
          </w:tcPr>
          <w:p>
            <w:pPr>
              <w:pStyle w:val="TableText"/>
              <w:jc w:val="left"/>
            </w:pPr>
            <w:r>
              <w:t xml:space="preserve">Node.js 22</w:t>
            </w:r>
          </w:p>
        </w:tc>
      </w:tr>
      <w:tr>
        <w:trPr>
          <w:cantSplit/>
        </w:trPr>
        <w:tc>
          <w:tcPr>
            <w:tcW w:w="1656" w:type="dxa"/>
            <w:shd w:val="clear" w:color="auto" w:fill="F4F7FB"/>
            <w:vAlign w:val="top"/>
          </w:tcPr>
          <w:p>
            <w:pPr>
              <w:pStyle w:val="TableText"/>
              <w:jc w:val="left"/>
            </w:pPr>
            <w:r>
              <w:t xml:space="preserve">Domain</w:t>
            </w:r>
          </w:p>
        </w:tc>
        <w:tc>
          <w:tcPr>
            <w:tcW w:w="4137" w:type="dxa"/>
            <w:shd w:val="clear" w:color="auto" w:fill="F4F7FB"/>
            <w:vAlign w:val="top"/>
          </w:tcPr>
          <w:p>
            <w:pPr>
              <w:pStyle w:val="TableText"/>
              <w:jc w:val="left"/>
            </w:pPr>
            <w:r>
              <w:t xml:space="preserve">Plate and phone normalisation, golden record, scoring, rating fallback, contact policy, dialogue, quick-renewal eligibility</w:t>
            </w:r>
          </w:p>
        </w:tc>
        <w:tc>
          <w:tcPr>
            <w:tcW w:w="3234" w:type="dxa"/>
            <w:shd w:val="clear" w:color="auto" w:fill="F4F7FB"/>
            <w:vAlign w:val="top"/>
          </w:tcPr>
          <w:p>
            <w:pPr>
              <w:pStyle w:val="TableText"/>
              <w:jc w:val="left"/>
            </w:pPr>
            <w:r>
              <w:t xml:space="preserve">Pure JavaScript, no dependencies</w:t>
            </w:r>
          </w:p>
        </w:tc>
      </w:tr>
      <w:tr>
        <w:trPr>
          <w:cantSplit/>
        </w:trPr>
        <w:tc>
          <w:tcPr>
            <w:tcW w:w="1656" w:type="dxa"/>
            <w:vAlign w:val="top"/>
          </w:tcPr>
          <w:p>
            <w:pPr>
              <w:pStyle w:val="TableText"/>
              <w:jc w:val="left"/>
            </w:pPr>
            <w:r>
              <w:t xml:space="preserve">Rules</w:t>
            </w:r>
          </w:p>
        </w:tc>
        <w:tc>
          <w:tcPr>
            <w:tcW w:w="4137" w:type="dxa"/>
            <w:vAlign w:val="top"/>
          </w:tcPr>
          <w:p>
            <w:pPr>
              <w:pStyle w:val="TableText"/>
              <w:jc w:val="left"/>
            </w:pPr>
            <w:r>
              <w:t xml:space="preserve">JSON Logic subset and decision tables; 21 rule kinds, validated, simulated and approved before use</w:t>
            </w:r>
          </w:p>
        </w:tc>
        <w:tc>
          <w:tcPr>
            <w:tcW w:w="3234" w:type="dxa"/>
            <w:vAlign w:val="top"/>
          </w:tcPr>
          <w:p>
            <w:pPr>
              <w:pStyle w:val="TableText"/>
              <w:jc w:val="left"/>
            </w:pPr>
            <w:r>
              <w:t xml:space="preserve">Built in, no code evaluation</w:t>
            </w:r>
          </w:p>
        </w:tc>
      </w:tr>
      <w:tr>
        <w:trPr>
          <w:cantSplit/>
        </w:trPr>
        <w:tc>
          <w:tcPr>
            <w:tcW w:w="1656" w:type="dxa"/>
            <w:shd w:val="clear" w:color="auto" w:fill="F4F7FB"/>
            <w:vAlign w:val="top"/>
          </w:tcPr>
          <w:p>
            <w:pPr>
              <w:pStyle w:val="TableText"/>
              <w:jc w:val="left"/>
            </w:pPr>
            <w:r>
              <w:t xml:space="preserve">Persistence</w:t>
            </w:r>
          </w:p>
        </w:tc>
        <w:tc>
          <w:tcPr>
            <w:tcW w:w="4137" w:type="dxa"/>
            <w:shd w:val="clear" w:color="auto" w:fill="F4F7FB"/>
            <w:vAlign w:val="top"/>
          </w:tcPr>
          <w:p>
            <w:pPr>
              <w:pStyle w:val="TableText"/>
              <w:jc w:val="left"/>
            </w:pPr>
            <w:r>
              <w:t xml:space="preserve">One table per collection: document column plus typed indexed columns; optimistic locking; AES-256-GCM field encryption; blind index for phone search</w:t>
            </w:r>
          </w:p>
        </w:tc>
        <w:tc>
          <w:tcPr>
            <w:tcW w:w="3234" w:type="dxa"/>
            <w:shd w:val="clear" w:color="auto" w:fill="F4F7FB"/>
            <w:vAlign w:val="top"/>
          </w:tcPr>
          <w:p>
            <w:pPr>
              <w:pStyle w:val="TableText"/>
              <w:jc w:val="left"/>
            </w:pPr>
            <w:r>
              <w:t xml:space="preserve">PostgreSQL 16</w:t>
            </w:r>
          </w:p>
        </w:tc>
      </w:tr>
      <w:tr>
        <w:trPr>
          <w:cantSplit/>
        </w:trPr>
        <w:tc>
          <w:tcPr>
            <w:tcW w:w="1656" w:type="dxa"/>
            <w:vAlign w:val="top"/>
          </w:tcPr>
          <w:p>
            <w:pPr>
              <w:pStyle w:val="TableText"/>
              <w:jc w:val="left"/>
            </w:pPr>
            <w:r>
              <w:t xml:space="preserve">Messaging</w:t>
            </w:r>
          </w:p>
        </w:tc>
        <w:tc>
          <w:tcPr>
            <w:tcW w:w="4137" w:type="dxa"/>
            <w:vAlign w:val="top"/>
          </w:tcPr>
          <w:p>
            <w:pPr>
              <w:pStyle w:val="TableText"/>
              <w:jc w:val="left"/>
            </w:pPr>
            <w:r>
              <w:t xml:space="preserve">Transactional outbox with a relay that claims events using</w:t>
            </w:r>
            <w:r>
              <w:t xml:space="preserve"> </w:t>
            </w:r>
            <w:r>
              <w:rPr>
                <w:rStyle w:val="CodeChar"/>
              </w:rPr>
              <w:t xml:space="preserve">FOR UPDATE SKIP LOCKED</w:t>
            </w:r>
          </w:p>
        </w:tc>
        <w:tc>
          <w:tcPr>
            <w:tcW w:w="3234" w:type="dxa"/>
            <w:vAlign w:val="top"/>
          </w:tcPr>
          <w:p>
            <w:pPr>
              <w:pStyle w:val="TableText"/>
              <w:jc w:val="left"/>
            </w:pPr>
            <w:r>
              <w:t xml:space="preserve">PostgreSQL</w:t>
            </w:r>
          </w:p>
        </w:tc>
      </w:tr>
      <w:tr>
        <w:trPr>
          <w:cantSplit/>
        </w:trPr>
        <w:tc>
          <w:tcPr>
            <w:tcW w:w="1656" w:type="dxa"/>
            <w:shd w:val="clear" w:color="auto" w:fill="F4F7FB"/>
            <w:vAlign w:val="top"/>
          </w:tcPr>
          <w:p>
            <w:pPr>
              <w:pStyle w:val="TableText"/>
              <w:jc w:val="left"/>
            </w:pPr>
            <w:r>
              <w:t xml:space="preserve">Integration</w:t>
            </w:r>
          </w:p>
        </w:tc>
        <w:tc>
          <w:tcPr>
            <w:tcW w:w="4137" w:type="dxa"/>
            <w:shd w:val="clear" w:color="auto" w:fill="F4F7FB"/>
            <w:vAlign w:val="top"/>
          </w:tcPr>
          <w:p>
            <w:pPr>
              <w:pStyle w:val="TableText"/>
              <w:jc w:val="left"/>
            </w:pPr>
            <w:r>
              <w:t xml:space="preserve">Adapters with timeouts, retries, circuit breakers and idempotency keys</w:t>
            </w:r>
          </w:p>
        </w:tc>
        <w:tc>
          <w:tcPr>
            <w:tcW w:w="3234" w:type="dxa"/>
            <w:shd w:val="clear" w:color="auto" w:fill="F4F7FB"/>
            <w:vAlign w:val="top"/>
          </w:tcPr>
          <w:p>
            <w:pPr>
              <w:pStyle w:val="TableText"/>
              <w:jc w:val="left"/>
            </w:pPr>
            <w:r>
              <w:t xml:space="preserve">REST over TLS, OAuth 2.0 client credentials, mutual TLS where required</w:t>
            </w:r>
          </w:p>
        </w:tc>
      </w:tr>
      <w:tr>
        <w:trPr>
          <w:cantSplit/>
        </w:trPr>
        <w:tc>
          <w:tcPr>
            <w:tcW w:w="1656" w:type="dxa"/>
            <w:vAlign w:val="top"/>
          </w:tcPr>
          <w:p>
            <w:pPr>
              <w:pStyle w:val="TableText"/>
              <w:jc w:val="left"/>
            </w:pPr>
            <w:r>
              <w:t xml:space="preserve">Operations</w:t>
            </w:r>
          </w:p>
        </w:tc>
        <w:tc>
          <w:tcPr>
            <w:tcW w:w="4137" w:type="dxa"/>
            <w:vAlign w:val="top"/>
          </w:tcPr>
          <w:p>
            <w:pPr>
              <w:pStyle w:val="TableText"/>
              <w:jc w:val="left"/>
            </w:pPr>
            <w:r>
              <w:t xml:space="preserve">Health checks, Prometheus metrics, JSON logs, scheduled jobs</w:t>
            </w:r>
          </w:p>
        </w:tc>
        <w:tc>
          <w:tcPr>
            <w:tcW w:w="3234" w:type="dxa"/>
            <w:vAlign w:val="top"/>
          </w:tcPr>
          <w:p>
            <w:pPr>
              <w:pStyle w:val="TableText"/>
              <w:jc w:val="left"/>
            </w:pPr>
            <w:r>
              <w:t xml:space="preserve">Kubernetes CronJobs</w:t>
            </w:r>
          </w:p>
        </w:tc>
      </w:tr>
    </w:tbl>
    <w:p>
      <w:pPr>
        <w:pStyle w:val="BodyText"/>
        <w:spacing w:before="160"/>
      </w:pPr>
      <w:r>
        <w:t xml:space="preserve">The API has 103 routes: 6 public, 82 staff, 11 customer and 4 partner, published as 92 paths in the OpenAPI document. Every non-public route declares its audience and permission in the route table, and the OpenAPI document is generated from the same table (ADR-010).</w:t>
      </w:r>
    </w:p>
    <w:p>
      <w:pPr>
        <w:pStyle w:val="Heading2"/>
      </w:pPr>
      <w:bookmarkStart w:id="22" w:name="_Toc300000018"/>
      <w:r>
        <w:t xml:space="preserve">Ports and current adapters</w:t>
      </w:r>
      <w:bookmarkEnd w:id="22"/>
    </w:p>
    <w:p>
      <w:pPr>
        <w:pStyle w:val="FirstParagraph"/>
      </w:pPr>
      <w:r>
        <w:t xml:space="preserve">The table lists each port, the adapter used in development and UAT today, and the production adapter. TGP-ARC-02 Integration Architecture gives the full contracts.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600"/>
        <w:gridCol w:w="1802"/>
        <w:gridCol w:w="1841"/>
        <w:gridCol w:w="1607"/>
        <w:gridCol w:w="1177"/>
      </w:tblGrid>
      <w:tr>
        <w:trPr>
          <w:cantSplit/>
          <w:tblHeader/>
        </w:trPr>
        <w:tc>
          <w:tcPr>
            <w:tcW w:w="2600" w:type="dxa"/>
            <w:shd w:val="clear" w:color="auto" w:fill="0F4761"/>
            <w:vAlign w:val="center"/>
          </w:tcPr>
          <w:p>
            <w:pPr>
              <w:pStyle w:val="TableHeading"/>
              <w:jc w:val="left"/>
            </w:pPr>
            <w:r>
              <w:rPr>
                <w:color w:val="FFFFFF"/>
              </w:rPr>
              <w:t xml:space="preserve">Port</w:t>
            </w:r>
          </w:p>
        </w:tc>
        <w:tc>
          <w:tcPr>
            <w:tcW w:w="1802" w:type="dxa"/>
            <w:shd w:val="clear" w:color="auto" w:fill="0F4761"/>
            <w:vAlign w:val="center"/>
          </w:tcPr>
          <w:p>
            <w:pPr>
              <w:pStyle w:val="TableHeading"/>
              <w:jc w:val="left"/>
            </w:pPr>
            <w:r>
              <w:rPr>
                <w:color w:val="FFFFFF"/>
              </w:rPr>
              <w:t xml:space="preserve">Purpose</w:t>
            </w:r>
          </w:p>
        </w:tc>
        <w:tc>
          <w:tcPr>
            <w:tcW w:w="1841" w:type="dxa"/>
            <w:shd w:val="clear" w:color="auto" w:fill="0F4761"/>
            <w:vAlign w:val="center"/>
          </w:tcPr>
          <w:p>
            <w:pPr>
              <w:pStyle w:val="TableHeading"/>
              <w:jc w:val="left"/>
            </w:pPr>
            <w:r>
              <w:rPr>
                <w:color w:val="FFFFFF"/>
              </w:rPr>
              <w:t xml:space="preserve">Adapter today</w:t>
            </w:r>
          </w:p>
        </w:tc>
        <w:tc>
          <w:tcPr>
            <w:tcW w:w="1607" w:type="dxa"/>
            <w:shd w:val="clear" w:color="auto" w:fill="0F4761"/>
            <w:vAlign w:val="center"/>
          </w:tcPr>
          <w:p>
            <w:pPr>
              <w:pStyle w:val="TableHeading"/>
              <w:jc w:val="left"/>
            </w:pPr>
            <w:r>
              <w:rPr>
                <w:color w:val="FFFFFF"/>
              </w:rPr>
              <w:t xml:space="preserve">Production adapter</w:t>
            </w:r>
          </w:p>
        </w:tc>
        <w:tc>
          <w:tcPr>
            <w:tcW w:w="1177" w:type="dxa"/>
            <w:shd w:val="clear" w:color="auto" w:fill="0F4761"/>
            <w:vAlign w:val="center"/>
          </w:tcPr>
          <w:p>
            <w:pPr>
              <w:pStyle w:val="TableHeading"/>
              <w:jc w:val="left"/>
            </w:pPr>
            <w:r>
              <w:rPr>
                <w:color w:val="FFFFFF"/>
              </w:rPr>
              <w:t xml:space="preserve">Status</w:t>
            </w:r>
          </w:p>
        </w:tc>
      </w:tr>
      <w:tr>
        <w:trPr>
          <w:cantSplit/>
        </w:trPr>
        <w:tc>
          <w:tcPr>
            <w:tcW w:w="2600" w:type="dxa"/>
            <w:vAlign w:val="top"/>
          </w:tcPr>
          <w:p>
            <w:pPr>
              <w:pStyle w:val="TableText"/>
              <w:jc w:val="left"/>
            </w:pPr>
            <w:r>
              <w:t xml:space="preserve">CoreRating</w:t>
            </w:r>
          </w:p>
        </w:tc>
        <w:tc>
          <w:tcPr>
            <w:tcW w:w="1802" w:type="dxa"/>
            <w:vAlign w:val="top"/>
          </w:tcPr>
          <w:p>
            <w:pPr>
              <w:pStyle w:val="TableText"/>
              <w:jc w:val="left"/>
            </w:pPr>
            <w:r>
              <w:t xml:space="preserve">Price a quote</w:t>
            </w:r>
          </w:p>
        </w:tc>
        <w:tc>
          <w:tcPr>
            <w:tcW w:w="1841" w:type="dxa"/>
            <w:vAlign w:val="top"/>
          </w:tcPr>
          <w:p>
            <w:pPr>
              <w:pStyle w:val="TableText"/>
              <w:jc w:val="left"/>
            </w:pPr>
            <w:r>
              <w:t xml:space="preserve">Simulated TASCO core</w:t>
            </w:r>
          </w:p>
        </w:tc>
        <w:tc>
          <w:tcPr>
            <w:tcW w:w="1607" w:type="dxa"/>
            <w:vAlign w:val="top"/>
          </w:tcPr>
          <w:p>
            <w:pPr>
              <w:pStyle w:val="TableText"/>
              <w:jc w:val="left"/>
            </w:pPr>
            <w:r>
              <w:t xml:space="preserve">TASCO core REST client</w:t>
            </w:r>
          </w:p>
        </w:tc>
        <w:tc>
          <w:tcPr>
            <w:tcW w:w="1177" w:type="dxa"/>
            <w:vAlign w:val="top"/>
          </w:tcPr>
          <w:p>
            <w:pPr>
              <w:pStyle w:val="TableText"/>
              <w:jc w:val="left"/>
            </w:pPr>
            <w:r>
              <w:t xml:space="preserve">Client built; paths assumed</w:t>
            </w:r>
          </w:p>
        </w:tc>
      </w:tr>
      <w:tr>
        <w:trPr>
          <w:cantSplit/>
        </w:trPr>
        <w:tc>
          <w:tcPr>
            <w:tcW w:w="2600" w:type="dxa"/>
            <w:shd w:val="clear" w:color="auto" w:fill="F4F7FB"/>
            <w:vAlign w:val="top"/>
          </w:tcPr>
          <w:p>
            <w:pPr>
              <w:pStyle w:val="TableText"/>
              <w:jc w:val="left"/>
            </w:pPr>
            <w:r>
              <w:t xml:space="preserve">ProductCatalogue</w:t>
            </w:r>
          </w:p>
        </w:tc>
        <w:tc>
          <w:tcPr>
            <w:tcW w:w="1802" w:type="dxa"/>
            <w:shd w:val="clear" w:color="auto" w:fill="F4F7FB"/>
            <w:vAlign w:val="top"/>
          </w:tcPr>
          <w:p>
            <w:pPr>
              <w:pStyle w:val="TableText"/>
              <w:jc w:val="left"/>
            </w:pPr>
            <w:r>
              <w:t xml:space="preserve">Fetch products</w:t>
            </w:r>
          </w:p>
        </w:tc>
        <w:tc>
          <w:tcPr>
            <w:tcW w:w="1841" w:type="dxa"/>
            <w:shd w:val="clear" w:color="auto" w:fill="F4F7FB"/>
            <w:vAlign w:val="top"/>
          </w:tcPr>
          <w:p>
            <w:pPr>
              <w:pStyle w:val="TableText"/>
              <w:jc w:val="left"/>
            </w:pPr>
            <w:r>
              <w:t xml:space="preserve">Simulated TASCO core</w:t>
            </w:r>
          </w:p>
        </w:tc>
        <w:tc>
          <w:tcPr>
            <w:tcW w:w="1607" w:type="dxa"/>
            <w:shd w:val="clear" w:color="auto" w:fill="F4F7FB"/>
            <w:vAlign w:val="top"/>
          </w:tcPr>
          <w:p>
            <w:pPr>
              <w:pStyle w:val="TableText"/>
              <w:jc w:val="left"/>
            </w:pPr>
            <w:r>
              <w:t xml:space="preserve">TASCO core REST client</w:t>
            </w:r>
          </w:p>
        </w:tc>
        <w:tc>
          <w:tcPr>
            <w:tcW w:w="1177" w:type="dxa"/>
            <w:shd w:val="clear" w:color="auto" w:fill="F4F7FB"/>
            <w:vAlign w:val="top"/>
          </w:tcPr>
          <w:p>
            <w:pPr>
              <w:pStyle w:val="TableText"/>
              <w:jc w:val="left"/>
            </w:pPr>
            <w:r>
              <w:t xml:space="preserve">Client built; paths assumed</w:t>
            </w:r>
          </w:p>
        </w:tc>
      </w:tr>
      <w:tr>
        <w:trPr>
          <w:cantSplit/>
        </w:trPr>
        <w:tc>
          <w:tcPr>
            <w:tcW w:w="2600" w:type="dxa"/>
            <w:vAlign w:val="top"/>
          </w:tcPr>
          <w:p>
            <w:pPr>
              <w:pStyle w:val="TableText"/>
              <w:jc w:val="left"/>
            </w:pPr>
            <w:r>
              <w:t xml:space="preserve">PolicyAdministration</w:t>
            </w:r>
          </w:p>
        </w:tc>
        <w:tc>
          <w:tcPr>
            <w:tcW w:w="1802" w:type="dxa"/>
            <w:vAlign w:val="top"/>
          </w:tcPr>
          <w:p>
            <w:pPr>
              <w:pStyle w:val="TableText"/>
              <w:jc w:val="left"/>
            </w:pPr>
            <w:r>
              <w:t xml:space="preserve">Bind, issue, cancel</w:t>
            </w:r>
          </w:p>
        </w:tc>
        <w:tc>
          <w:tcPr>
            <w:tcW w:w="1841" w:type="dxa"/>
            <w:vAlign w:val="top"/>
          </w:tcPr>
          <w:p>
            <w:pPr>
              <w:pStyle w:val="TableText"/>
              <w:jc w:val="left"/>
            </w:pPr>
            <w:r>
              <w:t xml:space="preserve">Sandbox core gateway</w:t>
            </w:r>
          </w:p>
        </w:tc>
        <w:tc>
          <w:tcPr>
            <w:tcW w:w="1607" w:type="dxa"/>
            <w:vAlign w:val="top"/>
          </w:tcPr>
          <w:p>
            <w:pPr>
              <w:pStyle w:val="TableText"/>
              <w:jc w:val="left"/>
            </w:pPr>
            <w:r>
              <w:t xml:space="preserve">TASCO core API</w:t>
            </w:r>
          </w:p>
        </w:tc>
        <w:tc>
          <w:tcPr>
            <w:tcW w:w="1177" w:type="dxa"/>
            <w:vAlign w:val="top"/>
          </w:tcPr>
          <w:p>
            <w:pPr>
              <w:pStyle w:val="TableText"/>
              <w:jc w:val="left"/>
            </w:pPr>
            <w:r>
              <w:t xml:space="preserve">Sandbox</w:t>
            </w:r>
          </w:p>
        </w:tc>
      </w:tr>
      <w:tr>
        <w:trPr>
          <w:cantSplit/>
        </w:trPr>
        <w:tc>
          <w:tcPr>
            <w:tcW w:w="2600" w:type="dxa"/>
            <w:shd w:val="clear" w:color="auto" w:fill="F4F7FB"/>
            <w:vAlign w:val="top"/>
          </w:tcPr>
          <w:p>
            <w:pPr>
              <w:pStyle w:val="TableText"/>
              <w:jc w:val="left"/>
            </w:pPr>
            <w:r>
              <w:t xml:space="preserve">PaymentGateway (VETC)</w:t>
            </w:r>
          </w:p>
        </w:tc>
        <w:tc>
          <w:tcPr>
            <w:tcW w:w="1802" w:type="dxa"/>
            <w:shd w:val="clear" w:color="auto" w:fill="F4F7FB"/>
            <w:vAlign w:val="top"/>
          </w:tcPr>
          <w:p>
            <w:pPr>
              <w:pStyle w:val="TableText"/>
              <w:jc w:val="left"/>
            </w:pPr>
            <w:r>
              <w:t xml:space="preserve">Wallet debit and refund in the VETC app and Zalo Mini App</w:t>
            </w:r>
          </w:p>
        </w:tc>
        <w:tc>
          <w:tcPr>
            <w:tcW w:w="1841" w:type="dxa"/>
            <w:shd w:val="clear" w:color="auto" w:fill="F4F7FB"/>
            <w:vAlign w:val="top"/>
          </w:tcPr>
          <w:p>
            <w:pPr>
              <w:pStyle w:val="TableText"/>
              <w:jc w:val="left"/>
            </w:pPr>
            <w:r>
              <w:t xml:space="preserve">Sandbox VETC wallet</w:t>
            </w:r>
          </w:p>
        </w:tc>
        <w:tc>
          <w:tcPr>
            <w:tcW w:w="1607" w:type="dxa"/>
            <w:shd w:val="clear" w:color="auto" w:fill="F4F7FB"/>
            <w:vAlign w:val="top"/>
          </w:tcPr>
          <w:p>
            <w:pPr>
              <w:pStyle w:val="TableText"/>
              <w:jc w:val="left"/>
            </w:pPr>
            <w:r>
              <w:t xml:space="preserve">VETC wallet API</w:t>
            </w:r>
          </w:p>
        </w:tc>
        <w:tc>
          <w:tcPr>
            <w:tcW w:w="1177" w:type="dxa"/>
            <w:shd w:val="clear" w:color="auto" w:fill="F4F7FB"/>
            <w:vAlign w:val="top"/>
          </w:tcPr>
          <w:p>
            <w:pPr>
              <w:pStyle w:val="TableText"/>
              <w:jc w:val="left"/>
            </w:pPr>
            <w:r>
              <w:t xml:space="preserve">Sandbox</w:t>
            </w:r>
          </w:p>
        </w:tc>
      </w:tr>
      <w:tr>
        <w:trPr>
          <w:cantSplit/>
        </w:trPr>
        <w:tc>
          <w:tcPr>
            <w:tcW w:w="2600" w:type="dxa"/>
            <w:vAlign w:val="top"/>
          </w:tcPr>
          <w:p>
            <w:pPr>
              <w:pStyle w:val="TableText"/>
              <w:jc w:val="left"/>
            </w:pPr>
            <w:r>
              <w:t xml:space="preserve">PaymentGateway (TASCO)</w:t>
            </w:r>
          </w:p>
        </w:tc>
        <w:tc>
          <w:tcPr>
            <w:tcW w:w="1802" w:type="dxa"/>
            <w:vAlign w:val="top"/>
          </w:tcPr>
          <w:p>
            <w:pPr>
              <w:pStyle w:val="TableText"/>
              <w:jc w:val="left"/>
            </w:pPr>
            <w:r>
              <w:t xml:space="preserve">Debit and refund in TASCO’s app and website</w:t>
            </w:r>
          </w:p>
        </w:tc>
        <w:tc>
          <w:tcPr>
            <w:tcW w:w="1841" w:type="dxa"/>
            <w:vAlign w:val="top"/>
          </w:tcPr>
          <w:p>
            <w:pPr>
              <w:pStyle w:val="TableText"/>
              <w:jc w:val="left"/>
            </w:pPr>
            <w:r>
              <w:t xml:space="preserve">Sandbox TASCO payment gateway</w:t>
            </w:r>
          </w:p>
        </w:tc>
        <w:tc>
          <w:tcPr>
            <w:tcW w:w="1607" w:type="dxa"/>
            <w:vAlign w:val="top"/>
          </w:tcPr>
          <w:p>
            <w:pPr>
              <w:pStyle w:val="TableText"/>
              <w:jc w:val="left"/>
            </w:pPr>
            <w:r>
              <w:t xml:space="preserve">TASCO online payment gateway</w:t>
            </w:r>
          </w:p>
        </w:tc>
        <w:tc>
          <w:tcPr>
            <w:tcW w:w="1177" w:type="dxa"/>
            <w:vAlign w:val="top"/>
          </w:tcPr>
          <w:p>
            <w:pPr>
              <w:pStyle w:val="TableText"/>
              <w:jc w:val="left"/>
            </w:pPr>
            <w:r>
              <w:t xml:space="preserve">Sandbox</w:t>
            </w:r>
          </w:p>
        </w:tc>
      </w:tr>
      <w:tr>
        <w:trPr>
          <w:cantSplit/>
        </w:trPr>
        <w:tc>
          <w:tcPr>
            <w:tcW w:w="2600" w:type="dxa"/>
            <w:shd w:val="clear" w:color="auto" w:fill="F4F7FB"/>
            <w:vAlign w:val="top"/>
          </w:tcPr>
          <w:p>
            <w:pPr>
              <w:pStyle w:val="TableText"/>
              <w:jc w:val="left"/>
            </w:pPr>
            <w:r>
              <w:t xml:space="preserve">NotificationChannel</w:t>
            </w:r>
          </w:p>
        </w:tc>
        <w:tc>
          <w:tcPr>
            <w:tcW w:w="1802" w:type="dxa"/>
            <w:shd w:val="clear" w:color="auto" w:fill="F4F7FB"/>
            <w:vAlign w:val="top"/>
          </w:tcPr>
          <w:p>
            <w:pPr>
              <w:pStyle w:val="TableText"/>
              <w:jc w:val="left"/>
            </w:pPr>
            <w:r>
              <w:t xml:space="preserve">Push, Zalo ZNS, SMS</w:t>
            </w:r>
          </w:p>
        </w:tc>
        <w:tc>
          <w:tcPr>
            <w:tcW w:w="1841" w:type="dxa"/>
            <w:shd w:val="clear" w:color="auto" w:fill="F4F7FB"/>
            <w:vAlign w:val="top"/>
          </w:tcPr>
          <w:p>
            <w:pPr>
              <w:pStyle w:val="TableText"/>
              <w:jc w:val="left"/>
            </w:pPr>
            <w:r>
              <w:t xml:space="preserve">Sandbox gateways</w:t>
            </w:r>
          </w:p>
        </w:tc>
        <w:tc>
          <w:tcPr>
            <w:tcW w:w="1607" w:type="dxa"/>
            <w:shd w:val="clear" w:color="auto" w:fill="F4F7FB"/>
            <w:vAlign w:val="top"/>
          </w:tcPr>
          <w:p>
            <w:pPr>
              <w:pStyle w:val="TableText"/>
              <w:jc w:val="left"/>
            </w:pPr>
            <w:r>
              <w:t xml:space="preserve">VETC push, Zalo, SMS provider</w:t>
            </w:r>
          </w:p>
        </w:tc>
        <w:tc>
          <w:tcPr>
            <w:tcW w:w="1177" w:type="dxa"/>
            <w:shd w:val="clear" w:color="auto" w:fill="F4F7FB"/>
            <w:vAlign w:val="top"/>
          </w:tcPr>
          <w:p>
            <w:pPr>
              <w:pStyle w:val="TableText"/>
              <w:jc w:val="left"/>
            </w:pPr>
            <w:r>
              <w:t xml:space="preserve">Sandbox</w:t>
            </w:r>
          </w:p>
        </w:tc>
      </w:tr>
      <w:tr>
        <w:trPr>
          <w:cantSplit/>
        </w:trPr>
        <w:tc>
          <w:tcPr>
            <w:tcW w:w="2600" w:type="dxa"/>
            <w:vAlign w:val="top"/>
          </w:tcPr>
          <w:p>
            <w:pPr>
              <w:pStyle w:val="TableText"/>
              <w:jc w:val="left"/>
            </w:pPr>
            <w:r>
              <w:t xml:space="preserve">Telephony</w:t>
            </w:r>
          </w:p>
        </w:tc>
        <w:tc>
          <w:tcPr>
            <w:tcW w:w="1802" w:type="dxa"/>
            <w:vAlign w:val="top"/>
          </w:tcPr>
          <w:p>
            <w:pPr>
              <w:pStyle w:val="TableText"/>
              <w:jc w:val="left"/>
            </w:pPr>
            <w:r>
              <w:t xml:space="preserve">Automated calls</w:t>
            </w:r>
          </w:p>
        </w:tc>
        <w:tc>
          <w:tcPr>
            <w:tcW w:w="1841" w:type="dxa"/>
            <w:vAlign w:val="top"/>
          </w:tcPr>
          <w:p>
            <w:pPr>
              <w:pStyle w:val="TableText"/>
              <w:jc w:val="left"/>
            </w:pPr>
            <w:r>
              <w:t xml:space="preserve">Simulated caller</w:t>
            </w:r>
          </w:p>
        </w:tc>
        <w:tc>
          <w:tcPr>
            <w:tcW w:w="1607" w:type="dxa"/>
            <w:vAlign w:val="top"/>
          </w:tcPr>
          <w:p>
            <w:pPr>
              <w:pStyle w:val="TableText"/>
              <w:jc w:val="left"/>
            </w:pPr>
            <w:r>
              <w:t xml:space="preserve">Voice AI vendor</w:t>
            </w:r>
          </w:p>
        </w:tc>
        <w:tc>
          <w:tcPr>
            <w:tcW w:w="1177" w:type="dxa"/>
            <w:vAlign w:val="top"/>
          </w:tcPr>
          <w:p>
            <w:pPr>
              <w:pStyle w:val="TableText"/>
              <w:jc w:val="left"/>
            </w:pPr>
            <w:r>
              <w:t xml:space="preserve">Sandbox</w:t>
            </w:r>
          </w:p>
        </w:tc>
      </w:tr>
      <w:tr>
        <w:trPr>
          <w:cantSplit/>
        </w:trPr>
        <w:tc>
          <w:tcPr>
            <w:tcW w:w="2600" w:type="dxa"/>
            <w:shd w:val="clear" w:color="auto" w:fill="F4F7FB"/>
            <w:vAlign w:val="top"/>
          </w:tcPr>
          <w:p>
            <w:pPr>
              <w:pStyle w:val="TableText"/>
              <w:jc w:val="left"/>
            </w:pPr>
            <w:r>
              <w:t xml:space="preserve">SourceFeed</w:t>
            </w:r>
          </w:p>
        </w:tc>
        <w:tc>
          <w:tcPr>
            <w:tcW w:w="1802" w:type="dxa"/>
            <w:shd w:val="clear" w:color="auto" w:fill="F4F7FB"/>
            <w:vAlign w:val="top"/>
          </w:tcPr>
          <w:p>
            <w:pPr>
              <w:pStyle w:val="TableText"/>
              <w:jc w:val="left"/>
            </w:pPr>
            <w:r>
              <w:t xml:space="preserve">VETC data</w:t>
            </w:r>
          </w:p>
        </w:tc>
        <w:tc>
          <w:tcPr>
            <w:tcW w:w="1841" w:type="dxa"/>
            <w:shd w:val="clear" w:color="auto" w:fill="F4F7FB"/>
            <w:vAlign w:val="top"/>
          </w:tcPr>
          <w:p>
            <w:pPr>
              <w:pStyle w:val="TableText"/>
              <w:jc w:val="left"/>
            </w:pPr>
            <w:r>
              <w:t xml:space="preserve">Synthetic source and ingest API</w:t>
            </w:r>
          </w:p>
        </w:tc>
        <w:tc>
          <w:tcPr>
            <w:tcW w:w="1607" w:type="dxa"/>
            <w:shd w:val="clear" w:color="auto" w:fill="F4F7FB"/>
            <w:vAlign w:val="top"/>
          </w:tcPr>
          <w:p>
            <w:pPr>
              <w:pStyle w:val="TableText"/>
              <w:jc w:val="left"/>
            </w:pPr>
            <w:r>
              <w:t xml:space="preserve">VETC files and CDC</w:t>
            </w:r>
          </w:p>
        </w:tc>
        <w:tc>
          <w:tcPr>
            <w:tcW w:w="1177" w:type="dxa"/>
            <w:shd w:val="clear" w:color="auto" w:fill="F4F7FB"/>
            <w:vAlign w:val="top"/>
          </w:tcPr>
          <w:p>
            <w:pPr>
              <w:pStyle w:val="TableText"/>
              <w:jc w:val="left"/>
            </w:pPr>
            <w:r>
              <w:t xml:space="preserve">API built</w:t>
            </w:r>
          </w:p>
        </w:tc>
      </w:tr>
      <w:tr>
        <w:trPr>
          <w:cantSplit/>
        </w:trPr>
        <w:tc>
          <w:tcPr>
            <w:tcW w:w="2600" w:type="dxa"/>
            <w:vAlign w:val="top"/>
          </w:tcPr>
          <w:p>
            <w:pPr>
              <w:pStyle w:val="TableText"/>
              <w:jc w:val="left"/>
            </w:pPr>
            <w:r>
              <w:t xml:space="preserve">Store</w:t>
            </w:r>
          </w:p>
        </w:tc>
        <w:tc>
          <w:tcPr>
            <w:tcW w:w="1802" w:type="dxa"/>
            <w:vAlign w:val="top"/>
          </w:tcPr>
          <w:p>
            <w:pPr>
              <w:pStyle w:val="TableText"/>
              <w:jc w:val="left"/>
            </w:pPr>
            <w:r>
              <w:t xml:space="preserve">Persistence</w:t>
            </w:r>
          </w:p>
        </w:tc>
        <w:tc>
          <w:tcPr>
            <w:tcW w:w="1841" w:type="dxa"/>
            <w:vAlign w:val="top"/>
          </w:tcPr>
          <w:p>
            <w:pPr>
              <w:pStyle w:val="TableText"/>
              <w:jc w:val="left"/>
            </w:pPr>
            <w:r>
              <w:t xml:space="preserve">PostgreSQL (in-memory for development)</w:t>
            </w:r>
          </w:p>
        </w:tc>
        <w:tc>
          <w:tcPr>
            <w:tcW w:w="1607" w:type="dxa"/>
            <w:vAlign w:val="top"/>
          </w:tcPr>
          <w:p>
            <w:pPr>
              <w:pStyle w:val="TableText"/>
              <w:jc w:val="left"/>
            </w:pPr>
            <w:r>
              <w:t xml:space="preserve">Managed PostgreSQL</w:t>
            </w:r>
          </w:p>
        </w:tc>
        <w:tc>
          <w:tcPr>
            <w:tcW w:w="1177" w:type="dxa"/>
            <w:vAlign w:val="top"/>
          </w:tcPr>
          <w:p>
            <w:pPr>
              <w:pStyle w:val="TableText"/>
              <w:jc w:val="left"/>
            </w:pPr>
            <w:r>
              <w:t xml:space="preserve">Built</w:t>
            </w:r>
          </w:p>
        </w:tc>
      </w:tr>
      <w:tr>
        <w:trPr>
          <w:cantSplit/>
        </w:trPr>
        <w:tc>
          <w:tcPr>
            <w:tcW w:w="2600" w:type="dxa"/>
            <w:shd w:val="clear" w:color="auto" w:fill="F4F7FB"/>
            <w:vAlign w:val="top"/>
          </w:tcPr>
          <w:p>
            <w:pPr>
              <w:pStyle w:val="TableText"/>
              <w:jc w:val="left"/>
            </w:pPr>
            <w:r>
              <w:t xml:space="preserve">EventBus</w:t>
            </w:r>
          </w:p>
        </w:tc>
        <w:tc>
          <w:tcPr>
            <w:tcW w:w="1802" w:type="dxa"/>
            <w:shd w:val="clear" w:color="auto" w:fill="F4F7FB"/>
            <w:vAlign w:val="top"/>
          </w:tcPr>
          <w:p>
            <w:pPr>
              <w:pStyle w:val="TableText"/>
              <w:jc w:val="left"/>
            </w:pPr>
            <w:r>
              <w:t xml:space="preserve">Domain events</w:t>
            </w:r>
          </w:p>
        </w:tc>
        <w:tc>
          <w:tcPr>
            <w:tcW w:w="1841" w:type="dxa"/>
            <w:shd w:val="clear" w:color="auto" w:fill="F4F7FB"/>
            <w:vAlign w:val="top"/>
          </w:tcPr>
          <w:p>
            <w:pPr>
              <w:pStyle w:val="TableText"/>
              <w:jc w:val="left"/>
            </w:pPr>
            <w:r>
              <w:t xml:space="preserve">PostgreSQL outbox</w:t>
            </w:r>
          </w:p>
        </w:tc>
        <w:tc>
          <w:tcPr>
            <w:tcW w:w="1607" w:type="dxa"/>
            <w:shd w:val="clear" w:color="auto" w:fill="F4F7FB"/>
            <w:vAlign w:val="top"/>
          </w:tcPr>
          <w:p>
            <w:pPr>
              <w:pStyle w:val="TableText"/>
              <w:jc w:val="left"/>
            </w:pPr>
            <w:r>
              <w:t xml:space="preserve">Same, broker later</w:t>
            </w:r>
          </w:p>
        </w:tc>
        <w:tc>
          <w:tcPr>
            <w:tcW w:w="1177" w:type="dxa"/>
            <w:shd w:val="clear" w:color="auto" w:fill="F4F7FB"/>
            <w:vAlign w:val="top"/>
          </w:tcPr>
          <w:p>
            <w:pPr>
              <w:pStyle w:val="TableText"/>
              <w:jc w:val="left"/>
            </w:pPr>
            <w:r>
              <w:t xml:space="preserve">Built</w:t>
            </w:r>
          </w:p>
        </w:tc>
      </w:tr>
    </w:tbl>
    <w:p>
      <w:pPr>
        <w:pStyle w:val="Heading2"/>
      </w:pPr>
      <w:bookmarkStart w:id="23" w:name="_Toc300000019"/>
      <w:r>
        <w:t xml:space="preserve">Runtime processes</w:t>
      </w:r>
      <w:bookmarkEnd w:id="23"/>
    </w:p>
    <w:p>
      <w:pPr>
        <w:pStyle w:val="FirstParagraph"/>
      </w:pPr>
      <w:r>
        <w:t xml:space="preserve">All processes run from one container image with different commands.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381"/>
        <w:gridCol w:w="2214"/>
        <w:gridCol w:w="3455"/>
        <w:gridCol w:w="1977"/>
      </w:tblGrid>
      <w:tr>
        <w:trPr>
          <w:cantSplit/>
          <w:tblHeader/>
        </w:trPr>
        <w:tc>
          <w:tcPr>
            <w:tcW w:w="1381" w:type="dxa"/>
            <w:shd w:val="clear" w:color="auto" w:fill="0F4761"/>
            <w:vAlign w:val="center"/>
          </w:tcPr>
          <w:p>
            <w:pPr>
              <w:pStyle w:val="TableHeading"/>
              <w:jc w:val="left"/>
            </w:pPr>
            <w:r>
              <w:rPr>
                <w:color w:val="FFFFFF"/>
              </w:rPr>
              <w:t xml:space="preserve">Process</w:t>
            </w:r>
          </w:p>
        </w:tc>
        <w:tc>
          <w:tcPr>
            <w:tcW w:w="2214" w:type="dxa"/>
            <w:shd w:val="clear" w:color="auto" w:fill="0F4761"/>
            <w:vAlign w:val="center"/>
          </w:tcPr>
          <w:p>
            <w:pPr>
              <w:pStyle w:val="TableHeading"/>
              <w:jc w:val="left"/>
            </w:pPr>
            <w:r>
              <w:rPr>
                <w:color w:val="FFFFFF"/>
              </w:rPr>
              <w:t xml:space="preserve">Command</w:t>
            </w:r>
          </w:p>
        </w:tc>
        <w:tc>
          <w:tcPr>
            <w:tcW w:w="3455" w:type="dxa"/>
            <w:shd w:val="clear" w:color="auto" w:fill="0F4761"/>
            <w:vAlign w:val="center"/>
          </w:tcPr>
          <w:p>
            <w:pPr>
              <w:pStyle w:val="TableHeading"/>
              <w:jc w:val="left"/>
            </w:pPr>
            <w:r>
              <w:rPr>
                <w:color w:val="FFFFFF"/>
              </w:rPr>
              <w:t xml:space="preserve">Responsibility</w:t>
            </w:r>
          </w:p>
        </w:tc>
        <w:tc>
          <w:tcPr>
            <w:tcW w:w="1977" w:type="dxa"/>
            <w:shd w:val="clear" w:color="auto" w:fill="0F4761"/>
            <w:vAlign w:val="center"/>
          </w:tcPr>
          <w:p>
            <w:pPr>
              <w:pStyle w:val="TableHeading"/>
              <w:jc w:val="left"/>
            </w:pPr>
            <w:r>
              <w:rPr>
                <w:color w:val="FFFFFF"/>
              </w:rPr>
              <w:t xml:space="preserve">Scaling</w:t>
            </w:r>
          </w:p>
        </w:tc>
      </w:tr>
      <w:tr>
        <w:trPr>
          <w:cantSplit/>
        </w:trPr>
        <w:tc>
          <w:tcPr>
            <w:tcW w:w="1381" w:type="dxa"/>
            <w:vAlign w:val="top"/>
          </w:tcPr>
          <w:p>
            <w:pPr>
              <w:pStyle w:val="TableText"/>
              <w:jc w:val="left"/>
            </w:pPr>
            <w:r>
              <w:t xml:space="preserve">API server</w:t>
            </w:r>
          </w:p>
        </w:tc>
        <w:tc>
          <w:tcPr>
            <w:tcW w:w="2214" w:type="dxa"/>
            <w:vAlign w:val="top"/>
          </w:tcPr>
          <w:p>
            <w:pPr>
              <w:pStyle w:val="TableText"/>
              <w:jc w:val="left"/>
            </w:pPr>
            <w:r>
              <w:rPr>
                <w:rStyle w:val="CodeChar"/>
              </w:rPr>
              <w:t xml:space="preserve">node src/server.js</w:t>
            </w:r>
          </w:p>
        </w:tc>
        <w:tc>
          <w:tcPr>
            <w:tcW w:w="3455" w:type="dxa"/>
            <w:vAlign w:val="top"/>
          </w:tcPr>
          <w:p>
            <w:pPr>
              <w:pStyle w:val="TableText"/>
              <w:jc w:val="left"/>
            </w:pPr>
            <w:r>
              <w:t xml:space="preserve">All synchronous APIs, static front end, health and metrics endpoints; runs the outbox relay every second</w:t>
            </w:r>
          </w:p>
        </w:tc>
        <w:tc>
          <w:tcPr>
            <w:tcW w:w="1977" w:type="dxa"/>
            <w:vAlign w:val="top"/>
          </w:tcPr>
          <w:p>
            <w:pPr>
              <w:pStyle w:val="TableText"/>
              <w:jc w:val="left"/>
            </w:pPr>
            <w:r>
              <w:t xml:space="preserve">Stateless, horizontal (autoscaled)</w:t>
            </w:r>
          </w:p>
        </w:tc>
      </w:tr>
      <w:tr>
        <w:trPr>
          <w:cantSplit/>
        </w:trPr>
        <w:tc>
          <w:tcPr>
            <w:tcW w:w="1381" w:type="dxa"/>
            <w:shd w:val="clear" w:color="auto" w:fill="F4F7FB"/>
            <w:vAlign w:val="top"/>
          </w:tcPr>
          <w:p>
            <w:pPr>
              <w:pStyle w:val="TableText"/>
              <w:jc w:val="left"/>
            </w:pPr>
            <w:r>
              <w:t xml:space="preserve">Scheduled jobs</w:t>
            </w:r>
          </w:p>
        </w:tc>
        <w:tc>
          <w:tcPr>
            <w:tcW w:w="2214" w:type="dxa"/>
            <w:shd w:val="clear" w:color="auto" w:fill="F4F7FB"/>
            <w:vAlign w:val="top"/>
          </w:tcPr>
          <w:p>
            <w:pPr>
              <w:pStyle w:val="TableText"/>
              <w:jc w:val="left"/>
            </w:pPr>
            <w:r>
              <w:rPr>
                <w:rStyle w:val="CodeChar"/>
              </w:rPr>
              <w:t xml:space="preserve">node src/jobs/cli.js &lt;job&gt;</w:t>
            </w:r>
          </w:p>
        </w:tc>
        <w:tc>
          <w:tcPr>
            <w:tcW w:w="3455" w:type="dxa"/>
            <w:shd w:val="clear" w:color="auto" w:fill="F4F7FB"/>
            <w:vAlign w:val="top"/>
          </w:tcPr>
          <w:p>
            <w:pPr>
              <w:pStyle w:val="TableText"/>
              <w:jc w:val="left"/>
            </w:pPr>
            <w:r>
              <w:t xml:space="preserve">Journeys, nightly re-scoring, reconciliation, retention, outbox relay safety net, catalogue sync</w:t>
            </w:r>
          </w:p>
        </w:tc>
        <w:tc>
          <w:tcPr>
            <w:tcW w:w="1977" w:type="dxa"/>
            <w:shd w:val="clear" w:color="auto" w:fill="F4F7FB"/>
            <w:vAlign w:val="top"/>
          </w:tcPr>
          <w:p>
            <w:pPr>
              <w:pStyle w:val="TableText"/>
              <w:jc w:val="left"/>
            </w:pPr>
            <w:r>
              <w:t xml:space="preserve">One pod per run, no overlap</w:t>
            </w:r>
          </w:p>
        </w:tc>
      </w:tr>
      <w:tr>
        <w:trPr>
          <w:cantSplit/>
        </w:trPr>
        <w:tc>
          <w:tcPr>
            <w:tcW w:w="1381" w:type="dxa"/>
            <w:vAlign w:val="top"/>
          </w:tcPr>
          <w:p>
            <w:pPr>
              <w:pStyle w:val="TableText"/>
              <w:jc w:val="left"/>
            </w:pPr>
            <w:r>
              <w:t xml:space="preserve">Migration job</w:t>
            </w:r>
          </w:p>
        </w:tc>
        <w:tc>
          <w:tcPr>
            <w:tcW w:w="2214" w:type="dxa"/>
            <w:vAlign w:val="top"/>
          </w:tcPr>
          <w:p>
            <w:pPr>
              <w:pStyle w:val="TableText"/>
              <w:jc w:val="left"/>
            </w:pPr>
            <w:r>
              <w:rPr>
                <w:rStyle w:val="CodeChar"/>
              </w:rPr>
              <w:t xml:space="preserve">node src/jobs/cli.js migrate</w:t>
            </w:r>
          </w:p>
        </w:tc>
        <w:tc>
          <w:tcPr>
            <w:tcW w:w="3455" w:type="dxa"/>
            <w:vAlign w:val="top"/>
          </w:tcPr>
          <w:p>
            <w:pPr>
              <w:pStyle w:val="TableText"/>
              <w:jc w:val="left"/>
            </w:pPr>
            <w:r>
              <w:t xml:space="preserve">Applies numbered SQL migrations under an advisory lock before each release</w:t>
            </w:r>
          </w:p>
        </w:tc>
        <w:tc>
          <w:tcPr>
            <w:tcW w:w="1977" w:type="dxa"/>
            <w:vAlign w:val="top"/>
          </w:tcPr>
          <w:p>
            <w:pPr>
              <w:pStyle w:val="TableText"/>
              <w:jc w:val="left"/>
            </w:pPr>
            <w:r>
              <w:t xml:space="preserve">One pod per release</w:t>
            </w:r>
          </w:p>
        </w:tc>
      </w:tr>
    </w:tbl>
    <w:p>
      <w:pPr>
        <w:pStyle w:val="Heading2"/>
      </w:pPr>
      <w:bookmarkStart w:id="24" w:name="_Toc300000020"/>
      <w:r>
        <w:t xml:space="preserve">Event-driven reactions</w:t>
      </w:r>
      <w:bookmarkEnd w:id="24"/>
    </w:p>
    <w:p>
      <w:pPr>
        <w:pStyle w:val="FirstParagraph"/>
      </w:pPr>
      <w:r>
        <w:t xml:space="preserve">Reactions that must not slow the caller, such as re-scoring, confirmations and cache refresh, run as domain events through a transactional outbox (ADR-005). An event is written to the</w:t>
      </w:r>
      <w:r>
        <w:t xml:space="preserve"> </w:t>
      </w:r>
      <w:r>
        <w:rPr>
          <w:rStyle w:val="CodeChar"/>
        </w:rPr>
        <w:t xml:space="preserve">domain_events</w:t>
      </w:r>
      <w:r>
        <w:t xml:space="preserve"> </w:t>
      </w:r>
      <w:r>
        <w:t xml:space="preserve">table and a relay in each API pod claims pending events with</w:t>
      </w:r>
      <w:r>
        <w:t xml:space="preserve"> </w:t>
      </w:r>
      <w:r>
        <w:rPr>
          <w:rStyle w:val="CodeChar"/>
        </w:rPr>
        <w:t xml:space="preserve">FOR UPDATE SKIP LOCKED</w:t>
      </w:r>
      <w:r>
        <w:t xml:space="preserve">, so several pods can relay safely. Each subscriber is named; on a retry only the failed subscribers run again. After five failed attempts the event moves to a dead letter state and raises an alert. Delivery is at least once, so every handler is written to be safe on repeat.</w:t>
      </w:r>
    </w:p>
    <w:p>
      <w:pPr>
        <w:pStyle w:val="BodyText"/>
      </w:pPr>
      <w:r>
        <w:t xml:space="preserve">The diagram shows the states an event moves through.</w:t>
      </w:r>
    </w:p>
    <w:p xmlns:a="http://schemas.openxmlformats.org/drawingml/2006/main" xmlns:pic="http://schemas.openxmlformats.org/drawingml/2006/picture">
      <w:pPr>
        <w:pStyle w:val="Figure"/>
      </w:pPr>
      <w:r>
        <w:drawing>
          <wp:inline>
            <wp:extent cx="5475599" cy="4334399"/>
            <wp:effectExtent b="0" l="0" r="0" t="0"/>
            <wp:docPr descr="States of a domain event in the transactional outbox" title="" id="5005" name="Picture"/>
            <a:graphic>
              <a:graphicData uri="http://schemas.openxmlformats.org/drawingml/2006/picture">
                <pic:pic>
                  <pic:nvPicPr>
                    <pic:cNvPr descr="/home/user/TASCO/tools/docs-source/gen/.cache/mermaid/bb46e1e3045dd932.png" id="47" name="Picture"/>
                    <pic:cNvPicPr>
                      <a:picLocks noChangeArrowheads="1" noChangeAspect="1"/>
                    </pic:cNvPicPr>
                  </pic:nvPicPr>
                  <pic:blipFill>
                    <a:blip r:embed="rIdG4"/>
                    <a:stretch>
                      <a:fillRect/>
                    </a:stretch>
                  </pic:blipFill>
                  <pic:spPr bwMode="auto">
                    <a:xfrm>
                      <a:off x="0" y="0"/>
                      <a:ext cx="5475599" cy="4334399"/>
                    </a:xfrm>
                    <a:prstGeom prst="rect">
                      <a:avLst/>
                    </a:prstGeom>
                    <a:noFill/>
                    <a:ln w="9525">
                      <a:noFill/>
                      <a:headEnd/>
                      <a:tailEnd/>
                    </a:ln>
                  </pic:spPr>
                </pic:pic>
              </a:graphicData>
            </a:graphic>
          </wp:inline>
        </w:drawing>
      </w:r>
    </w:p>
    <w:p>
      <w:pPr>
        <w:pStyle w:val="Caption"/>
      </w:pPr>
      <w:r>
        <w:t xml:space="preserve">Figure 4 – States of a domain event in the transactional outbox</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3072"/>
        <w:gridCol w:w="2313"/>
        <w:gridCol w:w="3642"/>
      </w:tblGrid>
      <w:tr>
        <w:trPr>
          <w:cantSplit/>
          <w:tblHeader/>
        </w:trPr>
        <w:tc>
          <w:tcPr>
            <w:tcW w:w="3072" w:type="dxa"/>
            <w:shd w:val="clear" w:color="auto" w:fill="0F4761"/>
            <w:vAlign w:val="center"/>
          </w:tcPr>
          <w:p>
            <w:pPr>
              <w:pStyle w:val="TableHeading"/>
              <w:jc w:val="left"/>
            </w:pPr>
            <w:r>
              <w:rPr>
                <w:color w:val="FFFFFF"/>
              </w:rPr>
              <w:t xml:space="preserve">Event</w:t>
            </w:r>
          </w:p>
        </w:tc>
        <w:tc>
          <w:tcPr>
            <w:tcW w:w="2313" w:type="dxa"/>
            <w:shd w:val="clear" w:color="auto" w:fill="0F4761"/>
            <w:vAlign w:val="center"/>
          </w:tcPr>
          <w:p>
            <w:pPr>
              <w:pStyle w:val="TableHeading"/>
              <w:jc w:val="left"/>
            </w:pPr>
            <w:r>
              <w:rPr>
                <w:color w:val="FFFFFF"/>
              </w:rPr>
              <w:t xml:space="preserve">Raised when</w:t>
            </w:r>
          </w:p>
        </w:tc>
        <w:tc>
          <w:tcPr>
            <w:tcW w:w="3642" w:type="dxa"/>
            <w:shd w:val="clear" w:color="auto" w:fill="0F4761"/>
            <w:vAlign w:val="center"/>
          </w:tcPr>
          <w:p>
            <w:pPr>
              <w:pStyle w:val="TableHeading"/>
              <w:jc w:val="left"/>
            </w:pPr>
            <w:r>
              <w:rPr>
                <w:color w:val="FFFFFF"/>
              </w:rPr>
              <w:t xml:space="preserve">Reactions</w:t>
            </w:r>
          </w:p>
        </w:tc>
      </w:tr>
      <w:tr>
        <w:trPr>
          <w:cantSplit/>
        </w:trPr>
        <w:tc>
          <w:tcPr>
            <w:tcW w:w="3072" w:type="dxa"/>
            <w:vAlign w:val="top"/>
          </w:tcPr>
          <w:p>
            <w:pPr>
              <w:pStyle w:val="TableText"/>
              <w:jc w:val="left"/>
            </w:pPr>
            <w:r>
              <w:rPr>
                <w:rStyle w:val="CodeChar"/>
              </w:rPr>
              <w:t xml:space="preserve">profiles.rebuilt</w:t>
            </w:r>
          </w:p>
        </w:tc>
        <w:tc>
          <w:tcPr>
            <w:tcW w:w="2313" w:type="dxa"/>
            <w:vAlign w:val="top"/>
          </w:tcPr>
          <w:p>
            <w:pPr>
              <w:pStyle w:val="TableText"/>
              <w:jc w:val="left"/>
            </w:pPr>
            <w:r>
              <w:t xml:space="preserve">An ingestion batch rebuilds profiles</w:t>
            </w:r>
          </w:p>
        </w:tc>
        <w:tc>
          <w:tcPr>
            <w:tcW w:w="3642" w:type="dxa"/>
            <w:vAlign w:val="top"/>
          </w:tcPr>
          <w:p>
            <w:pPr>
              <w:pStyle w:val="TableText"/>
              <w:jc w:val="left"/>
            </w:pPr>
            <w:r>
              <w:t xml:space="preserve">Re-score the affected leads</w:t>
            </w:r>
          </w:p>
        </w:tc>
      </w:tr>
      <w:tr>
        <w:trPr>
          <w:cantSplit/>
        </w:trPr>
        <w:tc>
          <w:tcPr>
            <w:tcW w:w="3072" w:type="dxa"/>
            <w:shd w:val="clear" w:color="auto" w:fill="F4F7FB"/>
            <w:vAlign w:val="top"/>
          </w:tcPr>
          <w:p>
            <w:pPr>
              <w:pStyle w:val="TableText"/>
              <w:jc w:val="left"/>
            </w:pPr>
            <w:r>
              <w:rPr>
                <w:rStyle w:val="CodeChar"/>
              </w:rPr>
              <w:t xml:space="preserve">lead.recompute_requested</w:t>
            </w:r>
          </w:p>
        </w:tc>
        <w:tc>
          <w:tcPr>
            <w:tcW w:w="2313" w:type="dxa"/>
            <w:shd w:val="clear" w:color="auto" w:fill="F4F7FB"/>
            <w:vAlign w:val="top"/>
          </w:tcPr>
          <w:p>
            <w:pPr>
              <w:pStyle w:val="TableText"/>
              <w:jc w:val="left"/>
            </w:pPr>
            <w:r>
              <w:t xml:space="preserve">Consent change, declared expiry, opt-out, ecosystem trigger</w:t>
            </w:r>
          </w:p>
        </w:tc>
        <w:tc>
          <w:tcPr>
            <w:tcW w:w="3642" w:type="dxa"/>
            <w:shd w:val="clear" w:color="auto" w:fill="F4F7FB"/>
            <w:vAlign w:val="top"/>
          </w:tcPr>
          <w:p>
            <w:pPr>
              <w:pStyle w:val="TableText"/>
              <w:jc w:val="left"/>
            </w:pPr>
            <w:r>
              <w:t xml:space="preserve">Re-score the lead and re-plan its journey</w:t>
            </w:r>
          </w:p>
        </w:tc>
      </w:tr>
      <w:tr>
        <w:trPr>
          <w:cantSplit/>
        </w:trPr>
        <w:tc>
          <w:tcPr>
            <w:tcW w:w="3072" w:type="dxa"/>
            <w:vAlign w:val="top"/>
          </w:tcPr>
          <w:p>
            <w:pPr>
              <w:pStyle w:val="TableText"/>
              <w:jc w:val="left"/>
            </w:pPr>
            <w:r>
              <w:rPr>
                <w:rStyle w:val="CodeChar"/>
              </w:rPr>
              <w:t xml:space="preserve">policy.issued</w:t>
            </w:r>
          </w:p>
        </w:tc>
        <w:tc>
          <w:tcPr>
            <w:tcW w:w="2313" w:type="dxa"/>
            <w:vAlign w:val="top"/>
          </w:tcPr>
          <w:p>
            <w:pPr>
              <w:pStyle w:val="TableText"/>
              <w:jc w:val="left"/>
            </w:pPr>
            <w:r>
              <w:t xml:space="preserve">An order completes</w:t>
            </w:r>
          </w:p>
        </w:tc>
        <w:tc>
          <w:tcPr>
            <w:tcW w:w="3642" w:type="dxa"/>
            <w:vAlign w:val="top"/>
          </w:tcPr>
          <w:p>
            <w:pPr>
              <w:pStyle w:val="TableText"/>
              <w:jc w:val="left"/>
            </w:pPr>
            <w:r>
              <w:t xml:space="preserve">Stop renewal journeys; send the purchase confirmation; plan cross-sell if marketing consent exists</w:t>
            </w:r>
          </w:p>
        </w:tc>
      </w:tr>
      <w:tr>
        <w:trPr>
          <w:cantSplit/>
        </w:trPr>
        <w:tc>
          <w:tcPr>
            <w:tcW w:w="3072" w:type="dxa"/>
            <w:shd w:val="clear" w:color="auto" w:fill="F4F7FB"/>
            <w:vAlign w:val="top"/>
          </w:tcPr>
          <w:p>
            <w:pPr>
              <w:pStyle w:val="TableText"/>
              <w:jc w:val="left"/>
            </w:pPr>
            <w:r>
              <w:rPr>
                <w:rStyle w:val="CodeChar"/>
              </w:rPr>
              <w:t xml:space="preserve">renewal.link_requested</w:t>
            </w:r>
          </w:p>
        </w:tc>
        <w:tc>
          <w:tcPr>
            <w:tcW w:w="2313" w:type="dxa"/>
            <w:shd w:val="clear" w:color="auto" w:fill="F4F7FB"/>
            <w:vAlign w:val="top"/>
          </w:tcPr>
          <w:p>
            <w:pPr>
              <w:pStyle w:val="TableText"/>
              <w:jc w:val="left"/>
            </w:pPr>
            <w:r>
              <w:t xml:space="preserve">A customer asks for a link on a call</w:t>
            </w:r>
          </w:p>
        </w:tc>
        <w:tc>
          <w:tcPr>
            <w:tcW w:w="3642" w:type="dxa"/>
            <w:shd w:val="clear" w:color="auto" w:fill="F4F7FB"/>
            <w:vAlign w:val="top"/>
          </w:tcPr>
          <w:p>
            <w:pPr>
              <w:pStyle w:val="TableText"/>
              <w:jc w:val="left"/>
            </w:pPr>
            <w:r>
              <w:t xml:space="preserve">Send the renewal link (push, then Zalo, then SMS)</w:t>
            </w:r>
          </w:p>
        </w:tc>
      </w:tr>
      <w:tr>
        <w:trPr>
          <w:cantSplit/>
        </w:trPr>
        <w:tc>
          <w:tcPr>
            <w:tcW w:w="3072" w:type="dxa"/>
            <w:vAlign w:val="top"/>
          </w:tcPr>
          <w:p>
            <w:pPr>
              <w:pStyle w:val="TableText"/>
              <w:jc w:val="left"/>
            </w:pPr>
            <w:r>
              <w:rPr>
                <w:rStyle w:val="CodeChar"/>
              </w:rPr>
              <w:t xml:space="preserve">handoff.created</w:t>
            </w:r>
          </w:p>
        </w:tc>
        <w:tc>
          <w:tcPr>
            <w:tcW w:w="2313" w:type="dxa"/>
            <w:vAlign w:val="top"/>
          </w:tcPr>
          <w:p>
            <w:pPr>
              <w:pStyle w:val="TableText"/>
              <w:jc w:val="left"/>
            </w:pPr>
            <w:r>
              <w:t xml:space="preserve">A call ends with a request to talk to a person</w:t>
            </w:r>
          </w:p>
        </w:tc>
        <w:tc>
          <w:tcPr>
            <w:tcW w:w="3642" w:type="dxa"/>
            <w:vAlign w:val="top"/>
          </w:tcPr>
          <w:p>
            <w:pPr>
              <w:pStyle w:val="TableText"/>
              <w:jc w:val="left"/>
            </w:pPr>
            <w:r>
              <w:t xml:space="preserve">None yet; target is a dialler or CTI queue</w:t>
            </w:r>
          </w:p>
        </w:tc>
      </w:tr>
      <w:tr>
        <w:trPr>
          <w:cantSplit/>
        </w:trPr>
        <w:tc>
          <w:tcPr>
            <w:tcW w:w="3072" w:type="dxa"/>
            <w:shd w:val="clear" w:color="auto" w:fill="F4F7FB"/>
            <w:vAlign w:val="top"/>
          </w:tcPr>
          <w:p>
            <w:pPr>
              <w:pStyle w:val="TableText"/>
              <w:jc w:val="left"/>
            </w:pPr>
            <w:r>
              <w:rPr>
                <w:rStyle w:val="CodeChar"/>
              </w:rPr>
              <w:t xml:space="preserve">claim.submitted</w:t>
            </w:r>
          </w:p>
        </w:tc>
        <w:tc>
          <w:tcPr>
            <w:tcW w:w="2313" w:type="dxa"/>
            <w:shd w:val="clear" w:color="auto" w:fill="F4F7FB"/>
            <w:vAlign w:val="top"/>
          </w:tcPr>
          <w:p>
            <w:pPr>
              <w:pStyle w:val="TableText"/>
              <w:jc w:val="left"/>
            </w:pPr>
            <w:r>
              <w:t xml:space="preserve">A customer reports a claim</w:t>
            </w:r>
          </w:p>
        </w:tc>
        <w:tc>
          <w:tcPr>
            <w:tcW w:w="3642" w:type="dxa"/>
            <w:shd w:val="clear" w:color="auto" w:fill="F4F7FB"/>
            <w:vAlign w:val="top"/>
          </w:tcPr>
          <w:p>
            <w:pPr>
              <w:pStyle w:val="TableText"/>
              <w:jc w:val="left"/>
            </w:pPr>
            <w:r>
              <w:t xml:space="preserve">Send the claim acknowledgement with the service level; target is the TASCO core claims notification</w:t>
            </w:r>
          </w:p>
        </w:tc>
      </w:tr>
      <w:tr>
        <w:trPr>
          <w:cantSplit/>
        </w:trPr>
        <w:tc>
          <w:tcPr>
            <w:tcW w:w="3072" w:type="dxa"/>
            <w:vAlign w:val="top"/>
          </w:tcPr>
          <w:p>
            <w:pPr>
              <w:pStyle w:val="TableText"/>
              <w:jc w:val="left"/>
            </w:pPr>
            <w:r>
              <w:rPr>
                <w:rStyle w:val="CodeChar"/>
              </w:rPr>
              <w:t xml:space="preserve">rules.activated</w:t>
            </w:r>
          </w:p>
        </w:tc>
        <w:tc>
          <w:tcPr>
            <w:tcW w:w="2313" w:type="dxa"/>
            <w:vAlign w:val="top"/>
          </w:tcPr>
          <w:p>
            <w:pPr>
              <w:pStyle w:val="TableText"/>
              <w:jc w:val="left"/>
            </w:pPr>
            <w:r>
              <w:t xml:space="preserve">A rule set is approved</w:t>
            </w:r>
          </w:p>
        </w:tc>
        <w:tc>
          <w:tcPr>
            <w:tcW w:w="3642" w:type="dxa"/>
            <w:vAlign w:val="top"/>
          </w:tcPr>
          <w:p>
            <w:pPr>
              <w:pStyle w:val="TableText"/>
              <w:jc w:val="left"/>
            </w:pPr>
            <w:r>
              <w:t xml:space="preserve">Refresh the rules cache</w:t>
            </w:r>
          </w:p>
        </w:tc>
      </w:tr>
    </w:tbl>
    <w:p>
      <w:pPr>
        <w:pStyle w:val="Heading2"/>
      </w:pPr>
      <w:bookmarkStart w:id="25" w:name="_Toc300000021"/>
      <w:r>
        <w:t xml:space="preserve">Configurability</w:t>
      </w:r>
      <w:bookmarkEnd w:id="25"/>
    </w:p>
    <w:p>
      <w:pPr>
        <w:pStyle w:val="FirstParagraph"/>
      </w:pPr>
      <w:r>
        <w:t xml:space="preserve">Business behaviour lives in 21 rule kinds, seeded from</w:t>
      </w:r>
      <w:r>
        <w:t xml:space="preserve"> </w:t>
      </w:r>
      <w:r>
        <w:rPr>
          <w:rStyle w:val="CodeChar"/>
        </w:rPr>
        <w:t xml:space="preserve">config/rules</w:t>
      </w:r>
      <w:r>
        <w:t xml:space="preserve"> </w:t>
      </w:r>
      <w:r>
        <w:t xml:space="preserve">as version 1 and changed only through the rules studio with maker-checker approval (ADR-003). Code changes are needed only for a new rating method, a new dialogue state, a new rule operator or a new integration. Role-to-permission mapping is deliberately not a rule kind: it changes through code review and the change advisory board.</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846"/>
        <w:gridCol w:w="3522"/>
        <w:gridCol w:w="1911"/>
        <w:gridCol w:w="1748"/>
      </w:tblGrid>
      <w:tr>
        <w:trPr>
          <w:cantSplit/>
          <w:tblHeader/>
        </w:trPr>
        <w:tc>
          <w:tcPr>
            <w:tcW w:w="1846" w:type="dxa"/>
            <w:shd w:val="clear" w:color="auto" w:fill="0F4761"/>
            <w:vAlign w:val="center"/>
          </w:tcPr>
          <w:p>
            <w:pPr>
              <w:pStyle w:val="TableHeading"/>
              <w:jc w:val="left"/>
            </w:pPr>
            <w:r>
              <w:rPr>
                <w:color w:val="FFFFFF"/>
              </w:rPr>
              <w:t xml:space="preserve">Rule kind</w:t>
            </w:r>
          </w:p>
        </w:tc>
        <w:tc>
          <w:tcPr>
            <w:tcW w:w="3522" w:type="dxa"/>
            <w:shd w:val="clear" w:color="auto" w:fill="0F4761"/>
            <w:vAlign w:val="center"/>
          </w:tcPr>
          <w:p>
            <w:pPr>
              <w:pStyle w:val="TableHeading"/>
              <w:jc w:val="left"/>
            </w:pPr>
            <w:r>
              <w:rPr>
                <w:color w:val="FFFFFF"/>
              </w:rPr>
              <w:t xml:space="preserve">What it controls</w:t>
            </w:r>
          </w:p>
        </w:tc>
        <w:tc>
          <w:tcPr>
            <w:tcW w:w="1911" w:type="dxa"/>
            <w:shd w:val="clear" w:color="auto" w:fill="0F4761"/>
            <w:vAlign w:val="center"/>
          </w:tcPr>
          <w:p>
            <w:pPr>
              <w:pStyle w:val="TableHeading"/>
              <w:jc w:val="left"/>
            </w:pPr>
            <w:r>
              <w:rPr>
                <w:color w:val="FFFFFF"/>
              </w:rPr>
              <w:t xml:space="preserve">Business owner</w:t>
            </w:r>
          </w:p>
        </w:tc>
        <w:tc>
          <w:tcPr>
            <w:tcW w:w="1748" w:type="dxa"/>
            <w:shd w:val="clear" w:color="auto" w:fill="0F4761"/>
            <w:vAlign w:val="center"/>
          </w:tcPr>
          <w:p>
            <w:pPr>
              <w:pStyle w:val="TableHeading"/>
              <w:jc w:val="left"/>
            </w:pPr>
            <w:r>
              <w:rPr>
                <w:color w:val="FFFFFF"/>
              </w:rPr>
              <w:t xml:space="preserve">Approver</w:t>
            </w:r>
          </w:p>
        </w:tc>
      </w:tr>
      <w:tr>
        <w:trPr>
          <w:cantSplit/>
        </w:trPr>
        <w:tc>
          <w:tcPr>
            <w:tcW w:w="1846" w:type="dxa"/>
            <w:vAlign w:val="top"/>
          </w:tcPr>
          <w:p>
            <w:pPr>
              <w:pStyle w:val="TableText"/>
              <w:jc w:val="left"/>
            </w:pPr>
            <w:r>
              <w:t xml:space="preserve">Products</w:t>
            </w:r>
          </w:p>
        </w:tc>
        <w:tc>
          <w:tcPr>
            <w:tcW w:w="3522" w:type="dxa"/>
            <w:vAlign w:val="top"/>
          </w:tcPr>
          <w:p>
            <w:pPr>
              <w:pStyle w:val="TableText"/>
              <w:jc w:val="left"/>
            </w:pPr>
            <w:r>
              <w:t xml:space="preserve">Catalogue, channels, rating method, bundles</w:t>
            </w:r>
          </w:p>
        </w:tc>
        <w:tc>
          <w:tcPr>
            <w:tcW w:w="1911" w:type="dxa"/>
            <w:vAlign w:val="top"/>
          </w:tcPr>
          <w:p>
            <w:pPr>
              <w:pStyle w:val="TableText"/>
              <w:jc w:val="left"/>
            </w:pPr>
            <w:r>
              <w:t xml:space="preserve">Product</w:t>
            </w:r>
          </w:p>
        </w:tc>
        <w:tc>
          <w:tcPr>
            <w:tcW w:w="1748" w:type="dxa"/>
            <w:vAlign w:val="top"/>
          </w:tcPr>
          <w:p>
            <w:pPr>
              <w:pStyle w:val="TableText"/>
              <w:jc w:val="left"/>
            </w:pPr>
            <w:r>
              <w:t xml:space="preserve">Rule approver</w:t>
            </w:r>
          </w:p>
        </w:tc>
      </w:tr>
      <w:tr>
        <w:trPr>
          <w:cantSplit/>
        </w:trPr>
        <w:tc>
          <w:tcPr>
            <w:tcW w:w="1846" w:type="dxa"/>
            <w:shd w:val="clear" w:color="auto" w:fill="F4F7FB"/>
            <w:vAlign w:val="top"/>
          </w:tcPr>
          <w:p>
            <w:pPr>
              <w:pStyle w:val="TableText"/>
              <w:jc w:val="left"/>
            </w:pPr>
            <w:r>
              <w:t xml:space="preserve">Tariffs (TNDS car, TNDS motorbike)</w:t>
            </w:r>
          </w:p>
        </w:tc>
        <w:tc>
          <w:tcPr>
            <w:tcW w:w="3522" w:type="dxa"/>
            <w:shd w:val="clear" w:color="auto" w:fill="F4F7FB"/>
            <w:vAlign w:val="top"/>
          </w:tcPr>
          <w:p>
            <w:pPr>
              <w:pStyle w:val="TableText"/>
              <w:jc w:val="left"/>
            </w:pPr>
            <w:r>
              <w:t xml:space="preserve">Regulated premiums and VAT, used only as the indicative fallback</w:t>
            </w:r>
          </w:p>
        </w:tc>
        <w:tc>
          <w:tcPr>
            <w:tcW w:w="1911" w:type="dxa"/>
            <w:shd w:val="clear" w:color="auto" w:fill="F4F7FB"/>
            <w:vAlign w:val="top"/>
          </w:tcPr>
          <w:p>
            <w:pPr>
              <w:pStyle w:val="TableText"/>
              <w:jc w:val="left"/>
            </w:pPr>
            <w:r>
              <w:t xml:space="preserve">Underwriting and Compliance</w:t>
            </w:r>
          </w:p>
        </w:tc>
        <w:tc>
          <w:tcPr>
            <w:tcW w:w="1748" w:type="dxa"/>
            <w:shd w:val="clear" w:color="auto" w:fill="F4F7FB"/>
            <w:vAlign w:val="top"/>
          </w:tcPr>
          <w:p>
            <w:pPr>
              <w:pStyle w:val="TableText"/>
              <w:jc w:val="left"/>
            </w:pPr>
            <w:r>
              <w:t xml:space="preserve">Rule approver</w:t>
            </w:r>
          </w:p>
        </w:tc>
      </w:tr>
      <w:tr>
        <w:trPr>
          <w:cantSplit/>
        </w:trPr>
        <w:tc>
          <w:tcPr>
            <w:tcW w:w="1846" w:type="dxa"/>
            <w:vAlign w:val="top"/>
          </w:tcPr>
          <w:p>
            <w:pPr>
              <w:pStyle w:val="TableText"/>
              <w:jc w:val="left"/>
            </w:pPr>
            <w:r>
              <w:t xml:space="preserve">Rating (physical damage, personal accident per seat)</w:t>
            </w:r>
          </w:p>
        </w:tc>
        <w:tc>
          <w:tcPr>
            <w:tcW w:w="3522" w:type="dxa"/>
            <w:vAlign w:val="top"/>
          </w:tcPr>
          <w:p>
            <w:pPr>
              <w:pStyle w:val="TableText"/>
              <w:jc w:val="left"/>
            </w:pPr>
            <w:r>
              <w:t xml:space="preserve">Illustrative voluntary rates for sandbox and fallback</w:t>
            </w:r>
          </w:p>
        </w:tc>
        <w:tc>
          <w:tcPr>
            <w:tcW w:w="1911" w:type="dxa"/>
            <w:vAlign w:val="top"/>
          </w:tcPr>
          <w:p>
            <w:pPr>
              <w:pStyle w:val="TableText"/>
              <w:jc w:val="left"/>
            </w:pPr>
            <w:r>
              <w:t xml:space="preserve">Actuarial</w:t>
            </w:r>
          </w:p>
        </w:tc>
        <w:tc>
          <w:tcPr>
            <w:tcW w:w="1748" w:type="dxa"/>
            <w:vAlign w:val="top"/>
          </w:tcPr>
          <w:p>
            <w:pPr>
              <w:pStyle w:val="TableText"/>
              <w:jc w:val="left"/>
            </w:pPr>
            <w:r>
              <w:t xml:space="preserve">Rule approver</w:t>
            </w:r>
          </w:p>
        </w:tc>
      </w:tr>
      <w:tr>
        <w:trPr>
          <w:cantSplit/>
        </w:trPr>
        <w:tc>
          <w:tcPr>
            <w:tcW w:w="1846" w:type="dxa"/>
            <w:shd w:val="clear" w:color="auto" w:fill="F4F7FB"/>
            <w:vAlign w:val="top"/>
          </w:tcPr>
          <w:p>
            <w:pPr>
              <w:pStyle w:val="TableText"/>
              <w:jc w:val="left"/>
            </w:pPr>
            <w:r>
              <w:t xml:space="preserve">Commission</w:t>
            </w:r>
          </w:p>
        </w:tc>
        <w:tc>
          <w:tcPr>
            <w:tcW w:w="3522" w:type="dxa"/>
            <w:shd w:val="clear" w:color="auto" w:fill="F4F7FB"/>
            <w:vAlign w:val="top"/>
          </w:tcPr>
          <w:p>
            <w:pPr>
              <w:pStyle w:val="TableText"/>
              <w:jc w:val="left"/>
            </w:pPr>
            <w:r>
              <w:t xml:space="preserve">Partner commission and statutory caps</w:t>
            </w:r>
          </w:p>
        </w:tc>
        <w:tc>
          <w:tcPr>
            <w:tcW w:w="1911" w:type="dxa"/>
            <w:shd w:val="clear" w:color="auto" w:fill="F4F7FB"/>
            <w:vAlign w:val="top"/>
          </w:tcPr>
          <w:p>
            <w:pPr>
              <w:pStyle w:val="TableText"/>
              <w:jc w:val="left"/>
            </w:pPr>
            <w:r>
              <w:t xml:space="preserve">Finance and Legal</w:t>
            </w:r>
          </w:p>
        </w:tc>
        <w:tc>
          <w:tcPr>
            <w:tcW w:w="1748" w:type="dxa"/>
            <w:shd w:val="clear" w:color="auto" w:fill="F4F7FB"/>
            <w:vAlign w:val="top"/>
          </w:tcPr>
          <w:p>
            <w:pPr>
              <w:pStyle w:val="TableText"/>
              <w:jc w:val="left"/>
            </w:pPr>
            <w:r>
              <w:t xml:space="preserve">Compliance officer only</w:t>
            </w:r>
          </w:p>
        </w:tc>
      </w:tr>
      <w:tr>
        <w:trPr>
          <w:cantSplit/>
        </w:trPr>
        <w:tc>
          <w:tcPr>
            <w:tcW w:w="1846" w:type="dxa"/>
            <w:vAlign w:val="top"/>
          </w:tcPr>
          <w:p>
            <w:pPr>
              <w:pStyle w:val="TableText"/>
              <w:jc w:val="left"/>
            </w:pPr>
            <w:r>
              <w:t xml:space="preserve">Enrichment</w:t>
            </w:r>
          </w:p>
        </w:tc>
        <w:tc>
          <w:tcPr>
            <w:tcW w:w="3522" w:type="dxa"/>
            <w:vAlign w:val="top"/>
          </w:tcPr>
          <w:p>
            <w:pPr>
              <w:pStyle w:val="TableText"/>
              <w:jc w:val="left"/>
            </w:pPr>
            <w:r>
              <w:t xml:space="preserve">Source trust, expiry evidence, category table, data quality weights</w:t>
            </w:r>
          </w:p>
        </w:tc>
        <w:tc>
          <w:tcPr>
            <w:tcW w:w="1911" w:type="dxa"/>
            <w:vAlign w:val="top"/>
          </w:tcPr>
          <w:p>
            <w:pPr>
              <w:pStyle w:val="TableText"/>
              <w:jc w:val="left"/>
            </w:pPr>
            <w:r>
              <w:t xml:space="preserve">Data office</w:t>
            </w:r>
          </w:p>
        </w:tc>
        <w:tc>
          <w:tcPr>
            <w:tcW w:w="1748" w:type="dxa"/>
            <w:vAlign w:val="top"/>
          </w:tcPr>
          <w:p>
            <w:pPr>
              <w:pStyle w:val="TableText"/>
              <w:jc w:val="left"/>
            </w:pPr>
            <w:r>
              <w:t xml:space="preserve">Rule approver</w:t>
            </w:r>
          </w:p>
        </w:tc>
      </w:tr>
      <w:tr>
        <w:trPr>
          <w:cantSplit/>
        </w:trPr>
        <w:tc>
          <w:tcPr>
            <w:tcW w:w="1846" w:type="dxa"/>
            <w:shd w:val="clear" w:color="auto" w:fill="F4F7FB"/>
            <w:vAlign w:val="top"/>
          </w:tcPr>
          <w:p>
            <w:pPr>
              <w:pStyle w:val="TableText"/>
              <w:jc w:val="left"/>
            </w:pPr>
            <w:r>
              <w:t xml:space="preserve">Scoring</w:t>
            </w:r>
          </w:p>
        </w:tc>
        <w:tc>
          <w:tcPr>
            <w:tcW w:w="3522" w:type="dxa"/>
            <w:shd w:val="clear" w:color="auto" w:fill="F4F7FB"/>
            <w:vAlign w:val="top"/>
          </w:tcPr>
          <w:p>
            <w:pPr>
              <w:pStyle w:val="TableText"/>
              <w:jc w:val="left"/>
            </w:pPr>
            <w:r>
              <w:t xml:space="preserve">Factor weights, tiers, damping</w:t>
            </w:r>
          </w:p>
        </w:tc>
        <w:tc>
          <w:tcPr>
            <w:tcW w:w="1911" w:type="dxa"/>
            <w:shd w:val="clear" w:color="auto" w:fill="F4F7FB"/>
            <w:vAlign w:val="top"/>
          </w:tcPr>
          <w:p>
            <w:pPr>
              <w:pStyle w:val="TableText"/>
              <w:jc w:val="left"/>
            </w:pPr>
            <w:r>
              <w:t xml:space="preserve">Growth analytics</w:t>
            </w:r>
          </w:p>
        </w:tc>
        <w:tc>
          <w:tcPr>
            <w:tcW w:w="1748" w:type="dxa"/>
            <w:shd w:val="clear" w:color="auto" w:fill="F4F7FB"/>
            <w:vAlign w:val="top"/>
          </w:tcPr>
          <w:p>
            <w:pPr>
              <w:pStyle w:val="TableText"/>
              <w:jc w:val="left"/>
            </w:pPr>
            <w:r>
              <w:t xml:space="preserve">Rule approver with model-risk review</w:t>
            </w:r>
          </w:p>
        </w:tc>
      </w:tr>
      <w:tr>
        <w:trPr>
          <w:cantSplit/>
        </w:trPr>
        <w:tc>
          <w:tcPr>
            <w:tcW w:w="1846" w:type="dxa"/>
            <w:vAlign w:val="top"/>
          </w:tcPr>
          <w:p>
            <w:pPr>
              <w:pStyle w:val="TableText"/>
              <w:jc w:val="left"/>
            </w:pPr>
            <w:r>
              <w:t xml:space="preserve">Next-best action</w:t>
            </w:r>
          </w:p>
        </w:tc>
        <w:tc>
          <w:tcPr>
            <w:tcW w:w="3522" w:type="dxa"/>
            <w:vAlign w:val="top"/>
          </w:tcPr>
          <w:p>
            <w:pPr>
              <w:pStyle w:val="TableText"/>
              <w:jc w:val="left"/>
            </w:pPr>
            <w:r>
              <w:t xml:space="preserve">Decision table for the next action</w:t>
            </w:r>
          </w:p>
        </w:tc>
        <w:tc>
          <w:tcPr>
            <w:tcW w:w="1911" w:type="dxa"/>
            <w:vAlign w:val="top"/>
          </w:tcPr>
          <w:p>
            <w:pPr>
              <w:pStyle w:val="TableText"/>
              <w:jc w:val="left"/>
            </w:pPr>
            <w:r>
              <w:t xml:space="preserve">Campaign</w:t>
            </w:r>
          </w:p>
        </w:tc>
        <w:tc>
          <w:tcPr>
            <w:tcW w:w="1748" w:type="dxa"/>
            <w:vAlign w:val="top"/>
          </w:tcPr>
          <w:p>
            <w:pPr>
              <w:pStyle w:val="TableText"/>
              <w:jc w:val="left"/>
            </w:pPr>
            <w:r>
              <w:t xml:space="preserve">Rule approver</w:t>
            </w:r>
          </w:p>
        </w:tc>
      </w:tr>
      <w:tr>
        <w:trPr>
          <w:cantSplit/>
        </w:trPr>
        <w:tc>
          <w:tcPr>
            <w:tcW w:w="1846" w:type="dxa"/>
            <w:shd w:val="clear" w:color="auto" w:fill="F4F7FB"/>
            <w:vAlign w:val="top"/>
          </w:tcPr>
          <w:p>
            <w:pPr>
              <w:pStyle w:val="TableText"/>
              <w:jc w:val="left"/>
            </w:pPr>
            <w:r>
              <w:t xml:space="preserve">Journeys</w:t>
            </w:r>
          </w:p>
        </w:tc>
        <w:tc>
          <w:tcPr>
            <w:tcW w:w="3522" w:type="dxa"/>
            <w:shd w:val="clear" w:color="auto" w:fill="F4F7FB"/>
            <w:vAlign w:val="top"/>
          </w:tcPr>
          <w:p>
            <w:pPr>
              <w:pStyle w:val="TableText"/>
              <w:jc w:val="left"/>
            </w:pPr>
            <w:r>
              <w:t xml:space="preserve">Audiences, steps, channels, cross-sell</w:t>
            </w:r>
          </w:p>
        </w:tc>
        <w:tc>
          <w:tcPr>
            <w:tcW w:w="1911" w:type="dxa"/>
            <w:shd w:val="clear" w:color="auto" w:fill="F4F7FB"/>
            <w:vAlign w:val="top"/>
          </w:tcPr>
          <w:p>
            <w:pPr>
              <w:pStyle w:val="TableText"/>
              <w:jc w:val="left"/>
            </w:pPr>
            <w:r>
              <w:t xml:space="preserve">Campaign</w:t>
            </w:r>
          </w:p>
        </w:tc>
        <w:tc>
          <w:tcPr>
            <w:tcW w:w="1748" w:type="dxa"/>
            <w:shd w:val="clear" w:color="auto" w:fill="F4F7FB"/>
            <w:vAlign w:val="top"/>
          </w:tcPr>
          <w:p>
            <w:pPr>
              <w:pStyle w:val="TableText"/>
              <w:jc w:val="left"/>
            </w:pPr>
            <w:r>
              <w:t xml:space="preserve">Rule approver</w:t>
            </w:r>
          </w:p>
        </w:tc>
      </w:tr>
      <w:tr>
        <w:trPr>
          <w:cantSplit/>
        </w:trPr>
        <w:tc>
          <w:tcPr>
            <w:tcW w:w="1846" w:type="dxa"/>
            <w:vAlign w:val="top"/>
          </w:tcPr>
          <w:p>
            <w:pPr>
              <w:pStyle w:val="TableText"/>
              <w:jc w:val="left"/>
            </w:pPr>
            <w:r>
              <w:t xml:space="preserve">Triggers</w:t>
            </w:r>
          </w:p>
        </w:tc>
        <w:tc>
          <w:tcPr>
            <w:tcW w:w="3522" w:type="dxa"/>
            <w:vAlign w:val="top"/>
          </w:tcPr>
          <w:p>
            <w:pPr>
              <w:pStyle w:val="TableText"/>
              <w:jc w:val="left"/>
            </w:pPr>
            <w:r>
              <w:t xml:space="preserve">VETC events to journey actions</w:t>
            </w:r>
          </w:p>
        </w:tc>
        <w:tc>
          <w:tcPr>
            <w:tcW w:w="1911" w:type="dxa"/>
            <w:vAlign w:val="top"/>
          </w:tcPr>
          <w:p>
            <w:pPr>
              <w:pStyle w:val="TableText"/>
              <w:jc w:val="left"/>
            </w:pPr>
            <w:r>
              <w:t xml:space="preserve">Campaign</w:t>
            </w:r>
          </w:p>
        </w:tc>
        <w:tc>
          <w:tcPr>
            <w:tcW w:w="1748" w:type="dxa"/>
            <w:vAlign w:val="top"/>
          </w:tcPr>
          <w:p>
            <w:pPr>
              <w:pStyle w:val="TableText"/>
              <w:jc w:val="left"/>
            </w:pPr>
            <w:r>
              <w:t xml:space="preserve">Rule approver</w:t>
            </w:r>
          </w:p>
        </w:tc>
      </w:tr>
      <w:tr>
        <w:trPr>
          <w:cantSplit/>
        </w:trPr>
        <w:tc>
          <w:tcPr>
            <w:tcW w:w="1846" w:type="dxa"/>
            <w:shd w:val="clear" w:color="auto" w:fill="F4F7FB"/>
            <w:vAlign w:val="top"/>
          </w:tcPr>
          <w:p>
            <w:pPr>
              <w:pStyle w:val="TableText"/>
              <w:jc w:val="left"/>
            </w:pPr>
            <w:r>
              <w:t xml:space="preserve">Benefits</w:t>
            </w:r>
          </w:p>
        </w:tc>
        <w:tc>
          <w:tcPr>
            <w:tcW w:w="3522" w:type="dxa"/>
            <w:shd w:val="clear" w:color="auto" w:fill="F4F7FB"/>
            <w:vAlign w:val="top"/>
          </w:tcPr>
          <w:p>
            <w:pPr>
              <w:pStyle w:val="TableText"/>
              <w:jc w:val="left"/>
            </w:pPr>
            <w:r>
              <w:t xml:space="preserve">Service value catalogue; only legally approved items reach customers</w:t>
            </w:r>
          </w:p>
        </w:tc>
        <w:tc>
          <w:tcPr>
            <w:tcW w:w="1911" w:type="dxa"/>
            <w:shd w:val="clear" w:color="auto" w:fill="F4F7FB"/>
            <w:vAlign w:val="top"/>
          </w:tcPr>
          <w:p>
            <w:pPr>
              <w:pStyle w:val="TableText"/>
              <w:jc w:val="left"/>
            </w:pPr>
            <w:r>
              <w:t xml:space="preserve">Product and Legal</w:t>
            </w:r>
          </w:p>
        </w:tc>
        <w:tc>
          <w:tcPr>
            <w:tcW w:w="1748" w:type="dxa"/>
            <w:shd w:val="clear" w:color="auto" w:fill="F4F7FB"/>
            <w:vAlign w:val="top"/>
          </w:tcPr>
          <w:p>
            <w:pPr>
              <w:pStyle w:val="TableText"/>
              <w:jc w:val="left"/>
            </w:pPr>
            <w:r>
              <w:t xml:space="preserve">Rule approver</w:t>
            </w:r>
          </w:p>
        </w:tc>
      </w:tr>
      <w:tr>
        <w:trPr>
          <w:cantSplit/>
        </w:trPr>
        <w:tc>
          <w:tcPr>
            <w:tcW w:w="1846" w:type="dxa"/>
            <w:vAlign w:val="top"/>
          </w:tcPr>
          <w:p>
            <w:pPr>
              <w:pStyle w:val="TableText"/>
              <w:jc w:val="left"/>
            </w:pPr>
            <w:r>
              <w:t xml:space="preserve">Message content</w:t>
            </w:r>
          </w:p>
        </w:tc>
        <w:tc>
          <w:tcPr>
            <w:tcW w:w="3522" w:type="dxa"/>
            <w:vAlign w:val="top"/>
          </w:tcPr>
          <w:p>
            <w:pPr>
              <w:pStyle w:val="TableText"/>
              <w:jc w:val="left"/>
            </w:pPr>
            <w:r>
              <w:t xml:space="preserve">Message templates in Vietnamese and English</w:t>
            </w:r>
          </w:p>
        </w:tc>
        <w:tc>
          <w:tcPr>
            <w:tcW w:w="1911" w:type="dxa"/>
            <w:vAlign w:val="top"/>
          </w:tcPr>
          <w:p>
            <w:pPr>
              <w:pStyle w:val="TableText"/>
              <w:jc w:val="left"/>
            </w:pPr>
            <w:r>
              <w:t xml:space="preserve">Marketing and Compliance</w:t>
            </w:r>
          </w:p>
        </w:tc>
        <w:tc>
          <w:tcPr>
            <w:tcW w:w="1748" w:type="dxa"/>
            <w:vAlign w:val="top"/>
          </w:tcPr>
          <w:p>
            <w:pPr>
              <w:pStyle w:val="TableText"/>
              <w:jc w:val="left"/>
            </w:pPr>
            <w:r>
              <w:t xml:space="preserve">Rule approver</w:t>
            </w:r>
          </w:p>
        </w:tc>
      </w:tr>
      <w:tr>
        <w:trPr>
          <w:cantSplit/>
        </w:trPr>
        <w:tc>
          <w:tcPr>
            <w:tcW w:w="1846" w:type="dxa"/>
            <w:shd w:val="clear" w:color="auto" w:fill="F4F7FB"/>
            <w:vAlign w:val="top"/>
          </w:tcPr>
          <w:p>
            <w:pPr>
              <w:pStyle w:val="TableText"/>
              <w:jc w:val="left"/>
            </w:pPr>
            <w:r>
              <w:t xml:space="preserve">Voice script</w:t>
            </w:r>
          </w:p>
        </w:tc>
        <w:tc>
          <w:tcPr>
            <w:tcW w:w="3522" w:type="dxa"/>
            <w:shd w:val="clear" w:color="auto" w:fill="F4F7FB"/>
            <w:vAlign w:val="top"/>
          </w:tcPr>
          <w:p>
            <w:pPr>
              <w:pStyle w:val="TableText"/>
              <w:jc w:val="left"/>
            </w:pPr>
            <w:r>
              <w:t xml:space="preserve">Bot lines and intent keywords</w:t>
            </w:r>
          </w:p>
        </w:tc>
        <w:tc>
          <w:tcPr>
            <w:tcW w:w="1911" w:type="dxa"/>
            <w:shd w:val="clear" w:color="auto" w:fill="F4F7FB"/>
            <w:vAlign w:val="top"/>
          </w:tcPr>
          <w:p>
            <w:pPr>
              <w:pStyle w:val="TableText"/>
              <w:jc w:val="left"/>
            </w:pPr>
            <w:r>
              <w:t xml:space="preserve">Customer experience and Compliance</w:t>
            </w:r>
          </w:p>
        </w:tc>
        <w:tc>
          <w:tcPr>
            <w:tcW w:w="1748" w:type="dxa"/>
            <w:shd w:val="clear" w:color="auto" w:fill="F4F7FB"/>
            <w:vAlign w:val="top"/>
          </w:tcPr>
          <w:p>
            <w:pPr>
              <w:pStyle w:val="TableText"/>
              <w:jc w:val="left"/>
            </w:pPr>
            <w:r>
              <w:t xml:space="preserve">Rule approver</w:t>
            </w:r>
          </w:p>
        </w:tc>
      </w:tr>
      <w:tr>
        <w:trPr>
          <w:cantSplit/>
        </w:trPr>
        <w:tc>
          <w:tcPr>
            <w:tcW w:w="1846" w:type="dxa"/>
            <w:vAlign w:val="top"/>
          </w:tcPr>
          <w:p>
            <w:pPr>
              <w:pStyle w:val="TableText"/>
              <w:jc w:val="left"/>
            </w:pPr>
            <w:r>
              <w:t xml:space="preserve">Copy guard</w:t>
            </w:r>
          </w:p>
        </w:tc>
        <w:tc>
          <w:tcPr>
            <w:tcW w:w="3522" w:type="dxa"/>
            <w:vAlign w:val="top"/>
          </w:tcPr>
          <w:p>
            <w:pPr>
              <w:pStyle w:val="TableText"/>
              <w:jc w:val="left"/>
            </w:pPr>
            <w:r>
              <w:t xml:space="preserve">Banned phrases such as discounts or rebates on regulated products</w:t>
            </w:r>
          </w:p>
        </w:tc>
        <w:tc>
          <w:tcPr>
            <w:tcW w:w="1911" w:type="dxa"/>
            <w:vAlign w:val="top"/>
          </w:tcPr>
          <w:p>
            <w:pPr>
              <w:pStyle w:val="TableText"/>
              <w:jc w:val="left"/>
            </w:pPr>
            <w:r>
              <w:t xml:space="preserve">Compliance</w:t>
            </w:r>
          </w:p>
        </w:tc>
        <w:tc>
          <w:tcPr>
            <w:tcW w:w="1748" w:type="dxa"/>
            <w:vAlign w:val="top"/>
          </w:tcPr>
          <w:p>
            <w:pPr>
              <w:pStyle w:val="TableText"/>
              <w:jc w:val="left"/>
            </w:pPr>
            <w:r>
              <w:t xml:space="preserve">Compliance officer only</w:t>
            </w:r>
          </w:p>
        </w:tc>
      </w:tr>
      <w:tr>
        <w:trPr>
          <w:cantSplit/>
        </w:trPr>
        <w:tc>
          <w:tcPr>
            <w:tcW w:w="1846" w:type="dxa"/>
            <w:shd w:val="clear" w:color="auto" w:fill="F4F7FB"/>
            <w:vAlign w:val="top"/>
          </w:tcPr>
          <w:p>
            <w:pPr>
              <w:pStyle w:val="TableText"/>
              <w:jc w:val="left"/>
            </w:pPr>
            <w:r>
              <w:t xml:space="preserve">Contact policy</w:t>
            </w:r>
          </w:p>
        </w:tc>
        <w:tc>
          <w:tcPr>
            <w:tcW w:w="3522" w:type="dxa"/>
            <w:shd w:val="clear" w:color="auto" w:fill="F4F7FB"/>
            <w:vAlign w:val="top"/>
          </w:tcPr>
          <w:p>
            <w:pPr>
              <w:pStyle w:val="TableText"/>
              <w:jc w:val="left"/>
            </w:pPr>
            <w:r>
              <w:t xml:space="preserve">Contact window, frequency caps, consent per channel</w:t>
            </w:r>
          </w:p>
        </w:tc>
        <w:tc>
          <w:tcPr>
            <w:tcW w:w="1911" w:type="dxa"/>
            <w:shd w:val="clear" w:color="auto" w:fill="F4F7FB"/>
            <w:vAlign w:val="top"/>
          </w:tcPr>
          <w:p>
            <w:pPr>
              <w:pStyle w:val="TableText"/>
              <w:jc w:val="left"/>
            </w:pPr>
            <w:r>
              <w:t xml:space="preserve">Compliance and DPO</w:t>
            </w:r>
          </w:p>
        </w:tc>
        <w:tc>
          <w:tcPr>
            <w:tcW w:w="1748" w:type="dxa"/>
            <w:shd w:val="clear" w:color="auto" w:fill="F4F7FB"/>
            <w:vAlign w:val="top"/>
          </w:tcPr>
          <w:p>
            <w:pPr>
              <w:pStyle w:val="TableText"/>
              <w:jc w:val="left"/>
            </w:pPr>
            <w:r>
              <w:t xml:space="preserve">Compliance officer only</w:t>
            </w:r>
          </w:p>
        </w:tc>
      </w:tr>
      <w:tr>
        <w:trPr>
          <w:cantSplit/>
        </w:trPr>
        <w:tc>
          <w:tcPr>
            <w:tcW w:w="1846" w:type="dxa"/>
            <w:vAlign w:val="top"/>
          </w:tcPr>
          <w:p>
            <w:pPr>
              <w:pStyle w:val="TableText"/>
              <w:jc w:val="left"/>
            </w:pPr>
            <w:r>
              <w:t xml:space="preserve">Access attributes</w:t>
            </w:r>
          </w:p>
        </w:tc>
        <w:tc>
          <w:tcPr>
            <w:tcW w:w="3522" w:type="dxa"/>
            <w:vAlign w:val="top"/>
          </w:tcPr>
          <w:p>
            <w:pPr>
              <w:pStyle w:val="TableText"/>
              <w:jc w:val="left"/>
            </w:pPr>
            <w:r>
              <w:t xml:space="preserve">Region and ownership policies</w:t>
            </w:r>
          </w:p>
        </w:tc>
        <w:tc>
          <w:tcPr>
            <w:tcW w:w="1911" w:type="dxa"/>
            <w:vAlign w:val="top"/>
          </w:tcPr>
          <w:p>
            <w:pPr>
              <w:pStyle w:val="TableText"/>
              <w:jc w:val="left"/>
            </w:pPr>
            <w:r>
              <w:t xml:space="preserve">Information security</w:t>
            </w:r>
          </w:p>
        </w:tc>
        <w:tc>
          <w:tcPr>
            <w:tcW w:w="1748" w:type="dxa"/>
            <w:vAlign w:val="top"/>
          </w:tcPr>
          <w:p>
            <w:pPr>
              <w:pStyle w:val="TableText"/>
              <w:jc w:val="left"/>
            </w:pPr>
            <w:r>
              <w:t xml:space="preserve">Compliance officer only</w:t>
            </w:r>
          </w:p>
        </w:tc>
      </w:tr>
      <w:tr>
        <w:trPr>
          <w:cantSplit/>
        </w:trPr>
        <w:tc>
          <w:tcPr>
            <w:tcW w:w="1846" w:type="dxa"/>
            <w:shd w:val="clear" w:color="auto" w:fill="F4F7FB"/>
            <w:vAlign w:val="top"/>
          </w:tcPr>
          <w:p>
            <w:pPr>
              <w:pStyle w:val="TableText"/>
              <w:jc w:val="left"/>
            </w:pPr>
            <w:r>
              <w:t xml:space="preserve">Retention</w:t>
            </w:r>
          </w:p>
        </w:tc>
        <w:tc>
          <w:tcPr>
            <w:tcW w:w="3522" w:type="dxa"/>
            <w:shd w:val="clear" w:color="auto" w:fill="F4F7FB"/>
            <w:vAlign w:val="top"/>
          </w:tcPr>
          <w:p>
            <w:pPr>
              <w:pStyle w:val="TableText"/>
              <w:jc w:val="left"/>
            </w:pPr>
            <w:r>
              <w:t xml:space="preserve">Retention period and action per entity</w:t>
            </w:r>
          </w:p>
        </w:tc>
        <w:tc>
          <w:tcPr>
            <w:tcW w:w="1911" w:type="dxa"/>
            <w:shd w:val="clear" w:color="auto" w:fill="F4F7FB"/>
            <w:vAlign w:val="top"/>
          </w:tcPr>
          <w:p>
            <w:pPr>
              <w:pStyle w:val="TableText"/>
              <w:jc w:val="left"/>
            </w:pPr>
            <w:r>
              <w:t xml:space="preserve">DPO and Legal</w:t>
            </w:r>
          </w:p>
        </w:tc>
        <w:tc>
          <w:tcPr>
            <w:tcW w:w="1748" w:type="dxa"/>
            <w:shd w:val="clear" w:color="auto" w:fill="F4F7FB"/>
            <w:vAlign w:val="top"/>
          </w:tcPr>
          <w:p>
            <w:pPr>
              <w:pStyle w:val="TableText"/>
              <w:jc w:val="left"/>
            </w:pPr>
            <w:r>
              <w:t xml:space="preserve">Compliance officer only</w:t>
            </w:r>
          </w:p>
        </w:tc>
      </w:tr>
      <w:tr>
        <w:trPr>
          <w:cantSplit/>
        </w:trPr>
        <w:tc>
          <w:tcPr>
            <w:tcW w:w="1846" w:type="dxa"/>
            <w:vAlign w:val="top"/>
          </w:tcPr>
          <w:p>
            <w:pPr>
              <w:pStyle w:val="TableText"/>
              <w:jc w:val="left"/>
            </w:pPr>
            <w:r>
              <w:t xml:space="preserve">Service levels</w:t>
            </w:r>
          </w:p>
        </w:tc>
        <w:tc>
          <w:tcPr>
            <w:tcW w:w="3522" w:type="dxa"/>
            <w:vAlign w:val="top"/>
          </w:tcPr>
          <w:p>
            <w:pPr>
              <w:pStyle w:val="TableText"/>
              <w:jc w:val="left"/>
            </w:pPr>
            <w:r>
              <w:t xml:space="preserve">Quote validity (24 h), claim acknowledgement (4 h), data-subject response time (72 h), quick-renewal eligibility, evidence confidences</w:t>
            </w:r>
          </w:p>
        </w:tc>
        <w:tc>
          <w:tcPr>
            <w:tcW w:w="1911" w:type="dxa"/>
            <w:vAlign w:val="top"/>
          </w:tcPr>
          <w:p>
            <w:pPr>
              <w:pStyle w:val="TableText"/>
              <w:jc w:val="left"/>
            </w:pPr>
            <w:r>
              <w:t xml:space="preserve">Operations and Data office</w:t>
            </w:r>
          </w:p>
        </w:tc>
        <w:tc>
          <w:tcPr>
            <w:tcW w:w="1748" w:type="dxa"/>
            <w:vAlign w:val="top"/>
          </w:tcPr>
          <w:p>
            <w:pPr>
              <w:pStyle w:val="TableText"/>
              <w:jc w:val="left"/>
            </w:pPr>
            <w:r>
              <w:t xml:space="preserve">Rule approver</w:t>
            </w:r>
          </w:p>
        </w:tc>
      </w:tr>
      <w:tr>
        <w:trPr>
          <w:cantSplit/>
        </w:trPr>
        <w:tc>
          <w:tcPr>
            <w:tcW w:w="1846" w:type="dxa"/>
            <w:shd w:val="clear" w:color="auto" w:fill="F4F7FB"/>
            <w:vAlign w:val="top"/>
          </w:tcPr>
          <w:p>
            <w:pPr>
              <w:pStyle w:val="TableText"/>
              <w:jc w:val="left"/>
            </w:pPr>
            <w:r>
              <w:t xml:space="preserve">Referral</w:t>
            </w:r>
          </w:p>
        </w:tc>
        <w:tc>
          <w:tcPr>
            <w:tcW w:w="3522" w:type="dxa"/>
            <w:shd w:val="clear" w:color="auto" w:fill="F4F7FB"/>
            <w:vAlign w:val="top"/>
          </w:tcPr>
          <w:p>
            <w:pPr>
              <w:pStyle w:val="TableText"/>
              <w:jc w:val="left"/>
            </w:pPr>
            <w:r>
              <w:t xml:space="preserve">Referral programme, disabled pending legal review</w:t>
            </w:r>
          </w:p>
        </w:tc>
        <w:tc>
          <w:tcPr>
            <w:tcW w:w="1911" w:type="dxa"/>
            <w:shd w:val="clear" w:color="auto" w:fill="F4F7FB"/>
            <w:vAlign w:val="top"/>
          </w:tcPr>
          <w:p>
            <w:pPr>
              <w:pStyle w:val="TableText"/>
              <w:jc w:val="left"/>
            </w:pPr>
            <w:r>
              <w:t xml:space="preserve">Product and Legal</w:t>
            </w:r>
          </w:p>
        </w:tc>
        <w:tc>
          <w:tcPr>
            <w:tcW w:w="1748" w:type="dxa"/>
            <w:shd w:val="clear" w:color="auto" w:fill="F4F7FB"/>
            <w:vAlign w:val="top"/>
          </w:tcPr>
          <w:p>
            <w:pPr>
              <w:pStyle w:val="TableText"/>
              <w:jc w:val="left"/>
            </w:pPr>
            <w:r>
              <w:t xml:space="preserve">Rule approver</w:t>
            </w:r>
          </w:p>
        </w:tc>
      </w:tr>
      <w:tr>
        <w:trPr>
          <w:cantSplit/>
        </w:trPr>
        <w:tc>
          <w:tcPr>
            <w:tcW w:w="1846" w:type="dxa"/>
            <w:vAlign w:val="top"/>
          </w:tcPr>
          <w:p>
            <w:pPr>
              <w:pStyle w:val="TableText"/>
              <w:jc w:val="left"/>
            </w:pPr>
            <w:r>
              <w:t xml:space="preserve">Costs</w:t>
            </w:r>
          </w:p>
        </w:tc>
        <w:tc>
          <w:tcPr>
            <w:tcW w:w="3522" w:type="dxa"/>
            <w:vAlign w:val="top"/>
          </w:tcPr>
          <w:p>
            <w:pPr>
              <w:pStyle w:val="TableText"/>
              <w:jc w:val="left"/>
            </w:pPr>
            <w:r>
              <w:t xml:space="preserve">Unit costs for the business case dashboard</w:t>
            </w:r>
          </w:p>
        </w:tc>
        <w:tc>
          <w:tcPr>
            <w:tcW w:w="1911" w:type="dxa"/>
            <w:vAlign w:val="top"/>
          </w:tcPr>
          <w:p>
            <w:pPr>
              <w:pStyle w:val="TableText"/>
              <w:jc w:val="left"/>
            </w:pPr>
            <w:r>
              <w:t xml:space="preserve">Finance</w:t>
            </w:r>
          </w:p>
        </w:tc>
        <w:tc>
          <w:tcPr>
            <w:tcW w:w="1748" w:type="dxa"/>
            <w:vAlign w:val="top"/>
          </w:tcPr>
          <w:p>
            <w:pPr>
              <w:pStyle w:val="TableText"/>
              <w:jc w:val="left"/>
            </w:pPr>
            <w:r>
              <w:t xml:space="preserve">Rule approver</w:t>
            </w:r>
          </w:p>
        </w:tc>
      </w:tr>
    </w:tbl>
    <w:p>
      <w:pPr>
        <w:pStyle w:val="BodyText"/>
        <w:spacing w:before="160"/>
      </w:pPr>
      <w:r>
        <w:t xml:space="preserve">Validators reject a rule set before it can be saved if, for example, scoring weights do not add up to 100, a commission rate exceeds its statutory cap or a customer-facing string contains a banned phrase. The database allows only one active version per kind, and approval swaps versions in a single transaction. Each API pod caches active rules for 15 seconds.</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26" w:name="_Toc300000022"/>
      <w:r>
        <w:rPr>
          <w:rStyle w:val="BookTitle"/>
          <w:bCs w:val="0"/>
          <w:i w:val="0"/>
          <w:iCs w:val="0"/>
          <w:spacing w:val="0"/>
        </w:rPr>
        <w:t xml:space="preserve">Key flows</w:t>
      </w:r>
      <w:bookmarkEnd w:id="26"/>
    </w:p>
    <w:p>
      <w:pPr>
        <w:pStyle w:val="FirstParagraph"/>
      </w:pPr>
      <w:r>
        <w:t xml:space="preserve">This section shows the flows that cross several services. The system-level sequences with external systems (rating and issuance through TASCO core, wallet payment with refund, catalogue sync, partner quote and bind, and voice handoff) are in TGP-ARC-02 Integration Architecture.</w:t>
      </w:r>
    </w:p>
    <w:p>
      <w:pPr>
        <w:pStyle w:val="Heading2"/>
      </w:pPr>
      <w:bookmarkStart w:id="27" w:name="_Toc300000023"/>
      <w:r>
        <w:t xml:space="preserve">From data to next-best action</w:t>
      </w:r>
      <w:bookmarkEnd w:id="27"/>
    </w:p>
    <w:p>
      <w:pPr>
        <w:pStyle w:val="FirstParagraph"/>
      </w:pPr>
      <w:r>
        <w:t xml:space="preserve">A VETC batch, a partner record or a steward correction lands as source records, rebuilds the affected profiles and re-scores their leads. The two sequences show one ingestion batch: first the profile rebuild, then the re-scoring that the rebuild triggers.</w:t>
      </w:r>
    </w:p>
    <w:p xmlns:a="http://schemas.openxmlformats.org/drawingml/2006/main" xmlns:pic="http://schemas.openxmlformats.org/drawingml/2006/picture">
      <w:pPr>
        <w:pStyle w:val="Figure"/>
      </w:pPr>
      <w:r>
        <w:drawing>
          <wp:inline>
            <wp:extent cx="5727700" cy="4398179"/>
            <wp:effectExtent b="0" l="0" r="0" t="0"/>
            <wp:docPr descr="Ingestion, part 1: source records land and profiles are rebuilt" title="" id="5006" name="Picture"/>
            <a:graphic>
              <a:graphicData uri="http://schemas.openxmlformats.org/drawingml/2006/picture">
                <pic:pic>
                  <pic:nvPicPr>
                    <pic:cNvPr descr="/home/user/TASCO/tools/docs-source/gen/.cache/mermaid/9ab59ee9ecc25b5b.png" id="53" name="Picture"/>
                    <pic:cNvPicPr>
                      <a:picLocks noChangeArrowheads="1" noChangeAspect="1"/>
                    </pic:cNvPicPr>
                  </pic:nvPicPr>
                  <pic:blipFill>
                    <a:blip r:embed="rIdG5"/>
                    <a:stretch>
                      <a:fillRect/>
                    </a:stretch>
                  </pic:blipFill>
                  <pic:spPr bwMode="auto">
                    <a:xfrm>
                      <a:off x="0" y="0"/>
                      <a:ext cx="5727700" cy="4398179"/>
                    </a:xfrm>
                    <a:prstGeom prst="rect">
                      <a:avLst/>
                    </a:prstGeom>
                    <a:noFill/>
                    <a:ln w="9525">
                      <a:noFill/>
                      <a:headEnd/>
                      <a:tailEnd/>
                    </a:ln>
                  </pic:spPr>
                </pic:pic>
              </a:graphicData>
            </a:graphic>
          </wp:inline>
        </w:drawing>
      </w:r>
    </w:p>
    <w:p>
      <w:pPr>
        <w:pStyle w:val="Caption"/>
      </w:pPr>
      <w:r>
        <w:t xml:space="preserve">Figure 5 – Ingestion, part 1: source records land and profiles are rebuilt</w:t>
      </w:r>
    </w:p>
    <w:p xmlns:a="http://schemas.openxmlformats.org/drawingml/2006/main" xmlns:pic="http://schemas.openxmlformats.org/drawingml/2006/picture">
      <w:pPr>
        <w:pStyle w:val="Figure"/>
      </w:pPr>
      <w:r>
        <w:drawing>
          <wp:inline>
            <wp:extent cx="5727700" cy="3228340"/>
            <wp:effectExtent b="0" l="0" r="0" t="0"/>
            <wp:docPr descr="Ingestion, part 2: the rebuild event re-scores the affected leads" title="" id="5007" name="Picture"/>
            <a:graphic>
              <a:graphicData uri="http://schemas.openxmlformats.org/drawingml/2006/picture">
                <pic:pic>
                  <pic:nvPicPr>
                    <pic:cNvPr descr="/home/user/TASCO/tools/docs-source/gen/.cache/mermaid/7d22aa6e4947ea7f.png" id="56" name="Picture"/>
                    <pic:cNvPicPr>
                      <a:picLocks noChangeArrowheads="1" noChangeAspect="1"/>
                    </pic:cNvPicPr>
                  </pic:nvPicPr>
                  <pic:blipFill>
                    <a:blip r:embed="rIdG6"/>
                    <a:stretch>
                      <a:fillRect/>
                    </a:stretch>
                  </pic:blipFill>
                  <pic:spPr bwMode="auto">
                    <a:xfrm>
                      <a:off x="0" y="0"/>
                      <a:ext cx="5727700" cy="3228340"/>
                    </a:xfrm>
                    <a:prstGeom prst="rect">
                      <a:avLst/>
                    </a:prstGeom>
                    <a:noFill/>
                    <a:ln w="9525">
                      <a:noFill/>
                      <a:headEnd/>
                      <a:tailEnd/>
                    </a:ln>
                  </pic:spPr>
                </pic:pic>
              </a:graphicData>
            </a:graphic>
          </wp:inline>
        </w:drawing>
      </w:r>
    </w:p>
    <w:p>
      <w:pPr>
        <w:pStyle w:val="Caption"/>
      </w:pPr>
      <w:r>
        <w:t xml:space="preserve">Figure 6 – Ingestion, part 2: the rebuild event re-scores the affected leads</w:t>
      </w:r>
    </w:p>
    <w:p>
      <w:pPr>
        <w:pStyle w:val="BodyText"/>
      </w:pPr>
      <w:r>
        <w:t xml:space="preserve">The rebuild is incremental by plate, in chunks of 500. Facts captured on the platform (a customer’s declared expiry, a steward’s correction, a TASCO-issued policy) survive a rebuild when they carry higher confidence. A vehicle with an active TASCO policy gets the action</w:t>
      </w:r>
      <w:r>
        <w:t xml:space="preserve"> </w:t>
      </w:r>
      <w:r>
        <w:t xml:space="preserve">“</w:t>
      </w:r>
      <w:r>
        <w:t xml:space="preserve">insured</w:t>
      </w:r>
      <w:r>
        <w:t xml:space="preserve">”</w:t>
      </w:r>
      <w:r>
        <w:t xml:space="preserve"> </w:t>
      </w:r>
      <w:r>
        <w:t xml:space="preserve">and its renewal journey is cleared.</w:t>
      </w:r>
    </w:p>
    <w:p>
      <w:pPr>
        <w:pStyle w:val="Heading2"/>
      </w:pPr>
      <w:bookmarkStart w:id="28" w:name="_Toc300000024"/>
      <w:r>
        <w:t xml:space="preserve">Renewal journey, end to end</w:t>
      </w:r>
      <w:bookmarkEnd w:id="28"/>
    </w:p>
    <w:p>
      <w:pPr>
        <w:pStyle w:val="FirstParagraph"/>
      </w:pPr>
      <w:r>
        <w:t xml:space="preserve">The sequences show a renewal from the first reminder to an issued policy, with the three paths a customer can take: buy in the app, ask for a person, or not respond. The first shows the reminder and the response; the second shows the quote, payment and issuance that both buying paths end in.</w:t>
      </w:r>
    </w:p>
    <w:p xmlns:a="http://schemas.openxmlformats.org/drawingml/2006/main" xmlns:pic="http://schemas.openxmlformats.org/drawingml/2006/picture">
      <w:pPr>
        <w:pStyle w:val="Figure"/>
      </w:pPr>
      <w:r>
        <w:drawing>
          <wp:inline>
            <wp:extent cx="5461199" cy="6479999"/>
            <wp:effectExtent b="0" l="0" r="0" t="0"/>
            <wp:docPr descr="Renewal, part 1: the reminder and the customer’s three possible responses" title="" id="5008" name="Picture"/>
            <a:graphic>
              <a:graphicData uri="http://schemas.openxmlformats.org/drawingml/2006/picture">
                <pic:pic>
                  <pic:nvPicPr>
                    <pic:cNvPr descr="/home/user/TASCO/tools/docs-source/gen/.cache/mermaid/d051ffa82f75eb88.png" id="60" name="Picture"/>
                    <pic:cNvPicPr>
                      <a:picLocks noChangeArrowheads="1" noChangeAspect="1"/>
                    </pic:cNvPicPr>
                  </pic:nvPicPr>
                  <pic:blipFill>
                    <a:blip r:embed="rIdG7"/>
                    <a:stretch>
                      <a:fillRect/>
                    </a:stretch>
                  </pic:blipFill>
                  <pic:spPr bwMode="auto">
                    <a:xfrm>
                      <a:off x="0" y="0"/>
                      <a:ext cx="5461199" cy="6479999"/>
                    </a:xfrm>
                    <a:prstGeom prst="rect">
                      <a:avLst/>
                    </a:prstGeom>
                    <a:noFill/>
                    <a:ln w="9525">
                      <a:noFill/>
                      <a:headEnd/>
                      <a:tailEnd/>
                    </a:ln>
                  </pic:spPr>
                </pic:pic>
              </a:graphicData>
            </a:graphic>
          </wp:inline>
        </w:drawing>
      </w:r>
    </w:p>
    <w:p>
      <w:pPr>
        <w:pStyle w:val="Caption"/>
      </w:pPr>
      <w:r>
        <w:t xml:space="preserve">Figure 7 – Renewal, part 1: the reminder and the customer’s three possible responses</w:t>
      </w:r>
    </w:p>
    <w:p xmlns:a="http://schemas.openxmlformats.org/drawingml/2006/main" xmlns:pic="http://schemas.openxmlformats.org/drawingml/2006/picture">
      <w:pPr>
        <w:pStyle w:val="Figure"/>
      </w:pPr>
      <w:r>
        <w:drawing>
          <wp:inline>
            <wp:extent cx="5104799" cy="4733999"/>
            <wp:effectExtent b="0" l="0" r="0" t="0"/>
            <wp:docPr descr="Renewal, part 2: quote, payment and issuance in the VETC app" title="" id="5009" name="Picture"/>
            <a:graphic>
              <a:graphicData uri="http://schemas.openxmlformats.org/drawingml/2006/picture">
                <pic:pic>
                  <pic:nvPicPr>
                    <pic:cNvPr descr="/home/user/TASCO/tools/docs-source/gen/.cache/mermaid/64bc910ab36708c6.png" id="63" name="Picture"/>
                    <pic:cNvPicPr>
                      <a:picLocks noChangeArrowheads="1" noChangeAspect="1"/>
                    </pic:cNvPicPr>
                  </pic:nvPicPr>
                  <pic:blipFill>
                    <a:blip r:embed="rIdG8"/>
                    <a:stretch>
                      <a:fillRect/>
                    </a:stretch>
                  </pic:blipFill>
                  <pic:spPr bwMode="auto">
                    <a:xfrm>
                      <a:off x="0" y="0"/>
                      <a:ext cx="5104799" cy="4733999"/>
                    </a:xfrm>
                    <a:prstGeom prst="rect">
                      <a:avLst/>
                    </a:prstGeom>
                    <a:noFill/>
                    <a:ln w="9525">
                      <a:noFill/>
                      <a:headEnd/>
                      <a:tailEnd/>
                    </a:ln>
                  </pic:spPr>
                </pic:pic>
              </a:graphicData>
            </a:graphic>
          </wp:inline>
        </w:drawing>
      </w:r>
    </w:p>
    <w:p>
      <w:pPr>
        <w:pStyle w:val="Caption"/>
      </w:pPr>
      <w:r>
        <w:t xml:space="preserve">Figure 8 – Renewal, part 2: quote, payment and issuance in the VETC app</w:t>
      </w:r>
    </w:p>
    <w:p>
      <w:pPr>
        <w:pStyle w:val="BodyText"/>
      </w:pPr>
      <w:r>
        <w:t xml:space="preserve">Each journey step is checked against consent, the do-not-contact flag, the 08:00 to 20:00 contact window and the daily and weekly caps. A step blocked only by the window stays scheduled for the next run. The voice assistant can stand in for the telesales call when the customer has call consent; its handoff path is in TGP-ARC-02 Integration Architecture.</w:t>
      </w:r>
    </w:p>
    <w:p>
      <w:pPr>
        <w:pStyle w:val="BodyText"/>
      </w:pPr>
      <w:r>
        <w:t xml:space="preserve">The sequence shows the VETC app. In TASCO’s app and website the same services run and the payment goes through the TASCO payment gateway port instead of the VETC wallet; the sales service picks the port from the host channel recorded in the customer’s session.</w:t>
      </w:r>
    </w:p>
    <w:p>
      <w:pPr>
        <w:pStyle w:val="Heading2"/>
      </w:pPr>
      <w:bookmarkStart w:id="29" w:name="_Toc300000025"/>
      <w:r>
        <w:t xml:space="preserve">Quick renewal</w:t>
      </w:r>
      <w:bookmarkEnd w:id="29"/>
    </w:p>
    <w:p>
      <w:pPr>
        <w:pStyle w:val="FirstParagraph"/>
      </w:pPr>
      <w:r>
        <w:t xml:space="preserve">A returning customer whose case is simple can renew in 3 steps: open the app, tick the declaration, then confirm payment. Everyone else, and anyone who wants to change the cover, uses the full 6-step flow, which is always offered as</w:t>
      </w:r>
      <w:r>
        <w:t xml:space="preserve"> </w:t>
      </w:r>
      <w:r>
        <w:t xml:space="preserve">“</w:t>
      </w:r>
      <w:r>
        <w:t xml:space="preserve">Tùy chỉnh gói bảo hiểm</w:t>
      </w:r>
      <w:r>
        <w:t xml:space="preserve">”</w:t>
      </w:r>
      <w:r>
        <w:t xml:space="preserve">. The declaration stays an explicit step on both paths for compliance (ADR-014).</w:t>
      </w:r>
    </w:p>
    <w:p>
      <w:pPr>
        <w:pStyle w:val="BodyText"/>
      </w:pPr>
      <w:r>
        <w:t xml:space="preserve">The server decides.</w:t>
      </w:r>
      <w:r>
        <w:t xml:space="preserve"> </w:t>
      </w:r>
      <w:r>
        <w:rPr>
          <w:rStyle w:val="CodeChar"/>
        </w:rPr>
        <w:t xml:space="preserve">GET /api/customer/home</w:t>
      </w:r>
      <w:r>
        <w:t xml:space="preserve"> </w:t>
      </w:r>
      <w:r>
        <w:t xml:space="preserve">returns the quick-renewal eligibility with its reasons, and a quick quote request is checked again on the server before it is priced. The quick-renewal domain module (</w:t>
      </w:r>
      <w:r>
        <w:rPr>
          <w:rStyle w:val="CodeChar"/>
        </w:rPr>
        <w:t xml:space="preserve">src/domain/quickRenewal.js</w:t>
      </w:r>
      <w:r>
        <w:t xml:space="preserve">) is a pure function; the customer service gathers the facts and applies the</w:t>
      </w:r>
      <w:r>
        <w:t xml:space="preserve"> </w:t>
      </w:r>
      <w:r>
        <w:rPr>
          <w:rStyle w:val="CodeChar"/>
        </w:rPr>
        <w:t xml:space="preserve">quickRenewal</w:t>
      </w:r>
      <w:r>
        <w:t xml:space="preserve"> </w:t>
      </w:r>
      <w:r>
        <w:t xml:space="preserve">settings of the service levels rule set. A customer qualifies only when all of these hold:</w:t>
      </w:r>
    </w:p>
    <w:p>
      <w:pPr>
        <w:pStyle w:val="Compact"/>
        <w:numPr>
          <w:ilvl w:val="0"/>
          <w:numId w:val="1001"/>
        </w:numPr>
      </w:pPr>
      <w:r>
        <w:t xml:space="preserve">the lead’s journey is renewal, or the customer is renewing a TASCO TNDS policy;</w:t>
      </w:r>
    </w:p>
    <w:p>
      <w:pPr>
        <w:pStyle w:val="Compact"/>
        <w:numPr>
          <w:ilvl w:val="0"/>
          <w:numId w:val="1001"/>
        </w:numPr>
      </w:pPr>
      <w:r>
        <w:t xml:space="preserve">the vehicle has not already been renewed;</w:t>
      </w:r>
    </w:p>
    <w:p>
      <w:pPr>
        <w:pStyle w:val="Compact"/>
        <w:numPr>
          <w:ilvl w:val="0"/>
          <w:numId w:val="1001"/>
        </w:numPr>
      </w:pPr>
      <w:r>
        <w:t xml:space="preserve">vehicle use and seats are confirmed by TASCO core, by a matching TASCO policy, or by the customer within 365 days;</w:t>
      </w:r>
    </w:p>
    <w:p>
      <w:pPr>
        <w:pStyle w:val="Compact"/>
        <w:numPr>
          <w:ilvl w:val="0"/>
          <w:numId w:val="1001"/>
        </w:numPr>
      </w:pPr>
      <w:r>
        <w:t xml:space="preserve">the cover is TNDS with no physical damage cover, which needs an inspection;</w:t>
      </w:r>
    </w:p>
    <w:p>
      <w:pPr>
        <w:pStyle w:val="Compact"/>
        <w:numPr>
          <w:ilvl w:val="0"/>
          <w:numId w:val="1001"/>
        </w:numPr>
      </w:pPr>
      <w:r>
        <w:t xml:space="preserve">the price will not be indicative, so TASCO core must be able to rate it;</w:t>
      </w:r>
    </w:p>
    <w:p>
      <w:pPr>
        <w:pStyle w:val="Compact"/>
        <w:numPr>
          <w:ilvl w:val="0"/>
          <w:numId w:val="1001"/>
        </w:numPr>
      </w:pPr>
      <w:r>
        <w:t xml:space="preserve">in VETC hosts, the last known wallet balance covers the premium.</w:t>
      </w:r>
    </w:p>
    <w:p>
      <w:pPr>
        <w:pStyle w:val="FirstParagraph"/>
      </w:pPr>
      <w:r>
        <w:t xml:space="preserve">Each failed condition gives a short reason in Vietnamese that the app can show. The quick quote is priced by TASCO core and paid through the same purchase path, idempotency checks and saga refund as any other quote.</w:t>
      </w:r>
    </w:p>
    <w:p>
      <w:pPr>
        <w:pStyle w:val="Heading2"/>
      </w:pPr>
      <w:bookmarkStart w:id="30" w:name="_Toc300000026"/>
      <w:r>
        <w:t xml:space="preserve">Data-subject requests</w:t>
      </w:r>
      <w:bookmarkEnd w:id="30"/>
    </w:p>
    <w:p>
      <w:pPr>
        <w:pStyle w:val="FirstParagraph"/>
      </w:pPr>
      <w:r>
        <w:t xml:space="preserve">Access and erasure requests reach TASCO by hotline, email, the app, a branch or letter. A compliance officer logs each one in the data requests register in the staff console, and the data-subject request service tracks it from received to completed or refused, with a due date from the service levels rule set. Fulfilment reuses the customer service’s export and erasure. When a customer downloads their own data in the app, the download is recorded as a completed access request on the app channel. TGP-ARC-04 Security Architecture describes the process and its controls, and TGP-ARC-03 Data Architecture the register’s data.</w:t>
      </w:r>
    </w:p>
    <w:p>
      <w:pPr>
        <w:pStyle w:val="Heading2"/>
      </w:pPr>
      <w:bookmarkStart w:id="31" w:name="_Toc300000027"/>
      <w:r>
        <w:t xml:space="preserve">Rule change with maker-checker</w:t>
      </w:r>
      <w:bookmarkEnd w:id="31"/>
    </w:p>
    <w:p>
      <w:pPr>
        <w:pStyle w:val="FirstParagraph"/>
      </w:pPr>
      <w:r>
        <w:t xml:space="preserve">Every rule change is validated, submitted by its author and approved by a different person before it takes effect.</w:t>
      </w:r>
    </w:p>
    <w:p xmlns:a="http://schemas.openxmlformats.org/drawingml/2006/main" xmlns:pic="http://schemas.openxmlformats.org/drawingml/2006/picture">
      <w:pPr>
        <w:pStyle w:val="Figure"/>
      </w:pPr>
      <w:r>
        <w:drawing>
          <wp:inline>
            <wp:extent cx="5471999" cy="6479999"/>
            <wp:effectExtent b="0" l="0" r="0" t="0"/>
            <wp:docPr descr="Rule change with maker-checker, from simulation to activation" title="" id="5010" name="Picture"/>
            <a:graphic>
              <a:graphicData uri="http://schemas.openxmlformats.org/drawingml/2006/picture">
                <pic:pic>
                  <pic:nvPicPr>
                    <pic:cNvPr descr="/home/user/TASCO/tools/docs-source/gen/.cache/mermaid/5b48d6308406bfe5.png" id="69" name="Picture"/>
                    <pic:cNvPicPr>
                      <a:picLocks noChangeArrowheads="1" noChangeAspect="1"/>
                    </pic:cNvPicPr>
                  </pic:nvPicPr>
                  <pic:blipFill>
                    <a:blip r:embed="rIdG9"/>
                    <a:stretch>
                      <a:fillRect/>
                    </a:stretch>
                  </pic:blipFill>
                  <pic:spPr bwMode="auto">
                    <a:xfrm>
                      <a:off x="0" y="0"/>
                      <a:ext cx="5471999" cy="6479999"/>
                    </a:xfrm>
                    <a:prstGeom prst="rect">
                      <a:avLst/>
                    </a:prstGeom>
                    <a:noFill/>
                    <a:ln w="9525">
                      <a:noFill/>
                      <a:headEnd/>
                      <a:tailEnd/>
                    </a:ln>
                  </pic:spPr>
                </pic:pic>
              </a:graphicData>
            </a:graphic>
          </wp:inline>
        </w:drawing>
      </w:r>
    </w:p>
    <w:p>
      <w:pPr>
        <w:pStyle w:val="Caption"/>
      </w:pPr>
      <w:r>
        <w:t xml:space="preserve">Figure 9 – Rule change with maker-checker, from simulation to activation</w:t>
      </w:r>
    </w:p>
    <w:p>
      <w:pPr>
        <w:pStyle w:val="BodyText"/>
      </w:pPr>
      <w:r>
        <w:t xml:space="preserve">Restricted kinds (commission, copy guard, contact policy, access attributes and retention) can be approved only by a compliance officer. Rollback creates a new draft from an earlier version, which goes through approval again.</w:t>
      </w:r>
    </w:p>
    <w:p>
      <w:pPr>
        <w:pStyle w:val="Heading2"/>
      </w:pPr>
      <w:bookmarkStart w:id="32" w:name="_Toc300000028"/>
      <w:r>
        <w:t xml:space="preserve">VETC ecosystem events</w:t>
      </w:r>
      <w:bookmarkEnd w:id="32"/>
    </w:p>
    <w:p>
      <w:pPr>
        <w:pStyle w:val="FirstParagraph"/>
      </w:pPr>
      <w:r>
        <w:t xml:space="preserve">VETC events such as a tag activation, an inspection booking, a wallet top-up or a long trip are matched against the trigger rules. A tag activation enrols the vehicle in the new-vehicle journey; the other triggers send a service or marketing message when the vehicle is near expiry, always through the contact policy and copy guard. Today the events arrive through a staff-authenticated API; the production transport is described in TGP-ARC-02 Integration Architecture.</w:t>
      </w:r>
    </w:p>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3" w:name="_Toc300000029"/>
      <w:r>
        <w:rPr>
          <w:rStyle w:val="BookTitle"/>
          <w:bCs w:val="0"/>
          <w:i w:val="0"/>
          <w:iCs w:val="0"/>
          <w:spacing w:val="0"/>
        </w:rPr>
        <w:t xml:space="preserve">Quality attributes</w:t>
      </w:r>
      <w:bookmarkEnd w:id="33"/>
    </w:p>
    <w:p>
      <w:pPr>
        <w:pStyle w:val="Heading2"/>
      </w:pPr>
      <w:bookmarkStart w:id="34" w:name="_Toc300000030"/>
      <w:r>
        <w:t xml:space="preserve">Targets</w:t>
      </w:r>
      <w:bookmarkEnd w:id="34"/>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133"/>
        <w:gridCol w:w="2971"/>
        <w:gridCol w:w="3923"/>
      </w:tblGrid>
      <w:tr>
        <w:trPr>
          <w:cantSplit/>
          <w:tblHeader/>
        </w:trPr>
        <w:tc>
          <w:tcPr>
            <w:tcW w:w="2133" w:type="dxa"/>
            <w:shd w:val="clear" w:color="auto" w:fill="0F4761"/>
            <w:vAlign w:val="center"/>
          </w:tcPr>
          <w:p>
            <w:pPr>
              <w:pStyle w:val="TableHeading"/>
              <w:jc w:val="left"/>
            </w:pPr>
            <w:r>
              <w:rPr>
                <w:color w:val="FFFFFF"/>
              </w:rPr>
              <w:t xml:space="preserve">Attribute</w:t>
            </w:r>
          </w:p>
        </w:tc>
        <w:tc>
          <w:tcPr>
            <w:tcW w:w="2971" w:type="dxa"/>
            <w:shd w:val="clear" w:color="auto" w:fill="0F4761"/>
            <w:vAlign w:val="center"/>
          </w:tcPr>
          <w:p>
            <w:pPr>
              <w:pStyle w:val="TableHeading"/>
              <w:jc w:val="left"/>
            </w:pPr>
            <w:r>
              <w:rPr>
                <w:color w:val="FFFFFF"/>
              </w:rPr>
              <w:t xml:space="preserve">Target</w:t>
            </w:r>
          </w:p>
        </w:tc>
        <w:tc>
          <w:tcPr>
            <w:tcW w:w="3923" w:type="dxa"/>
            <w:shd w:val="clear" w:color="auto" w:fill="0F4761"/>
            <w:vAlign w:val="center"/>
          </w:tcPr>
          <w:p>
            <w:pPr>
              <w:pStyle w:val="TableHeading"/>
              <w:jc w:val="left"/>
            </w:pPr>
            <w:r>
              <w:rPr>
                <w:color w:val="FFFFFF"/>
              </w:rPr>
              <w:t xml:space="preserve">How the design meets it</w:t>
            </w:r>
          </w:p>
        </w:tc>
      </w:tr>
      <w:tr>
        <w:trPr>
          <w:cantSplit/>
        </w:trPr>
        <w:tc>
          <w:tcPr>
            <w:tcW w:w="2133" w:type="dxa"/>
            <w:vAlign w:val="top"/>
          </w:tcPr>
          <w:p>
            <w:pPr>
              <w:pStyle w:val="TableText"/>
              <w:jc w:val="left"/>
            </w:pPr>
            <w:r>
              <w:t xml:space="preserve">Availability of the purchase path</w:t>
            </w:r>
          </w:p>
        </w:tc>
        <w:tc>
          <w:tcPr>
            <w:tcW w:w="2971" w:type="dxa"/>
            <w:vAlign w:val="top"/>
          </w:tcPr>
          <w:p>
            <w:pPr>
              <w:pStyle w:val="TableText"/>
              <w:jc w:val="left"/>
            </w:pPr>
            <w:r>
              <w:t xml:space="preserve">99.9% monthly</w:t>
            </w:r>
          </w:p>
        </w:tc>
        <w:tc>
          <w:tcPr>
            <w:tcW w:w="3923" w:type="dxa"/>
            <w:vAlign w:val="top"/>
          </w:tcPr>
          <w:p>
            <w:pPr>
              <w:pStyle w:val="TableText"/>
              <w:jc w:val="left"/>
            </w:pPr>
            <w:r>
              <w:t xml:space="preserve">At least two API pods across zones, pod disruption budget, readiness gated on the database, graceful drain on shutdown</w:t>
            </w:r>
          </w:p>
        </w:tc>
      </w:tr>
      <w:tr>
        <w:trPr>
          <w:cantSplit/>
        </w:trPr>
        <w:tc>
          <w:tcPr>
            <w:tcW w:w="2133" w:type="dxa"/>
            <w:shd w:val="clear" w:color="auto" w:fill="F4F7FB"/>
            <w:vAlign w:val="top"/>
          </w:tcPr>
          <w:p>
            <w:pPr>
              <w:pStyle w:val="TableText"/>
              <w:jc w:val="left"/>
            </w:pPr>
            <w:r>
              <w:t xml:space="preserve">API response time</w:t>
            </w:r>
          </w:p>
        </w:tc>
        <w:tc>
          <w:tcPr>
            <w:tcW w:w="2971" w:type="dxa"/>
            <w:shd w:val="clear" w:color="auto" w:fill="F4F7FB"/>
            <w:vAlign w:val="top"/>
          </w:tcPr>
          <w:p>
            <w:pPr>
              <w:pStyle w:val="TableText"/>
              <w:jc w:val="left"/>
            </w:pPr>
            <w:r>
              <w:t xml:space="preserve">95th percentile under 300 ms for reads; purchase dominated by wallet and core latency</w:t>
            </w:r>
          </w:p>
        </w:tc>
        <w:tc>
          <w:tcPr>
            <w:tcW w:w="3923" w:type="dxa"/>
            <w:shd w:val="clear" w:color="auto" w:fill="F4F7FB"/>
            <w:vAlign w:val="top"/>
          </w:tcPr>
          <w:p>
            <w:pPr>
              <w:pStyle w:val="TableText"/>
              <w:jc w:val="left"/>
            </w:pPr>
            <w:r>
              <w:t xml:space="preserve">Indexed column filters, 15 s statement timeout, integration timeouts and circuit breakers</w:t>
            </w:r>
          </w:p>
        </w:tc>
      </w:tr>
      <w:tr>
        <w:trPr>
          <w:cantSplit/>
        </w:trPr>
        <w:tc>
          <w:tcPr>
            <w:tcW w:w="2133" w:type="dxa"/>
            <w:vAlign w:val="top"/>
          </w:tcPr>
          <w:p>
            <w:pPr>
              <w:pStyle w:val="TableText"/>
              <w:jc w:val="left"/>
            </w:pPr>
            <w:r>
              <w:t xml:space="preserve">Recovery point and time</w:t>
            </w:r>
          </w:p>
        </w:tc>
        <w:tc>
          <w:tcPr>
            <w:tcW w:w="2971" w:type="dxa"/>
            <w:vAlign w:val="top"/>
          </w:tcPr>
          <w:p>
            <w:pPr>
              <w:pStyle w:val="TableText"/>
              <w:jc w:val="left"/>
            </w:pPr>
            <w:r>
              <w:t xml:space="preserve">RPO 15 minutes or less, RTO 4 hours or less</w:t>
            </w:r>
          </w:p>
        </w:tc>
        <w:tc>
          <w:tcPr>
            <w:tcW w:w="3923" w:type="dxa"/>
            <w:vAlign w:val="top"/>
          </w:tcPr>
          <w:p>
            <w:pPr>
              <w:pStyle w:val="TableText"/>
              <w:jc w:val="left"/>
            </w:pPr>
            <w:r>
              <w:t xml:space="preserve">Managed PostgreSQL with synchronous standby, point-in-time recovery, cross-region replica; detail in TGP-OPS-03 Disaster Recovery and Business Continuity Plan</w:t>
            </w:r>
          </w:p>
        </w:tc>
      </w:tr>
      <w:tr>
        <w:trPr>
          <w:cantSplit/>
        </w:trPr>
        <w:tc>
          <w:tcPr>
            <w:tcW w:w="2133" w:type="dxa"/>
            <w:shd w:val="clear" w:color="auto" w:fill="F4F7FB"/>
            <w:vAlign w:val="top"/>
          </w:tcPr>
          <w:p>
            <w:pPr>
              <w:pStyle w:val="TableText"/>
              <w:jc w:val="left"/>
            </w:pPr>
            <w:r>
              <w:t xml:space="preserve">Rule change lead time</w:t>
            </w:r>
          </w:p>
        </w:tc>
        <w:tc>
          <w:tcPr>
            <w:tcW w:w="2971" w:type="dxa"/>
            <w:shd w:val="clear" w:color="auto" w:fill="F4F7FB"/>
            <w:vAlign w:val="top"/>
          </w:tcPr>
          <w:p>
            <w:pPr>
              <w:pStyle w:val="TableText"/>
              <w:jc w:val="left"/>
            </w:pPr>
            <w:r>
              <w:t xml:space="preserve">One working day from draft to active</w:t>
            </w:r>
          </w:p>
        </w:tc>
        <w:tc>
          <w:tcPr>
            <w:tcW w:w="3923" w:type="dxa"/>
            <w:shd w:val="clear" w:color="auto" w:fill="F4F7FB"/>
            <w:vAlign w:val="top"/>
          </w:tcPr>
          <w:p>
            <w:pPr>
              <w:pStyle w:val="TableText"/>
              <w:jc w:val="left"/>
            </w:pPr>
            <w:r>
              <w:t xml:space="preserve">Rules studio with validation, simulation and maker-checker</w:t>
            </w:r>
          </w:p>
        </w:tc>
      </w:tr>
      <w:tr>
        <w:trPr>
          <w:cantSplit/>
        </w:trPr>
        <w:tc>
          <w:tcPr>
            <w:tcW w:w="2133" w:type="dxa"/>
            <w:vAlign w:val="top"/>
          </w:tcPr>
          <w:p>
            <w:pPr>
              <w:pStyle w:val="TableText"/>
              <w:jc w:val="left"/>
            </w:pPr>
            <w:r>
              <w:t xml:space="preserve">Explainability</w:t>
            </w:r>
          </w:p>
        </w:tc>
        <w:tc>
          <w:tcPr>
            <w:tcW w:w="2971" w:type="dxa"/>
            <w:vAlign w:val="top"/>
          </w:tcPr>
          <w:p>
            <w:pPr>
              <w:pStyle w:val="TableText"/>
              <w:jc w:val="left"/>
            </w:pPr>
            <w:r>
              <w:t xml:space="preserve">Every score carries factor reasons; every next action carries its rule</w:t>
            </w:r>
          </w:p>
        </w:tc>
        <w:tc>
          <w:tcPr>
            <w:tcW w:w="3923" w:type="dxa"/>
            <w:vAlign w:val="top"/>
          </w:tcPr>
          <w:p>
            <w:pPr>
              <w:pStyle w:val="TableText"/>
              <w:jc w:val="left"/>
            </w:pPr>
            <w:r>
              <w:t xml:space="preserve">Leads domain stores reasons and rule identifiers</w:t>
            </w:r>
          </w:p>
        </w:tc>
      </w:tr>
      <w:tr>
        <w:trPr>
          <w:cantSplit/>
        </w:trPr>
        <w:tc>
          <w:tcPr>
            <w:tcW w:w="2133" w:type="dxa"/>
            <w:shd w:val="clear" w:color="auto" w:fill="F4F7FB"/>
            <w:vAlign w:val="top"/>
          </w:tcPr>
          <w:p>
            <w:pPr>
              <w:pStyle w:val="TableText"/>
              <w:jc w:val="left"/>
            </w:pPr>
            <w:r>
              <w:t xml:space="preserve">Auditability</w:t>
            </w:r>
          </w:p>
        </w:tc>
        <w:tc>
          <w:tcPr>
            <w:tcW w:w="2971" w:type="dxa"/>
            <w:shd w:val="clear" w:color="auto" w:fill="F4F7FB"/>
            <w:vAlign w:val="top"/>
          </w:tcPr>
          <w:p>
            <w:pPr>
              <w:pStyle w:val="TableText"/>
              <w:jc w:val="left"/>
            </w:pPr>
            <w:r>
              <w:t xml:space="preserve">Every state-changing action audited; chain verifiable on demand</w:t>
            </w:r>
          </w:p>
        </w:tc>
        <w:tc>
          <w:tcPr>
            <w:tcW w:w="3923" w:type="dxa"/>
            <w:shd w:val="clear" w:color="auto" w:fill="F4F7FB"/>
            <w:vAlign w:val="top"/>
          </w:tcPr>
          <w:p>
            <w:pPr>
              <w:pStyle w:val="TableText"/>
              <w:jc w:val="left"/>
            </w:pPr>
            <w:r>
              <w:t xml:space="preserve">Hash-chained audit trail with database triggers (ADR-008)</w:t>
            </w:r>
          </w:p>
        </w:tc>
      </w:tr>
      <w:tr>
        <w:trPr>
          <w:cantSplit/>
        </w:trPr>
        <w:tc>
          <w:tcPr>
            <w:tcW w:w="2133" w:type="dxa"/>
            <w:vAlign w:val="top"/>
          </w:tcPr>
          <w:p>
            <w:pPr>
              <w:pStyle w:val="TableText"/>
              <w:jc w:val="left"/>
            </w:pPr>
            <w:r>
              <w:t xml:space="preserve">Price integrity</w:t>
            </w:r>
          </w:p>
        </w:tc>
        <w:tc>
          <w:tcPr>
            <w:tcW w:w="2971" w:type="dxa"/>
            <w:vAlign w:val="top"/>
          </w:tcPr>
          <w:p>
            <w:pPr>
              <w:pStyle w:val="TableText"/>
              <w:jc w:val="left"/>
            </w:pPr>
            <w:r>
              <w:t xml:space="preserve">No payment against a price TASCO core has not confirmed</w:t>
            </w:r>
          </w:p>
        </w:tc>
        <w:tc>
          <w:tcPr>
            <w:tcW w:w="3923" w:type="dxa"/>
            <w:vAlign w:val="top"/>
          </w:tcPr>
          <w:p>
            <w:pPr>
              <w:pStyle w:val="TableText"/>
              <w:jc w:val="left"/>
            </w:pPr>
            <w:r>
              <w:t xml:space="preserve">Indicative quotes blocked until re-rated; core quote reference passed at issuance (ADR-013)</w:t>
            </w:r>
          </w:p>
        </w:tc>
      </w:tr>
    </w:tbl>
    <w:p>
      <w:pPr>
        <w:pStyle w:val="Heading2"/>
      </w:pPr>
      <w:bookmarkStart w:id="35" w:name="_Toc300000031"/>
      <w:r>
        <w:t xml:space="preserve">Scalability</w:t>
      </w:r>
      <w:bookmarkEnd w:id="35"/>
    </w:p>
    <w:p>
      <w:pPr>
        <w:pStyle w:val="FirstParagraph"/>
      </w:pPr>
      <w:r>
        <w:t xml:space="preserve">The application tier is stateless, so capacity grows by adding pods. The database is the main scaling concern and has been designed for: indexed columns for every query path, paging for large result sets, batch ingestion in chunks, background jobs for journeys and events, and a read replica for reporting at full scale.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2651"/>
        <w:gridCol w:w="2049"/>
        <w:gridCol w:w="2088"/>
        <w:gridCol w:w="2239"/>
      </w:tblGrid>
      <w:tr>
        <w:trPr>
          <w:cantSplit/>
          <w:tblHeader/>
        </w:trPr>
        <w:tc>
          <w:tcPr>
            <w:tcW w:w="2651" w:type="dxa"/>
            <w:shd w:val="clear" w:color="auto" w:fill="0F4761"/>
            <w:vAlign w:val="center"/>
          </w:tcPr>
          <w:p>
            <w:pPr>
              <w:pStyle w:val="TableHeading"/>
              <w:jc w:val="left"/>
            </w:pPr>
            <w:r>
              <w:rPr>
                <w:color w:val="FFFFFF"/>
              </w:rPr>
              <w:t xml:space="preserve">Measure</w:t>
            </w:r>
          </w:p>
        </w:tc>
        <w:tc>
          <w:tcPr>
            <w:tcW w:w="2049" w:type="dxa"/>
            <w:shd w:val="clear" w:color="auto" w:fill="0F4761"/>
            <w:vAlign w:val="center"/>
          </w:tcPr>
          <w:p>
            <w:pPr>
              <w:pStyle w:val="TableHeading"/>
              <w:jc w:val="left"/>
            </w:pPr>
            <w:r>
              <w:rPr>
                <w:color w:val="FFFFFF"/>
              </w:rPr>
              <w:t xml:space="preserve">Today (single instance)</w:t>
            </w:r>
          </w:p>
        </w:tc>
        <w:tc>
          <w:tcPr>
            <w:tcW w:w="2088" w:type="dxa"/>
            <w:shd w:val="clear" w:color="auto" w:fill="0F4761"/>
            <w:vAlign w:val="center"/>
          </w:tcPr>
          <w:p>
            <w:pPr>
              <w:pStyle w:val="TableHeading"/>
              <w:jc w:val="left"/>
            </w:pPr>
            <w:r>
              <w:rPr>
                <w:color w:val="FFFFFF"/>
              </w:rPr>
              <w:t xml:space="preserve">Pilot target</w:t>
            </w:r>
          </w:p>
        </w:tc>
        <w:tc>
          <w:tcPr>
            <w:tcW w:w="2239" w:type="dxa"/>
            <w:shd w:val="clear" w:color="auto" w:fill="0F4761"/>
            <w:vAlign w:val="center"/>
          </w:tcPr>
          <w:p>
            <w:pPr>
              <w:pStyle w:val="TableHeading"/>
              <w:jc w:val="left"/>
            </w:pPr>
            <w:r>
              <w:rPr>
                <w:color w:val="FFFFFF"/>
              </w:rPr>
              <w:t xml:space="preserve">Full-scale target</w:t>
            </w:r>
          </w:p>
        </w:tc>
      </w:tr>
      <w:tr>
        <w:trPr>
          <w:cantSplit/>
        </w:trPr>
        <w:tc>
          <w:tcPr>
            <w:tcW w:w="2651" w:type="dxa"/>
            <w:vAlign w:val="top"/>
          </w:tcPr>
          <w:p>
            <w:pPr>
              <w:pStyle w:val="TableText"/>
              <w:jc w:val="left"/>
            </w:pPr>
            <w:r>
              <w:t xml:space="preserve">API throughput</w:t>
            </w:r>
          </w:p>
        </w:tc>
        <w:tc>
          <w:tcPr>
            <w:tcW w:w="2049" w:type="dxa"/>
            <w:vAlign w:val="top"/>
          </w:tcPr>
          <w:p>
            <w:pPr>
              <w:pStyle w:val="TableText"/>
              <w:jc w:val="left"/>
            </w:pPr>
            <w:r>
              <w:t xml:space="preserve">194 requests per second</w:t>
            </w:r>
          </w:p>
        </w:tc>
        <w:tc>
          <w:tcPr>
            <w:tcW w:w="2088" w:type="dxa"/>
            <w:vAlign w:val="top"/>
          </w:tcPr>
          <w:p>
            <w:pPr>
              <w:pStyle w:val="TableText"/>
              <w:jc w:val="left"/>
            </w:pPr>
            <w:r>
              <w:t xml:space="preserve">50 per second sustained</w:t>
            </w:r>
          </w:p>
        </w:tc>
        <w:tc>
          <w:tcPr>
            <w:tcW w:w="2239" w:type="dxa"/>
            <w:vAlign w:val="top"/>
          </w:tcPr>
          <w:p>
            <w:pPr>
              <w:pStyle w:val="TableText"/>
              <w:jc w:val="left"/>
            </w:pPr>
            <w:r>
              <w:t xml:space="preserve">300 per second sustained</w:t>
            </w:r>
          </w:p>
        </w:tc>
      </w:tr>
      <w:tr>
        <w:trPr>
          <w:cantSplit/>
        </w:trPr>
        <w:tc>
          <w:tcPr>
            <w:tcW w:w="2651" w:type="dxa"/>
            <w:shd w:val="clear" w:color="auto" w:fill="F4F7FB"/>
            <w:vAlign w:val="top"/>
          </w:tcPr>
          <w:p>
            <w:pPr>
              <w:pStyle w:val="TableText"/>
              <w:jc w:val="left"/>
            </w:pPr>
            <w:r>
              <w:t xml:space="preserve">API response time, 95th percentile</w:t>
            </w:r>
          </w:p>
        </w:tc>
        <w:tc>
          <w:tcPr>
            <w:tcW w:w="2049" w:type="dxa"/>
            <w:shd w:val="clear" w:color="auto" w:fill="F4F7FB"/>
            <w:vAlign w:val="top"/>
          </w:tcPr>
          <w:p>
            <w:pPr>
              <w:pStyle w:val="TableText"/>
              <w:jc w:val="left"/>
            </w:pPr>
            <w:r>
              <w:t xml:space="preserve">210 ms</w:t>
            </w:r>
          </w:p>
        </w:tc>
        <w:tc>
          <w:tcPr>
            <w:tcW w:w="2088" w:type="dxa"/>
            <w:shd w:val="clear" w:color="auto" w:fill="F4F7FB"/>
            <w:vAlign w:val="top"/>
          </w:tcPr>
          <w:p>
            <w:pPr>
              <w:pStyle w:val="TableText"/>
              <w:jc w:val="left"/>
            </w:pPr>
            <w:r>
              <w:t xml:space="preserve">Under 300 ms</w:t>
            </w:r>
          </w:p>
        </w:tc>
        <w:tc>
          <w:tcPr>
            <w:tcW w:w="2239" w:type="dxa"/>
            <w:shd w:val="clear" w:color="auto" w:fill="F4F7FB"/>
            <w:vAlign w:val="top"/>
          </w:tcPr>
          <w:p>
            <w:pPr>
              <w:pStyle w:val="TableText"/>
              <w:jc w:val="left"/>
            </w:pPr>
            <w:r>
              <w:t xml:space="preserve">Under 300 ms</w:t>
            </w:r>
          </w:p>
        </w:tc>
      </w:tr>
      <w:tr>
        <w:trPr>
          <w:cantSplit/>
        </w:trPr>
        <w:tc>
          <w:tcPr>
            <w:tcW w:w="2651" w:type="dxa"/>
            <w:vAlign w:val="top"/>
          </w:tcPr>
          <w:p>
            <w:pPr>
              <w:pStyle w:val="TableText"/>
              <w:jc w:val="left"/>
            </w:pPr>
            <w:r>
              <w:t xml:space="preserve">Vehicles under management</w:t>
            </w:r>
          </w:p>
        </w:tc>
        <w:tc>
          <w:tcPr>
            <w:tcW w:w="2049" w:type="dxa"/>
            <w:vAlign w:val="top"/>
          </w:tcPr>
          <w:p>
            <w:pPr>
              <w:pStyle w:val="TableText"/>
              <w:jc w:val="left"/>
            </w:pPr>
            <w:r>
              <w:t xml:space="preserve">Synthetic test set</w:t>
            </w:r>
          </w:p>
        </w:tc>
        <w:tc>
          <w:tcPr>
            <w:tcW w:w="2088" w:type="dxa"/>
            <w:vAlign w:val="top"/>
          </w:tcPr>
          <w:p>
            <w:pPr>
              <w:pStyle w:val="TableText"/>
              <w:jc w:val="left"/>
            </w:pPr>
            <w:r>
              <w:t xml:space="preserve">100,000</w:t>
            </w:r>
          </w:p>
        </w:tc>
        <w:tc>
          <w:tcPr>
            <w:tcW w:w="2239" w:type="dxa"/>
            <w:vAlign w:val="top"/>
          </w:tcPr>
          <w:p>
            <w:pPr>
              <w:pStyle w:val="TableText"/>
              <w:jc w:val="left"/>
            </w:pPr>
            <w:r>
              <w:t xml:space="preserve">6 million</w:t>
            </w:r>
          </w:p>
        </w:tc>
      </w:tr>
      <w:tr>
        <w:trPr>
          <w:cantSplit/>
        </w:trPr>
        <w:tc>
          <w:tcPr>
            <w:tcW w:w="2651" w:type="dxa"/>
            <w:shd w:val="clear" w:color="auto" w:fill="F4F7FB"/>
            <w:vAlign w:val="top"/>
          </w:tcPr>
          <w:p>
            <w:pPr>
              <w:pStyle w:val="TableText"/>
              <w:jc w:val="left"/>
            </w:pPr>
            <w:r>
              <w:t xml:space="preserve">Daily journey evaluations</w:t>
            </w:r>
          </w:p>
        </w:tc>
        <w:tc>
          <w:tcPr>
            <w:tcW w:w="2049" w:type="dxa"/>
            <w:shd w:val="clear" w:color="auto" w:fill="F4F7FB"/>
            <w:vAlign w:val="top"/>
          </w:tcPr>
          <w:p>
            <w:pPr>
              <w:pStyle w:val="TableText"/>
              <w:jc w:val="left"/>
            </w:pPr>
            <w:r>
              <w:t xml:space="preserve">Not measured</w:t>
            </w:r>
          </w:p>
        </w:tc>
        <w:tc>
          <w:tcPr>
            <w:tcW w:w="2088" w:type="dxa"/>
            <w:shd w:val="clear" w:color="auto" w:fill="F4F7FB"/>
            <w:vAlign w:val="top"/>
          </w:tcPr>
          <w:p>
            <w:pPr>
              <w:pStyle w:val="TableText"/>
              <w:jc w:val="left"/>
            </w:pPr>
            <w:r>
              <w:t xml:space="preserve">100,000</w:t>
            </w:r>
          </w:p>
        </w:tc>
        <w:tc>
          <w:tcPr>
            <w:tcW w:w="2239" w:type="dxa"/>
            <w:shd w:val="clear" w:color="auto" w:fill="F4F7FB"/>
            <w:vAlign w:val="top"/>
          </w:tcPr>
          <w:p>
            <w:pPr>
              <w:pStyle w:val="TableText"/>
              <w:jc w:val="left"/>
            </w:pPr>
            <w:r>
              <w:t xml:space="preserve">6 million</w:t>
            </w:r>
          </w:p>
        </w:tc>
      </w:tr>
      <w:tr>
        <w:trPr>
          <w:cantSplit/>
        </w:trPr>
        <w:tc>
          <w:tcPr>
            <w:tcW w:w="2651" w:type="dxa"/>
            <w:vAlign w:val="top"/>
          </w:tcPr>
          <w:p>
            <w:pPr>
              <w:pStyle w:val="TableText"/>
              <w:jc w:val="left"/>
            </w:pPr>
            <w:r>
              <w:t xml:space="preserve">Ingestion</w:t>
            </w:r>
          </w:p>
        </w:tc>
        <w:tc>
          <w:tcPr>
            <w:tcW w:w="2049" w:type="dxa"/>
            <w:vAlign w:val="top"/>
          </w:tcPr>
          <w:p>
            <w:pPr>
              <w:pStyle w:val="TableText"/>
              <w:jc w:val="left"/>
            </w:pPr>
            <w:r>
              <w:t xml:space="preserve">5,000 records per batch</w:t>
            </w:r>
          </w:p>
        </w:tc>
        <w:tc>
          <w:tcPr>
            <w:tcW w:w="2088" w:type="dxa"/>
            <w:vAlign w:val="top"/>
          </w:tcPr>
          <w:p>
            <w:pPr>
              <w:pStyle w:val="TableText"/>
              <w:jc w:val="left"/>
            </w:pPr>
            <w:r>
              <w:t xml:space="preserve">Initial load within one day</w:t>
            </w:r>
          </w:p>
        </w:tc>
        <w:tc>
          <w:tcPr>
            <w:tcW w:w="2239" w:type="dxa"/>
            <w:vAlign w:val="top"/>
          </w:tcPr>
          <w:p>
            <w:pPr>
              <w:pStyle w:val="TableText"/>
              <w:jc w:val="left"/>
            </w:pPr>
            <w:r>
              <w:t xml:space="preserve">Full base within one weekend</w:t>
            </w:r>
          </w:p>
        </w:tc>
      </w:tr>
    </w:tbl>
    <w:p>
      <w:pPr>
        <w:pStyle w:val="BodyText"/>
        <w:spacing w:before="160"/>
      </w:pPr>
      <w:r>
        <w:t xml:space="preserve">The load smoke test was run on 8 October 2026 with one process, the in-memory store and 25 concurrent clients: 194 requests per second, p95 210 ms against a 300 ms budget, with no errors. Full-scale capacity will be proven in pre-production during the scale phase (TGP-QA-03 Performance and Capacity Test Plan).</w:t>
      </w:r>
    </w:p>
    <w:p>
      <w:pPr>
        <w:pStyle w:val="BodyText"/>
      </w:pPr>
      <w:r>
        <w:t xml:space="preserve">The following changes are planned before the base grows beyond the pilot. None of them changes the public interfaces.</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08"/>
        <w:gridCol w:w="2886"/>
        <w:gridCol w:w="4433"/>
      </w:tblGrid>
      <w:tr>
        <w:trPr>
          <w:cantSplit/>
          <w:tblHeader/>
        </w:trPr>
        <w:tc>
          <w:tcPr>
            <w:tcW w:w="1708" w:type="dxa"/>
            <w:shd w:val="clear" w:color="auto" w:fill="0F4761"/>
            <w:vAlign w:val="center"/>
          </w:tcPr>
          <w:p>
            <w:pPr>
              <w:pStyle w:val="TableHeading"/>
              <w:jc w:val="left"/>
            </w:pPr>
            <w:r>
              <w:rPr>
                <w:color w:val="FFFFFF"/>
              </w:rPr>
              <w:t xml:space="preserve">Concern</w:t>
            </w:r>
          </w:p>
        </w:tc>
        <w:tc>
          <w:tcPr>
            <w:tcW w:w="2886" w:type="dxa"/>
            <w:shd w:val="clear" w:color="auto" w:fill="0F4761"/>
            <w:vAlign w:val="center"/>
          </w:tcPr>
          <w:p>
            <w:pPr>
              <w:pStyle w:val="TableHeading"/>
              <w:jc w:val="left"/>
            </w:pPr>
            <w:r>
              <w:rPr>
                <w:color w:val="FFFFFF"/>
              </w:rPr>
              <w:t xml:space="preserve">Today</w:t>
            </w:r>
          </w:p>
        </w:tc>
        <w:tc>
          <w:tcPr>
            <w:tcW w:w="4433" w:type="dxa"/>
            <w:shd w:val="clear" w:color="auto" w:fill="0F4761"/>
            <w:vAlign w:val="center"/>
          </w:tcPr>
          <w:p>
            <w:pPr>
              <w:pStyle w:val="TableHeading"/>
              <w:jc w:val="left"/>
            </w:pPr>
            <w:r>
              <w:rPr>
                <w:color w:val="FFFFFF"/>
              </w:rPr>
              <w:t xml:space="preserve">Before full scale</w:t>
            </w:r>
          </w:p>
        </w:tc>
      </w:tr>
      <w:tr>
        <w:trPr>
          <w:cantSplit/>
        </w:trPr>
        <w:tc>
          <w:tcPr>
            <w:tcW w:w="1708" w:type="dxa"/>
            <w:vAlign w:val="top"/>
          </w:tcPr>
          <w:p>
            <w:pPr>
              <w:pStyle w:val="TableText"/>
              <w:jc w:val="left"/>
            </w:pPr>
            <w:r>
              <w:t xml:space="preserve">Golden record build</w:t>
            </w:r>
          </w:p>
        </w:tc>
        <w:tc>
          <w:tcPr>
            <w:tcW w:w="2886" w:type="dxa"/>
            <w:vAlign w:val="top"/>
          </w:tcPr>
          <w:p>
            <w:pPr>
              <w:pStyle w:val="TableText"/>
              <w:jc w:val="left"/>
            </w:pPr>
            <w:r>
              <w:t xml:space="preserve">Incremental rebuild by plate in 500-plate chunks</w:t>
            </w:r>
          </w:p>
        </w:tc>
        <w:tc>
          <w:tcPr>
            <w:tcW w:w="4433" w:type="dxa"/>
            <w:vAlign w:val="top"/>
          </w:tcPr>
          <w:p>
            <w:pPr>
              <w:pStyle w:val="TableText"/>
              <w:jc w:val="left"/>
            </w:pPr>
            <w:r>
              <w:t xml:space="preserve">Initial load through a staging table with parallel workers partitioned by plate hash</w:t>
            </w:r>
          </w:p>
        </w:tc>
      </w:tr>
      <w:tr>
        <w:trPr>
          <w:cantSplit/>
        </w:trPr>
        <w:tc>
          <w:tcPr>
            <w:tcW w:w="1708" w:type="dxa"/>
            <w:shd w:val="clear" w:color="auto" w:fill="F4F7FB"/>
            <w:vAlign w:val="top"/>
          </w:tcPr>
          <w:p>
            <w:pPr>
              <w:pStyle w:val="TableText"/>
              <w:jc w:val="left"/>
            </w:pPr>
            <w:r>
              <w:t xml:space="preserve">Nightly re-scoring</w:t>
            </w:r>
          </w:p>
        </w:tc>
        <w:tc>
          <w:tcPr>
            <w:tcW w:w="2886" w:type="dxa"/>
            <w:shd w:val="clear" w:color="auto" w:fill="F4F7FB"/>
            <w:vAlign w:val="top"/>
          </w:tcPr>
          <w:p>
            <w:pPr>
              <w:pStyle w:val="TableText"/>
              <w:jc w:val="left"/>
            </w:pPr>
            <w:r>
              <w:t xml:space="preserve">Offset paging over all leads</w:t>
            </w:r>
          </w:p>
        </w:tc>
        <w:tc>
          <w:tcPr>
            <w:tcW w:w="4433" w:type="dxa"/>
            <w:shd w:val="clear" w:color="auto" w:fill="F4F7FB"/>
            <w:vAlign w:val="top"/>
          </w:tcPr>
          <w:p>
            <w:pPr>
              <w:pStyle w:val="TableText"/>
              <w:jc w:val="left"/>
            </w:pPr>
            <w:r>
              <w:t xml:space="preserve">Keyset paging, sharded across workers, limited to profiles whose journey window changes</w:t>
            </w:r>
          </w:p>
        </w:tc>
      </w:tr>
      <w:tr>
        <w:trPr>
          <w:cantSplit/>
        </w:trPr>
        <w:tc>
          <w:tcPr>
            <w:tcW w:w="1708" w:type="dxa"/>
            <w:vAlign w:val="top"/>
          </w:tcPr>
          <w:p>
            <w:pPr>
              <w:pStyle w:val="TableText"/>
              <w:jc w:val="left"/>
            </w:pPr>
            <w:r>
              <w:t xml:space="preserve">Journey execution</w:t>
            </w:r>
          </w:p>
        </w:tc>
        <w:tc>
          <w:tcPr>
            <w:tcW w:w="2886" w:type="dxa"/>
            <w:vAlign w:val="top"/>
          </w:tcPr>
          <w:p>
            <w:pPr>
              <w:pStyle w:val="TableText"/>
              <w:jc w:val="left"/>
            </w:pPr>
            <w:r>
              <w:t xml:space="preserve">Pages through all due touchpoints; runs must not overlap</w:t>
            </w:r>
          </w:p>
        </w:tc>
        <w:tc>
          <w:tcPr>
            <w:tcW w:w="4433" w:type="dxa"/>
            <w:vAlign w:val="top"/>
          </w:tcPr>
          <w:p>
            <w:pPr>
              <w:pStyle w:val="TableText"/>
              <w:jc w:val="left"/>
            </w:pPr>
            <w:r>
              <w:t xml:space="preserve">Workers claim touchpoints with</w:t>
            </w:r>
            <w:r>
              <w:t xml:space="preserve"> </w:t>
            </w:r>
            <w:r>
              <w:rPr>
                <w:rStyle w:val="CodeChar"/>
              </w:rPr>
              <w:t xml:space="preserve">SKIP LOCKED</w:t>
            </w:r>
            <w:r>
              <w:t xml:space="preserve">; automated calls become asynchronous</w:t>
            </w:r>
          </w:p>
        </w:tc>
      </w:tr>
      <w:tr>
        <w:trPr>
          <w:cantSplit/>
        </w:trPr>
        <w:tc>
          <w:tcPr>
            <w:tcW w:w="1708" w:type="dxa"/>
            <w:shd w:val="clear" w:color="auto" w:fill="F4F7FB"/>
            <w:vAlign w:val="top"/>
          </w:tcPr>
          <w:p>
            <w:pPr>
              <w:pStyle w:val="TableText"/>
              <w:jc w:val="left"/>
            </w:pPr>
            <w:r>
              <w:t xml:space="preserve">Table growth</w:t>
            </w:r>
          </w:p>
        </w:tc>
        <w:tc>
          <w:tcPr>
            <w:tcW w:w="2886" w:type="dxa"/>
            <w:shd w:val="clear" w:color="auto" w:fill="F4F7FB"/>
            <w:vAlign w:val="top"/>
          </w:tcPr>
          <w:p>
            <w:pPr>
              <w:pStyle w:val="TableText"/>
              <w:jc w:val="left"/>
            </w:pPr>
            <w:r>
              <w:t xml:space="preserve">Indexed columns per collection</w:t>
            </w:r>
          </w:p>
        </w:tc>
        <w:tc>
          <w:tcPr>
            <w:tcW w:w="4433" w:type="dxa"/>
            <w:shd w:val="clear" w:color="auto" w:fill="F4F7FB"/>
            <w:vAlign w:val="top"/>
          </w:tcPr>
          <w:p>
            <w:pPr>
              <w:pStyle w:val="TableText"/>
              <w:jc w:val="left"/>
            </w:pPr>
            <w:r>
              <w:t xml:space="preserve">Monthly partitions for messages, touchpoints and events; purge of completed events after 30 days</w:t>
            </w:r>
          </w:p>
        </w:tc>
      </w:tr>
      <w:tr>
        <w:trPr>
          <w:cantSplit/>
        </w:trPr>
        <w:tc>
          <w:tcPr>
            <w:tcW w:w="1708" w:type="dxa"/>
            <w:vAlign w:val="top"/>
          </w:tcPr>
          <w:p>
            <w:pPr>
              <w:pStyle w:val="TableText"/>
              <w:jc w:val="left"/>
            </w:pPr>
            <w:r>
              <w:t xml:space="preserve">Reporting load</w:t>
            </w:r>
          </w:p>
        </w:tc>
        <w:tc>
          <w:tcPr>
            <w:tcW w:w="2886" w:type="dxa"/>
            <w:vAlign w:val="top"/>
          </w:tcPr>
          <w:p>
            <w:pPr>
              <w:pStyle w:val="TableText"/>
              <w:jc w:val="left"/>
            </w:pPr>
            <w:r>
              <w:t xml:space="preserve">Dashboards on the primary</w:t>
            </w:r>
          </w:p>
        </w:tc>
        <w:tc>
          <w:tcPr>
            <w:tcW w:w="4433" w:type="dxa"/>
            <w:vAlign w:val="top"/>
          </w:tcPr>
          <w:p>
            <w:pPr>
              <w:pStyle w:val="TableText"/>
              <w:jc w:val="left"/>
            </w:pPr>
            <w:r>
              <w:t xml:space="preserve">Dashboards and extracts on a read replica; incremental audit-chain verification</w:t>
            </w:r>
          </w:p>
        </w:tc>
      </w:tr>
      <w:tr>
        <w:trPr>
          <w:cantSplit/>
        </w:trPr>
        <w:tc>
          <w:tcPr>
            <w:tcW w:w="1708" w:type="dxa"/>
            <w:shd w:val="clear" w:color="auto" w:fill="F4F7FB"/>
            <w:vAlign w:val="top"/>
          </w:tcPr>
          <w:p>
            <w:pPr>
              <w:pStyle w:val="TableText"/>
              <w:jc w:val="left"/>
            </w:pPr>
            <w:r>
              <w:t xml:space="preserve">Outbound volume</w:t>
            </w:r>
          </w:p>
        </w:tc>
        <w:tc>
          <w:tcPr>
            <w:tcW w:w="2886" w:type="dxa"/>
            <w:shd w:val="clear" w:color="auto" w:fill="F4F7FB"/>
            <w:vAlign w:val="top"/>
          </w:tcPr>
          <w:p>
            <w:pPr>
              <w:pStyle w:val="TableText"/>
              <w:jc w:val="left"/>
            </w:pPr>
            <w:r>
              <w:t xml:space="preserve">One circuit breaker per channel</w:t>
            </w:r>
          </w:p>
        </w:tc>
        <w:tc>
          <w:tcPr>
            <w:tcW w:w="4433" w:type="dxa"/>
            <w:shd w:val="clear" w:color="auto" w:fill="F4F7FB"/>
            <w:vAlign w:val="top"/>
          </w:tcPr>
          <w:p>
            <w:pPr>
              <w:pStyle w:val="TableText"/>
              <w:jc w:val="left"/>
            </w:pPr>
            <w:r>
              <w:t xml:space="preserve">Per-channel queues with provider rate limits</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6" w:name="_Toc300000032"/>
      <w:r>
        <w:rPr>
          <w:rStyle w:val="BookTitle"/>
          <w:bCs w:val="0"/>
          <w:i w:val="0"/>
          <w:iCs w:val="0"/>
          <w:spacing w:val="0"/>
        </w:rPr>
        <w:t xml:space="preserve">Constraints and assumptions</w:t>
      </w:r>
      <w:bookmarkEnd w:id="36"/>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833"/>
        <w:gridCol w:w="3877"/>
        <w:gridCol w:w="2337"/>
        <w:gridCol w:w="1980"/>
      </w:tblGrid>
      <w:tr>
        <w:trPr>
          <w:cantSplit/>
          <w:tblHeader/>
        </w:trPr>
        <w:tc>
          <w:tcPr>
            <w:tcW w:w="833" w:type="dxa"/>
            <w:shd w:val="clear" w:color="auto" w:fill="0F4761"/>
            <w:vAlign w:val="center"/>
          </w:tcPr>
          <w:p>
            <w:pPr>
              <w:pStyle w:val="TableHeading"/>
              <w:jc w:val="left"/>
            </w:pPr>
            <w:r>
              <w:rPr>
                <w:color w:val="FFFFFF"/>
              </w:rPr>
              <w:t xml:space="preserve">ID</w:t>
            </w:r>
          </w:p>
        </w:tc>
        <w:tc>
          <w:tcPr>
            <w:tcW w:w="3877" w:type="dxa"/>
            <w:shd w:val="clear" w:color="auto" w:fill="0F4761"/>
            <w:vAlign w:val="center"/>
          </w:tcPr>
          <w:p>
            <w:pPr>
              <w:pStyle w:val="TableHeading"/>
              <w:jc w:val="left"/>
            </w:pPr>
            <w:r>
              <w:rPr>
                <w:color w:val="FFFFFF"/>
              </w:rPr>
              <w:t xml:space="preserve">Constraint or assumption</w:t>
            </w:r>
          </w:p>
        </w:tc>
        <w:tc>
          <w:tcPr>
            <w:tcW w:w="2337" w:type="dxa"/>
            <w:shd w:val="clear" w:color="auto" w:fill="0F4761"/>
            <w:vAlign w:val="center"/>
          </w:tcPr>
          <w:p>
            <w:pPr>
              <w:pStyle w:val="TableHeading"/>
              <w:jc w:val="left"/>
            </w:pPr>
            <w:r>
              <w:rPr>
                <w:color w:val="FFFFFF"/>
              </w:rPr>
              <w:t xml:space="preserve">Impact</w:t>
            </w:r>
          </w:p>
        </w:tc>
        <w:tc>
          <w:tcPr>
            <w:tcW w:w="1980" w:type="dxa"/>
            <w:shd w:val="clear" w:color="auto" w:fill="0F4761"/>
            <w:vAlign w:val="center"/>
          </w:tcPr>
          <w:p>
            <w:pPr>
              <w:pStyle w:val="TableHeading"/>
              <w:jc w:val="left"/>
            </w:pPr>
            <w:r>
              <w:rPr>
                <w:color w:val="FFFFFF"/>
              </w:rPr>
              <w:t xml:space="preserve">Owner</w:t>
            </w:r>
          </w:p>
        </w:tc>
      </w:tr>
      <w:tr>
        <w:trPr>
          <w:cantSplit/>
        </w:trPr>
        <w:tc>
          <w:tcPr>
            <w:tcW w:w="833" w:type="dxa"/>
            <w:noWrap/>
            <w:vAlign w:val="top"/>
          </w:tcPr>
          <w:p>
            <w:pPr>
              <w:pStyle w:val="TableText"/>
              <w:jc w:val="left"/>
            </w:pPr>
            <w:r>
              <w:t xml:space="preserve">CA-01</w:t>
            </w:r>
          </w:p>
        </w:tc>
        <w:tc>
          <w:tcPr>
            <w:tcW w:w="3877" w:type="dxa"/>
            <w:vAlign w:val="top"/>
          </w:tcPr>
          <w:p>
            <w:pPr>
              <w:pStyle w:val="TableText"/>
              <w:jc w:val="left"/>
            </w:pPr>
            <w:r>
              <w:t xml:space="preserve">TASCO core rating and catalogue paths in the production client are assumptions until TASCO’s interface specification arrives</w:t>
            </w:r>
          </w:p>
        </w:tc>
        <w:tc>
          <w:tcPr>
            <w:tcW w:w="2337" w:type="dxa"/>
            <w:vAlign w:val="top"/>
          </w:tcPr>
          <w:p>
            <w:pPr>
              <w:pStyle w:val="TableText"/>
              <w:jc w:val="left"/>
            </w:pPr>
            <w:r>
              <w:t xml:space="preserve">Only the adapter mapping changes</w:t>
            </w:r>
          </w:p>
        </w:tc>
        <w:tc>
          <w:tcPr>
            <w:tcW w:w="1980" w:type="dxa"/>
            <w:vAlign w:val="top"/>
          </w:tcPr>
          <w:p>
            <w:pPr>
              <w:pStyle w:val="TableText"/>
              <w:jc w:val="left"/>
            </w:pPr>
            <w:r>
              <w:t xml:space="preserve">TASCO IT Architecture</w:t>
            </w:r>
          </w:p>
        </w:tc>
      </w:tr>
      <w:tr>
        <w:trPr>
          <w:cantSplit/>
        </w:trPr>
        <w:tc>
          <w:tcPr>
            <w:tcW w:w="833" w:type="dxa"/>
            <w:shd w:val="clear" w:color="auto" w:fill="F4F7FB"/>
            <w:noWrap/>
            <w:vAlign w:val="top"/>
          </w:tcPr>
          <w:p>
            <w:pPr>
              <w:pStyle w:val="TableText"/>
              <w:jc w:val="left"/>
            </w:pPr>
            <w:r>
              <w:t xml:space="preserve">CA-02</w:t>
            </w:r>
          </w:p>
        </w:tc>
        <w:tc>
          <w:tcPr>
            <w:tcW w:w="3877" w:type="dxa"/>
            <w:shd w:val="clear" w:color="auto" w:fill="F4F7FB"/>
            <w:vAlign w:val="top"/>
          </w:tcPr>
          <w:p>
            <w:pPr>
              <w:pStyle w:val="TableText"/>
              <w:jc w:val="left"/>
            </w:pPr>
            <w:r>
              <w:t xml:space="preserve">Policy issuance, the VETC wallet, the TASCO payment gateway, push, Zalo ZNS, SMS and voice use sandbox adapters until provider test systems are available</w:t>
            </w:r>
          </w:p>
        </w:tc>
        <w:tc>
          <w:tcPr>
            <w:tcW w:w="2337" w:type="dxa"/>
            <w:shd w:val="clear" w:color="auto" w:fill="F4F7FB"/>
            <w:vAlign w:val="top"/>
          </w:tcPr>
          <w:p>
            <w:pPr>
              <w:pStyle w:val="TableText"/>
              <w:jc w:val="left"/>
            </w:pPr>
            <w:r>
              <w:t xml:space="preserve">Real adapters are built and tested in SIT</w:t>
            </w:r>
          </w:p>
        </w:tc>
        <w:tc>
          <w:tcPr>
            <w:tcW w:w="1980" w:type="dxa"/>
            <w:shd w:val="clear" w:color="auto" w:fill="F4F7FB"/>
            <w:vAlign w:val="top"/>
          </w:tcPr>
          <w:p>
            <w:pPr>
              <w:pStyle w:val="TableText"/>
              <w:jc w:val="left"/>
            </w:pPr>
            <w:r>
              <w:t xml:space="preserve">iorta TechNXT with each provider</w:t>
            </w:r>
          </w:p>
        </w:tc>
      </w:tr>
      <w:tr>
        <w:trPr>
          <w:cantSplit/>
        </w:trPr>
        <w:tc>
          <w:tcPr>
            <w:tcW w:w="833" w:type="dxa"/>
            <w:noWrap/>
            <w:vAlign w:val="top"/>
          </w:tcPr>
          <w:p>
            <w:pPr>
              <w:pStyle w:val="TableText"/>
              <w:jc w:val="left"/>
            </w:pPr>
            <w:r>
              <w:t xml:space="preserve">CA-03</w:t>
            </w:r>
          </w:p>
        </w:tc>
        <w:tc>
          <w:tcPr>
            <w:tcW w:w="3877" w:type="dxa"/>
            <w:vAlign w:val="top"/>
          </w:tcPr>
          <w:p>
            <w:pPr>
              <w:pStyle w:val="TableText"/>
              <w:jc w:val="left"/>
            </w:pPr>
            <w:r>
              <w:t xml:space="preserve">If TASCO core cannot expose a rating API in time, the platform rates from tariff tables synchronised from core and core re-rates at issue, rejecting any mismatch</w:t>
            </w:r>
          </w:p>
        </w:tc>
        <w:tc>
          <w:tcPr>
            <w:tcW w:w="2337" w:type="dxa"/>
            <w:vAlign w:val="top"/>
          </w:tcPr>
          <w:p>
            <w:pPr>
              <w:pStyle w:val="TableText"/>
              <w:jc w:val="left"/>
            </w:pPr>
            <w:r>
              <w:t xml:space="preserve">Interim path, confirmed in the first two weeks</w:t>
            </w:r>
          </w:p>
        </w:tc>
        <w:tc>
          <w:tcPr>
            <w:tcW w:w="1980" w:type="dxa"/>
            <w:vAlign w:val="top"/>
          </w:tcPr>
          <w:p>
            <w:pPr>
              <w:pStyle w:val="TableText"/>
              <w:jc w:val="left"/>
            </w:pPr>
            <w:r>
              <w:t xml:space="preserve">TASCO IT Architecture</w:t>
            </w:r>
          </w:p>
        </w:tc>
      </w:tr>
      <w:tr>
        <w:trPr>
          <w:cantSplit/>
        </w:trPr>
        <w:tc>
          <w:tcPr>
            <w:tcW w:w="833" w:type="dxa"/>
            <w:shd w:val="clear" w:color="auto" w:fill="F4F7FB"/>
            <w:noWrap/>
            <w:vAlign w:val="top"/>
          </w:tcPr>
          <w:p>
            <w:pPr>
              <w:pStyle w:val="TableText"/>
              <w:jc w:val="left"/>
            </w:pPr>
            <w:r>
              <w:t xml:space="preserve">CA-04</w:t>
            </w:r>
          </w:p>
        </w:tc>
        <w:tc>
          <w:tcPr>
            <w:tcW w:w="3877" w:type="dxa"/>
            <w:shd w:val="clear" w:color="auto" w:fill="F4F7FB"/>
            <w:vAlign w:val="top"/>
          </w:tcPr>
          <w:p>
            <w:pPr>
              <w:pStyle w:val="TableText"/>
              <w:jc w:val="left"/>
            </w:pPr>
            <w:r>
              <w:t xml:space="preserve">Production personal data is hosted and processed in Vietnam</w:t>
            </w:r>
          </w:p>
        </w:tc>
        <w:tc>
          <w:tcPr>
            <w:tcW w:w="2337" w:type="dxa"/>
            <w:shd w:val="clear" w:color="auto" w:fill="F4F7FB"/>
            <w:vAlign w:val="top"/>
          </w:tcPr>
          <w:p>
            <w:pPr>
              <w:pStyle w:val="TableText"/>
              <w:jc w:val="left"/>
            </w:pPr>
            <w:r>
              <w:t xml:space="preserve">Hosting choice; UAT on Railway holds synthetic data only</w:t>
            </w:r>
          </w:p>
        </w:tc>
        <w:tc>
          <w:tcPr>
            <w:tcW w:w="1980" w:type="dxa"/>
            <w:shd w:val="clear" w:color="auto" w:fill="F4F7FB"/>
            <w:vAlign w:val="top"/>
          </w:tcPr>
          <w:p>
            <w:pPr>
              <w:pStyle w:val="TableText"/>
              <w:jc w:val="left"/>
            </w:pPr>
            <w:r>
              <w:t xml:space="preserve">TASCO IT, to be confirmed by TASCO legal</w:t>
            </w:r>
          </w:p>
        </w:tc>
      </w:tr>
      <w:tr>
        <w:trPr>
          <w:cantSplit/>
        </w:trPr>
        <w:tc>
          <w:tcPr>
            <w:tcW w:w="833" w:type="dxa"/>
            <w:noWrap/>
            <w:vAlign w:val="top"/>
          </w:tcPr>
          <w:p>
            <w:pPr>
              <w:pStyle w:val="TableText"/>
              <w:jc w:val="left"/>
            </w:pPr>
            <w:r>
              <w:t xml:space="preserve">CA-05</w:t>
            </w:r>
          </w:p>
        </w:tc>
        <w:tc>
          <w:tcPr>
            <w:tcW w:w="3877" w:type="dxa"/>
            <w:vAlign w:val="top"/>
          </w:tcPr>
          <w:p>
            <w:pPr>
              <w:pStyle w:val="TableText"/>
              <w:jc w:val="left"/>
            </w:pPr>
            <w:r>
              <w:t xml:space="preserve">VETC confirms wallet debits with the wallet holder according to its payment rules</w:t>
            </w:r>
          </w:p>
        </w:tc>
        <w:tc>
          <w:tcPr>
            <w:tcW w:w="2337" w:type="dxa"/>
            <w:vAlign w:val="top"/>
          </w:tcPr>
          <w:p>
            <w:pPr>
              <w:pStyle w:val="TableText"/>
              <w:jc w:val="left"/>
            </w:pPr>
            <w:r>
              <w:t xml:space="preserve">May make payment confirmation asynchronous</w:t>
            </w:r>
          </w:p>
        </w:tc>
        <w:tc>
          <w:tcPr>
            <w:tcW w:w="1980" w:type="dxa"/>
            <w:vAlign w:val="top"/>
          </w:tcPr>
          <w:p>
            <w:pPr>
              <w:pStyle w:val="TableText"/>
              <w:jc w:val="left"/>
            </w:pPr>
            <w:r>
              <w:t xml:space="preserve">VETC</w:t>
            </w:r>
          </w:p>
        </w:tc>
      </w:tr>
      <w:tr>
        <w:trPr>
          <w:cantSplit/>
        </w:trPr>
        <w:tc>
          <w:tcPr>
            <w:tcW w:w="833" w:type="dxa"/>
            <w:shd w:val="clear" w:color="auto" w:fill="F4F7FB"/>
            <w:noWrap/>
            <w:vAlign w:val="top"/>
          </w:tcPr>
          <w:p>
            <w:pPr>
              <w:pStyle w:val="TableText"/>
              <w:jc w:val="left"/>
            </w:pPr>
            <w:r>
              <w:t xml:space="preserve">CA-06</w:t>
            </w:r>
          </w:p>
        </w:tc>
        <w:tc>
          <w:tcPr>
            <w:tcW w:w="3877" w:type="dxa"/>
            <w:shd w:val="clear" w:color="auto" w:fill="F4F7FB"/>
            <w:vAlign w:val="top"/>
          </w:tcPr>
          <w:p>
            <w:pPr>
              <w:pStyle w:val="TableText"/>
              <w:jc w:val="left"/>
            </w:pPr>
            <w:r>
              <w:t xml:space="preserve">Staff authenticate locally with MFA until the TASCO identity provider is integrated</w:t>
            </w:r>
          </w:p>
        </w:tc>
        <w:tc>
          <w:tcPr>
            <w:tcW w:w="2337" w:type="dxa"/>
            <w:shd w:val="clear" w:color="auto" w:fill="F4F7FB"/>
            <w:vAlign w:val="top"/>
          </w:tcPr>
          <w:p>
            <w:pPr>
              <w:pStyle w:val="TableText"/>
              <w:jc w:val="left"/>
            </w:pPr>
            <w:r>
              <w:t xml:space="preserve">OIDC federation in the scale phase (ADR-007)</w:t>
            </w:r>
          </w:p>
        </w:tc>
        <w:tc>
          <w:tcPr>
            <w:tcW w:w="1980" w:type="dxa"/>
            <w:shd w:val="clear" w:color="auto" w:fill="F4F7FB"/>
            <w:vAlign w:val="top"/>
          </w:tcPr>
          <w:p>
            <w:pPr>
              <w:pStyle w:val="TableText"/>
              <w:jc w:val="left"/>
            </w:pPr>
            <w:r>
              <w:t xml:space="preserve">TASCO IT</w:t>
            </w:r>
          </w:p>
        </w:tc>
      </w:tr>
      <w:tr>
        <w:trPr>
          <w:cantSplit/>
        </w:trPr>
        <w:tc>
          <w:tcPr>
            <w:tcW w:w="833" w:type="dxa"/>
            <w:noWrap/>
            <w:vAlign w:val="top"/>
          </w:tcPr>
          <w:p>
            <w:pPr>
              <w:pStyle w:val="TableText"/>
              <w:jc w:val="left"/>
            </w:pPr>
            <w:r>
              <w:t xml:space="preserve">CA-07</w:t>
            </w:r>
          </w:p>
        </w:tc>
        <w:tc>
          <w:tcPr>
            <w:tcW w:w="3877" w:type="dxa"/>
            <w:vAlign w:val="top"/>
          </w:tcPr>
          <w:p>
            <w:pPr>
              <w:pStyle w:val="TableText"/>
              <w:jc w:val="left"/>
            </w:pPr>
            <w:r>
              <w:t xml:space="preserve">Regulatory positions (TNDS premium, consent, call rules, data transfer) follow current law</w:t>
            </w:r>
          </w:p>
        </w:tc>
        <w:tc>
          <w:tcPr>
            <w:tcW w:w="2337" w:type="dxa"/>
            <w:vAlign w:val="top"/>
          </w:tcPr>
          <w:p>
            <w:pPr>
              <w:pStyle w:val="TableText"/>
              <w:jc w:val="left"/>
            </w:pPr>
            <w:r>
              <w:t xml:space="preserve">Positions applied as rule changes once confirmed</w:t>
            </w:r>
          </w:p>
        </w:tc>
        <w:tc>
          <w:tcPr>
            <w:tcW w:w="1980" w:type="dxa"/>
            <w:vAlign w:val="top"/>
          </w:tcPr>
          <w:p>
            <w:pPr>
              <w:pStyle w:val="TableText"/>
              <w:jc w:val="left"/>
            </w:pPr>
            <w:r>
              <w:t xml:space="preserve">To be confirmed by TASCO legal</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7" w:name="_Toc300000033"/>
      <w:r>
        <w:rPr>
          <w:rStyle w:val="BookTitle"/>
          <w:bCs w:val="0"/>
          <w:i w:val="0"/>
          <w:iCs w:val="0"/>
          <w:spacing w:val="0"/>
        </w:rPr>
        <w:t xml:space="preserve">Evolution path</w:t>
      </w:r>
      <w:bookmarkEnd w:id="37"/>
    </w:p>
    <w:p>
      <w:pPr>
        <w:pStyle w:val="FirstParagraph"/>
      </w:pPr>
      <w:r>
        <w:t xml:space="preserve">The platform is designed to grow in stages without changing its core structure.</w:t>
      </w: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44"/>
        <w:gridCol w:w="5317"/>
        <w:gridCol w:w="1966"/>
      </w:tblGrid>
      <w:tr>
        <w:trPr>
          <w:cantSplit/>
          <w:tblHeader/>
        </w:trPr>
        <w:tc>
          <w:tcPr>
            <w:tcW w:w="1744" w:type="dxa"/>
            <w:shd w:val="clear" w:color="auto" w:fill="0F4761"/>
            <w:vAlign w:val="center"/>
          </w:tcPr>
          <w:p>
            <w:pPr>
              <w:pStyle w:val="TableHeading"/>
              <w:jc w:val="left"/>
            </w:pPr>
            <w:r>
              <w:rPr>
                <w:color w:val="FFFFFF"/>
              </w:rPr>
              <w:t xml:space="preserve">Phase</w:t>
            </w:r>
          </w:p>
        </w:tc>
        <w:tc>
          <w:tcPr>
            <w:tcW w:w="5317" w:type="dxa"/>
            <w:shd w:val="clear" w:color="auto" w:fill="0F4761"/>
            <w:vAlign w:val="center"/>
          </w:tcPr>
          <w:p>
            <w:pPr>
              <w:pStyle w:val="TableHeading"/>
              <w:jc w:val="left"/>
            </w:pPr>
            <w:r>
              <w:rPr>
                <w:color w:val="FFFFFF"/>
              </w:rPr>
              <w:t xml:space="preserve">Main changes</w:t>
            </w:r>
          </w:p>
        </w:tc>
        <w:tc>
          <w:tcPr>
            <w:tcW w:w="1966" w:type="dxa"/>
            <w:shd w:val="clear" w:color="auto" w:fill="0F4761"/>
            <w:vAlign w:val="center"/>
          </w:tcPr>
          <w:p>
            <w:pPr>
              <w:pStyle w:val="TableHeading"/>
              <w:jc w:val="left"/>
            </w:pPr>
            <w:r>
              <w:rPr>
                <w:color w:val="FFFFFF"/>
              </w:rPr>
              <w:t xml:space="preserve">What stays the same</w:t>
            </w:r>
          </w:p>
        </w:tc>
      </w:tr>
      <w:tr>
        <w:trPr>
          <w:cantSplit/>
        </w:trPr>
        <w:tc>
          <w:tcPr>
            <w:tcW w:w="1744" w:type="dxa"/>
            <w:vAlign w:val="top"/>
          </w:tcPr>
          <w:p>
            <w:pPr>
              <w:pStyle w:val="TableText"/>
              <w:jc w:val="left"/>
            </w:pPr>
            <w:r>
              <w:t xml:space="preserve">Pilot and UAT (now)</w:t>
            </w:r>
          </w:p>
        </w:tc>
        <w:tc>
          <w:tcPr>
            <w:tcW w:w="5317" w:type="dxa"/>
            <w:vAlign w:val="top"/>
          </w:tcPr>
          <w:p>
            <w:pPr>
              <w:pStyle w:val="TableText"/>
              <w:jc w:val="left"/>
            </w:pPr>
            <w:r>
              <w:t xml:space="preserve">Sandbox adapters behind ports; local sign-in with TOTP; outbox in PostgreSQL; keyword intent matching for the voice assistant; Railway UAT</w:t>
            </w:r>
          </w:p>
        </w:tc>
        <w:tc>
          <w:tcPr>
            <w:tcW w:w="1966" w:type="dxa"/>
            <w:vAlign w:val="top"/>
          </w:tcPr>
          <w:p>
            <w:pPr>
              <w:pStyle w:val="TableText"/>
              <w:jc w:val="left"/>
            </w:pPr>
            <w:r>
              <w:t xml:space="preserve">Ports, rule kinds, data model</w:t>
            </w:r>
          </w:p>
        </w:tc>
      </w:tr>
      <w:tr>
        <w:trPr>
          <w:cantSplit/>
        </w:trPr>
        <w:tc>
          <w:tcPr>
            <w:tcW w:w="1744" w:type="dxa"/>
            <w:shd w:val="clear" w:color="auto" w:fill="F4F7FB"/>
            <w:vAlign w:val="top"/>
          </w:tcPr>
          <w:p>
            <w:pPr>
              <w:pStyle w:val="TableText"/>
              <w:jc w:val="left"/>
            </w:pPr>
            <w:r>
              <w:t xml:space="preserve">Production go-live</w:t>
            </w:r>
          </w:p>
        </w:tc>
        <w:tc>
          <w:tcPr>
            <w:tcW w:w="5317" w:type="dxa"/>
            <w:shd w:val="clear" w:color="auto" w:fill="F4F7FB"/>
            <w:vAlign w:val="top"/>
          </w:tcPr>
          <w:p>
            <w:pPr>
              <w:pStyle w:val="TableText"/>
              <w:jc w:val="left"/>
            </w:pPr>
            <w:r>
              <w:t xml:space="preserve">Real adapters for TASCO core, VETC wallet and push, Zalo ZNS, SMS and the voice vendor; Kubernetes in Vietnam; shared logout list and partner quotas at the gateway; automatic refund retry</w:t>
            </w:r>
          </w:p>
        </w:tc>
        <w:tc>
          <w:tcPr>
            <w:tcW w:w="1966" w:type="dxa"/>
            <w:shd w:val="clear" w:color="auto" w:fill="F4F7FB"/>
            <w:vAlign w:val="top"/>
          </w:tcPr>
          <w:p>
            <w:pPr>
              <w:pStyle w:val="TableText"/>
              <w:jc w:val="left"/>
            </w:pPr>
            <w:r>
              <w:t xml:space="preserve">Application and domain code</w:t>
            </w:r>
          </w:p>
        </w:tc>
      </w:tr>
      <w:tr>
        <w:trPr>
          <w:cantSplit/>
        </w:trPr>
        <w:tc>
          <w:tcPr>
            <w:tcW w:w="1744" w:type="dxa"/>
            <w:vAlign w:val="top"/>
          </w:tcPr>
          <w:p>
            <w:pPr>
              <w:pStyle w:val="TableText"/>
              <w:jc w:val="left"/>
            </w:pPr>
            <w:r>
              <w:t xml:space="preserve">Scale phase</w:t>
            </w:r>
          </w:p>
        </w:tc>
        <w:tc>
          <w:tcPr>
            <w:tcW w:w="5317" w:type="dxa"/>
            <w:vAlign w:val="top"/>
          </w:tcPr>
          <w:p>
            <w:pPr>
              <w:pStyle w:val="TableText"/>
              <w:jc w:val="left"/>
            </w:pPr>
            <w:r>
              <w:t xml:space="preserve">TASCO app and website with the real TASCO payment gateway adapter (S3); Zalo Mini App (S4); VETC CDC feed; monthly partitions and read replica; OIDC to the TASCO identity provider and VETC SSO; data warehouse feed; message broker behind the event bus port; tracing</w:t>
            </w:r>
          </w:p>
        </w:tc>
        <w:tc>
          <w:tcPr>
            <w:tcW w:w="1966" w:type="dxa"/>
            <w:vAlign w:val="top"/>
          </w:tcPr>
          <w:p>
            <w:pPr>
              <w:pStyle w:val="TableText"/>
              <w:jc w:val="left"/>
            </w:pPr>
            <w:r>
              <w:t xml:space="preserve">Event publishers and subscribers</w:t>
            </w:r>
          </w:p>
        </w:tc>
      </w:tr>
      <w:tr>
        <w:trPr>
          <w:cantSplit/>
        </w:trPr>
        <w:tc>
          <w:tcPr>
            <w:tcW w:w="1744" w:type="dxa"/>
            <w:shd w:val="clear" w:color="auto" w:fill="F4F7FB"/>
            <w:vAlign w:val="top"/>
          </w:tcPr>
          <w:p>
            <w:pPr>
              <w:pStyle w:val="TableText"/>
              <w:jc w:val="left"/>
            </w:pPr>
            <w:r>
              <w:t xml:space="preserve">Intelligence</w:t>
            </w:r>
          </w:p>
        </w:tc>
        <w:tc>
          <w:tcPr>
            <w:tcW w:w="5317" w:type="dxa"/>
            <w:shd w:val="clear" w:color="auto" w:fill="F4F7FB"/>
            <w:vAlign w:val="top"/>
          </w:tcPr>
          <w:p>
            <w:pPr>
              <w:pStyle w:val="TableText"/>
              <w:jc w:val="left"/>
            </w:pPr>
            <w:r>
              <w:t xml:space="preserve">Optional language-model intent classifier behind the classifier port; propensity model alongside the rules-based score, with fairness and drift monitoring (TGP-ARC-06 AI Governance)</w:t>
            </w:r>
          </w:p>
        </w:tc>
        <w:tc>
          <w:tcPr>
            <w:tcW w:w="1966" w:type="dxa"/>
            <w:shd w:val="clear" w:color="auto" w:fill="F4F7FB"/>
            <w:vAlign w:val="top"/>
          </w:tcPr>
          <w:p>
            <w:pPr>
              <w:pStyle w:val="TableText"/>
              <w:jc w:val="left"/>
            </w:pPr>
            <w:r>
              <w:t xml:space="preserve">Governed script and dialogue state machine</w:t>
            </w:r>
          </w:p>
        </w:tc>
      </w:tr>
    </w:tbl>
    <w:p w14:paraId="12E0A58E" w14:textId="77777777" w:rsidR="002B183A" w:rsidRPr="00465CAB" w:rsidRDefault="002B183A" w:rsidP="002B183A">
      <w:pPr>
        <w:pStyle w:val="Heading1"/>
        <w:numPr>
          <w:ilvl w:val="0"/>
          <w:numId w:val="1"/>
        </w:numPr>
        <w:tabs>
          <w:tab w:val="num" w:pos="600"/>
        </w:tabs>
        <w:spacing w:before="360" w:after="160"/>
        <w:ind w:left="0" w:firstLine="0"/>
        <w:rPr>
          <w:rStyle w:val="BookTitle"/>
          <w:b w:val="0"/>
          <w:bCs w:val="0"/>
          <w:i w:val="0"/>
          <w:iCs w:val="0"/>
          <w:spacing w:val="0"/>
        </w:rPr>
      </w:pPr>
      <w:bookmarkStart w:id="38" w:name="_Toc300000034"/>
      <w:r>
        <w:rPr>
          <w:rStyle w:val="BookTitle"/>
          <w:bCs w:val="0"/>
          <w:i w:val="0"/>
          <w:iCs w:val="0"/>
          <w:spacing w:val="0"/>
        </w:rPr>
        <w:t xml:space="preserve">Appendix</w:t>
      </w:r>
      <w:bookmarkEnd w:id="38"/>
    </w:p>
    <w:p>
      <w:pPr>
        <w:pStyle w:val="Heading2"/>
      </w:pPr>
      <w:bookmarkStart w:id="39" w:name="_Toc300000035"/>
      <w:r>
        <w:t xml:space="preserve">Source map</w:t>
      </w:r>
      <w:bookmarkEnd w:id="39"/>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5" w:type="dxa"/>
          <w:left w:w="85" w:type="dxa"/>
          <w:bottom w:w="45" w:type="dxa"/>
          <w:right w:w="85" w:type="dxa"/>
        </w:tblCellMar>
        <w:tblLook w:val="04A0" w:firstRow="1" w:lastRow="0" w:firstColumn="0" w:lastColumn="0" w:noHBand="0" w:noVBand="1"/>
      </w:tblPr>
      <w:tblGrid>
        <w:gridCol w:w="1779"/>
        <w:gridCol w:w="3589"/>
        <w:gridCol w:w="3659"/>
      </w:tblGrid>
      <w:tr>
        <w:trPr>
          <w:cantSplit/>
          <w:tblHeader/>
        </w:trPr>
        <w:tc>
          <w:tcPr>
            <w:tcW w:w="1779" w:type="dxa"/>
            <w:shd w:val="clear" w:color="auto" w:fill="0F4761"/>
            <w:vAlign w:val="center"/>
          </w:tcPr>
          <w:p>
            <w:pPr>
              <w:pStyle w:val="TableHeading"/>
              <w:jc w:val="left"/>
            </w:pPr>
            <w:r>
              <w:rPr>
                <w:color w:val="FFFFFF"/>
              </w:rPr>
              <w:t xml:space="preserve">Layer</w:t>
            </w:r>
          </w:p>
        </w:tc>
        <w:tc>
          <w:tcPr>
            <w:tcW w:w="3589" w:type="dxa"/>
            <w:shd w:val="clear" w:color="auto" w:fill="0F4761"/>
            <w:vAlign w:val="center"/>
          </w:tcPr>
          <w:p>
            <w:pPr>
              <w:pStyle w:val="TableHeading"/>
              <w:jc w:val="left"/>
            </w:pPr>
            <w:r>
              <w:rPr>
                <w:color w:val="FFFFFF"/>
              </w:rPr>
              <w:t xml:space="preserve">Path</w:t>
            </w:r>
          </w:p>
        </w:tc>
        <w:tc>
          <w:tcPr>
            <w:tcW w:w="3659" w:type="dxa"/>
            <w:shd w:val="clear" w:color="auto" w:fill="0F4761"/>
            <w:vAlign w:val="center"/>
          </w:tcPr>
          <w:p>
            <w:pPr>
              <w:pStyle w:val="TableHeading"/>
              <w:jc w:val="left"/>
            </w:pPr>
            <w:r>
              <w:rPr>
                <w:color w:val="FFFFFF"/>
              </w:rPr>
              <w:t xml:space="preserve">Contents</w:t>
            </w:r>
          </w:p>
        </w:tc>
      </w:tr>
      <w:tr>
        <w:trPr>
          <w:cantSplit/>
        </w:trPr>
        <w:tc>
          <w:tcPr>
            <w:tcW w:w="1779" w:type="dxa"/>
            <w:vAlign w:val="top"/>
          </w:tcPr>
          <w:p>
            <w:pPr>
              <w:pStyle w:val="TableText"/>
              <w:jc w:val="left"/>
            </w:pPr>
            <w:r>
              <w:t xml:space="preserve">Shared kernel</w:t>
            </w:r>
          </w:p>
        </w:tc>
        <w:tc>
          <w:tcPr>
            <w:tcW w:w="3589" w:type="dxa"/>
            <w:vAlign w:val="top"/>
          </w:tcPr>
          <w:p>
            <w:pPr>
              <w:pStyle w:val="TableText"/>
              <w:jc w:val="left"/>
            </w:pPr>
            <w:r>
              <w:rPr>
                <w:rStyle w:val="CodeChar"/>
              </w:rPr>
              <w:t xml:space="preserve">src/shared/</w:t>
            </w:r>
          </w:p>
        </w:tc>
        <w:tc>
          <w:tcPr>
            <w:tcW w:w="3659" w:type="dxa"/>
            <w:vAlign w:val="top"/>
          </w:tcPr>
          <w:p>
            <w:pPr>
              <w:pStyle w:val="TableText"/>
              <w:jc w:val="left"/>
            </w:pPr>
            <w:r>
              <w:t xml:space="preserve">Configuration, logger with PII redaction, cryptography, validation, resilience, metrics, errors, clock</w:t>
            </w:r>
          </w:p>
        </w:tc>
      </w:tr>
      <w:tr>
        <w:trPr>
          <w:cantSplit/>
        </w:trPr>
        <w:tc>
          <w:tcPr>
            <w:tcW w:w="1779" w:type="dxa"/>
            <w:shd w:val="clear" w:color="auto" w:fill="F4F7FB"/>
            <w:vAlign w:val="top"/>
          </w:tcPr>
          <w:p>
            <w:pPr>
              <w:pStyle w:val="TableText"/>
              <w:jc w:val="left"/>
            </w:pPr>
            <w:r>
              <w:t xml:space="preserve">Rules engine</w:t>
            </w:r>
          </w:p>
        </w:tc>
        <w:tc>
          <w:tcPr>
            <w:tcW w:w="3589" w:type="dxa"/>
            <w:shd w:val="clear" w:color="auto" w:fill="F4F7FB"/>
            <w:vAlign w:val="top"/>
          </w:tcPr>
          <w:p>
            <w:pPr>
              <w:pStyle w:val="TableText"/>
              <w:jc w:val="left"/>
            </w:pPr>
            <w:r>
              <w:rPr>
                <w:rStyle w:val="CodeChar"/>
              </w:rPr>
              <w:t xml:space="preserve">src/rules/</w:t>
            </w:r>
          </w:p>
        </w:tc>
        <w:tc>
          <w:tcPr>
            <w:tcW w:w="3659" w:type="dxa"/>
            <w:shd w:val="clear" w:color="auto" w:fill="F4F7FB"/>
            <w:vAlign w:val="top"/>
          </w:tcPr>
          <w:p>
            <w:pPr>
              <w:pStyle w:val="TableText"/>
              <w:jc w:val="left"/>
            </w:pPr>
            <w:r>
              <w:t xml:space="preserve">JSON Logic subset, decision tables, per-kind validators</w:t>
            </w:r>
          </w:p>
        </w:tc>
      </w:tr>
      <w:tr>
        <w:trPr>
          <w:cantSplit/>
        </w:trPr>
        <w:tc>
          <w:tcPr>
            <w:tcW w:w="1779" w:type="dxa"/>
            <w:vAlign w:val="top"/>
          </w:tcPr>
          <w:p>
            <w:pPr>
              <w:pStyle w:val="TableText"/>
              <w:jc w:val="left"/>
            </w:pPr>
            <w:r>
              <w:t xml:space="preserve">Domain</w:t>
            </w:r>
          </w:p>
        </w:tc>
        <w:tc>
          <w:tcPr>
            <w:tcW w:w="3589" w:type="dxa"/>
            <w:vAlign w:val="top"/>
          </w:tcPr>
          <w:p>
            <w:pPr>
              <w:pStyle w:val="TableText"/>
              <w:jc w:val="left"/>
            </w:pPr>
            <w:r>
              <w:rPr>
                <w:rStyle w:val="CodeChar"/>
              </w:rPr>
              <w:t xml:space="preserve">src/domain/</w:t>
            </w:r>
          </w:p>
        </w:tc>
        <w:tc>
          <w:tcPr>
            <w:tcW w:w="3659" w:type="dxa"/>
            <w:vAlign w:val="top"/>
          </w:tcPr>
          <w:p>
            <w:pPr>
              <w:pStyle w:val="TableText"/>
              <w:jc w:val="left"/>
            </w:pPr>
            <w:r>
              <w:t xml:space="preserve">Identity, enrichment, leads, rating, contact policy, voice dialogue, quick renewal</w:t>
            </w:r>
          </w:p>
        </w:tc>
      </w:tr>
      <w:tr>
        <w:trPr>
          <w:cantSplit/>
        </w:trPr>
        <w:tc>
          <w:tcPr>
            <w:tcW w:w="1779" w:type="dxa"/>
            <w:shd w:val="clear" w:color="auto" w:fill="F4F7FB"/>
            <w:vAlign w:val="top"/>
          </w:tcPr>
          <w:p>
            <w:pPr>
              <w:pStyle w:val="TableText"/>
              <w:jc w:val="left"/>
            </w:pPr>
            <w:r>
              <w:t xml:space="preserve">Application</w:t>
            </w:r>
          </w:p>
        </w:tc>
        <w:tc>
          <w:tcPr>
            <w:tcW w:w="3589" w:type="dxa"/>
            <w:shd w:val="clear" w:color="auto" w:fill="F4F7FB"/>
            <w:vAlign w:val="top"/>
          </w:tcPr>
          <w:p>
            <w:pPr>
              <w:pStyle w:val="TableText"/>
              <w:jc w:val="left"/>
            </w:pPr>
            <w:r>
              <w:rPr>
                <w:rStyle w:val="CodeChar"/>
              </w:rPr>
              <w:t xml:space="preserve">src/application/</w:t>
            </w:r>
          </w:p>
        </w:tc>
        <w:tc>
          <w:tcPr>
            <w:tcW w:w="3659" w:type="dxa"/>
            <w:shd w:val="clear" w:color="auto" w:fill="F4F7FB"/>
            <w:vAlign w:val="top"/>
          </w:tcPr>
          <w:p>
            <w:pPr>
              <w:pStyle w:val="TableText"/>
              <w:jc w:val="left"/>
            </w:pPr>
            <w:r>
              <w:t xml:space="preserve">One service per use-case area, access policy, rules service</w:t>
            </w:r>
          </w:p>
        </w:tc>
      </w:tr>
      <w:tr>
        <w:trPr>
          <w:cantSplit/>
        </w:trPr>
        <w:tc>
          <w:tcPr>
            <w:tcW w:w="1779" w:type="dxa"/>
            <w:vAlign w:val="top"/>
          </w:tcPr>
          <w:p>
            <w:pPr>
              <w:pStyle w:val="TableText"/>
              <w:jc w:val="left"/>
            </w:pPr>
            <w:r>
              <w:t xml:space="preserve">Composition root</w:t>
            </w:r>
          </w:p>
        </w:tc>
        <w:tc>
          <w:tcPr>
            <w:tcW w:w="3589" w:type="dxa"/>
            <w:vAlign w:val="top"/>
          </w:tcPr>
          <w:p>
            <w:pPr>
              <w:pStyle w:val="TableText"/>
              <w:jc w:val="left"/>
            </w:pPr>
            <w:r>
              <w:rPr>
                <w:rStyle w:val="CodeChar"/>
              </w:rPr>
              <w:t xml:space="preserve">src/bootstrap/container.js</w:t>
            </w:r>
          </w:p>
        </w:tc>
        <w:tc>
          <w:tcPr>
            <w:tcW w:w="3659" w:type="dxa"/>
            <w:vAlign w:val="top"/>
          </w:tcPr>
          <w:p>
            <w:pPr>
              <w:pStyle w:val="TableText"/>
              <w:jc w:val="left"/>
            </w:pPr>
            <w:r>
              <w:t xml:space="preserve">Adapter selection, wiring, event subscribers</w:t>
            </w:r>
          </w:p>
        </w:tc>
      </w:tr>
      <w:tr>
        <w:trPr>
          <w:cantSplit/>
        </w:trPr>
        <w:tc>
          <w:tcPr>
            <w:tcW w:w="1779" w:type="dxa"/>
            <w:shd w:val="clear" w:color="auto" w:fill="F4F7FB"/>
            <w:vAlign w:val="top"/>
          </w:tcPr>
          <w:p>
            <w:pPr>
              <w:pStyle w:val="TableText"/>
              <w:jc w:val="left"/>
            </w:pPr>
            <w:r>
              <w:t xml:space="preserve">Persistence</w:t>
            </w:r>
          </w:p>
        </w:tc>
        <w:tc>
          <w:tcPr>
            <w:tcW w:w="3589" w:type="dxa"/>
            <w:shd w:val="clear" w:color="auto" w:fill="F4F7FB"/>
            <w:vAlign w:val="top"/>
          </w:tcPr>
          <w:p>
            <w:pPr>
              <w:pStyle w:val="TableText"/>
              <w:jc w:val="left"/>
            </w:pPr>
            <w:r>
              <w:rPr>
                <w:rStyle w:val="CodeChar"/>
              </w:rPr>
              <w:t xml:space="preserve">src/adapters/persistence/</w:t>
            </w:r>
          </w:p>
        </w:tc>
        <w:tc>
          <w:tcPr>
            <w:tcW w:w="3659" w:type="dxa"/>
            <w:shd w:val="clear" w:color="auto" w:fill="F4F7FB"/>
            <w:vAlign w:val="top"/>
          </w:tcPr>
          <w:p>
            <w:pPr>
              <w:pStyle w:val="TableText"/>
              <w:jc w:val="left"/>
            </w:pPr>
            <w:r>
              <w:t xml:space="preserve">Collection registry, codec, PostgreSQL and in-memory stores, audit chain</w:t>
            </w:r>
          </w:p>
        </w:tc>
      </w:tr>
      <w:tr>
        <w:trPr>
          <w:cantSplit/>
        </w:trPr>
        <w:tc>
          <w:tcPr>
            <w:tcW w:w="1779" w:type="dxa"/>
            <w:vAlign w:val="top"/>
          </w:tcPr>
          <w:p>
            <w:pPr>
              <w:pStyle w:val="TableText"/>
              <w:jc w:val="left"/>
            </w:pPr>
            <w:r>
              <w:t xml:space="preserve">Messaging</w:t>
            </w:r>
          </w:p>
        </w:tc>
        <w:tc>
          <w:tcPr>
            <w:tcW w:w="3589" w:type="dxa"/>
            <w:vAlign w:val="top"/>
          </w:tcPr>
          <w:p>
            <w:pPr>
              <w:pStyle w:val="TableText"/>
              <w:jc w:val="left"/>
            </w:pPr>
            <w:r>
              <w:rPr>
                <w:rStyle w:val="CodeChar"/>
              </w:rPr>
              <w:t xml:space="preserve">src/adapters/messaging/</w:t>
            </w:r>
          </w:p>
        </w:tc>
        <w:tc>
          <w:tcPr>
            <w:tcW w:w="3659" w:type="dxa"/>
            <w:vAlign w:val="top"/>
          </w:tcPr>
          <w:p>
            <w:pPr>
              <w:pStyle w:val="TableText"/>
              <w:jc w:val="left"/>
            </w:pPr>
            <w:r>
              <w:t xml:space="preserve">Outbox event bus</w:t>
            </w:r>
          </w:p>
        </w:tc>
      </w:tr>
      <w:tr>
        <w:trPr>
          <w:cantSplit/>
        </w:trPr>
        <w:tc>
          <w:tcPr>
            <w:tcW w:w="1779" w:type="dxa"/>
            <w:shd w:val="clear" w:color="auto" w:fill="F4F7FB"/>
            <w:vAlign w:val="top"/>
          </w:tcPr>
          <w:p>
            <w:pPr>
              <w:pStyle w:val="TableText"/>
              <w:jc w:val="left"/>
            </w:pPr>
            <w:r>
              <w:t xml:space="preserve">Integrations</w:t>
            </w:r>
          </w:p>
        </w:tc>
        <w:tc>
          <w:tcPr>
            <w:tcW w:w="3589" w:type="dxa"/>
            <w:shd w:val="clear" w:color="auto" w:fill="F4F7FB"/>
            <w:vAlign w:val="top"/>
          </w:tcPr>
          <w:p>
            <w:pPr>
              <w:pStyle w:val="TableText"/>
              <w:jc w:val="left"/>
            </w:pPr>
            <w:r>
              <w:rPr>
                <w:rStyle w:val="CodeChar"/>
              </w:rPr>
              <w:t xml:space="preserve">src/adapters/integrations/</w:t>
            </w:r>
          </w:p>
        </w:tc>
        <w:tc>
          <w:tcPr>
            <w:tcW w:w="3659" w:type="dxa"/>
            <w:shd w:val="clear" w:color="auto" w:fill="F4F7FB"/>
            <w:vAlign w:val="top"/>
          </w:tcPr>
          <w:p>
            <w:pPr>
              <w:pStyle w:val="TableText"/>
              <w:jc w:val="left"/>
            </w:pPr>
            <w:r>
              <w:t xml:space="preserve">TASCO core REST client, simulated core, sandbox gateways (VETC wallet, TASCO payment, policy issuance, notifications), simulated caller, synthetic VETC source</w:t>
            </w:r>
          </w:p>
        </w:tc>
      </w:tr>
      <w:tr>
        <w:trPr>
          <w:cantSplit/>
        </w:trPr>
        <w:tc>
          <w:tcPr>
            <w:tcW w:w="1779" w:type="dxa"/>
            <w:vAlign w:val="top"/>
          </w:tcPr>
          <w:p>
            <w:pPr>
              <w:pStyle w:val="TableText"/>
              <w:jc w:val="left"/>
            </w:pPr>
            <w:r>
              <w:t xml:space="preserve">HTTP</w:t>
            </w:r>
          </w:p>
        </w:tc>
        <w:tc>
          <w:tcPr>
            <w:tcW w:w="3589" w:type="dxa"/>
            <w:vAlign w:val="top"/>
          </w:tcPr>
          <w:p>
            <w:pPr>
              <w:pStyle w:val="TableText"/>
              <w:jc w:val="left"/>
            </w:pPr>
            <w:r>
              <w:rPr>
                <w:rStyle w:val="CodeChar"/>
              </w:rPr>
              <w:t xml:space="preserve">src/adapters/http/</w:t>
            </w:r>
          </w:p>
        </w:tc>
        <w:tc>
          <w:tcPr>
            <w:tcW w:w="3659" w:type="dxa"/>
            <w:vAlign w:val="top"/>
          </w:tcPr>
          <w:p>
            <w:pPr>
              <w:pStyle w:val="TableText"/>
              <w:jc w:val="left"/>
            </w:pPr>
            <w:r>
              <w:t xml:space="preserve">Request pipeline, route table, router, OpenAPI generator, security headers</w:t>
            </w:r>
          </w:p>
        </w:tc>
      </w:tr>
      <w:tr>
        <w:trPr>
          <w:cantSplit/>
        </w:trPr>
        <w:tc>
          <w:tcPr>
            <w:tcW w:w="1779" w:type="dxa"/>
            <w:shd w:val="clear" w:color="auto" w:fill="F4F7FB"/>
            <w:vAlign w:val="top"/>
          </w:tcPr>
          <w:p>
            <w:pPr>
              <w:pStyle w:val="TableText"/>
              <w:jc w:val="left"/>
            </w:pPr>
            <w:r>
              <w:t xml:space="preserve">Processes</w:t>
            </w:r>
          </w:p>
        </w:tc>
        <w:tc>
          <w:tcPr>
            <w:tcW w:w="3589" w:type="dxa"/>
            <w:shd w:val="clear" w:color="auto" w:fill="F4F7FB"/>
            <w:vAlign w:val="top"/>
          </w:tcPr>
          <w:p>
            <w:pPr>
              <w:pStyle w:val="TableText"/>
              <w:jc w:val="left"/>
            </w:pPr>
            <w:r>
              <w:rPr>
                <w:rStyle w:val="CodeChar"/>
              </w:rPr>
              <w:t xml:space="preserve">src/server.js</w:t>
            </w:r>
            <w:r>
              <w:t xml:space="preserve">,</w:t>
            </w:r>
            <w:r>
              <w:t xml:space="preserve"> </w:t>
            </w:r>
            <w:r>
              <w:rPr>
                <w:rStyle w:val="CodeChar"/>
              </w:rPr>
              <w:t xml:space="preserve">src/jobs/cli.js</w:t>
            </w:r>
          </w:p>
        </w:tc>
        <w:tc>
          <w:tcPr>
            <w:tcW w:w="3659" w:type="dxa"/>
            <w:shd w:val="clear" w:color="auto" w:fill="F4F7FB"/>
            <w:vAlign w:val="top"/>
          </w:tcPr>
          <w:p>
            <w:pPr>
              <w:pStyle w:val="TableText"/>
              <w:jc w:val="left"/>
            </w:pPr>
            <w:r>
              <w:t xml:space="preserve">API server and batch jobs</w:t>
            </w:r>
          </w:p>
        </w:tc>
      </w:tr>
      <w:tr>
        <w:trPr>
          <w:cantSplit/>
        </w:trPr>
        <w:tc>
          <w:tcPr>
            <w:tcW w:w="1779" w:type="dxa"/>
            <w:vAlign w:val="top"/>
          </w:tcPr>
          <w:p>
            <w:pPr>
              <w:pStyle w:val="TableText"/>
              <w:jc w:val="left"/>
            </w:pPr>
            <w:r>
              <w:t xml:space="preserve">Configuration</w:t>
            </w:r>
          </w:p>
        </w:tc>
        <w:tc>
          <w:tcPr>
            <w:tcW w:w="3589" w:type="dxa"/>
            <w:vAlign w:val="top"/>
          </w:tcPr>
          <w:p>
            <w:pPr>
              <w:pStyle w:val="TableText"/>
              <w:jc w:val="left"/>
            </w:pPr>
            <w:r>
              <w:rPr>
                <w:rStyle w:val="CodeChar"/>
              </w:rPr>
              <w:t xml:space="preserve">config/rules/</w:t>
            </w:r>
            <w:r>
              <w:t xml:space="preserve">,</w:t>
            </w:r>
            <w:r>
              <w:t xml:space="preserve"> </w:t>
            </w:r>
            <w:r>
              <w:rPr>
                <w:rStyle w:val="CodeChar"/>
              </w:rPr>
              <w:t xml:space="preserve">config/security/rbac.json</w:t>
            </w:r>
          </w:p>
        </w:tc>
        <w:tc>
          <w:tcPr>
            <w:tcW w:w="3659" w:type="dxa"/>
            <w:vAlign w:val="top"/>
          </w:tcPr>
          <w:p>
            <w:pPr>
              <w:pStyle w:val="TableText"/>
              <w:jc w:val="left"/>
            </w:pPr>
            <w:r>
              <w:t xml:space="preserve">Rule kinds; roles, separation of duties, restricted rule kinds</w:t>
            </w:r>
          </w:p>
        </w:tc>
      </w:tr>
      <w:tr>
        <w:trPr>
          <w:cantSplit/>
        </w:trPr>
        <w:tc>
          <w:tcPr>
            <w:tcW w:w="1779" w:type="dxa"/>
            <w:shd w:val="clear" w:color="auto" w:fill="F4F7FB"/>
            <w:vAlign w:val="top"/>
          </w:tcPr>
          <w:p>
            <w:pPr>
              <w:pStyle w:val="TableText"/>
              <w:jc w:val="left"/>
            </w:pPr>
            <w:r>
              <w:t xml:space="preserve">Schema</w:t>
            </w:r>
          </w:p>
        </w:tc>
        <w:tc>
          <w:tcPr>
            <w:tcW w:w="3589" w:type="dxa"/>
            <w:shd w:val="clear" w:color="auto" w:fill="F4F7FB"/>
            <w:vAlign w:val="top"/>
          </w:tcPr>
          <w:p>
            <w:pPr>
              <w:pStyle w:val="TableText"/>
              <w:jc w:val="left"/>
            </w:pPr>
            <w:r>
              <w:rPr>
                <w:rStyle w:val="CodeChar"/>
              </w:rPr>
              <w:t xml:space="preserve">db/migrations/</w:t>
            </w:r>
          </w:p>
        </w:tc>
        <w:tc>
          <w:tcPr>
            <w:tcW w:w="3659" w:type="dxa"/>
            <w:shd w:val="clear" w:color="auto" w:fill="F4F7FB"/>
            <w:vAlign w:val="top"/>
          </w:tcPr>
          <w:p>
            <w:pPr>
              <w:pStyle w:val="TableText"/>
              <w:jc w:val="left"/>
            </w:pPr>
            <w:r>
              <w:rPr>
                <w:rStyle w:val="CodeChar"/>
              </w:rPr>
              <w:t xml:space="preserve">001</w:t>
            </w:r>
            <w:r>
              <w:t xml:space="preserve"> </w:t>
            </w:r>
            <w:r>
              <w:t xml:space="preserve">collection tables and audit log;</w:t>
            </w:r>
            <w:r>
              <w:t xml:space="preserve"> </w:t>
            </w:r>
            <w:r>
              <w:rPr>
                <w:rStyle w:val="CodeChar"/>
              </w:rPr>
              <w:t xml:space="preserve">002</w:t>
            </w:r>
            <w:r>
              <w:t xml:space="preserve"> </w:t>
            </w:r>
            <w:r>
              <w:t xml:space="preserve">integrity hardening;</w:t>
            </w:r>
            <w:r>
              <w:t xml:space="preserve"> </w:t>
            </w:r>
            <w:r>
              <w:rPr>
                <w:rStyle w:val="CodeChar"/>
              </w:rPr>
              <w:t xml:space="preserve">003</w:t>
            </w:r>
            <w:r>
              <w:t xml:space="preserve"> </w:t>
            </w:r>
            <w:r>
              <w:t xml:space="preserve">data-subject request register</w:t>
            </w:r>
          </w:p>
        </w:tc>
      </w:tr>
      <w:tr>
        <w:trPr>
          <w:cantSplit/>
        </w:trPr>
        <w:tc>
          <w:tcPr>
            <w:tcW w:w="1779" w:type="dxa"/>
            <w:vAlign w:val="top"/>
          </w:tcPr>
          <w:p>
            <w:pPr>
              <w:pStyle w:val="TableText"/>
              <w:jc w:val="left"/>
            </w:pPr>
            <w:r>
              <w:t xml:space="preserve">Deployment</w:t>
            </w:r>
          </w:p>
        </w:tc>
        <w:tc>
          <w:tcPr>
            <w:tcW w:w="3589" w:type="dxa"/>
            <w:vAlign w:val="top"/>
          </w:tcPr>
          <w:p>
            <w:pPr>
              <w:pStyle w:val="TableText"/>
              <w:jc w:val="left"/>
            </w:pPr>
            <w:r>
              <w:rPr>
                <w:rStyle w:val="CodeChar"/>
              </w:rPr>
              <w:t xml:space="preserve">Dockerfile</w:t>
            </w:r>
            <w:r>
              <w:t xml:space="preserve">,</w:t>
            </w:r>
            <w:r>
              <w:t xml:space="preserve"> </w:t>
            </w:r>
            <w:r>
              <w:rPr>
                <w:rStyle w:val="CodeChar"/>
              </w:rPr>
              <w:t xml:space="preserve">deploy/k8s/</w:t>
            </w:r>
            <w:r>
              <w:t xml:space="preserve">,</w:t>
            </w:r>
            <w:r>
              <w:t xml:space="preserve"> </w:t>
            </w:r>
            <w:r>
              <w:rPr>
                <w:rStyle w:val="CodeChar"/>
              </w:rPr>
              <w:t xml:space="preserve">railway.json</w:t>
            </w:r>
            <w:r>
              <w:t xml:space="preserve">,</w:t>
            </w:r>
            <w:r>
              <w:t xml:space="preserve"> </w:t>
            </w:r>
            <w:r>
              <w:rPr>
                <w:rStyle w:val="CodeChar"/>
              </w:rPr>
              <w:t xml:space="preserve">.github/workflows/ci.yml</w:t>
            </w:r>
          </w:p>
        </w:tc>
        <w:tc>
          <w:tcPr>
            <w:tcW w:w="3659" w:type="dxa"/>
            <w:vAlign w:val="top"/>
          </w:tcPr>
          <w:p>
            <w:pPr>
              <w:pStyle w:val="TableText"/>
              <w:jc w:val="left"/>
            </w:pPr>
            <w:r>
              <w:t xml:space="preserve">Image, manifests, UAT hosting, pipeline</w:t>
            </w:r>
          </w:p>
        </w:tc>
      </w:tr>
    </w:tbl>
    <w:p w14:paraId="12E0A58E" w14:textId="77777777" w:rsidR="002B183A" w:rsidRPr="00465CAB" w:rsidRDefault="002B183A" w:rsidP="002B183A">
      <w:pPr>
        <w:pStyle w:val="Heading1"/>
        <w:pageBreakBefore/>
        <w:numPr>
          <w:ilvl w:val="0"/>
          <w:numId w:val="1"/>
        </w:numPr>
        <w:tabs>
          <w:tab w:val="num" w:pos="600"/>
        </w:tabs>
        <w:spacing w:before="360" w:after="160"/>
        <w:ind w:left="0" w:firstLine="0"/>
        <w:rPr>
          <w:rStyle w:val="BookTitle"/>
          <w:b w:val="0"/>
          <w:bCs w:val="0"/>
          <w:i w:val="0"/>
          <w:iCs w:val="0"/>
          <w:spacing w:val="0"/>
        </w:rPr>
      </w:pPr>
      <w:bookmarkStart w:id="40" w:name="_Toc300000036"/>
      <w:r>
        <w:rPr>
          <w:rStyle w:val="BookTitle"/>
          <w:bCs w:val="0"/>
          <w:i w:val="0"/>
          <w:iCs w:val="0"/>
          <w:spacing w:val="0"/>
        </w:rPr>
        <w:t xml:space="preserve">Sign-Off</w:t>
      </w:r>
      <w:bookmarkEnd w:id="40"/>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972"/>
        <w:gridCol w:w="4583"/>
        <w:gridCol w:w="2500"/>
        <w:gridCol w:w="972"/>
      </w:tblGrid>
      <w:tr w:rsidR="002B183A" w14:paraId="0ABAE4AD" w14:textId="77777777" w:rsidTr="002923F3">
        <w:trPr>
          <w:cantSplit/>
          <w:trHeight w:val="440"/>
          <w:tblHeader/>
        </w:trPr>
        <w:tc>
          <w:tcPr>
            <w:tcW w:w="972" w:type="dxa"/>
            <w:shd w:val="clear" w:color="auto" w:fill="0F4761"/>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lastRenderedPageBreak/>
              <w:t>Serial Number</w:t>
            </w:r>
          </w:p>
        </w:tc>
        <w:tc>
          <w:tcPr>
            <w:tcW w:w="4583" w:type="dxa"/>
            <w:shd w:val="clear" w:color="auto" w:fill="0F4761"/>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Description</w:t>
            </w:r>
          </w:p>
        </w:tc>
        <w:tc>
          <w:tcPr>
            <w:tcW w:w="2500" w:type="dxa"/>
            <w:shd w:val="clear" w:color="auto" w:fill="0F4761"/>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Owner</w:t>
            </w:r>
          </w:p>
        </w:tc>
        <w:tc>
          <w:tcPr>
            <w:tcW w:w="972" w:type="dxa"/>
            <w:shd w:val="clear" w:color="auto" w:fill="0F4761"/>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Status</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1</w:t>
            </w:r>
          </w:p>
        </w:tc>
        <w:tc>
          <w:tcPr>
            <w:tcW w:w="4583"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Rating mode for TASCO core outages (core only or core with indicative fallback)</w:t>
            </w:r>
          </w:p>
        </w:tc>
        <w:tc>
          <w:tcPr>
            <w:tcW w:w="2500"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IT Architecture and Underwriting</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2</w:t>
            </w:r>
          </w:p>
        </w:tc>
        <w:tc>
          <w:tcPr>
            <w:tcW w:w="4583"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TASCO core interface specification for rating, catalogue, issuance and policy extract</w:t>
            </w:r>
          </w:p>
        </w:tc>
        <w:tc>
          <w:tcPr>
            <w:tcW w:w="2500"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IT Architecture</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3</w:t>
            </w:r>
          </w:p>
        </w:tc>
        <w:tc>
          <w:tcPr>
            <w:tcW w:w="4583"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Hosting provider in Vietnam and data-residency position</w:t>
            </w:r>
          </w:p>
        </w:tc>
        <w:tc>
          <w:tcPr>
            <w:tcW w:w="2500"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IT and TASCO legal</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r w:rsidR="002B183A" w:rsidRPr="00BB346A" w14:paraId="4AA02A28" w14:textId="77777777" w:rsidTr="002923F3">
        <w:trPr>
          <w:cantSplit/>
          <w:trHeight w:val="449"/>
        </w:trPr>
        <w:tc>
          <w:tcPr>
            <w:tcW w:w="972" w:type="dxa"/>
            <w:vAlign w:val="top"/>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4</w:t>
            </w:r>
          </w:p>
        </w:tc>
        <w:tc>
          <w:tcPr>
            <w:tcW w:w="4583" w:type="dxa"/>
            <w:vAlign w:val="top"/>
          </w:tcPr>
          <w:p w14:paraId="38D2703A" w14:textId="77777777" w:rsidR="002B183A" w:rsidRPr="009876A6" w:rsidRDefault="002B183A" w:rsidP="002923F3">
            <w:pPr>
              <w:spacing w:before="60"/>
              <w:jc w:val="left"/>
              <w:rPr>
                <w:rFonts w:ascii="Segoe UI" w:eastAsia="Arial" w:hAnsi="Segoe UI" w:cs="Segoe UI"/>
                <w:color w:val="101820"/>
                <w:sz w:val="16"/>
                <w:szCs w:val="16"/>
              </w:rPr>
            </w:pPr>
            <w:r>
              <w:rPr>
                <w:rFonts w:ascii="Segoe UI" w:eastAsia="Arial" w:hAnsi="Segoe UI" w:cs="Segoe UI"/>
                <w:color w:val="101820"/>
                <w:sz w:val="16"/>
                <w:szCs w:val="16"/>
              </w:rPr>
              <w:t xml:space="preserve">Classification of licence plates as personal data</w:t>
            </w:r>
          </w:p>
        </w:tc>
        <w:tc>
          <w:tcPr>
            <w:tcW w:w="2500" w:type="dxa"/>
            <w:vAlign w:val="top"/>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TASCO legal and DPO</w:t>
            </w:r>
          </w:p>
        </w:tc>
        <w:tc>
          <w:tcPr>
            <w:tcW w:w="972" w:type="dxa"/>
            <w:vAlign w:val="top"/>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eastAsia="Arial" w:hAnsi="Segoe UI" w:cs="Segoe UI"/>
                <w:color w:val="101820"/>
                <w:sz w:val="16"/>
                <w:szCs w:val="16"/>
              </w:rPr>
              <w:t xml:space="preserve">Open</w:t>
            </w:r>
          </w:p>
        </w:tc>
      </w:tr>
    </w:tbl>
    <w:p w14:paraId="57CC15FC" w14:textId="77777777" w:rsidR="002B183A" w:rsidRDefault="002B183A" w:rsidP="002B183A">
      <w:pPr>
        <w:jc w:val="both"/>
        <w:rPr>
          <w:rFonts w:ascii="Segoe UI" w:eastAsia="Arial" w:hAnsi="Segoe UI" w:cs="Segoe UI"/>
          <w:color w:val="101820"/>
          <w:sz w:val="22"/>
        </w:rPr>
      </w:pPr>
    </w:p>
    <w:tbl>
      <w:tblPr>
        <w:tblStyle w:val="TableGrid"/>
        <w:tblW w:w="5000" w:type="pct"/>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top w:w="45" w:type="dxa"/>
          <w:left w:w="85" w:type="dxa"/>
          <w:bottom w:w="45" w:type="dxa"/>
          <w:right w:w="85" w:type="dxa"/>
        </w:tblCellMar>
        <w:tblLook w:val="04A0" w:firstRow="1" w:lastRow="0" w:firstColumn="0" w:lastColumn="0" w:noHBand="0" w:noVBand="1"/>
      </w:tblPr>
      <w:tblGrid>
        <w:gridCol w:w="1073"/>
        <w:gridCol w:w="1690"/>
        <w:gridCol w:w="2648"/>
        <w:gridCol w:w="3616"/>
      </w:tblGrid>
      <w:tr w:rsidR="002B183A" w14:paraId="731A77C7" w14:textId="77777777" w:rsidTr="002923F3">
        <w:trPr>
          <w:cantSplit/>
          <w:trHeight w:val="440"/>
          <w:tblHeader/>
        </w:trPr>
        <w:tc>
          <w:tcPr>
            <w:tcW w:w="1073" w:type="dxa"/>
            <w:shd w:val="clear" w:color="auto" w:fill="0F4761"/>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 xml:space="preserve">Sign Off </w:t>
            </w:r>
            <w:r w:rsidRPr="00FF67C3">
              <w:rPr>
                <w:rFonts w:ascii="Segoe UI" w:eastAsia="Arial" w:hAnsi="Segoe UI" w:cs="Segoe UI"/>
                <w:b/>
                <w:bCs/>
                <w:color w:val="FFFFFF"/>
                <w:sz w:val="16"/>
                <w:szCs w:val="16"/>
              </w:rPr>
              <w:t>Date</w:t>
            </w:r>
          </w:p>
        </w:tc>
        <w:tc>
          <w:tcPr>
            <w:tcW w:w="1690" w:type="dxa"/>
            <w:shd w:val="clear" w:color="auto" w:fill="0F4761"/>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Signature</w:t>
            </w:r>
          </w:p>
        </w:tc>
        <w:tc>
          <w:tcPr>
            <w:tcW w:w="2648" w:type="dxa"/>
            <w:shd w:val="clear" w:color="auto" w:fill="0F4761"/>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Approved By</w:t>
            </w:r>
          </w:p>
        </w:tc>
        <w:tc>
          <w:tcPr>
            <w:tcW w:w="3616" w:type="dxa"/>
            <w:shd w:val="clear" w:color="auto" w:fill="0F4761"/>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FFFFFF"/>
                <w:sz w:val="16"/>
                <w:szCs w:val="16"/>
              </w:rPr>
              <w:t>Department &amp; Project Role</w:t>
            </w:r>
          </w:p>
        </w:tc>
      </w:tr>
      <w:tr w:rsidR="002B183A" w:rsidRPr="00BB346A" w14:paraId="2AD1806B" w14:textId="77777777" w:rsidTr="002923F3">
        <w:trPr>
          <w:cantSplit/>
          <w:trHeight w:val="760"/>
        </w:trPr>
        <w:tc>
          <w:tcPr>
            <w:tcW w:w="1073"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90"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48"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616"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Programme Sponsor</w:t>
            </w:r>
          </w:p>
        </w:tc>
      </w:tr>
      <w:tr w:rsidR="002B183A" w:rsidRPr="00BB346A" w14:paraId="2AD1806B" w14:textId="77777777" w:rsidTr="002923F3">
        <w:trPr>
          <w:cantSplit/>
          <w:trHeight w:val="760"/>
        </w:trPr>
        <w:tc>
          <w:tcPr>
            <w:tcW w:w="1073"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90"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48"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TASCO Insurance</w:t>
            </w:r>
          </w:p>
        </w:tc>
        <w:tc>
          <w:tcPr>
            <w:tcW w:w="3616"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IT Architecture</w:t>
            </w:r>
          </w:p>
        </w:tc>
      </w:tr>
      <w:tr w:rsidR="002B183A" w:rsidRPr="00BB346A" w14:paraId="2AD1806B" w14:textId="77777777" w:rsidTr="002923F3">
        <w:trPr>
          <w:cantSplit/>
          <w:trHeight w:val="760"/>
        </w:trPr>
        <w:tc>
          <w:tcPr>
            <w:tcW w:w="1073" w:type="dxa"/>
            <w:vAlign w:val="top"/>
          </w:tcPr>
          <w:p w14:paraId="59720FD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1690" w:type="dxa"/>
            <w:vAlign w:val="top"/>
          </w:tcPr>
          <w:p w14:paraId="07D5AEF4"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
            </w:r>
          </w:p>
        </w:tc>
        <w:tc>
          <w:tcPr>
            <w:tcW w:w="2648" w:type="dxa"/>
            <w:vAlign w:val="top"/>
          </w:tcPr>
          <w:p w14:paraId="2BA57AF1" w14:textId="77777777" w:rsidR="002B183A" w:rsidRPr="009876A6"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iorta TechNXT</w:t>
            </w:r>
          </w:p>
        </w:tc>
        <w:tc>
          <w:tcPr>
            <w:tcW w:w="3616" w:type="dxa"/>
            <w:vAlign w:val="top"/>
          </w:tcPr>
          <w:p w14:paraId="066A4127" w14:textId="77777777" w:rsidR="002B183A" w:rsidRDefault="002B183A" w:rsidP="002923F3">
            <w:pPr>
              <w:spacing w:before="60"/>
              <w:rPr>
                <w:rFonts w:ascii="Segoe UI" w:eastAsia="Arial" w:hAnsi="Segoe UI" w:cs="Segoe UI"/>
                <w:color w:val="101820"/>
                <w:sz w:val="16"/>
                <w:szCs w:val="16"/>
              </w:rPr>
            </w:pPr>
            <w:r>
              <w:rPr>
                <w:rFonts w:ascii="Segoe UI" w:eastAsia="Arial" w:hAnsi="Segoe UI" w:cs="Segoe UI"/>
                <w:color w:val="101820"/>
                <w:sz w:val="16"/>
                <w:szCs w:val="16"/>
              </w:rPr>
              <w:t xml:space="preserve">Solution Architecture</w:t>
            </w:r>
          </w:p>
        </w:tc>
      </w:tr>
    </w:tbl>
    <w:p w14:paraId="1146A836" w14:textId="10B273DD" w:rsidR="00EE516B" w:rsidRDefault="002B183A">
      <w:r w:rsidRPr="00FE19FE">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pStyle w:val="Heading2"/>
      <w:lvlText w:val="%1.%2."/>
      <w:lvlJc w:val="left"/>
      <w:pPr>
        <w:ind w:left="720" w:hanging="720"/>
      </w:pPr>
      <w:rPr>
        <w:rFonts w:ascii="Segoe UI" w:hAnsi="Segoe UI" w:hint="default"/>
        <w:b/>
        <w:i w:val="0"/>
        <w:color w:val="0F4761"/>
        <w:sz w:val="26"/>
        <w:szCs w:val="26"/>
      </w:rPr>
    </w:lvl>
    <w:lvl w:ilvl="2">
      <w:start w:val="1"/>
      <w:numFmt w:val="decimal"/>
      <w:pStyle w:val="Heading3"/>
      <w:lvlText w:val="%1.%2.%3."/>
      <w:lvlJc w:val="left"/>
      <w:pPr>
        <w:ind w:left="864" w:hanging="864"/>
      </w:pPr>
      <w:rPr>
        <w:rFonts w:ascii="Segoe UI" w:hAnsi="Segoe UI" w:hint="default"/>
        <w:b/>
        <w:i w:val="0"/>
        <w:color w:val="0F4761"/>
        <w:sz w:val="23"/>
        <w:szCs w:val="23"/>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90">
    <w:nsid w:val="A990"/>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abstractNum w:abstractNumId="991">
    <w:nsid w:val="A991"/>
    <w:multiLevelType w:val="multilevel"/>
    <w:lvl w:ilvl="0">
      <w:numFmt w:val="bullet"/>
      <w:lvlText w:val="•"/>
      <w:lvlJc w:val="left"/>
      <w:pPr>
        <w:ind w:left="360" w:hanging="284"/>
      </w:pPr>
      <w:rPr>
        <w:rFonts w:ascii="Segoe UI" w:hAnsi="Segoe UI" w:eastAsia="Segoe UI" w:cs="Segoe UI"/>
        <w:color w:val="1D74BA"/>
      </w:rPr>
    </w:lvl>
    <w:lvl w:ilvl="1">
      <w:numFmt w:val="bullet"/>
      <w:lvlText w:val="–"/>
      <w:lvlJc w:val="left"/>
      <w:pPr>
        <w:ind w:left="720" w:hanging="284"/>
      </w:pPr>
      <w:rPr>
        <w:rFonts w:ascii="Segoe UI" w:hAnsi="Segoe UI" w:eastAsia="Segoe UI" w:cs="Segoe UI"/>
        <w:color w:val="1D74BA"/>
      </w:rPr>
    </w:lvl>
    <w:lvl w:ilvl="2">
      <w:numFmt w:val="bullet"/>
      <w:lvlText w:val="◦"/>
      <w:lvlJc w:val="left"/>
      <w:pPr>
        <w:ind w:left="1080" w:hanging="284"/>
      </w:pPr>
      <w:rPr>
        <w:rFonts w:ascii="Segoe UI" w:hAnsi="Segoe UI" w:eastAsia="Segoe UI" w:cs="Segoe UI"/>
        <w:color w:val="1D74BA"/>
      </w:rPr>
    </w:lvl>
    <w:lvl w:ilvl="3">
      <w:numFmt w:val="bullet"/>
      <w:lvlText w:val="•"/>
      <w:lvlJc w:val="left"/>
      <w:pPr>
        <w:ind w:left="1440" w:hanging="284"/>
      </w:pPr>
      <w:rPr>
        <w:rFonts w:ascii="Segoe UI" w:hAnsi="Segoe UI" w:eastAsia="Segoe UI" w:cs="Segoe UI"/>
        <w:color w:val="1D74BA"/>
      </w:rPr>
    </w:lvl>
    <w:lvl w:ilvl="4">
      <w:numFmt w:val="bullet"/>
      <w:lvlText w:val="–"/>
      <w:lvlJc w:val="left"/>
      <w:pPr>
        <w:ind w:left="1800" w:hanging="284"/>
      </w:pPr>
      <w:rPr>
        <w:rFonts w:ascii="Segoe UI" w:hAnsi="Segoe UI" w:eastAsia="Segoe UI" w:cs="Segoe UI"/>
        <w:color w:val="1D74BA"/>
      </w:rPr>
    </w:lvl>
    <w:lvl w:ilvl="5">
      <w:numFmt w:val="bullet"/>
      <w:lvlText w:val="◦"/>
      <w:lvlJc w:val="left"/>
      <w:pPr>
        <w:ind w:left="2160" w:hanging="284"/>
      </w:pPr>
      <w:rPr>
        <w:rFonts w:ascii="Segoe UI" w:hAnsi="Segoe UI" w:eastAsia="Segoe UI" w:cs="Segoe UI"/>
        <w:color w:val="1D74BA"/>
      </w:rPr>
    </w:lvl>
    <w:lvl w:ilvl="6">
      <w:numFmt w:val="bullet"/>
      <w:lvlText w:val="•"/>
      <w:lvlJc w:val="left"/>
      <w:pPr>
        <w:ind w:left="2520" w:hanging="284"/>
      </w:pPr>
      <w:rPr>
        <w:rFonts w:ascii="Segoe UI" w:hAnsi="Segoe UI" w:eastAsia="Segoe UI" w:cs="Segoe UI"/>
        <w:color w:val="1D74BA"/>
      </w:rPr>
    </w:lvl>
    <w:lvl w:ilvl="7">
      <w:numFmt w:val="bullet"/>
      <w:lvlText w:val="–"/>
      <w:lvlJc w:val="left"/>
      <w:pPr>
        <w:ind w:left="2880" w:hanging="284"/>
      </w:pPr>
      <w:rPr>
        <w:rFonts w:ascii="Segoe UI" w:hAnsi="Segoe UI" w:eastAsia="Segoe UI" w:cs="Segoe UI"/>
        <w:color w:val="1D74BA"/>
      </w:rPr>
    </w:lvl>
    <w:lvl w:ilvl="8">
      <w:numFmt w:val="bullet"/>
      <w:lvlText w:val="◦"/>
      <w:lvlJc w:val="left"/>
      <w:pPr>
        <w:ind w:left="3240" w:hanging="284"/>
      </w:pPr>
      <w:rPr>
        <w:rFonts w:ascii="Segoe UI" w:hAnsi="Segoe UI" w:eastAsia="Segoe UI" w:cs="Segoe UI"/>
        <w:color w:val="1D74BA"/>
      </w:rPr>
    </w:lvl>
  </w:abstractNum>
  <w:num w:numId="1" w16cid:durableId="1413504409">
    <w:abstractNumId w:val="0"/>
  </w:num>
  <w:num w:numId="2" w16cid:durableId="1722510407">
    <w:abstractNumId w:val="1"/>
  </w:num>
  <w:num w:numId="1000">
    <w:abstractNumId w:val="990"/>
  </w:num>
  <w:num w:numId="1001">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styleId="BodyText">
    <w:name w:val="Body Text"/>
    <w:basedOn w:val="Normal"/>
    <w:qFormat/>
    <w:pPr>
      <w:spacing w:before="0" w:after="140" w:line="276" w:lineRule="auto"/>
      <w:jc w:val="both"/>
    </w:pPr>
    <w:rPr>
      <w:rFonts w:ascii="Segoe UI" w:hAnsi="Segoe UI" w:eastAsia="Segoe UI" w:cs="Segoe UI"/>
      <w:color w:val="101820"/>
      <w:sz w:val="22"/>
      <w:szCs w:val="22"/>
    </w:rPr>
  </w:style>
  <w:style w:type="paragraph" w:customStyle="1" w:styleId="FirstParagraph">
    <w:name w:val="First Paragraph"/>
    <w:basedOn w:val="BodyText"/>
    <w:qFormat/>
  </w:style>
  <w:style w:type="paragraph" w:customStyle="1" w:styleId="Compact">
    <w:name w:val="Compact"/>
    <w:basedOn w:val="BodyText"/>
    <w:qFormat/>
    <w:pPr>
      <w:spacing w:before="0" w:after="60"/>
      <w:jc w:val="left"/>
    </w:pPr>
  </w:style>
  <w:style w:type="paragraph" w:customStyle="1" w:styleId="TableText">
    <w:name w:val="Table Text"/>
    <w:basedOn w:val="Normal"/>
    <w:qFormat/>
    <w:pPr>
      <w:spacing w:before="20" w:after="20" w:line="245" w:lineRule="auto"/>
      <w:jc w:val="left"/>
    </w:pPr>
    <w:rPr>
      <w:rFonts w:ascii="Segoe UI" w:hAnsi="Segoe UI" w:eastAsia="Segoe UI" w:cs="Segoe UI"/>
      <w:color w:val="101820"/>
      <w:sz w:val="19"/>
      <w:szCs w:val="19"/>
    </w:rPr>
  </w:style>
  <w:style w:type="paragraph" w:customStyle="1" w:styleId="TableHeading">
    <w:name w:val="Table Heading"/>
    <w:basedOn w:val="TableText"/>
    <w:qFormat/>
    <w:pPr>
      <w:keepNext/>
    </w:pPr>
    <w:rPr>
      <w:b/>
      <w:bCs/>
      <w:color w:val="FFFFFF"/>
    </w:rPr>
  </w:style>
  <w:style w:type="paragraph" w:styleId="Heading2">
    <w:name w:val="heading 2"/>
    <w:basedOn w:val="Normal"/>
    <w:next w:val="BodyText"/>
    <w:uiPriority w:val="9"/>
    <w:unhideWhenUsed/>
    <w:qFormat/>
    <w:pPr>
      <w:keepNext/>
      <w:keepLines/>
      <w:numPr>
        <w:ilvl w:val="1"/>
        <w:numId w:val="1"/>
      </w:numPr>
      <w:spacing w:before="280" w:after="100" w:line="259" w:lineRule="auto"/>
      <w:ind w:left="720" w:hanging="720"/>
      <w:outlineLvl w:val="1"/>
    </w:pPr>
    <w:rPr>
      <w:rFonts w:asciiTheme="majorHAnsi" w:eastAsiaTheme="majorEastAsia" w:hAnsiTheme="majorHAnsi" w:cstheme="majorBidi"/>
      <w:b/>
      <w:bCs/>
      <w:color w:val="0F4761"/>
      <w:sz w:val="26"/>
      <w:szCs w:val="26"/>
    </w:rPr>
  </w:style>
  <w:style w:type="paragraph" w:styleId="Heading3">
    <w:name w:val="heading 3"/>
    <w:basedOn w:val="Normal"/>
    <w:next w:val="BodyText"/>
    <w:uiPriority w:val="9"/>
    <w:unhideWhenUsed/>
    <w:qFormat/>
    <w:pPr>
      <w:keepNext/>
      <w:keepLines/>
      <w:numPr>
        <w:ilvl w:val="2"/>
        <w:numId w:val="1"/>
      </w:numPr>
      <w:spacing w:before="220" w:after="80" w:line="259" w:lineRule="auto"/>
      <w:ind w:left="864" w:hanging="864"/>
      <w:outlineLvl w:val="2"/>
    </w:pPr>
    <w:rPr>
      <w:rFonts w:asciiTheme="majorHAnsi" w:eastAsiaTheme="majorEastAsia" w:hAnsiTheme="majorHAnsi" w:cstheme="majorBidi"/>
      <w:b/>
      <w:bCs/>
      <w:color w:val="0F4761"/>
      <w:sz w:val="23"/>
      <w:szCs w:val="23"/>
    </w:rPr>
  </w:style>
  <w:style w:type="paragraph" w:styleId="Heading4">
    <w:name w:val="heading 4"/>
    <w:basedOn w:val="Normal"/>
    <w:next w:val="BodyText"/>
    <w:uiPriority w:val="9"/>
    <w:unhideWhenUsed/>
    <w:qFormat/>
    <w:pPr>
      <w:keepNext/>
      <w:keepLines/>
      <w:spacing w:before="180" w:after="60" w:line="259" w:lineRule="auto"/>
      <w:outlineLvl w:val="3"/>
    </w:pPr>
    <w:rPr>
      <w:rFonts w:ascii="Segoe UI" w:hAnsi="Segoe UI" w:eastAsia="Segoe UI" w:cs="Segoe UI"/>
      <w:b/>
      <w:bCs/>
      <w:color w:val="0F4761"/>
      <w:sz w:val="22"/>
      <w:szCs w:val="22"/>
    </w:rPr>
  </w:style>
  <w:style w:type="paragraph" w:styleId="Caption">
    <w:name w:val="caption"/>
    <w:basedOn w:val="Normal"/>
    <w:next w:val="BodyText"/>
    <w:qFormat/>
    <w:pPr>
      <w:spacing w:before="60" w:after="240" w:line="240" w:lineRule="auto"/>
      <w:jc w:val="center"/>
    </w:pPr>
    <w:rPr>
      <w:rFonts w:ascii="Segoe UI" w:hAnsi="Segoe UI" w:eastAsia="Segoe UI" w:cs="Segoe UI"/>
      <w:i/>
      <w:iCs/>
      <w:color w:val="0F4761"/>
      <w:sz w:val="18"/>
      <w:szCs w:val="18"/>
    </w:rPr>
  </w:style>
  <w:style w:type="paragraph" w:customStyle="1" w:styleId="TableCaption">
    <w:name w:val="Table Caption"/>
    <w:basedOn w:val="Caption"/>
    <w:qFormat/>
    <w:pPr>
      <w:keepNext/>
      <w:spacing w:before="160" w:after="80"/>
      <w:jc w:val="left"/>
    </w:pPr>
  </w:style>
  <w:style w:type="paragraph" w:customStyle="1" w:styleId="Figure">
    <w:name w:val="Figure"/>
    <w:basedOn w:val="Normal"/>
    <w:next w:val="Caption"/>
    <w:qFormat/>
    <w:pPr>
      <w:keepNext/>
      <w:spacing w:before="160" w:after="40" w:line="240" w:lineRule="auto"/>
      <w:jc w:val="center"/>
    </w:pPr>
  </w:style>
  <w:style w:type="paragraph" w:customStyle="1" w:styleId="FigureWide">
    <w:name w:val="Figure Wide"/>
    <w:basedOn w:val="Figure"/>
    <w:next w:val="Caption"/>
    <w:qFormat/>
  </w:style>
  <w:style w:type="paragraph" w:customStyle="1" w:styleId="CodeBlock">
    <w:name w:val="Code Block"/>
    <w:basedOn w:val="Normal"/>
    <w:next w:val="BodyText"/>
    <w:qFormat/>
    <w:pPr>
      <w:pBdr>
        <w:top w:val="single" w:sz="4" w:space="4" w:color="D3DCE6"/>
        <w:left w:val="single" w:sz="4" w:space="4" w:color="D3DCE6"/>
        <w:bottom w:val="single" w:sz="4" w:space="4" w:color="D3DCE6"/>
        <w:right w:val="single" w:sz="4" w:space="4" w:color="D3DCE6"/>
      </w:pBdr>
      <w:shd w:val="clear" w:color="auto" w:fill="F3F6FA"/>
      <w:spacing w:before="80" w:after="200" w:line="240" w:lineRule="auto"/>
      <w:ind w:left="113" w:right="113"/>
      <w:jc w:val="left"/>
    </w:pPr>
    <w:rPr>
      <w:rFonts w:ascii="Consolas" w:hAnsi="Consolas" w:eastAsia="Consolas" w:cs="Consolas"/>
      <w:color w:val="1F2937"/>
      <w:sz w:val="18"/>
      <w:szCs w:val="18"/>
    </w:rPr>
  </w:style>
  <w:style w:type="character" w:customStyle="1" w:styleId="CodeChar">
    <w:name w:val="Code Char"/>
    <w:basedOn w:val="DefaultParagraphFont"/>
    <w:qFormat/>
    <w:rPr>
      <w:rFonts w:ascii="Consolas" w:hAnsi="Consolas" w:eastAsia="Consolas" w:cs="Consolas"/>
      <w:color w:val="1F3864"/>
      <w:sz w:val="19"/>
      <w:szCs w:val="19"/>
    </w:rPr>
  </w:style>
  <w:style w:type="paragraph" w:customStyle="1" w:styleId="Callout">
    <w:name w:val="Callout"/>
    <w:basedOn w:val="Normal"/>
    <w:next w:val="BodyText"/>
    <w:qFormat/>
    <w:pPr>
      <w:pBdr>
        <w:left w:val="single" w:sz="24" w:space="8" w:color="1D74BA"/>
      </w:pBdr>
      <w:shd w:val="clear" w:color="auto" w:fill="E8F1FA"/>
      <w:spacing w:before="60" w:after="60" w:line="264" w:lineRule="auto"/>
      <w:ind w:left="227" w:right="113"/>
      <w:jc w:val="left"/>
    </w:pPr>
    <w:rPr>
      <w:rFonts w:ascii="Segoe UI" w:hAnsi="Segoe UI" w:eastAsia="Segoe UI" w:cs="Segoe UI"/>
      <w:color w:val="101820"/>
      <w:sz w:val="21"/>
      <w:szCs w:val="21"/>
    </w:rPr>
  </w:style>
  <w:style w:type="paragraph" w:styleId="TOC2">
    <w:name w:val="toc 2"/>
    <w:basedOn w:val="Normal"/>
    <w:next w:val="Normal"/>
    <w:uiPriority w:val="39"/>
    <w:unhideWhenUsed/>
    <w:pPr>
      <w:tabs>
        <w:tab w:val="left" w:pos="1260"/>
        <w:tab w:val="right" w:leader="dot" w:pos="9350"/>
      </w:tabs>
      <w:spacing w:after="60" w:line="264" w:lineRule="auto"/>
      <w:ind w:left="360"/>
    </w:pPr>
    <w:rPr>
      <w:rFonts w:ascii="Segoe UI" w:hAnsi="Segoe UI" w:eastAsia="Segoe UI" w:cs="Segoe UI"/>
      <w:noProof/>
      <w:color w:val="101820"/>
      <w:sz w:val="19"/>
      <w:szCs w:val="19"/>
    </w:rPr>
  </w:style>
  <w:style w:type="paragraph" w:styleId="TOC3">
    <w:name w:val="toc 3"/>
    <w:basedOn w:val="Normal"/>
    <w:next w:val="Normal"/>
    <w:uiPriority w:val="39"/>
    <w:unhideWhenUsed/>
    <w:pPr>
      <w:tabs>
        <w:tab w:val="left" w:pos="1700"/>
        <w:tab w:val="right" w:leader="dot" w:pos="9350"/>
      </w:tabs>
      <w:spacing w:after="40" w:line="264" w:lineRule="auto"/>
      <w:ind w:left="720"/>
    </w:pPr>
    <w:rPr>
      <w:rFonts w:ascii="Segoe UI" w:hAnsi="Segoe UI" w:eastAsia="Segoe UI" w:cs="Segoe UI"/>
      <w:noProof/>
      <w:color w:val="404A55"/>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16" Type="http://schemas.openxmlformats.org/officeDocument/2006/relationships/footer" Target="footer2.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9" Type="http://schemas.openxmlformats.org/officeDocument/2006/relationships/footnotes" Target="footnotes.xml"/><Relationship Id="rId14" Type="http://schemas.openxmlformats.org/officeDocument/2006/relationships/footer" Target="footer1.xml"/><Relationship Id="rIdG1" Type="http://schemas.openxmlformats.org/officeDocument/2006/relationships/image" Target="media/body_001.png"/><Relationship Id="rIdG2" Type="http://schemas.openxmlformats.org/officeDocument/2006/relationships/image" Target="media/body_002.png"/><Relationship Id="rIdG3" Type="http://schemas.openxmlformats.org/officeDocument/2006/relationships/image" Target="media/body_003.png"/><Relationship Id="rIdG4" Type="http://schemas.openxmlformats.org/officeDocument/2006/relationships/image" Target="media/body_004.png"/><Relationship Id="rIdG5" Type="http://schemas.openxmlformats.org/officeDocument/2006/relationships/image" Target="media/body_005.png"/><Relationship Id="rIdG6" Type="http://schemas.openxmlformats.org/officeDocument/2006/relationships/image" Target="media/body_006.png"/><Relationship Id="rIdG7" Type="http://schemas.openxmlformats.org/officeDocument/2006/relationships/image" Target="media/body_007.png"/><Relationship Id="rIdG8" Type="http://schemas.openxmlformats.org/officeDocument/2006/relationships/image" Target="media/body_008.png"/><Relationship Id="rIdG9" Type="http://schemas.openxmlformats.org/officeDocument/2006/relationships/image" Target="media/body_009.png"/></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iorta TechNXT</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Solution Architecture</dc:title>
  <dc:subject>TGP-ARC-01</dc:subject>
  <dc:creator>iorta TechNXT</dc:creator>
  <cp:keywords>TGP-ARC-01; TASCO Insurance; iorta TechNXT</cp:keywords>
  <dc:description>TASCO Motor Insurance Growth Platform</dc:description>
  <cp:lastModifiedBy>iorta TechNXT</cp:lastModifiedBy>
  <cp:revision>1</cp:revision>
  <dcterms:created xsi:type="dcterms:W3CDTF">2026-10-08T03:54:33Z</dcterms:created>
  <dcterms:modified xsi:type="dcterms:W3CDTF">2026-10-08T03:54:33Z</dcterms:modified>
</cp:coreProperties>
</file>