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TGP-ARC-02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Integration Architecture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4</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4</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6</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6</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6</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w:t>
        </w:r>
        <w:r>
          <w:rPr>
            <w:noProof/>
            <w:webHidden/>
          </w:rPr>
          <w:fldChar w:fldCharType="end"/>
        </w:r>
      </w:hyperlink>
    </w:p>
    <w:p>
      <w:pPr>
        <w:pStyle w:val="TOC1"/>
      </w:pPr>
      <w:hyperlink w:anchor="_Toc300000008" w:history="1">
        <w:r>
          <w:rPr>
            <w:noProof/>
          </w:rPr>
          <w:t>4.</w:t>
        </w:r>
        <w:r>
          <w:rPr>
            <w:noProof/>
          </w:rPr>
          <w:tab/>
        </w:r>
        <w:r>
          <w:rPr>
            <w:noProof/>
          </w:rPr>
          <w:t xml:space="preserve">Integration principles and standards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6</w:t>
        </w:r>
        <w:r>
          <w:rPr>
            <w:noProof/>
            <w:webHidden/>
          </w:rPr>
          <w:fldChar w:fldCharType="end"/>
        </w:r>
      </w:hyperlink>
    </w:p>
    <w:p>
      <w:pPr>
        <w:pStyle w:val="TOC2"/>
      </w:pPr>
      <w:hyperlink w:anchor="_Toc300000009" w:history="1">
        <w:r>
          <w:rPr>
            <w:noProof/>
          </w:rPr>
          <w:t>4.1.</w:t>
        </w:r>
        <w:r>
          <w:rPr>
            <w:noProof/>
          </w:rPr>
          <w:tab/>
        </w:r>
        <w:r>
          <w:rPr>
            <w:noProof/>
          </w:rPr>
          <w:t xml:space="preserve">Principles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4.2.</w:t>
        </w:r>
        <w:r>
          <w:rPr>
            <w:noProof/>
          </w:rPr>
          <w:tab/>
        </w:r>
        <w:r>
          <w:rPr>
            <w:noProof/>
          </w:rPr>
          <w:t xml:space="preserve">Transport and identity</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7</w:t>
        </w:r>
        <w:r>
          <w:rPr>
            <w:noProof/>
            <w:webHidden/>
          </w:rPr>
          <w:fldChar w:fldCharType="end"/>
        </w:r>
      </w:hyperlink>
    </w:p>
    <w:p>
      <w:pPr>
        <w:pStyle w:val="TOC2"/>
      </w:pPr>
      <w:hyperlink w:anchor="_Toc300000011" w:history="1">
        <w:r>
          <w:rPr>
            <w:noProof/>
          </w:rPr>
          <w:t>4.3.</w:t>
        </w:r>
        <w:r>
          <w:rPr>
            <w:noProof/>
          </w:rPr>
          <w:tab/>
        </w:r>
        <w:r>
          <w:rPr>
            <w:noProof/>
          </w:rPr>
          <w:t xml:space="preserve">Resilience defaults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1"/>
      </w:pPr>
      <w:hyperlink w:anchor="_Toc300000012" w:history="1">
        <w:r>
          <w:rPr>
            <w:noProof/>
          </w:rPr>
          <w:t>5.</w:t>
        </w:r>
        <w:r>
          <w:rPr>
            <w:noProof/>
          </w:rPr>
          <w:tab/>
        </w:r>
        <w:r>
          <w:rPr>
            <w:noProof/>
          </w:rPr>
          <w:t xml:space="preserve">Integration context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1"/>
      </w:pPr>
      <w:hyperlink w:anchor="_Toc300000013" w:history="1">
        <w:r>
          <w:rPr>
            <w:noProof/>
          </w:rPr>
          <w:t>6.</w:t>
        </w:r>
        <w:r>
          <w:rPr>
            <w:noProof/>
          </w:rPr>
          <w:tab/>
        </w:r>
        <w:r>
          <w:rPr>
            <w:noProof/>
          </w:rPr>
          <w:t xml:space="preserve">TASCO core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2"/>
      </w:pPr>
      <w:hyperlink w:anchor="_Toc300000014" w:history="1">
        <w:r>
          <w:rPr>
            <w:noProof/>
          </w:rPr>
          <w:t>6.1.</w:t>
        </w:r>
        <w:r>
          <w:rPr>
            <w:noProof/>
          </w:rPr>
          <w:tab/>
        </w:r>
        <w:r>
          <w:rPr>
            <w:noProof/>
          </w:rPr>
          <w:t xml:space="preserve">Touchpoints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6.2.</w:t>
        </w:r>
        <w:r>
          <w:rPr>
            <w:noProof/>
          </w:rPr>
          <w:tab/>
        </w:r>
        <w:r>
          <w:rPr>
            <w:noProof/>
          </w:rPr>
          <w:t xml:space="preserve">Rating modes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10</w:t>
        </w:r>
        <w:r>
          <w:rPr>
            <w:noProof/>
            <w:webHidden/>
          </w:rPr>
          <w:fldChar w:fldCharType="end"/>
        </w:r>
      </w:hyperlink>
    </w:p>
    <w:p>
      <w:pPr>
        <w:pStyle w:val="TOC2"/>
      </w:pPr>
      <w:hyperlink w:anchor="_Toc300000016" w:history="1">
        <w:r>
          <w:rPr>
            <w:noProof/>
          </w:rPr>
          <w:t>6.3.</w:t>
        </w:r>
        <w:r>
          <w:rPr>
            <w:noProof/>
          </w:rPr>
          <w:tab/>
        </w:r>
        <w:r>
          <w:rPr>
            <w:noProof/>
          </w:rPr>
          <w:t xml:space="preserve">Rating and issuance sequence</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2"/>
      </w:pPr>
      <w:hyperlink w:anchor="_Toc300000017" w:history="1">
        <w:r>
          <w:rPr>
            <w:noProof/>
          </w:rPr>
          <w:t>6.4.</w:t>
        </w:r>
        <w:r>
          <w:rPr>
            <w:noProof/>
          </w:rPr>
          <w:tab/>
        </w:r>
        <w:r>
          <w:rPr>
            <w:noProof/>
          </w:rPr>
          <w:t xml:space="preserve">Port contracts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13</w:t>
        </w:r>
        <w:r>
          <w:rPr>
            <w:noProof/>
            <w:webHidden/>
          </w:rPr>
          <w:fldChar w:fldCharType="end"/>
        </w:r>
      </w:hyperlink>
    </w:p>
    <w:p>
      <w:pPr>
        <w:pStyle w:val="TOC2"/>
      </w:pPr>
      <w:hyperlink w:anchor="_Toc300000018" w:history="1">
        <w:r>
          <w:rPr>
            <w:noProof/>
          </w:rPr>
          <w:t>6.5.</w:t>
        </w:r>
        <w:r>
          <w:rPr>
            <w:noProof/>
          </w:rPr>
          <w:tab/>
        </w:r>
        <w:r>
          <w:rPr>
            <w:noProof/>
          </w:rPr>
          <w:t xml:space="preserve">Contract details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14</w:t>
        </w:r>
        <w:r>
          <w:rPr>
            <w:noProof/>
            <w:webHidden/>
          </w:rPr>
          <w:fldChar w:fldCharType="end"/>
        </w:r>
      </w:hyperlink>
    </w:p>
    <w:p>
      <w:pPr>
        <w:pStyle w:val="TOC2"/>
      </w:pPr>
      <w:hyperlink w:anchor="_Toc300000019" w:history="1">
        <w:r>
          <w:rPr>
            <w:noProof/>
          </w:rPr>
          <w:t>6.6.</w:t>
        </w:r>
        <w:r>
          <w:rPr>
            <w:noProof/>
          </w:rPr>
          <w:tab/>
        </w:r>
        <w:r>
          <w:rPr>
            <w:noProof/>
          </w:rPr>
          <w:t xml:space="preserve">Catalogue sync with maker-checker</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15</w:t>
        </w:r>
        <w:r>
          <w:rPr>
            <w:noProof/>
            <w:webHidden/>
          </w:rPr>
          <w:fldChar w:fldCharType="end"/>
        </w:r>
      </w:hyperlink>
    </w:p>
    <w:p>
      <w:pPr>
        <w:pStyle w:val="TOC2"/>
      </w:pPr>
      <w:hyperlink w:anchor="_Toc300000020" w:history="1">
        <w:r>
          <w:rPr>
            <w:noProof/>
          </w:rPr>
          <w:t>6.7.</w:t>
        </w:r>
        <w:r>
          <w:rPr>
            <w:noProof/>
          </w:rPr>
          <w:tab/>
        </w:r>
        <w:r>
          <w:rPr>
            <w:noProof/>
          </w:rPr>
          <w:t xml:space="preserve">Policy book extract</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16</w:t>
        </w:r>
        <w:r>
          <w:rPr>
            <w:noProof/>
            <w:webHidden/>
          </w:rPr>
          <w:fldChar w:fldCharType="end"/>
        </w:r>
      </w:hyperlink>
    </w:p>
    <w:p>
      <w:pPr>
        <w:pStyle w:val="TOC2"/>
      </w:pPr>
      <w:hyperlink w:anchor="_Toc300000021" w:history="1">
        <w:r>
          <w:rPr>
            <w:noProof/>
          </w:rPr>
          <w:t>6.8.</w:t>
        </w:r>
        <w:r>
          <w:rPr>
            <w:noProof/>
          </w:rPr>
          <w:tab/>
        </w:r>
        <w:r>
          <w:rPr>
            <w:noProof/>
          </w:rPr>
          <w:t xml:space="preserve">Claims notification</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16</w:t>
        </w:r>
        <w:r>
          <w:rPr>
            <w:noProof/>
            <w:webHidden/>
          </w:rPr>
          <w:fldChar w:fldCharType="end"/>
        </w:r>
      </w:hyperlink>
    </w:p>
    <w:p>
      <w:pPr>
        <w:pStyle w:val="TOC2"/>
      </w:pPr>
      <w:hyperlink w:anchor="_Toc300000022" w:history="1">
        <w:r>
          <w:rPr>
            <w:noProof/>
          </w:rPr>
          <w:t>6.9.</w:t>
        </w:r>
        <w:r>
          <w:rPr>
            <w:noProof/>
          </w:rPr>
          <w:tab/>
        </w:r>
        <w:r>
          <w:rPr>
            <w:noProof/>
          </w:rPr>
          <w:t xml:space="preserve">Interim path without a rating API</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17</w:t>
        </w:r>
        <w:r>
          <w:rPr>
            <w:noProof/>
            <w:webHidden/>
          </w:rPr>
          <w:fldChar w:fldCharType="end"/>
        </w:r>
      </w:hyperlink>
    </w:p>
    <w:p>
      <w:pPr>
        <w:pStyle w:val="TOC1"/>
      </w:pPr>
      <w:hyperlink w:anchor="_Toc300000023" w:history="1">
        <w:r>
          <w:rPr>
            <w:noProof/>
          </w:rPr>
          <w:t>7.</w:t>
        </w:r>
        <w:r>
          <w:rPr>
            <w:noProof/>
          </w:rPr>
          <w:tab/>
        </w:r>
        <w:r>
          <w:rPr>
            <w:noProof/>
          </w:rPr>
          <w:t xml:space="preserve">VETC</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17</w:t>
        </w:r>
        <w:r>
          <w:rPr>
            <w:noProof/>
            <w:webHidden/>
          </w:rPr>
          <w:fldChar w:fldCharType="end"/>
        </w:r>
      </w:hyperlink>
    </w:p>
    <w:p>
      <w:pPr>
        <w:pStyle w:val="TOC2"/>
      </w:pPr>
      <w:hyperlink w:anchor="_Toc300000024" w:history="1">
        <w:r>
          <w:rPr>
            <w:noProof/>
          </w:rPr>
          <w:t>7.1.</w:t>
        </w:r>
        <w:r>
          <w:rPr>
            <w:noProof/>
          </w:rPr>
          <w:tab/>
        </w:r>
        <w:r>
          <w:rPr>
            <w:noProof/>
          </w:rPr>
          <w:t xml:space="preserve">Account and vehicle data</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17</w:t>
        </w:r>
        <w:r>
          <w:rPr>
            <w:noProof/>
            <w:webHidden/>
          </w:rPr>
          <w:fldChar w:fldCharType="end"/>
        </w:r>
      </w:hyperlink>
    </w:p>
    <w:p>
      <w:pPr>
        <w:pStyle w:val="TOC2"/>
      </w:pPr>
      <w:hyperlink w:anchor="_Toc300000025" w:history="1">
        <w:r>
          <w:rPr>
            <w:noProof/>
          </w:rPr>
          <w:t>7.2.</w:t>
        </w:r>
        <w:r>
          <w:rPr>
            <w:noProof/>
          </w:rPr>
          <w:tab/>
        </w:r>
        <w:r>
          <w:rPr>
            <w:noProof/>
          </w:rPr>
          <w:t xml:space="preserve">Tag and ecosystem events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18</w:t>
        </w:r>
        <w:r>
          <w:rPr>
            <w:noProof/>
            <w:webHidden/>
          </w:rPr>
          <w:fldChar w:fldCharType="end"/>
        </w:r>
      </w:hyperlink>
    </w:p>
    <w:p>
      <w:pPr>
        <w:pStyle w:val="TOC2"/>
      </w:pPr>
      <w:hyperlink w:anchor="_Toc300000026" w:history="1">
        <w:r>
          <w:rPr>
            <w:noProof/>
          </w:rPr>
          <w:t>7.3.</w:t>
        </w:r>
        <w:r>
          <w:rPr>
            <w:noProof/>
          </w:rPr>
          <w:tab/>
        </w:r>
        <w:r>
          <w:rPr>
            <w:noProof/>
          </w:rPr>
          <w:t xml:space="preserve">App web view and push</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19</w:t>
        </w:r>
        <w:r>
          <w:rPr>
            <w:noProof/>
            <w:webHidden/>
          </w:rPr>
          <w:fldChar w:fldCharType="end"/>
        </w:r>
      </w:hyperlink>
    </w:p>
    <w:p>
      <w:pPr>
        <w:pStyle w:val="TOC2"/>
      </w:pPr>
      <w:hyperlink w:anchor="_Toc300000027" w:history="1">
        <w:r>
          <w:rPr>
            <w:noProof/>
          </w:rPr>
          <w:t>7.4.</w:t>
        </w:r>
        <w:r>
          <w:rPr>
            <w:noProof/>
          </w:rPr>
          <w:tab/>
        </w:r>
        <w:r>
          <w:rPr>
            <w:noProof/>
          </w:rPr>
          <w:t xml:space="preserve">Wallet payment with saga refund</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19</w:t>
        </w:r>
        <w:r>
          <w:rPr>
            <w:noProof/>
            <w:webHidden/>
          </w:rPr>
          <w:fldChar w:fldCharType="end"/>
        </w:r>
      </w:hyperlink>
    </w:p>
    <w:p>
      <w:pPr>
        <w:pStyle w:val="TOC1"/>
      </w:pPr>
      <w:hyperlink w:anchor="_Toc300000028" w:history="1">
        <w:r>
          <w:rPr>
            <w:noProof/>
          </w:rPr>
          <w:t>8.</w:t>
        </w:r>
        <w:r>
          <w:rPr>
            <w:noProof/>
          </w:rPr>
          <w:tab/>
        </w:r>
        <w:r>
          <w:rPr>
            <w:noProof/>
          </w:rPr>
          <w:t xml:space="preserve">Messaging channels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22</w:t>
        </w:r>
        <w:r>
          <w:rPr>
            <w:noProof/>
            <w:webHidden/>
          </w:rPr>
          <w:fldChar w:fldCharType="end"/>
        </w:r>
      </w:hyperlink>
    </w:p>
    <w:p>
      <w:pPr>
        <w:pStyle w:val="TOC2"/>
      </w:pPr>
      <w:hyperlink w:anchor="_Toc300000029" w:history="1">
        <w:r>
          <w:rPr>
            <w:noProof/>
          </w:rPr>
          <w:t>8.1.</w:t>
        </w:r>
        <w:r>
          <w:rPr>
            <w:noProof/>
          </w:rPr>
          <w:tab/>
        </w:r>
        <w:r>
          <w:rPr>
            <w:noProof/>
          </w:rPr>
          <w:t xml:space="preserve">Notification contract</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22</w:t>
        </w:r>
        <w:r>
          <w:rPr>
            <w:noProof/>
            <w:webHidden/>
          </w:rPr>
          <w:fldChar w:fldCharType="end"/>
        </w:r>
      </w:hyperlink>
    </w:p>
    <w:p>
      <w:pPr>
        <w:pStyle w:val="TOC2"/>
      </w:pPr>
      <w:hyperlink w:anchor="_Toc300000030" w:history="1">
        <w:r>
          <w:rPr>
            <w:noProof/>
          </w:rPr>
          <w:t>8.2.</w:t>
        </w:r>
        <w:r>
          <w:rPr>
            <w:noProof/>
          </w:rPr>
          <w:tab/>
        </w:r>
        <w:r>
          <w:rPr>
            <w:noProof/>
          </w:rPr>
          <w:t xml:space="preserve">Zalo ZNS template governance</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22</w:t>
        </w:r>
        <w:r>
          <w:rPr>
            <w:noProof/>
            <w:webHidden/>
          </w:rPr>
          <w:fldChar w:fldCharType="end"/>
        </w:r>
      </w:hyperlink>
    </w:p>
    <w:p>
      <w:pPr>
        <w:pStyle w:val="TOC2"/>
      </w:pPr>
      <w:hyperlink w:anchor="_Toc300000031" w:history="1">
        <w:r>
          <w:rPr>
            <w:noProof/>
          </w:rPr>
          <w:t>8.3.</w:t>
        </w:r>
        <w:r>
          <w:rPr>
            <w:noProof/>
          </w:rPr>
          <w:tab/>
        </w:r>
        <w:r>
          <w:rPr>
            <w:noProof/>
          </w:rPr>
          <w:t xml:space="preserve">SMS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24</w:t>
        </w:r>
        <w:r>
          <w:rPr>
            <w:noProof/>
            <w:webHidden/>
          </w:rPr>
          <w:fldChar w:fldCharType="end"/>
        </w:r>
      </w:hyperlink>
    </w:p>
    <w:p>
      <w:pPr>
        <w:pStyle w:val="TOC1"/>
      </w:pPr>
      <w:hyperlink w:anchor="_Toc300000032" w:history="1">
        <w:r>
          <w:rPr>
            <w:noProof/>
          </w:rPr>
          <w:t>9.</w:t>
        </w:r>
        <w:r>
          <w:rPr>
            <w:noProof/>
          </w:rPr>
          <w:tab/>
        </w:r>
        <w:r>
          <w:rPr>
            <w:noProof/>
          </w:rPr>
          <w:t xml:space="preserve">Voice AI vendor</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24</w:t>
        </w:r>
        <w:r>
          <w:rPr>
            <w:noProof/>
            <w:webHidden/>
          </w:rPr>
          <w:fldChar w:fldCharType="end"/>
        </w:r>
      </w:hyperlink>
    </w:p>
    <w:p>
      <w:pPr>
        <w:pStyle w:val="TOC2"/>
      </w:pPr>
      <w:hyperlink w:anchor="_Toc300000033" w:history="1">
        <w:r>
          <w:rPr>
            <w:noProof/>
          </w:rPr>
          <w:t>9.1.</w:t>
        </w:r>
        <w:r>
          <w:rPr>
            <w:noProof/>
          </w:rPr>
          <w:tab/>
        </w:r>
        <w:r>
          <w:rPr>
            <w:noProof/>
          </w:rPr>
          <w:t xml:space="preserve">Voice handoff sequence</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24</w:t>
        </w:r>
        <w:r>
          <w:rPr>
            <w:noProof/>
            <w:webHidden/>
          </w:rPr>
          <w:fldChar w:fldCharType="end"/>
        </w:r>
      </w:hyperlink>
    </w:p>
    <w:p>
      <w:pPr>
        <w:pStyle w:val="TOC1"/>
      </w:pPr>
      <w:hyperlink w:anchor="_Toc300000034" w:history="1">
        <w:r>
          <w:rPr>
            <w:noProof/>
          </w:rPr>
          <w:t>10.</w:t>
        </w:r>
        <w:r>
          <w:rPr>
            <w:noProof/>
          </w:rPr>
          <w:tab/>
        </w:r>
        <w:r>
          <w:rPr>
            <w:noProof/>
          </w:rPr>
          <w:t xml:space="preserve">Partners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26</w:t>
        </w:r>
        <w:r>
          <w:rPr>
            <w:noProof/>
            <w:webHidden/>
          </w:rPr>
          <w:fldChar w:fldCharType="end"/>
        </w:r>
      </w:hyperlink>
    </w:p>
    <w:p>
      <w:pPr>
        <w:pStyle w:val="TOC1"/>
      </w:pPr>
      <w:hyperlink w:anchor="_Toc300000035" w:history="1">
        <w:r>
          <w:rPr>
            <w:noProof/>
          </w:rPr>
          <w:t>11.</w:t>
        </w:r>
        <w:r>
          <w:rPr>
            <w:noProof/>
          </w:rPr>
          <w:tab/>
        </w:r>
        <w:r>
          <w:rPr>
            <w:noProof/>
          </w:rPr>
          <w:t xml:space="preserve">Reuse of existing assets</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29</w:t>
        </w:r>
        <w:r>
          <w:rPr>
            <w:noProof/>
            <w:webHidden/>
          </w:rPr>
          <w:fldChar w:fldCharType="end"/>
        </w:r>
      </w:hyperlink>
    </w:p>
    <w:p>
      <w:pPr>
        <w:pStyle w:val="TOC1"/>
      </w:pPr>
      <w:hyperlink w:anchor="_Toc300000036" w:history="1">
        <w:r>
          <w:rPr>
            <w:noProof/>
          </w:rPr>
          <w:t>12.</w:t>
        </w:r>
        <w:r>
          <w:rPr>
            <w:noProof/>
          </w:rPr>
          <w:tab/>
        </w:r>
        <w:r>
          <w:rPr>
            <w:noProof/>
          </w:rPr>
          <w:t xml:space="preserve">TASCO digital channels</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30</w:t>
        </w:r>
        <w:r>
          <w:rPr>
            <w:noProof/>
            <w:webHidden/>
          </w:rPr>
          <w:fldChar w:fldCharType="end"/>
        </w:r>
      </w:hyperlink>
    </w:p>
    <w:p>
      <w:pPr>
        <w:pStyle w:val="TOC2"/>
      </w:pPr>
      <w:hyperlink w:anchor="_Toc300000037" w:history="1">
        <w:r>
          <w:rPr>
            <w:noProof/>
          </w:rPr>
          <w:t>12.1.</w:t>
        </w:r>
        <w:r>
          <w:rPr>
            <w:noProof/>
          </w:rPr>
          <w:tab/>
        </w:r>
        <w:r>
          <w:rPr>
            <w:noProof/>
          </w:rPr>
          <w:t xml:space="preserve">TASCO payment gateway</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30</w:t>
        </w:r>
        <w:r>
          <w:rPr>
            <w:noProof/>
            <w:webHidden/>
          </w:rPr>
          <w:fldChar w:fldCharType="end"/>
        </w:r>
      </w:hyperlink>
    </w:p>
    <w:p>
      <w:pPr>
        <w:pStyle w:val="TOC1"/>
      </w:pPr>
      <w:hyperlink w:anchor="_Toc300000038" w:history="1">
        <w:r>
          <w:rPr>
            <w:noProof/>
          </w:rPr>
          <w:t>13.</w:t>
        </w:r>
        <w:r>
          <w:rPr>
            <w:noProof/>
          </w:rPr>
          <w:tab/>
        </w:r>
        <w:r>
          <w:rPr>
            <w:noProof/>
          </w:rPr>
          <w:t xml:space="preserve">Data warehouse and outbound feeds</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31</w:t>
        </w:r>
        <w:r>
          <w:rPr>
            <w:noProof/>
            <w:webHidden/>
          </w:rPr>
          <w:fldChar w:fldCharType="end"/>
        </w:r>
      </w:hyperlink>
    </w:p>
    <w:p>
      <w:pPr>
        <w:pStyle w:val="TOC1"/>
      </w:pPr>
      <w:hyperlink w:anchor="_Toc300000039" w:history="1">
        <w:r>
          <w:rPr>
            <w:noProof/>
          </w:rPr>
          <w:t>14.</w:t>
        </w:r>
        <w:r>
          <w:rPr>
            <w:noProof/>
          </w:rPr>
          <w:tab/>
        </w:r>
        <w:r>
          <w:rPr>
            <w:noProof/>
          </w:rPr>
          <w:t xml:space="preserve">Identity integrations</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31</w:t>
        </w:r>
        <w:r>
          <w:rPr>
            <w:noProof/>
            <w:webHidden/>
          </w:rPr>
          <w:fldChar w:fldCharType="end"/>
        </w:r>
      </w:hyperlink>
    </w:p>
    <w:p>
      <w:pPr>
        <w:pStyle w:val="TOC1"/>
      </w:pPr>
      <w:hyperlink w:anchor="_Toc300000040" w:history="1">
        <w:r>
          <w:rPr>
            <w:noProof/>
          </w:rPr>
          <w:t>15.</w:t>
        </w:r>
        <w:r>
          <w:rPr>
            <w:noProof/>
          </w:rPr>
          <w:tab/>
        </w:r>
        <w:r>
          <w:rPr>
            <w:noProof/>
          </w:rPr>
          <w:t xml:space="preserve">Proposed service levels</w:t>
        </w:r>
        <w:r>
          <w:rPr>
            <w:noProof/>
            <w:webHidden/>
          </w:rPr>
          <w:tab/>
        </w:r>
        <w:r>
          <w:rPr>
            <w:noProof/>
            <w:webHidden/>
          </w:rPr>
          <w:fldChar w:fldCharType="begin"/>
        </w:r>
        <w:r>
          <w:rPr>
            <w:noProof/>
            <w:webHidden/>
          </w:rPr>
          <w:instrText xml:space="preserve"> PAGEREF _Toc300000040 \h </w:instrText>
        </w:r>
        <w:r>
          <w:rPr>
            <w:noProof/>
            <w:webHidden/>
          </w:rPr>
          <w:fldChar w:fldCharType="separate"/>
        </w:r>
        <w:r>
          <w:rPr>
            <w:noProof/>
            <w:webHidden/>
          </w:rPr>
          <w:t>31</w:t>
        </w:r>
        <w:r>
          <w:rPr>
            <w:noProof/>
            <w:webHidden/>
          </w:rPr>
          <w:fldChar w:fldCharType="end"/>
        </w:r>
      </w:hyperlink>
    </w:p>
    <w:p>
      <w:pPr>
        <w:pStyle w:val="TOC1"/>
      </w:pPr>
      <w:hyperlink w:anchor="_Toc300000041" w:history="1">
        <w:r>
          <w:rPr>
            <w:noProof/>
          </w:rPr>
          <w:t>16.</w:t>
        </w:r>
        <w:r>
          <w:rPr>
            <w:noProof/>
          </w:rPr>
          <w:tab/>
        </w:r>
        <w:r>
          <w:rPr>
            <w:noProof/>
          </w:rPr>
          <w:t xml:space="preserve">Integration testing</w:t>
        </w:r>
        <w:r>
          <w:rPr>
            <w:noProof/>
            <w:webHidden/>
          </w:rPr>
          <w:tab/>
        </w:r>
        <w:r>
          <w:rPr>
            <w:noProof/>
            <w:webHidden/>
          </w:rPr>
          <w:fldChar w:fldCharType="begin"/>
        </w:r>
        <w:r>
          <w:rPr>
            <w:noProof/>
            <w:webHidden/>
          </w:rPr>
          <w:instrText xml:space="preserve"> PAGEREF _Toc300000041 \h </w:instrText>
        </w:r>
        <w:r>
          <w:rPr>
            <w:noProof/>
            <w:webHidden/>
          </w:rPr>
          <w:fldChar w:fldCharType="separate"/>
        </w:r>
        <w:r>
          <w:rPr>
            <w:noProof/>
            <w:webHidden/>
          </w:rPr>
          <w:t>32</w:t>
        </w:r>
        <w:r>
          <w:rPr>
            <w:noProof/>
            <w:webHidden/>
          </w:rPr>
          <w:fldChar w:fldCharType="end"/>
        </w:r>
      </w:hyperlink>
    </w:p>
    <w:p>
      <w:pPr>
        <w:pStyle w:val="TOC1"/>
      </w:pPr>
      <w:hyperlink w:anchor="_Toc300000042" w:history="1">
        <w:r>
          <w:rPr>
            <w:noProof/>
          </w:rPr>
          <w:t>17.</w:t>
        </w:r>
        <w:r>
          <w:rPr>
            <w:noProof/>
          </w:rPr>
          <w:tab/>
        </w:r>
        <w:r>
          <w:rPr>
            <w:noProof/>
          </w:rPr>
          <w:t xml:space="preserve">Appendix</w:t>
        </w:r>
        <w:r>
          <w:rPr>
            <w:noProof/>
            <w:webHidden/>
          </w:rPr>
          <w:tab/>
        </w:r>
        <w:r>
          <w:rPr>
            <w:noProof/>
            <w:webHidden/>
          </w:rPr>
          <w:fldChar w:fldCharType="begin"/>
        </w:r>
        <w:r>
          <w:rPr>
            <w:noProof/>
            <w:webHidden/>
          </w:rPr>
          <w:instrText xml:space="preserve"> PAGEREF _Toc300000042 \h </w:instrText>
        </w:r>
        <w:r>
          <w:rPr>
            <w:noProof/>
            <w:webHidden/>
          </w:rPr>
          <w:fldChar w:fldCharType="separate"/>
        </w:r>
        <w:r>
          <w:rPr>
            <w:noProof/>
            <w:webHidden/>
          </w:rPr>
          <w:t>33</w:t>
        </w:r>
        <w:r>
          <w:rPr>
            <w:noProof/>
            <w:webHidden/>
          </w:rPr>
          <w:fldChar w:fldCharType="end"/>
        </w:r>
      </w:hyperlink>
    </w:p>
    <w:p>
      <w:pPr>
        <w:pStyle w:val="TOC2"/>
      </w:pPr>
      <w:hyperlink w:anchor="_Toc300000043" w:history="1">
        <w:r>
          <w:rPr>
            <w:noProof/>
          </w:rPr>
          <w:t>17.1.</w:t>
        </w:r>
        <w:r>
          <w:rPr>
            <w:noProof/>
          </w:rPr>
          <w:tab/>
        </w:r>
        <w:r>
          <w:rPr>
            <w:noProof/>
          </w:rPr>
          <w:t xml:space="preserve">Platform error codes</w:t>
        </w:r>
        <w:r>
          <w:rPr>
            <w:noProof/>
            <w:webHidden/>
          </w:rPr>
          <w:tab/>
        </w:r>
        <w:r>
          <w:rPr>
            <w:noProof/>
            <w:webHidden/>
          </w:rPr>
          <w:fldChar w:fldCharType="begin"/>
        </w:r>
        <w:r>
          <w:rPr>
            <w:noProof/>
            <w:webHidden/>
          </w:rPr>
          <w:instrText xml:space="preserve"> PAGEREF _Toc300000043 \h </w:instrText>
        </w:r>
        <w:r>
          <w:rPr>
            <w:noProof/>
            <w:webHidden/>
          </w:rPr>
          <w:fldChar w:fldCharType="separate"/>
        </w:r>
        <w:r>
          <w:rPr>
            <w:noProof/>
            <w:webHidden/>
          </w:rPr>
          <w:t>33</w:t>
        </w:r>
        <w:r>
          <w:rPr>
            <w:noProof/>
            <w:webHidden/>
          </w:rPr>
          <w:fldChar w:fldCharType="end"/>
        </w:r>
      </w:hyperlink>
    </w:p>
    <w:p>
      <w:pPr>
        <w:pStyle w:val="TOC2"/>
      </w:pPr>
      <w:hyperlink w:anchor="_Toc300000044" w:history="1">
        <w:r>
          <w:rPr>
            <w:noProof/>
          </w:rPr>
          <w:t>17.2.</w:t>
        </w:r>
        <w:r>
          <w:rPr>
            <w:noProof/>
          </w:rPr>
          <w:tab/>
        </w:r>
        <w:r>
          <w:rPr>
            <w:noProof/>
          </w:rPr>
          <w:t xml:space="preserve">Message templates in use</w:t>
        </w:r>
        <w:r>
          <w:rPr>
            <w:noProof/>
            <w:webHidden/>
          </w:rPr>
          <w:tab/>
        </w:r>
        <w:r>
          <w:rPr>
            <w:noProof/>
            <w:webHidden/>
          </w:rPr>
          <w:fldChar w:fldCharType="begin"/>
        </w:r>
        <w:r>
          <w:rPr>
            <w:noProof/>
            <w:webHidden/>
          </w:rPr>
          <w:instrText xml:space="preserve"> PAGEREF _Toc300000044 \h </w:instrText>
        </w:r>
        <w:r>
          <w:rPr>
            <w:noProof/>
            <w:webHidden/>
          </w:rPr>
          <w:fldChar w:fldCharType="separate"/>
        </w:r>
        <w:r>
          <w:rPr>
            <w:noProof/>
            <w:webHidden/>
          </w:rPr>
          <w:t>33</w:t>
        </w:r>
        <w:r>
          <w:rPr>
            <w:noProof/>
            <w:webHidden/>
          </w:rPr>
          <w:fldChar w:fldCharType="end"/>
        </w:r>
      </w:hyperlink>
    </w:p>
    <w:p>
      <w:pPr>
        <w:pStyle w:val="TOC1"/>
      </w:pPr>
      <w:hyperlink w:anchor="_Toc300000045" w:history="1">
        <w:r>
          <w:rPr>
            <w:noProof/>
          </w:rPr>
          <w:t>18.</w:t>
        </w:r>
        <w:r>
          <w:rPr>
            <w:noProof/>
          </w:rPr>
          <w:tab/>
        </w:r>
        <w:r>
          <w:rPr>
            <w:noProof/>
          </w:rPr>
          <w:t xml:space="preserve">Sign-Off</w:t>
        </w:r>
        <w:r>
          <w:rPr>
            <w:noProof/>
            <w:webHidden/>
          </w:rPr>
          <w:tab/>
        </w:r>
        <w:r>
          <w:rPr>
            <w:noProof/>
            <w:webHidden/>
          </w:rPr>
          <w:fldChar w:fldCharType="begin"/>
        </w:r>
        <w:r>
          <w:rPr>
            <w:noProof/>
            <w:webHidden/>
          </w:rPr>
          <w:instrText xml:space="preserve"> PAGEREF _Toc300000045 \h </w:instrText>
        </w:r>
        <w:r>
          <w:rPr>
            <w:noProof/>
            <w:webHidden/>
          </w:rPr>
          <w:fldChar w:fldCharType="separate"/>
        </w:r>
        <w:r>
          <w:rPr>
            <w:noProof/>
            <w:webHidden/>
          </w:rPr>
          <w:t>34</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86"/>
        <w:gridCol w:w="991"/>
        <w:gridCol w:w="1821"/>
        <w:gridCol w:w="1500"/>
        <w:gridCol w:w="2142"/>
        <w:gridCol w:w="1287"/>
      </w:tblGrid>
      <w:tr w:rsidR="002B183A" w14:paraId="4E198CD6" w14:textId="77777777" w:rsidTr="002923F3">
        <w:trPr>
          <w:cantSplit/>
          <w:trHeight w:val="440"/>
          <w:tblHeader/>
        </w:trPr>
        <w:tc>
          <w:tcPr>
            <w:tcW w:w="1286"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91"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21"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4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8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86"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91"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21"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15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Architecture</w:t>
            </w:r>
          </w:p>
        </w:tc>
        <w:tc>
          <w:tcPr>
            <w:tcW w:w="214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8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65"/>
        <w:gridCol w:w="7462"/>
      </w:tblGrid>
      <w:tr w:rsidR="002B183A" w14:paraId="388F227F" w14:textId="77777777" w:rsidTr="002923F3">
        <w:trPr>
          <w:cantSplit/>
          <w:trHeight w:val="440"/>
          <w:tblHeader/>
        </w:trPr>
        <w:tc>
          <w:tcPr>
            <w:tcW w:w="1565"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62"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ADR</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Architecture decision record</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CDC</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Change data capture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CSV</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Comma-separated values</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CTI</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Computer telephony integration</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DPA</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processing agreement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DSAR</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subject access request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DWH</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warehouse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HMAC</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Hash-based message authentication code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 Secure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ICT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Indochina Time (UTC+7)</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Official Account (Zalo)</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OIDC</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OpenID Connect</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PGP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Pretty Good Privacy (file encryption)</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PIN</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 identification number</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PKCE</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Proof Key for Code Exchange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Session Initiation Protocol</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 added tax</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 Electronic Toll Collection</w:t>
            </w:r>
          </w:p>
        </w:tc>
      </w:tr>
      <w:tr w:rsidR="002B183A" w:rsidRPr="00BB346A" w14:paraId="73CFB63E" w14:textId="77777777" w:rsidTr="002923F3">
        <w:trPr>
          <w:cantSplit/>
          <w:trHeight w:val="449"/>
        </w:trPr>
        <w:tc>
          <w:tcPr>
            <w:tcW w:w="1565"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62"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defines how the TASCO Growth Platform exchanges data with every external system: TASCO core, the TASCO payment gateway, VETC, Zalo ZNS, the SMS provider, the voice AI vendor, partners and the TASCO data warehouse. For each integration it gives the contract, the pattern, security, idempotency, failure behaviour and the current build status. Integration teams at TASCO, VETC and each vendor build against it.</w:t>
      </w:r>
    </w:p>
    <w:p>
      <w:pPr>
        <w:pStyle w:val="Heading2"/>
      </w:pPr>
      <w:bookmarkStart w:id="9" w:name="_Toc300000005"/>
      <w:r>
        <w:t xml:space="preserve">Scope</w:t>
      </w:r>
      <w:bookmarkEnd w:id="9"/>
    </w:p>
    <w:p>
      <w:pPr>
        <w:pStyle w:val="FirstParagraph"/>
      </w:pPr>
      <w:r>
        <w:t xml:space="preserve">All integration touchpoints of the MVP and the scale phase. Every external system is reached through a port, an interface that the application calls without knowing which system sits behind it. The platform ships sandbox adapters for systems that are not yet available, so the full journey can be demonstrated and tested. This document is explicit about which adapters are production-ready and which are sandboxes.</w:t>
      </w:r>
    </w:p>
    <w:p>
      <w:pPr>
        <w:pStyle w:val="Heading2"/>
      </w:pPr>
      <w:bookmarkStart w:id="10" w:name="_Toc300000006"/>
      <w:r>
        <w:t xml:space="preserve">Audience</w:t>
      </w:r>
      <w:bookmarkEnd w:id="10"/>
    </w:p>
    <w:p>
      <w:pPr>
        <w:pStyle w:val="FirstParagraph"/>
      </w:pPr>
      <w:r>
        <w:t xml:space="preserve">TASCO core and IT architecture teams, VETC integration and payment teams, Zalo, SMS and voice vendors, partner technical teams and the iorta TechNXT integration engineers.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72"/>
        <w:gridCol w:w="3546"/>
        <w:gridCol w:w="4009"/>
      </w:tblGrid>
      <w:tr>
        <w:trPr>
          <w:cantSplit/>
          <w:tblHeader/>
        </w:trPr>
        <w:tc>
          <w:tcPr>
            <w:tcW w:w="1472" w:type="dxa"/>
            <w:shd w:val="clear" w:color="auto" w:fill="0F4761"/>
            <w:vAlign w:val="center"/>
          </w:tcPr>
          <w:p>
            <w:pPr>
              <w:pStyle w:val="TableHeading"/>
              <w:jc w:val="left"/>
            </w:pPr>
            <w:r>
              <w:rPr>
                <w:color w:val="FFFFFF"/>
              </w:rPr>
              <w:t xml:space="preserve">ID</w:t>
            </w:r>
          </w:p>
        </w:tc>
        <w:tc>
          <w:tcPr>
            <w:tcW w:w="3546" w:type="dxa"/>
            <w:shd w:val="clear" w:color="auto" w:fill="0F4761"/>
            <w:vAlign w:val="center"/>
          </w:tcPr>
          <w:p>
            <w:pPr>
              <w:pStyle w:val="TableHeading"/>
              <w:jc w:val="left"/>
            </w:pPr>
            <w:r>
              <w:rPr>
                <w:color w:val="FFFFFF"/>
              </w:rPr>
              <w:t xml:space="preserve">Title</w:t>
            </w:r>
          </w:p>
        </w:tc>
        <w:tc>
          <w:tcPr>
            <w:tcW w:w="4009" w:type="dxa"/>
            <w:shd w:val="clear" w:color="auto" w:fill="0F4761"/>
            <w:vAlign w:val="center"/>
          </w:tcPr>
          <w:p>
            <w:pPr>
              <w:pStyle w:val="TableHeading"/>
              <w:jc w:val="left"/>
            </w:pPr>
            <w:r>
              <w:rPr>
                <w:color w:val="FFFFFF"/>
              </w:rPr>
              <w:t xml:space="preserve">Relationship</w:t>
            </w:r>
          </w:p>
        </w:tc>
      </w:tr>
      <w:tr>
        <w:trPr>
          <w:cantSplit/>
        </w:trPr>
        <w:tc>
          <w:tcPr>
            <w:tcW w:w="1472" w:type="dxa"/>
            <w:noWrap/>
            <w:vAlign w:val="top"/>
          </w:tcPr>
          <w:p>
            <w:pPr>
              <w:pStyle w:val="TableText"/>
              <w:jc w:val="left"/>
            </w:pPr>
            <w:r>
              <w:t xml:space="preserve">TGP-ARC-01</w:t>
            </w:r>
          </w:p>
        </w:tc>
        <w:tc>
          <w:tcPr>
            <w:tcW w:w="3546" w:type="dxa"/>
            <w:vAlign w:val="top"/>
          </w:tcPr>
          <w:p>
            <w:pPr>
              <w:pStyle w:val="TableText"/>
              <w:jc w:val="left"/>
            </w:pPr>
            <w:r>
              <w:t xml:space="preserve">Solution Architecture</w:t>
            </w:r>
          </w:p>
        </w:tc>
        <w:tc>
          <w:tcPr>
            <w:tcW w:w="4009" w:type="dxa"/>
            <w:vAlign w:val="top"/>
          </w:tcPr>
          <w:p>
            <w:pPr>
              <w:pStyle w:val="TableText"/>
              <w:jc w:val="left"/>
            </w:pPr>
            <w:r>
              <w:t xml:space="preserve">Overall structure and ports</w:t>
            </w:r>
          </w:p>
        </w:tc>
      </w:tr>
      <w:tr>
        <w:trPr>
          <w:cantSplit/>
        </w:trPr>
        <w:tc>
          <w:tcPr>
            <w:tcW w:w="1472" w:type="dxa"/>
            <w:shd w:val="clear" w:color="auto" w:fill="F4F7FB"/>
            <w:noWrap/>
            <w:vAlign w:val="top"/>
          </w:tcPr>
          <w:p>
            <w:pPr>
              <w:pStyle w:val="TableText"/>
              <w:jc w:val="left"/>
            </w:pPr>
            <w:r>
              <w:t xml:space="preserve">TGP-ARC-03</w:t>
            </w:r>
          </w:p>
        </w:tc>
        <w:tc>
          <w:tcPr>
            <w:tcW w:w="3546" w:type="dxa"/>
            <w:shd w:val="clear" w:color="auto" w:fill="F4F7FB"/>
            <w:vAlign w:val="top"/>
          </w:tcPr>
          <w:p>
            <w:pPr>
              <w:pStyle w:val="TableText"/>
              <w:jc w:val="left"/>
            </w:pPr>
            <w:r>
              <w:t xml:space="preserve">Data Architecture</w:t>
            </w:r>
          </w:p>
        </w:tc>
        <w:tc>
          <w:tcPr>
            <w:tcW w:w="4009" w:type="dxa"/>
            <w:shd w:val="clear" w:color="auto" w:fill="F4F7FB"/>
            <w:vAlign w:val="top"/>
          </w:tcPr>
          <w:p>
            <w:pPr>
              <w:pStyle w:val="TableText"/>
              <w:jc w:val="left"/>
            </w:pPr>
            <w:r>
              <w:t xml:space="preserve">Data model, golden record, feeds</w:t>
            </w:r>
          </w:p>
        </w:tc>
      </w:tr>
      <w:tr>
        <w:trPr>
          <w:cantSplit/>
        </w:trPr>
        <w:tc>
          <w:tcPr>
            <w:tcW w:w="1472" w:type="dxa"/>
            <w:noWrap/>
            <w:vAlign w:val="top"/>
          </w:tcPr>
          <w:p>
            <w:pPr>
              <w:pStyle w:val="TableText"/>
              <w:jc w:val="left"/>
            </w:pPr>
            <w:r>
              <w:t xml:space="preserve">TGP-ARC-04</w:t>
            </w:r>
          </w:p>
        </w:tc>
        <w:tc>
          <w:tcPr>
            <w:tcW w:w="3546" w:type="dxa"/>
            <w:vAlign w:val="top"/>
          </w:tcPr>
          <w:p>
            <w:pPr>
              <w:pStyle w:val="TableText"/>
              <w:jc w:val="left"/>
            </w:pPr>
            <w:r>
              <w:t xml:space="preserve">Security Architecture</w:t>
            </w:r>
          </w:p>
        </w:tc>
        <w:tc>
          <w:tcPr>
            <w:tcW w:w="4009" w:type="dxa"/>
            <w:vAlign w:val="top"/>
          </w:tcPr>
          <w:p>
            <w:pPr>
              <w:pStyle w:val="TableText"/>
              <w:jc w:val="left"/>
            </w:pPr>
            <w:r>
              <w:t xml:space="preserve">Authentication, secrets, data protection</w:t>
            </w:r>
          </w:p>
        </w:tc>
      </w:tr>
      <w:tr>
        <w:trPr>
          <w:cantSplit/>
        </w:trPr>
        <w:tc>
          <w:tcPr>
            <w:tcW w:w="1472" w:type="dxa"/>
            <w:shd w:val="clear" w:color="auto" w:fill="F4F7FB"/>
            <w:noWrap/>
            <w:vAlign w:val="top"/>
          </w:tcPr>
          <w:p>
            <w:pPr>
              <w:pStyle w:val="TableText"/>
              <w:jc w:val="left"/>
            </w:pPr>
            <w:r>
              <w:t xml:space="preserve">TGP-ARC-05</w:t>
            </w:r>
          </w:p>
        </w:tc>
        <w:tc>
          <w:tcPr>
            <w:tcW w:w="3546" w:type="dxa"/>
            <w:shd w:val="clear" w:color="auto" w:fill="F4F7FB"/>
            <w:vAlign w:val="top"/>
          </w:tcPr>
          <w:p>
            <w:pPr>
              <w:pStyle w:val="TableText"/>
              <w:jc w:val="left"/>
            </w:pPr>
            <w:r>
              <w:t xml:space="preserve">Deployment and Infrastructure Architecture</w:t>
            </w:r>
          </w:p>
        </w:tc>
        <w:tc>
          <w:tcPr>
            <w:tcW w:w="4009" w:type="dxa"/>
            <w:shd w:val="clear" w:color="auto" w:fill="F4F7FB"/>
            <w:vAlign w:val="top"/>
          </w:tcPr>
          <w:p>
            <w:pPr>
              <w:pStyle w:val="TableText"/>
              <w:jc w:val="left"/>
            </w:pPr>
            <w:r>
              <w:t xml:space="preserve">Egress, network policy, settings</w:t>
            </w:r>
          </w:p>
        </w:tc>
      </w:tr>
      <w:tr>
        <w:trPr>
          <w:cantSplit/>
        </w:trPr>
        <w:tc>
          <w:tcPr>
            <w:tcW w:w="1472" w:type="dxa"/>
            <w:noWrap/>
            <w:vAlign w:val="top"/>
          </w:tcPr>
          <w:p>
            <w:pPr>
              <w:pStyle w:val="TableText"/>
              <w:jc w:val="left"/>
            </w:pPr>
            <w:r>
              <w:t xml:space="preserve">TGP-ARC-07</w:t>
            </w:r>
          </w:p>
        </w:tc>
        <w:tc>
          <w:tcPr>
            <w:tcW w:w="3546" w:type="dxa"/>
            <w:vAlign w:val="top"/>
          </w:tcPr>
          <w:p>
            <w:pPr>
              <w:pStyle w:val="TableText"/>
              <w:jc w:val="left"/>
            </w:pPr>
            <w:r>
              <w:t xml:space="preserve">Architecture Decision Records</w:t>
            </w:r>
          </w:p>
        </w:tc>
        <w:tc>
          <w:tcPr>
            <w:tcW w:w="4009" w:type="dxa"/>
            <w:vAlign w:val="top"/>
          </w:tcPr>
          <w:p>
            <w:pPr>
              <w:pStyle w:val="TableText"/>
              <w:jc w:val="left"/>
            </w:pPr>
            <w:r>
              <w:t xml:space="preserve">ADR-013 TASCO core as master for rating</w:t>
            </w:r>
          </w:p>
        </w:tc>
      </w:tr>
      <w:tr>
        <w:trPr>
          <w:cantSplit/>
        </w:trPr>
        <w:tc>
          <w:tcPr>
            <w:tcW w:w="1472" w:type="dxa"/>
            <w:shd w:val="clear" w:color="auto" w:fill="F4F7FB"/>
            <w:noWrap/>
            <w:vAlign w:val="top"/>
          </w:tcPr>
          <w:p>
            <w:pPr>
              <w:pStyle w:val="TableText"/>
              <w:jc w:val="left"/>
            </w:pPr>
            <w:r>
              <w:t xml:space="preserve">TGP-MAN-03</w:t>
            </w:r>
          </w:p>
        </w:tc>
        <w:tc>
          <w:tcPr>
            <w:tcW w:w="3546" w:type="dxa"/>
            <w:shd w:val="clear" w:color="auto" w:fill="F4F7FB"/>
            <w:vAlign w:val="top"/>
          </w:tcPr>
          <w:p>
            <w:pPr>
              <w:pStyle w:val="TableText"/>
              <w:jc w:val="left"/>
            </w:pPr>
            <w:r>
              <w:t xml:space="preserve">Partner API Integration Guide</w:t>
            </w:r>
          </w:p>
        </w:tc>
        <w:tc>
          <w:tcPr>
            <w:tcW w:w="4009" w:type="dxa"/>
            <w:shd w:val="clear" w:color="auto" w:fill="F4F7FB"/>
            <w:vAlign w:val="top"/>
          </w:tcPr>
          <w:p>
            <w:pPr>
              <w:pStyle w:val="TableText"/>
              <w:jc w:val="left"/>
            </w:pPr>
            <w:r>
              <w:t xml:space="preserve">Step-by-step guide for partner developers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Integration principles and standards</w:t>
      </w:r>
      <w:bookmarkEnd w:id="12"/>
    </w:p>
    <w:p>
      <w:pPr>
        <w:pStyle w:val="Heading2"/>
      </w:pPr>
      <w:bookmarkStart w:id="13" w:name="_Toc300000009"/>
      <w:r>
        <w:t xml:space="preserve">Principles</w:t>
      </w:r>
      <w:bookmarkEnd w:id="13"/>
    </w:p>
    <w:p>
      <w:pPr>
        <w:pStyle w:val="FirstParagraph"/>
      </w:pPr>
      <w:r>
        <w:t xml:space="preserve">TASCO core owns products, prices and policies; the platform asks and binds, it never decides a premium in production. Each integration has one port and one adapter, so a provider can change without touching business logic. Every state-changing call carries an idempotency key and is safe to retry. Every call has a timeout, a bounded retry and a circuit breaker, so a slow system cannot slow the platform down. Each integration is reconciled daily, and differences raise an alert.</w:t>
      </w:r>
    </w:p>
    <w:p>
      <w:pPr>
        <w:pStyle w:val="Heading2"/>
      </w:pPr>
      <w:bookmarkStart w:id="14" w:name="_Toc300000010"/>
      <w:r>
        <w:t xml:space="preserve">Transport and identity</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89"/>
        <w:gridCol w:w="7038"/>
      </w:tblGrid>
      <w:tr>
        <w:trPr>
          <w:cantSplit/>
          <w:tblHeader/>
        </w:trPr>
        <w:tc>
          <w:tcPr>
            <w:tcW w:w="1989" w:type="dxa"/>
            <w:shd w:val="clear" w:color="auto" w:fill="0F4761"/>
            <w:vAlign w:val="center"/>
          </w:tcPr>
          <w:p>
            <w:pPr>
              <w:pStyle w:val="TableHeading"/>
              <w:jc w:val="left"/>
            </w:pPr>
            <w:r>
              <w:rPr>
                <w:color w:val="FFFFFF"/>
              </w:rPr>
              <w:t xml:space="preserve">Concern</w:t>
            </w:r>
          </w:p>
        </w:tc>
        <w:tc>
          <w:tcPr>
            <w:tcW w:w="7038" w:type="dxa"/>
            <w:shd w:val="clear" w:color="auto" w:fill="0F4761"/>
            <w:vAlign w:val="center"/>
          </w:tcPr>
          <w:p>
            <w:pPr>
              <w:pStyle w:val="TableHeading"/>
              <w:jc w:val="left"/>
            </w:pPr>
            <w:r>
              <w:rPr>
                <w:color w:val="FFFFFF"/>
              </w:rPr>
              <w:t xml:space="preserve">Standard</w:t>
            </w:r>
          </w:p>
        </w:tc>
      </w:tr>
      <w:tr>
        <w:trPr>
          <w:cantSplit/>
        </w:trPr>
        <w:tc>
          <w:tcPr>
            <w:tcW w:w="1989" w:type="dxa"/>
            <w:vAlign w:val="top"/>
          </w:tcPr>
          <w:p>
            <w:pPr>
              <w:pStyle w:val="TableText"/>
              <w:jc w:val="left"/>
            </w:pPr>
            <w:r>
              <w:t xml:space="preserve">Transport</w:t>
            </w:r>
          </w:p>
        </w:tc>
        <w:tc>
          <w:tcPr>
            <w:tcW w:w="7038" w:type="dxa"/>
            <w:vAlign w:val="top"/>
          </w:tcPr>
          <w:p>
            <w:pPr>
              <w:pStyle w:val="TableText"/>
              <w:jc w:val="left"/>
            </w:pPr>
            <w:r>
              <w:t xml:space="preserve">TLS 1.2 or higher (1.3 preferred), certificate validation on. Private connectivity to TASCO core and VETC where available.</w:t>
            </w:r>
          </w:p>
        </w:tc>
      </w:tr>
      <w:tr>
        <w:trPr>
          <w:cantSplit/>
        </w:trPr>
        <w:tc>
          <w:tcPr>
            <w:tcW w:w="1989" w:type="dxa"/>
            <w:shd w:val="clear" w:color="auto" w:fill="F4F7FB"/>
            <w:vAlign w:val="top"/>
          </w:tcPr>
          <w:p>
            <w:pPr>
              <w:pStyle w:val="TableText"/>
              <w:jc w:val="left"/>
            </w:pPr>
            <w:r>
              <w:t xml:space="preserve">Client authentication</w:t>
            </w:r>
          </w:p>
        </w:tc>
        <w:tc>
          <w:tcPr>
            <w:tcW w:w="7038" w:type="dxa"/>
            <w:shd w:val="clear" w:color="auto" w:fill="F4F7FB"/>
            <w:vAlign w:val="top"/>
          </w:tcPr>
          <w:p>
            <w:pPr>
              <w:pStyle w:val="TableText"/>
              <w:jc w:val="left"/>
            </w:pPr>
            <w:r>
              <w:t xml:space="preserve">OAuth 2.0 client credentials with short-lived tokens; mutual TLS for TASCO core and the VETC wallet where required. Static keys only where a provider offers nothing else.</w:t>
            </w:r>
          </w:p>
        </w:tc>
      </w:tr>
      <w:tr>
        <w:trPr>
          <w:cantSplit/>
        </w:trPr>
        <w:tc>
          <w:tcPr>
            <w:tcW w:w="1989" w:type="dxa"/>
            <w:vAlign w:val="top"/>
          </w:tcPr>
          <w:p>
            <w:pPr>
              <w:pStyle w:val="TableText"/>
              <w:jc w:val="left"/>
            </w:pPr>
            <w:r>
              <w:t xml:space="preserve">Inbound webhooks</w:t>
            </w:r>
          </w:p>
        </w:tc>
        <w:tc>
          <w:tcPr>
            <w:tcW w:w="7038" w:type="dxa"/>
            <w:vAlign w:val="top"/>
          </w:tcPr>
          <w:p>
            <w:pPr>
              <w:pStyle w:val="TableText"/>
              <w:jc w:val="left"/>
            </w:pPr>
            <w:r>
              <w:t xml:space="preserve">HMAC-SHA256 signature with a timestamp and a five-minute replay window.</w:t>
            </w:r>
          </w:p>
        </w:tc>
      </w:tr>
      <w:tr>
        <w:trPr>
          <w:cantSplit/>
        </w:trPr>
        <w:tc>
          <w:tcPr>
            <w:tcW w:w="1989" w:type="dxa"/>
            <w:shd w:val="clear" w:color="auto" w:fill="F4F7FB"/>
            <w:vAlign w:val="top"/>
          </w:tcPr>
          <w:p>
            <w:pPr>
              <w:pStyle w:val="TableText"/>
              <w:jc w:val="left"/>
            </w:pPr>
            <w:r>
              <w:t xml:space="preserve">Egress</w:t>
            </w:r>
          </w:p>
        </w:tc>
        <w:tc>
          <w:tcPr>
            <w:tcW w:w="7038" w:type="dxa"/>
            <w:shd w:val="clear" w:color="auto" w:fill="F4F7FB"/>
            <w:vAlign w:val="top"/>
          </w:tcPr>
          <w:p>
            <w:pPr>
              <w:pStyle w:val="TableText"/>
              <w:jc w:val="left"/>
            </w:pPr>
            <w:r>
              <w:t xml:space="preserve">All outbound traffic leaves through an egress proxy with fixed IP addresses that providers can allow-list.</w:t>
            </w:r>
          </w:p>
        </w:tc>
      </w:tr>
      <w:tr>
        <w:trPr>
          <w:cantSplit/>
        </w:trPr>
        <w:tc>
          <w:tcPr>
            <w:tcW w:w="1989" w:type="dxa"/>
            <w:vAlign w:val="top"/>
          </w:tcPr>
          <w:p>
            <w:pPr>
              <w:pStyle w:val="TableText"/>
              <w:jc w:val="left"/>
            </w:pPr>
            <w:r>
              <w:t xml:space="preserve">Secrets</w:t>
            </w:r>
          </w:p>
        </w:tc>
        <w:tc>
          <w:tcPr>
            <w:tcW w:w="7038" w:type="dxa"/>
            <w:vAlign w:val="top"/>
          </w:tcPr>
          <w:p>
            <w:pPr>
              <w:pStyle w:val="TableText"/>
              <w:jc w:val="left"/>
            </w:pPr>
            <w:r>
              <w:t xml:space="preserve">Mounted as files from the secret store, never in images or environment literals (TGP-ARC-05 Deployment and Infrastructure Architecture).</w:t>
            </w:r>
          </w:p>
        </w:tc>
      </w:tr>
      <w:tr>
        <w:trPr>
          <w:cantSplit/>
        </w:trPr>
        <w:tc>
          <w:tcPr>
            <w:tcW w:w="1989" w:type="dxa"/>
            <w:shd w:val="clear" w:color="auto" w:fill="F4F7FB"/>
            <w:vAlign w:val="top"/>
          </w:tcPr>
          <w:p>
            <w:pPr>
              <w:pStyle w:val="TableText"/>
              <w:jc w:val="left"/>
            </w:pPr>
            <w:r>
              <w:t xml:space="preserve">Data minimisation</w:t>
            </w:r>
          </w:p>
        </w:tc>
        <w:tc>
          <w:tcPr>
            <w:tcW w:w="7038" w:type="dxa"/>
            <w:shd w:val="clear" w:color="auto" w:fill="F4F7FB"/>
            <w:vAlign w:val="top"/>
          </w:tcPr>
          <w:p>
            <w:pPr>
              <w:pStyle w:val="TableText"/>
              <w:jc w:val="left"/>
            </w:pPr>
            <w:r>
              <w:t xml:space="preserve">Each provider receives only the fields it needs. The platform never sends one-time passwords and never handles card data.</w:t>
            </w:r>
          </w:p>
        </w:tc>
      </w:tr>
      <w:tr>
        <w:trPr>
          <w:cantSplit/>
        </w:trPr>
        <w:tc>
          <w:tcPr>
            <w:tcW w:w="1989" w:type="dxa"/>
            <w:vAlign w:val="top"/>
          </w:tcPr>
          <w:p>
            <w:pPr>
              <w:pStyle w:val="TableText"/>
              <w:jc w:val="left"/>
            </w:pPr>
            <w:r>
              <w:t xml:space="preserve">Tracing</w:t>
            </w:r>
          </w:p>
        </w:tc>
        <w:tc>
          <w:tcPr>
            <w:tcW w:w="7038" w:type="dxa"/>
            <w:vAlign w:val="top"/>
          </w:tcPr>
          <w:p>
            <w:pPr>
              <w:pStyle w:val="TableText"/>
              <w:jc w:val="left"/>
            </w:pPr>
            <w:r>
              <w:rPr>
                <w:rStyle w:val="CodeChar"/>
              </w:rPr>
              <w:t xml:space="preserve">X-Request-Id</w:t>
            </w:r>
            <w:r>
              <w:t xml:space="preserve"> </w:t>
            </w:r>
            <w:r>
              <w:t xml:space="preserve">on every call. Payloads are not logged; the logger redacts names, phones and tokens.</w:t>
            </w:r>
          </w:p>
        </w:tc>
      </w:tr>
    </w:tbl>
    <w:p>
      <w:pPr>
        <w:pStyle w:val="Heading2"/>
      </w:pPr>
      <w:bookmarkStart w:id="15" w:name="_Toc300000011"/>
      <w:r>
        <w:t xml:space="preserve">Resilience defaults</w:t>
      </w:r>
      <w:bookmarkEnd w:id="15"/>
    </w:p>
    <w:p>
      <w:pPr>
        <w:pStyle w:val="FirstParagraph"/>
      </w:pPr>
      <w:r>
        <w:t xml:space="preserve">Every outbound port is wrapped in a circuit breaker when the application starts. The defaults below apply unless an integration overrides them.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54"/>
        <w:gridCol w:w="4187"/>
        <w:gridCol w:w="3086"/>
      </w:tblGrid>
      <w:tr>
        <w:trPr>
          <w:cantSplit/>
          <w:tblHeader/>
        </w:trPr>
        <w:tc>
          <w:tcPr>
            <w:tcW w:w="1754" w:type="dxa"/>
            <w:shd w:val="clear" w:color="auto" w:fill="0F4761"/>
            <w:vAlign w:val="center"/>
          </w:tcPr>
          <w:p>
            <w:pPr>
              <w:pStyle w:val="TableHeading"/>
              <w:jc w:val="left"/>
            </w:pPr>
            <w:r>
              <w:rPr>
                <w:color w:val="FFFFFF"/>
              </w:rPr>
              <w:t xml:space="preserve">Parameter</w:t>
            </w:r>
          </w:p>
        </w:tc>
        <w:tc>
          <w:tcPr>
            <w:tcW w:w="4187" w:type="dxa"/>
            <w:shd w:val="clear" w:color="auto" w:fill="0F4761"/>
            <w:vAlign w:val="center"/>
          </w:tcPr>
          <w:p>
            <w:pPr>
              <w:pStyle w:val="TableHeading"/>
              <w:jc w:val="left"/>
            </w:pPr>
            <w:r>
              <w:rPr>
                <w:color w:val="FFFFFF"/>
              </w:rPr>
              <w:t xml:space="preserve">Default</w:t>
            </w:r>
          </w:p>
        </w:tc>
        <w:tc>
          <w:tcPr>
            <w:tcW w:w="3086" w:type="dxa"/>
            <w:shd w:val="clear" w:color="auto" w:fill="0F4761"/>
            <w:vAlign w:val="center"/>
          </w:tcPr>
          <w:p>
            <w:pPr>
              <w:pStyle w:val="TableHeading"/>
              <w:jc w:val="left"/>
            </w:pPr>
            <w:r>
              <w:rPr>
                <w:color w:val="FFFFFF"/>
              </w:rPr>
              <w:t xml:space="preserve">Override</w:t>
            </w:r>
          </w:p>
        </w:tc>
      </w:tr>
      <w:tr>
        <w:trPr>
          <w:cantSplit/>
        </w:trPr>
        <w:tc>
          <w:tcPr>
            <w:tcW w:w="1754" w:type="dxa"/>
            <w:vAlign w:val="top"/>
          </w:tcPr>
          <w:p>
            <w:pPr>
              <w:pStyle w:val="TableText"/>
              <w:jc w:val="left"/>
            </w:pPr>
            <w:r>
              <w:t xml:space="preserve">Timeout per attempt</w:t>
            </w:r>
          </w:p>
        </w:tc>
        <w:tc>
          <w:tcPr>
            <w:tcW w:w="4187" w:type="dxa"/>
            <w:vAlign w:val="top"/>
          </w:tcPr>
          <w:p>
            <w:pPr>
              <w:pStyle w:val="TableText"/>
              <w:jc w:val="left"/>
            </w:pPr>
            <w:r>
              <w:t xml:space="preserve">5,000 ms</w:t>
            </w:r>
          </w:p>
        </w:tc>
        <w:tc>
          <w:tcPr>
            <w:tcW w:w="3086" w:type="dxa"/>
            <w:vAlign w:val="top"/>
          </w:tcPr>
          <w:p>
            <w:pPr>
              <w:pStyle w:val="TableText"/>
              <w:jc w:val="left"/>
            </w:pPr>
            <w:r>
              <w:t xml:space="preserve">Voice calls 30,000 ms</w:t>
            </w:r>
          </w:p>
        </w:tc>
      </w:tr>
      <w:tr>
        <w:trPr>
          <w:cantSplit/>
        </w:trPr>
        <w:tc>
          <w:tcPr>
            <w:tcW w:w="1754" w:type="dxa"/>
            <w:shd w:val="clear" w:color="auto" w:fill="F4F7FB"/>
            <w:vAlign w:val="top"/>
          </w:tcPr>
          <w:p>
            <w:pPr>
              <w:pStyle w:val="TableText"/>
              <w:jc w:val="left"/>
            </w:pPr>
            <w:r>
              <w:t xml:space="preserve">Retries</w:t>
            </w:r>
          </w:p>
        </w:tc>
        <w:tc>
          <w:tcPr>
            <w:tcW w:w="4187" w:type="dxa"/>
            <w:shd w:val="clear" w:color="auto" w:fill="F4F7FB"/>
            <w:vAlign w:val="top"/>
          </w:tcPr>
          <w:p>
            <w:pPr>
              <w:pStyle w:val="TableText"/>
              <w:jc w:val="left"/>
            </w:pPr>
            <w:r>
              <w:t xml:space="preserve">2 (three attempts)</w:t>
            </w:r>
          </w:p>
        </w:tc>
        <w:tc>
          <w:tcPr>
            <w:tcW w:w="3086" w:type="dxa"/>
            <w:shd w:val="clear" w:color="auto" w:fill="F4F7FB"/>
            <w:vAlign w:val="top"/>
          </w:tcPr>
          <w:p>
            <w:pPr>
              <w:pStyle w:val="TableText"/>
              <w:jc w:val="left"/>
            </w:pPr>
            <w:r>
              <w:t xml:space="preserve">Voice calls 0, because a retry would ring a person twice</w:t>
            </w:r>
          </w:p>
        </w:tc>
      </w:tr>
      <w:tr>
        <w:trPr>
          <w:cantSplit/>
        </w:trPr>
        <w:tc>
          <w:tcPr>
            <w:tcW w:w="1754" w:type="dxa"/>
            <w:vAlign w:val="top"/>
          </w:tcPr>
          <w:p>
            <w:pPr>
              <w:pStyle w:val="TableText"/>
              <w:jc w:val="left"/>
            </w:pPr>
            <w:r>
              <w:t xml:space="preserve">Backoff</w:t>
            </w:r>
          </w:p>
        </w:tc>
        <w:tc>
          <w:tcPr>
            <w:tcW w:w="4187" w:type="dxa"/>
            <w:vAlign w:val="top"/>
          </w:tcPr>
          <w:p>
            <w:pPr>
              <w:pStyle w:val="TableText"/>
              <w:jc w:val="left"/>
            </w:pPr>
            <w:r>
              <w:t xml:space="preserve">Exponential with jitter, from 100 ms</w:t>
            </w:r>
          </w:p>
        </w:tc>
        <w:tc>
          <w:tcPr>
            <w:tcW w:w="3086" w:type="dxa"/>
            <w:vAlign w:val="top"/>
          </w:tcPr>
          <w:p>
            <w:pPr>
              <w:pStyle w:val="TableText"/>
              <w:jc w:val="left"/>
            </w:pPr>
            <w:r>
              <w:t xml:space="preserve">TASCO core client from 200 ms</w:t>
            </w:r>
          </w:p>
        </w:tc>
      </w:tr>
      <w:tr>
        <w:trPr>
          <w:cantSplit/>
        </w:trPr>
        <w:tc>
          <w:tcPr>
            <w:tcW w:w="1754" w:type="dxa"/>
            <w:shd w:val="clear" w:color="auto" w:fill="F4F7FB"/>
            <w:vAlign w:val="top"/>
          </w:tcPr>
          <w:p>
            <w:pPr>
              <w:pStyle w:val="TableText"/>
              <w:jc w:val="left"/>
            </w:pPr>
            <w:r>
              <w:t xml:space="preserve">Retried errors</w:t>
            </w:r>
          </w:p>
        </w:tc>
        <w:tc>
          <w:tcPr>
            <w:tcW w:w="4187" w:type="dxa"/>
            <w:shd w:val="clear" w:color="auto" w:fill="F4F7FB"/>
            <w:vAlign w:val="top"/>
          </w:tcPr>
          <w:p>
            <w:pPr>
              <w:pStyle w:val="TableText"/>
              <w:jc w:val="left"/>
            </w:pPr>
            <w:r>
              <w:t xml:space="preserve">Network errors, timeouts, HTTP 5xx and 429</w:t>
            </w:r>
          </w:p>
        </w:tc>
        <w:tc>
          <w:tcPr>
            <w:tcW w:w="3086" w:type="dxa"/>
            <w:shd w:val="clear" w:color="auto" w:fill="F4F7FB"/>
            <w:vAlign w:val="top"/>
          </w:tcPr>
          <w:p>
            <w:pPr>
              <w:pStyle w:val="TableText"/>
              <w:jc w:val="left"/>
            </w:pPr>
            <w:r>
              <w:t xml:space="preserve">Business errors (4xx) are never retried</w:t>
            </w:r>
          </w:p>
        </w:tc>
      </w:tr>
      <w:tr>
        <w:trPr>
          <w:cantSplit/>
        </w:trPr>
        <w:tc>
          <w:tcPr>
            <w:tcW w:w="1754" w:type="dxa"/>
            <w:vAlign w:val="top"/>
          </w:tcPr>
          <w:p>
            <w:pPr>
              <w:pStyle w:val="TableText"/>
              <w:jc w:val="left"/>
            </w:pPr>
            <w:r>
              <w:t xml:space="preserve">Circuit opens</w:t>
            </w:r>
          </w:p>
        </w:tc>
        <w:tc>
          <w:tcPr>
            <w:tcW w:w="4187" w:type="dxa"/>
            <w:vAlign w:val="top"/>
          </w:tcPr>
          <w:p>
            <w:pPr>
              <w:pStyle w:val="TableText"/>
              <w:jc w:val="left"/>
            </w:pPr>
            <w:r>
              <w:t xml:space="preserve">After 5 consecutive failed calls</w:t>
            </w:r>
          </w:p>
        </w:tc>
        <w:tc>
          <w:tcPr>
            <w:tcW w:w="3086" w:type="dxa"/>
            <w:vAlign w:val="top"/>
          </w:tcPr>
          <w:p>
            <w:pPr>
              <w:pStyle w:val="TableText"/>
              <w:jc w:val="left"/>
            </w:pPr>
            <w:r>
              <w:t xml:space="preserve">None</w:t>
            </w:r>
          </w:p>
        </w:tc>
      </w:tr>
      <w:tr>
        <w:trPr>
          <w:cantSplit/>
        </w:trPr>
        <w:tc>
          <w:tcPr>
            <w:tcW w:w="1754" w:type="dxa"/>
            <w:shd w:val="clear" w:color="auto" w:fill="F4F7FB"/>
            <w:vAlign w:val="top"/>
          </w:tcPr>
          <w:p>
            <w:pPr>
              <w:pStyle w:val="TableText"/>
              <w:jc w:val="left"/>
            </w:pPr>
            <w:r>
              <w:t xml:space="preserve">Circuit half-open</w:t>
            </w:r>
          </w:p>
        </w:tc>
        <w:tc>
          <w:tcPr>
            <w:tcW w:w="4187" w:type="dxa"/>
            <w:shd w:val="clear" w:color="auto" w:fill="F4F7FB"/>
            <w:vAlign w:val="top"/>
          </w:tcPr>
          <w:p>
            <w:pPr>
              <w:pStyle w:val="TableText"/>
              <w:jc w:val="left"/>
            </w:pPr>
            <w:r>
              <w:t xml:space="preserve">After 30 seconds; the next success closes it</w:t>
            </w:r>
          </w:p>
        </w:tc>
        <w:tc>
          <w:tcPr>
            <w:tcW w:w="3086" w:type="dxa"/>
            <w:shd w:val="clear" w:color="auto" w:fill="F4F7FB"/>
            <w:vAlign w:val="top"/>
          </w:tcPr>
          <w:p>
            <w:pPr>
              <w:pStyle w:val="TableText"/>
              <w:jc w:val="left"/>
            </w:pPr>
            <w:r>
              <w:t xml:space="preserve">None</w:t>
            </w:r>
          </w:p>
        </w:tc>
      </w:tr>
      <w:tr>
        <w:trPr>
          <w:cantSplit/>
        </w:trPr>
        <w:tc>
          <w:tcPr>
            <w:tcW w:w="1754" w:type="dxa"/>
            <w:vAlign w:val="top"/>
          </w:tcPr>
          <w:p>
            <w:pPr>
              <w:pStyle w:val="TableText"/>
              <w:jc w:val="left"/>
            </w:pPr>
            <w:r>
              <w:t xml:space="preserve">When open</w:t>
            </w:r>
          </w:p>
        </w:tc>
        <w:tc>
          <w:tcPr>
            <w:tcW w:w="4187" w:type="dxa"/>
            <w:vAlign w:val="top"/>
          </w:tcPr>
          <w:p>
            <w:pPr>
              <w:pStyle w:val="TableText"/>
              <w:jc w:val="left"/>
            </w:pPr>
            <w:r>
              <w:t xml:space="preserve">Immediate HTTP 503 with error code</w:t>
            </w:r>
            <w:r>
              <w:t xml:space="preserve"> </w:t>
            </w:r>
            <w:r>
              <w:rPr>
                <w:rStyle w:val="CodeChar"/>
              </w:rPr>
              <w:t xml:space="preserve">UPSTREAM_UNAVAILABLE</w:t>
            </w:r>
          </w:p>
        </w:tc>
        <w:tc>
          <w:tcPr>
            <w:tcW w:w="3086" w:type="dxa"/>
            <w:vAlign w:val="top"/>
          </w:tcPr>
          <w:p>
            <w:pPr>
              <w:pStyle w:val="TableText"/>
              <w:jc w:val="left"/>
            </w:pPr>
            <w:r>
              <w:t xml:space="preserve">None</w:t>
            </w:r>
          </w:p>
        </w:tc>
      </w:tr>
    </w:tbl>
    <w:p>
      <w:pPr>
        <w:pStyle w:val="BodyText"/>
        <w:spacing w:before="160"/>
      </w:pPr>
      <w:r>
        <w:t xml:space="preserve">Production adapters must also cancel the underlying request on timeout (the TASCO core client already does this with an abort signal), map provider errors to platform errors so that retry decisions are correct, and send an idempotency key the provider de-duplicates on. Providers with strict quotas need a concurrency limit per provider, because the half-open state admits concurrent calls.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Integration context</w:t>
      </w:r>
      <w:bookmarkEnd w:id="16"/>
    </w:p>
    <w:p>
      <w:pPr>
        <w:pStyle w:val="FirstParagraph"/>
      </w:pPr>
      <w:r>
        <w:t xml:space="preserve">The diagram shows each external system and what it exchanges with the platform. The table that follows lists every touchpoint with its pattern and current status.</w:t>
      </w:r>
    </w:p>
    <w:p xmlns:a="http://schemas.openxmlformats.org/drawingml/2006/main" xmlns:pic="http://schemas.openxmlformats.org/drawingml/2006/picture">
      <w:pPr>
        <w:pStyle w:val="Figure"/>
      </w:pPr>
      <w:r>
        <w:drawing>
          <wp:inline>
            <wp:extent cx="5705999" cy="6479999"/>
            <wp:effectExtent b="0" l="0" r="0" t="0"/>
            <wp:docPr descr="Integration context: each external system and what it exchanges with the platform" title="" id="5002" name="Picture"/>
            <a:graphic>
              <a:graphicData uri="http://schemas.openxmlformats.org/drawingml/2006/picture">
                <pic:pic>
                  <pic:nvPicPr>
                    <pic:cNvPr descr="/home/user/TASCO/tools/docs-source/gen/.cache/mermaid/e89daa2e05604ae9.png" id="31" name="Picture"/>
                    <pic:cNvPicPr>
                      <a:picLocks noChangeArrowheads="1" noChangeAspect="1"/>
                    </pic:cNvPicPr>
                  </pic:nvPicPr>
                  <pic:blipFill>
                    <a:blip r:embed="rIdG1"/>
                    <a:stretch>
                      <a:fillRect/>
                    </a:stretch>
                  </pic:blipFill>
                  <pic:spPr bwMode="auto">
                    <a:xfrm>
                      <a:off x="0" y="0"/>
                      <a:ext cx="5705999" cy="6479999"/>
                    </a:xfrm>
                    <a:prstGeom prst="rect">
                      <a:avLst/>
                    </a:prstGeom>
                    <a:noFill/>
                    <a:ln w="9525">
                      <a:noFill/>
                      <a:headEnd/>
                      <a:tailEnd/>
                    </a:ln>
                  </pic:spPr>
                </pic:pic>
              </a:graphicData>
            </a:graphic>
          </wp:inline>
        </w:drawing>
      </w:r>
    </w:p>
    <w:p>
      <w:pPr>
        <w:pStyle w:val="Caption"/>
      </w:pPr>
      <w:r>
        <w:t xml:space="preserve">Figure 1 – Integration context: each external system and what it exchanges with the platform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59"/>
        <w:gridCol w:w="1272"/>
        <w:gridCol w:w="1686"/>
        <w:gridCol w:w="2359"/>
        <w:gridCol w:w="1351"/>
      </w:tblGrid>
      <w:tr>
        <w:trPr>
          <w:cantSplit/>
          <w:tblHeader/>
        </w:trPr>
        <w:tc>
          <w:tcPr>
            <w:tcW w:w="2359" w:type="dxa"/>
            <w:shd w:val="clear" w:color="auto" w:fill="0F4761"/>
            <w:vAlign w:val="center"/>
          </w:tcPr>
          <w:p>
            <w:pPr>
              <w:pStyle w:val="TableHeading"/>
              <w:jc w:val="left"/>
            </w:pPr>
            <w:r>
              <w:rPr>
                <w:color w:val="FFFFFF"/>
              </w:rPr>
              <w:t xml:space="preserve">Touchpoint</w:t>
            </w:r>
          </w:p>
        </w:tc>
        <w:tc>
          <w:tcPr>
            <w:tcW w:w="1272" w:type="dxa"/>
            <w:shd w:val="clear" w:color="auto" w:fill="0F4761"/>
            <w:vAlign w:val="center"/>
          </w:tcPr>
          <w:p>
            <w:pPr>
              <w:pStyle w:val="TableHeading"/>
              <w:jc w:val="left"/>
            </w:pPr>
            <w:r>
              <w:rPr>
                <w:color w:val="FFFFFF"/>
              </w:rPr>
              <w:t xml:space="preserve">Direction</w:t>
            </w:r>
          </w:p>
        </w:tc>
        <w:tc>
          <w:tcPr>
            <w:tcW w:w="1686" w:type="dxa"/>
            <w:shd w:val="clear" w:color="auto" w:fill="0F4761"/>
            <w:vAlign w:val="center"/>
          </w:tcPr>
          <w:p>
            <w:pPr>
              <w:pStyle w:val="TableHeading"/>
              <w:jc w:val="left"/>
            </w:pPr>
            <w:r>
              <w:rPr>
                <w:color w:val="FFFFFF"/>
              </w:rPr>
              <w:t xml:space="preserve">Pattern</w:t>
            </w:r>
          </w:p>
        </w:tc>
        <w:tc>
          <w:tcPr>
            <w:tcW w:w="2359" w:type="dxa"/>
            <w:shd w:val="clear" w:color="auto" w:fill="0F4761"/>
            <w:vAlign w:val="center"/>
          </w:tcPr>
          <w:p>
            <w:pPr>
              <w:pStyle w:val="TableHeading"/>
              <w:jc w:val="left"/>
            </w:pPr>
            <w:r>
              <w:rPr>
                <w:color w:val="FFFFFF"/>
              </w:rPr>
              <w:t xml:space="preserve">Adapter today</w:t>
            </w:r>
          </w:p>
        </w:tc>
        <w:tc>
          <w:tcPr>
            <w:tcW w:w="1351" w:type="dxa"/>
            <w:shd w:val="clear" w:color="auto" w:fill="0F4761"/>
            <w:vAlign w:val="center"/>
          </w:tcPr>
          <w:p>
            <w:pPr>
              <w:pStyle w:val="TableHeading"/>
              <w:jc w:val="left"/>
            </w:pPr>
            <w:r>
              <w:rPr>
                <w:color w:val="FFFFFF"/>
              </w:rPr>
              <w:t xml:space="preserve">MVP</w:t>
            </w:r>
          </w:p>
        </w:tc>
      </w:tr>
      <w:tr>
        <w:trPr>
          <w:cantSplit/>
        </w:trPr>
        <w:tc>
          <w:tcPr>
            <w:tcW w:w="2359" w:type="dxa"/>
            <w:vAlign w:val="top"/>
          </w:tcPr>
          <w:p>
            <w:pPr>
              <w:pStyle w:val="TableText"/>
              <w:jc w:val="left"/>
            </w:pPr>
            <w:r>
              <w:t xml:space="preserve">TASCO core: product catalogue</w:t>
            </w:r>
          </w:p>
        </w:tc>
        <w:tc>
          <w:tcPr>
            <w:tcW w:w="1272" w:type="dxa"/>
            <w:vAlign w:val="top"/>
          </w:tcPr>
          <w:p>
            <w:pPr>
              <w:pStyle w:val="TableText"/>
              <w:jc w:val="left"/>
            </w:pPr>
            <w:r>
              <w:t xml:space="preserve">Core to platform</w:t>
            </w:r>
          </w:p>
        </w:tc>
        <w:tc>
          <w:tcPr>
            <w:tcW w:w="1686" w:type="dxa"/>
            <w:vAlign w:val="top"/>
          </w:tcPr>
          <w:p>
            <w:pPr>
              <w:pStyle w:val="TableText"/>
              <w:jc w:val="left"/>
            </w:pPr>
            <w:r>
              <w:t xml:space="preserve">Nightly sync, proposed for approval</w:t>
            </w:r>
          </w:p>
        </w:tc>
        <w:tc>
          <w:tcPr>
            <w:tcW w:w="2359" w:type="dxa"/>
            <w:vAlign w:val="top"/>
          </w:tcPr>
          <w:p>
            <w:pPr>
              <w:pStyle w:val="TableText"/>
              <w:jc w:val="left"/>
            </w:pPr>
            <w:r>
              <w:t xml:space="preserve">Production client built (paths assumed); simulated core in UAT</w:t>
            </w:r>
          </w:p>
        </w:tc>
        <w:tc>
          <w:tcPr>
            <w:tcW w:w="1351" w:type="dxa"/>
            <w:vAlign w:val="top"/>
          </w:tcPr>
          <w:p>
            <w:pPr>
              <w:pStyle w:val="TableText"/>
              <w:jc w:val="left"/>
            </w:pPr>
            <w:r>
              <w:t xml:space="preserve">Yes</w:t>
            </w:r>
          </w:p>
        </w:tc>
      </w:tr>
      <w:tr>
        <w:trPr>
          <w:cantSplit/>
        </w:trPr>
        <w:tc>
          <w:tcPr>
            <w:tcW w:w="2359" w:type="dxa"/>
            <w:shd w:val="clear" w:color="auto" w:fill="F4F7FB"/>
            <w:vAlign w:val="top"/>
          </w:tcPr>
          <w:p>
            <w:pPr>
              <w:pStyle w:val="TableText"/>
              <w:jc w:val="left"/>
            </w:pPr>
            <w:r>
              <w:t xml:space="preserve">TASCO core: rating</w:t>
            </w:r>
          </w:p>
        </w:tc>
        <w:tc>
          <w:tcPr>
            <w:tcW w:w="1272" w:type="dxa"/>
            <w:shd w:val="clear" w:color="auto" w:fill="F4F7FB"/>
            <w:vAlign w:val="top"/>
          </w:tcPr>
          <w:p>
            <w:pPr>
              <w:pStyle w:val="TableText"/>
              <w:jc w:val="left"/>
            </w:pPr>
            <w:r>
              <w:t xml:space="preserve">Platform to core</w:t>
            </w:r>
          </w:p>
        </w:tc>
        <w:tc>
          <w:tcPr>
            <w:tcW w:w="1686" w:type="dxa"/>
            <w:shd w:val="clear" w:color="auto" w:fill="F4F7FB"/>
            <w:vAlign w:val="top"/>
          </w:tcPr>
          <w:p>
            <w:pPr>
              <w:pStyle w:val="TableText"/>
              <w:jc w:val="left"/>
            </w:pPr>
            <w:r>
              <w:t xml:space="preserve">Real-time REST</w:t>
            </w:r>
          </w:p>
        </w:tc>
        <w:tc>
          <w:tcPr>
            <w:tcW w:w="2359" w:type="dxa"/>
            <w:shd w:val="clear" w:color="auto" w:fill="F4F7FB"/>
            <w:vAlign w:val="top"/>
          </w:tcPr>
          <w:p>
            <w:pPr>
              <w:pStyle w:val="TableText"/>
              <w:jc w:val="left"/>
            </w:pPr>
            <w:r>
              <w:t xml:space="preserve">Production client built (paths assumed); simulated core in UAT</w:t>
            </w:r>
          </w:p>
        </w:tc>
        <w:tc>
          <w:tcPr>
            <w:tcW w:w="1351" w:type="dxa"/>
            <w:shd w:val="clear" w:color="auto" w:fill="F4F7FB"/>
            <w:vAlign w:val="top"/>
          </w:tcPr>
          <w:p>
            <w:pPr>
              <w:pStyle w:val="TableText"/>
              <w:jc w:val="left"/>
            </w:pPr>
            <w:r>
              <w:t xml:space="preserve">Yes</w:t>
            </w:r>
          </w:p>
        </w:tc>
      </w:tr>
      <w:tr>
        <w:trPr>
          <w:cantSplit/>
        </w:trPr>
        <w:tc>
          <w:tcPr>
            <w:tcW w:w="2359" w:type="dxa"/>
            <w:vAlign w:val="top"/>
          </w:tcPr>
          <w:p>
            <w:pPr>
              <w:pStyle w:val="TableText"/>
              <w:jc w:val="left"/>
            </w:pPr>
            <w:r>
              <w:t xml:space="preserve">TASCO core: bind and issue</w:t>
            </w:r>
          </w:p>
        </w:tc>
        <w:tc>
          <w:tcPr>
            <w:tcW w:w="1272" w:type="dxa"/>
            <w:vAlign w:val="top"/>
          </w:tcPr>
          <w:p>
            <w:pPr>
              <w:pStyle w:val="TableText"/>
              <w:jc w:val="left"/>
            </w:pPr>
            <w:r>
              <w:t xml:space="preserve">Platform to core</w:t>
            </w:r>
          </w:p>
        </w:tc>
        <w:tc>
          <w:tcPr>
            <w:tcW w:w="1686" w:type="dxa"/>
            <w:vAlign w:val="top"/>
          </w:tcPr>
          <w:p>
            <w:pPr>
              <w:pStyle w:val="TableText"/>
              <w:jc w:val="left"/>
            </w:pPr>
            <w:r>
              <w:t xml:space="preserve">Real-time REST, idempotent</w:t>
            </w:r>
          </w:p>
        </w:tc>
        <w:tc>
          <w:tcPr>
            <w:tcW w:w="2359" w:type="dxa"/>
            <w:vAlign w:val="top"/>
          </w:tcPr>
          <w:p>
            <w:pPr>
              <w:pStyle w:val="TableText"/>
              <w:jc w:val="left"/>
            </w:pPr>
            <w:r>
              <w:t xml:space="preserve">Sandbox</w:t>
            </w:r>
          </w:p>
        </w:tc>
        <w:tc>
          <w:tcPr>
            <w:tcW w:w="1351" w:type="dxa"/>
            <w:vAlign w:val="top"/>
          </w:tcPr>
          <w:p>
            <w:pPr>
              <w:pStyle w:val="TableText"/>
              <w:jc w:val="left"/>
            </w:pPr>
            <w:r>
              <w:t xml:space="preserve">Yes</w:t>
            </w:r>
          </w:p>
        </w:tc>
      </w:tr>
      <w:tr>
        <w:trPr>
          <w:cantSplit/>
        </w:trPr>
        <w:tc>
          <w:tcPr>
            <w:tcW w:w="2359" w:type="dxa"/>
            <w:shd w:val="clear" w:color="auto" w:fill="F4F7FB"/>
            <w:vAlign w:val="top"/>
          </w:tcPr>
          <w:p>
            <w:pPr>
              <w:pStyle w:val="TableText"/>
              <w:jc w:val="left"/>
            </w:pPr>
            <w:r>
              <w:t xml:space="preserve">TASCO core: policy extract</w:t>
            </w:r>
          </w:p>
        </w:tc>
        <w:tc>
          <w:tcPr>
            <w:tcW w:w="1272" w:type="dxa"/>
            <w:shd w:val="clear" w:color="auto" w:fill="F4F7FB"/>
            <w:vAlign w:val="top"/>
          </w:tcPr>
          <w:p>
            <w:pPr>
              <w:pStyle w:val="TableText"/>
              <w:jc w:val="left"/>
            </w:pPr>
            <w:r>
              <w:t xml:space="preserve">Core to platform</w:t>
            </w:r>
          </w:p>
        </w:tc>
        <w:tc>
          <w:tcPr>
            <w:tcW w:w="1686" w:type="dxa"/>
            <w:shd w:val="clear" w:color="auto" w:fill="F4F7FB"/>
            <w:vAlign w:val="top"/>
          </w:tcPr>
          <w:p>
            <w:pPr>
              <w:pStyle w:val="TableText"/>
              <w:jc w:val="left"/>
            </w:pPr>
            <w:r>
              <w:t xml:space="preserve">Daily file, then incremental</w:t>
            </w:r>
          </w:p>
        </w:tc>
        <w:tc>
          <w:tcPr>
            <w:tcW w:w="2359" w:type="dxa"/>
            <w:shd w:val="clear" w:color="auto" w:fill="F4F7FB"/>
            <w:vAlign w:val="top"/>
          </w:tcPr>
          <w:p>
            <w:pPr>
              <w:pStyle w:val="TableText"/>
              <w:jc w:val="left"/>
            </w:pPr>
            <w:r>
              <w:t xml:space="preserve">Ingestion API built; feed to be agreed</w:t>
            </w:r>
          </w:p>
        </w:tc>
        <w:tc>
          <w:tcPr>
            <w:tcW w:w="1351" w:type="dxa"/>
            <w:shd w:val="clear" w:color="auto" w:fill="F4F7FB"/>
            <w:vAlign w:val="top"/>
          </w:tcPr>
          <w:p>
            <w:pPr>
              <w:pStyle w:val="TableText"/>
              <w:jc w:val="left"/>
            </w:pPr>
            <w:r>
              <w:t xml:space="preserve">Yes</w:t>
            </w:r>
          </w:p>
        </w:tc>
      </w:tr>
      <w:tr>
        <w:trPr>
          <w:cantSplit/>
        </w:trPr>
        <w:tc>
          <w:tcPr>
            <w:tcW w:w="2359" w:type="dxa"/>
            <w:vAlign w:val="top"/>
          </w:tcPr>
          <w:p>
            <w:pPr>
              <w:pStyle w:val="TableText"/>
              <w:jc w:val="left"/>
            </w:pPr>
            <w:r>
              <w:t xml:space="preserve">TASCO core: claims notification</w:t>
            </w:r>
          </w:p>
        </w:tc>
        <w:tc>
          <w:tcPr>
            <w:tcW w:w="1272" w:type="dxa"/>
            <w:vAlign w:val="top"/>
          </w:tcPr>
          <w:p>
            <w:pPr>
              <w:pStyle w:val="TableText"/>
              <w:jc w:val="left"/>
            </w:pPr>
            <w:r>
              <w:t xml:space="preserve">Platform to core</w:t>
            </w:r>
          </w:p>
        </w:tc>
        <w:tc>
          <w:tcPr>
            <w:tcW w:w="1686" w:type="dxa"/>
            <w:vAlign w:val="top"/>
          </w:tcPr>
          <w:p>
            <w:pPr>
              <w:pStyle w:val="TableText"/>
              <w:jc w:val="left"/>
            </w:pPr>
            <w:r>
              <w:t xml:space="preserve">Staff queue in MVP; system to system later</w:t>
            </w:r>
          </w:p>
        </w:tc>
        <w:tc>
          <w:tcPr>
            <w:tcW w:w="2359" w:type="dxa"/>
            <w:vAlign w:val="top"/>
          </w:tcPr>
          <w:p>
            <w:pPr>
              <w:pStyle w:val="TableText"/>
              <w:jc w:val="left"/>
            </w:pPr>
            <w:r>
              <w:t xml:space="preserve">Claim intake built; core interface planned</w:t>
            </w:r>
          </w:p>
        </w:tc>
        <w:tc>
          <w:tcPr>
            <w:tcW w:w="1351" w:type="dxa"/>
            <w:vAlign w:val="top"/>
          </w:tcPr>
          <w:p>
            <w:pPr>
              <w:pStyle w:val="TableText"/>
              <w:jc w:val="left"/>
            </w:pPr>
            <w:r>
              <w:t xml:space="preserve">Queue only</w:t>
            </w:r>
          </w:p>
        </w:tc>
      </w:tr>
      <w:tr>
        <w:trPr>
          <w:cantSplit/>
        </w:trPr>
        <w:tc>
          <w:tcPr>
            <w:tcW w:w="2359" w:type="dxa"/>
            <w:shd w:val="clear" w:color="auto" w:fill="F4F7FB"/>
            <w:vAlign w:val="top"/>
          </w:tcPr>
          <w:p>
            <w:pPr>
              <w:pStyle w:val="TableText"/>
              <w:jc w:val="left"/>
            </w:pPr>
            <w:r>
              <w:t xml:space="preserve">VETC account and vehicle data</w:t>
            </w:r>
          </w:p>
        </w:tc>
        <w:tc>
          <w:tcPr>
            <w:tcW w:w="1272" w:type="dxa"/>
            <w:shd w:val="clear" w:color="auto" w:fill="F4F7FB"/>
            <w:vAlign w:val="top"/>
          </w:tcPr>
          <w:p>
            <w:pPr>
              <w:pStyle w:val="TableText"/>
              <w:jc w:val="left"/>
            </w:pPr>
            <w:r>
              <w:t xml:space="preserve">VETC to platform</w:t>
            </w:r>
          </w:p>
        </w:tc>
        <w:tc>
          <w:tcPr>
            <w:tcW w:w="1686" w:type="dxa"/>
            <w:shd w:val="clear" w:color="auto" w:fill="F4F7FB"/>
            <w:vAlign w:val="top"/>
          </w:tcPr>
          <w:p>
            <w:pPr>
              <w:pStyle w:val="TableText"/>
              <w:jc w:val="left"/>
            </w:pPr>
            <w:r>
              <w:t xml:space="preserve">Initial file load, then CDC or daily delta</w:t>
            </w:r>
          </w:p>
        </w:tc>
        <w:tc>
          <w:tcPr>
            <w:tcW w:w="2359" w:type="dxa"/>
            <w:shd w:val="clear" w:color="auto" w:fill="F4F7FB"/>
            <w:vAlign w:val="top"/>
          </w:tcPr>
          <w:p>
            <w:pPr>
              <w:pStyle w:val="TableText"/>
              <w:jc w:val="left"/>
            </w:pPr>
            <w:r>
              <w:t xml:space="preserve">Ingestion API and synthetic source</w:t>
            </w:r>
          </w:p>
        </w:tc>
        <w:tc>
          <w:tcPr>
            <w:tcW w:w="1351" w:type="dxa"/>
            <w:shd w:val="clear" w:color="auto" w:fill="F4F7FB"/>
            <w:vAlign w:val="top"/>
          </w:tcPr>
          <w:p>
            <w:pPr>
              <w:pStyle w:val="TableText"/>
              <w:jc w:val="left"/>
            </w:pPr>
            <w:r>
              <w:t xml:space="preserve">Yes</w:t>
            </w:r>
          </w:p>
        </w:tc>
      </w:tr>
      <w:tr>
        <w:trPr>
          <w:cantSplit/>
        </w:trPr>
        <w:tc>
          <w:tcPr>
            <w:tcW w:w="2359" w:type="dxa"/>
            <w:vAlign w:val="top"/>
          </w:tcPr>
          <w:p>
            <w:pPr>
              <w:pStyle w:val="TableText"/>
              <w:jc w:val="left"/>
            </w:pPr>
            <w:r>
              <w:t xml:space="preserve">VETC tag events</w:t>
            </w:r>
          </w:p>
        </w:tc>
        <w:tc>
          <w:tcPr>
            <w:tcW w:w="1272" w:type="dxa"/>
            <w:vAlign w:val="top"/>
          </w:tcPr>
          <w:p>
            <w:pPr>
              <w:pStyle w:val="TableText"/>
              <w:jc w:val="left"/>
            </w:pPr>
            <w:r>
              <w:t xml:space="preserve">VETC to platform</w:t>
            </w:r>
          </w:p>
        </w:tc>
        <w:tc>
          <w:tcPr>
            <w:tcW w:w="1686" w:type="dxa"/>
            <w:vAlign w:val="top"/>
          </w:tcPr>
          <w:p>
            <w:pPr>
              <w:pStyle w:val="TableText"/>
              <w:jc w:val="left"/>
            </w:pPr>
            <w:r>
              <w:t xml:space="preserve">Event stream or signed webhook</w:t>
            </w:r>
          </w:p>
        </w:tc>
        <w:tc>
          <w:tcPr>
            <w:tcW w:w="2359" w:type="dxa"/>
            <w:vAlign w:val="top"/>
          </w:tcPr>
          <w:p>
            <w:pPr>
              <w:pStyle w:val="TableText"/>
              <w:jc w:val="left"/>
            </w:pPr>
            <w:r>
              <w:t xml:space="preserve">Staff-authenticated event API</w:t>
            </w:r>
          </w:p>
        </w:tc>
        <w:tc>
          <w:tcPr>
            <w:tcW w:w="1351" w:type="dxa"/>
            <w:vAlign w:val="top"/>
          </w:tcPr>
          <w:p>
            <w:pPr>
              <w:pStyle w:val="TableText"/>
              <w:jc w:val="left"/>
            </w:pPr>
            <w:r>
              <w:t xml:space="preserve">Tag activation</w:t>
            </w:r>
          </w:p>
        </w:tc>
      </w:tr>
      <w:tr>
        <w:trPr>
          <w:cantSplit/>
        </w:trPr>
        <w:tc>
          <w:tcPr>
            <w:tcW w:w="2359" w:type="dxa"/>
            <w:shd w:val="clear" w:color="auto" w:fill="F4F7FB"/>
            <w:vAlign w:val="top"/>
          </w:tcPr>
          <w:p>
            <w:pPr>
              <w:pStyle w:val="TableText"/>
              <w:jc w:val="left"/>
            </w:pPr>
            <w:r>
              <w:t xml:space="preserve">VETC app web view and push</w:t>
            </w:r>
          </w:p>
        </w:tc>
        <w:tc>
          <w:tcPr>
            <w:tcW w:w="1272" w:type="dxa"/>
            <w:shd w:val="clear" w:color="auto" w:fill="F4F7FB"/>
            <w:vAlign w:val="top"/>
          </w:tcPr>
          <w:p>
            <w:pPr>
              <w:pStyle w:val="TableText"/>
              <w:jc w:val="left"/>
            </w:pPr>
            <w:r>
              <w:t xml:space="preserve">Both</w:t>
            </w:r>
          </w:p>
        </w:tc>
        <w:tc>
          <w:tcPr>
            <w:tcW w:w="1686" w:type="dxa"/>
            <w:shd w:val="clear" w:color="auto" w:fill="F4F7FB"/>
            <w:vAlign w:val="top"/>
          </w:tcPr>
          <w:p>
            <w:pPr>
              <w:pStyle w:val="TableText"/>
              <w:jc w:val="left"/>
            </w:pPr>
            <w:r>
              <w:t xml:space="preserve">Signed deep links; push through VETC</w:t>
            </w:r>
          </w:p>
        </w:tc>
        <w:tc>
          <w:tcPr>
            <w:tcW w:w="2359" w:type="dxa"/>
            <w:shd w:val="clear" w:color="auto" w:fill="F4F7FB"/>
            <w:vAlign w:val="top"/>
          </w:tcPr>
          <w:p>
            <w:pPr>
              <w:pStyle w:val="TableText"/>
              <w:jc w:val="left"/>
            </w:pPr>
            <w:r>
              <w:t xml:space="preserve">Signed links built; push sandbox</w:t>
            </w:r>
          </w:p>
        </w:tc>
        <w:tc>
          <w:tcPr>
            <w:tcW w:w="1351" w:type="dxa"/>
            <w:shd w:val="clear" w:color="auto" w:fill="F4F7FB"/>
            <w:vAlign w:val="top"/>
          </w:tcPr>
          <w:p>
            <w:pPr>
              <w:pStyle w:val="TableText"/>
              <w:jc w:val="left"/>
            </w:pPr>
            <w:r>
              <w:t xml:space="preserve">Yes</w:t>
            </w:r>
          </w:p>
        </w:tc>
      </w:tr>
      <w:tr>
        <w:trPr>
          <w:cantSplit/>
        </w:trPr>
        <w:tc>
          <w:tcPr>
            <w:tcW w:w="2359" w:type="dxa"/>
            <w:vAlign w:val="top"/>
          </w:tcPr>
          <w:p>
            <w:pPr>
              <w:pStyle w:val="TableText"/>
              <w:jc w:val="left"/>
            </w:pPr>
            <w:r>
              <w:t xml:space="preserve">VETC wallet</w:t>
            </w:r>
          </w:p>
        </w:tc>
        <w:tc>
          <w:tcPr>
            <w:tcW w:w="1272" w:type="dxa"/>
            <w:vAlign w:val="top"/>
          </w:tcPr>
          <w:p>
            <w:pPr>
              <w:pStyle w:val="TableText"/>
              <w:jc w:val="left"/>
            </w:pPr>
            <w:r>
              <w:t xml:space="preserve">Platform to VETC</w:t>
            </w:r>
          </w:p>
        </w:tc>
        <w:tc>
          <w:tcPr>
            <w:tcW w:w="1686" w:type="dxa"/>
            <w:vAlign w:val="top"/>
          </w:tcPr>
          <w:p>
            <w:pPr>
              <w:pStyle w:val="TableText"/>
              <w:jc w:val="left"/>
            </w:pPr>
            <w:r>
              <w:t xml:space="preserve">Real-time REST plus daily settlement file</w:t>
            </w:r>
          </w:p>
        </w:tc>
        <w:tc>
          <w:tcPr>
            <w:tcW w:w="2359" w:type="dxa"/>
            <w:vAlign w:val="top"/>
          </w:tcPr>
          <w:p>
            <w:pPr>
              <w:pStyle w:val="TableText"/>
              <w:jc w:val="left"/>
            </w:pPr>
            <w:r>
              <w:t xml:space="preserve">Sandbox</w:t>
            </w:r>
          </w:p>
        </w:tc>
        <w:tc>
          <w:tcPr>
            <w:tcW w:w="1351" w:type="dxa"/>
            <w:vAlign w:val="top"/>
          </w:tcPr>
          <w:p>
            <w:pPr>
              <w:pStyle w:val="TableText"/>
              <w:jc w:val="left"/>
            </w:pPr>
            <w:r>
              <w:t xml:space="preserve">Yes</w:t>
            </w:r>
          </w:p>
        </w:tc>
      </w:tr>
      <w:tr>
        <w:trPr>
          <w:cantSplit/>
        </w:trPr>
        <w:tc>
          <w:tcPr>
            <w:tcW w:w="2359" w:type="dxa"/>
            <w:shd w:val="clear" w:color="auto" w:fill="F4F7FB"/>
            <w:vAlign w:val="top"/>
          </w:tcPr>
          <w:p>
            <w:pPr>
              <w:pStyle w:val="TableText"/>
              <w:jc w:val="left"/>
            </w:pPr>
            <w:r>
              <w:t xml:space="preserve">TASCO payment gateway</w:t>
            </w:r>
          </w:p>
        </w:tc>
        <w:tc>
          <w:tcPr>
            <w:tcW w:w="1272" w:type="dxa"/>
            <w:shd w:val="clear" w:color="auto" w:fill="F4F7FB"/>
            <w:vAlign w:val="top"/>
          </w:tcPr>
          <w:p>
            <w:pPr>
              <w:pStyle w:val="TableText"/>
              <w:jc w:val="left"/>
            </w:pPr>
            <w:r>
              <w:t xml:space="preserve">Platform to TASCO</w:t>
            </w:r>
          </w:p>
        </w:tc>
        <w:tc>
          <w:tcPr>
            <w:tcW w:w="1686" w:type="dxa"/>
            <w:shd w:val="clear" w:color="auto" w:fill="F4F7FB"/>
            <w:vAlign w:val="top"/>
          </w:tcPr>
          <w:p>
            <w:pPr>
              <w:pStyle w:val="TableText"/>
              <w:jc w:val="left"/>
            </w:pPr>
            <w:r>
              <w:t xml:space="preserve">Real-time REST, same contract as the wallet</w:t>
            </w:r>
          </w:p>
        </w:tc>
        <w:tc>
          <w:tcPr>
            <w:tcW w:w="2359" w:type="dxa"/>
            <w:shd w:val="clear" w:color="auto" w:fill="F4F7FB"/>
            <w:vAlign w:val="top"/>
          </w:tcPr>
          <w:p>
            <w:pPr>
              <w:pStyle w:val="TableText"/>
              <w:jc w:val="left"/>
            </w:pPr>
            <w:r>
              <w:t xml:space="preserve">Sandbox</w:t>
            </w:r>
          </w:p>
        </w:tc>
        <w:tc>
          <w:tcPr>
            <w:tcW w:w="1351" w:type="dxa"/>
            <w:shd w:val="clear" w:color="auto" w:fill="F4F7FB"/>
            <w:vAlign w:val="top"/>
          </w:tcPr>
          <w:p>
            <w:pPr>
              <w:pStyle w:val="TableText"/>
              <w:jc w:val="left"/>
            </w:pPr>
            <w:r>
              <w:t xml:space="preserve">Scale module S3</w:t>
            </w:r>
          </w:p>
        </w:tc>
      </w:tr>
      <w:tr>
        <w:trPr>
          <w:cantSplit/>
        </w:trPr>
        <w:tc>
          <w:tcPr>
            <w:tcW w:w="2359" w:type="dxa"/>
            <w:vAlign w:val="top"/>
          </w:tcPr>
          <w:p>
            <w:pPr>
              <w:pStyle w:val="TableText"/>
              <w:jc w:val="left"/>
            </w:pPr>
            <w:r>
              <w:t xml:space="preserve">Zalo ZNS and SMS</w:t>
            </w:r>
          </w:p>
        </w:tc>
        <w:tc>
          <w:tcPr>
            <w:tcW w:w="1272" w:type="dxa"/>
            <w:vAlign w:val="top"/>
          </w:tcPr>
          <w:p>
            <w:pPr>
              <w:pStyle w:val="TableText"/>
              <w:jc w:val="left"/>
            </w:pPr>
            <w:r>
              <w:t xml:space="preserve">Platform to provider</w:t>
            </w:r>
          </w:p>
        </w:tc>
        <w:tc>
          <w:tcPr>
            <w:tcW w:w="1686" w:type="dxa"/>
            <w:vAlign w:val="top"/>
          </w:tcPr>
          <w:p>
            <w:pPr>
              <w:pStyle w:val="TableText"/>
              <w:jc w:val="left"/>
            </w:pPr>
            <w:r>
              <w:t xml:space="preserve">Provider API, approved templates</w:t>
            </w:r>
          </w:p>
        </w:tc>
        <w:tc>
          <w:tcPr>
            <w:tcW w:w="2359" w:type="dxa"/>
            <w:vAlign w:val="top"/>
          </w:tcPr>
          <w:p>
            <w:pPr>
              <w:pStyle w:val="TableText"/>
              <w:jc w:val="left"/>
            </w:pPr>
            <w:r>
              <w:t xml:space="preserve">Sandbox</w:t>
            </w:r>
          </w:p>
        </w:tc>
        <w:tc>
          <w:tcPr>
            <w:tcW w:w="1351" w:type="dxa"/>
            <w:vAlign w:val="top"/>
          </w:tcPr>
          <w:p>
            <w:pPr>
              <w:pStyle w:val="TableText"/>
              <w:jc w:val="left"/>
            </w:pPr>
            <w:r>
              <w:t xml:space="preserve">Yes</w:t>
            </w:r>
          </w:p>
        </w:tc>
      </w:tr>
      <w:tr>
        <w:trPr>
          <w:cantSplit/>
        </w:trPr>
        <w:tc>
          <w:tcPr>
            <w:tcW w:w="2359" w:type="dxa"/>
            <w:shd w:val="clear" w:color="auto" w:fill="F4F7FB"/>
            <w:vAlign w:val="top"/>
          </w:tcPr>
          <w:p>
            <w:pPr>
              <w:pStyle w:val="TableText"/>
              <w:jc w:val="left"/>
            </w:pPr>
            <w:r>
              <w:t xml:space="preserve">Voice AI vendor</w:t>
            </w:r>
          </w:p>
        </w:tc>
        <w:tc>
          <w:tcPr>
            <w:tcW w:w="1272" w:type="dxa"/>
            <w:shd w:val="clear" w:color="auto" w:fill="F4F7FB"/>
            <w:vAlign w:val="top"/>
          </w:tcPr>
          <w:p>
            <w:pPr>
              <w:pStyle w:val="TableText"/>
              <w:jc w:val="left"/>
            </w:pPr>
            <w:r>
              <w:t xml:space="preserve">Both</w:t>
            </w:r>
          </w:p>
        </w:tc>
        <w:tc>
          <w:tcPr>
            <w:tcW w:w="1686" w:type="dxa"/>
            <w:shd w:val="clear" w:color="auto" w:fill="F4F7FB"/>
            <w:vAlign w:val="top"/>
          </w:tcPr>
          <w:p>
            <w:pPr>
              <w:pStyle w:val="TableText"/>
              <w:jc w:val="left"/>
            </w:pPr>
            <w:r>
              <w:t xml:space="preserve">SIP and streaming API</w:t>
            </w:r>
          </w:p>
        </w:tc>
        <w:tc>
          <w:tcPr>
            <w:tcW w:w="2359" w:type="dxa"/>
            <w:shd w:val="clear" w:color="auto" w:fill="F4F7FB"/>
            <w:vAlign w:val="top"/>
          </w:tcPr>
          <w:p>
            <w:pPr>
              <w:pStyle w:val="TableText"/>
              <w:jc w:val="left"/>
            </w:pPr>
            <w:r>
              <w:t xml:space="preserve">Simulated caller</w:t>
            </w:r>
          </w:p>
        </w:tc>
        <w:tc>
          <w:tcPr>
            <w:tcW w:w="1351" w:type="dxa"/>
            <w:shd w:val="clear" w:color="auto" w:fill="F4F7FB"/>
            <w:vAlign w:val="top"/>
          </w:tcPr>
          <w:p>
            <w:pPr>
              <w:pStyle w:val="TableText"/>
              <w:jc w:val="left"/>
            </w:pPr>
            <w:r>
              <w:t xml:space="preserve">One vendor</w:t>
            </w:r>
          </w:p>
        </w:tc>
      </w:tr>
      <w:tr>
        <w:trPr>
          <w:cantSplit/>
        </w:trPr>
        <w:tc>
          <w:tcPr>
            <w:tcW w:w="2359" w:type="dxa"/>
            <w:vAlign w:val="top"/>
          </w:tcPr>
          <w:p>
            <w:pPr>
              <w:pStyle w:val="TableText"/>
              <w:jc w:val="left"/>
            </w:pPr>
            <w:r>
              <w:t xml:space="preserve">Partners</w:t>
            </w:r>
          </w:p>
        </w:tc>
        <w:tc>
          <w:tcPr>
            <w:tcW w:w="1272" w:type="dxa"/>
            <w:vAlign w:val="top"/>
          </w:tcPr>
          <w:p>
            <w:pPr>
              <w:pStyle w:val="TableText"/>
              <w:jc w:val="left"/>
            </w:pPr>
            <w:r>
              <w:t xml:space="preserve">Partner to platform</w:t>
            </w:r>
          </w:p>
        </w:tc>
        <w:tc>
          <w:tcPr>
            <w:tcW w:w="1686" w:type="dxa"/>
            <w:vAlign w:val="top"/>
          </w:tcPr>
          <w:p>
            <w:pPr>
              <w:pStyle w:val="TableText"/>
              <w:jc w:val="left"/>
            </w:pPr>
            <w:r>
              <w:t xml:space="preserve">Partner API with key scopes</w:t>
            </w:r>
          </w:p>
        </w:tc>
        <w:tc>
          <w:tcPr>
            <w:tcW w:w="2359" w:type="dxa"/>
            <w:vAlign w:val="top"/>
          </w:tcPr>
          <w:p>
            <w:pPr>
              <w:pStyle w:val="TableText"/>
              <w:jc w:val="left"/>
            </w:pPr>
            <w:r>
              <w:t xml:space="preserve">Built</w:t>
            </w:r>
          </w:p>
        </w:tc>
        <w:tc>
          <w:tcPr>
            <w:tcW w:w="1351" w:type="dxa"/>
            <w:vAlign w:val="top"/>
          </w:tcPr>
          <w:p>
            <w:pPr>
              <w:pStyle w:val="TableText"/>
              <w:jc w:val="left"/>
            </w:pPr>
            <w:r>
              <w:t xml:space="preserve">One partner</w:t>
            </w:r>
          </w:p>
        </w:tc>
      </w:tr>
      <w:tr>
        <w:trPr>
          <w:cantSplit/>
        </w:trPr>
        <w:tc>
          <w:tcPr>
            <w:tcW w:w="2359" w:type="dxa"/>
            <w:shd w:val="clear" w:color="auto" w:fill="F4F7FB"/>
            <w:vAlign w:val="top"/>
          </w:tcPr>
          <w:p>
            <w:pPr>
              <w:pStyle w:val="TableText"/>
              <w:jc w:val="left"/>
            </w:pPr>
            <w:r>
              <w:t xml:space="preserve">Tasco360 partner app</w:t>
            </w:r>
          </w:p>
        </w:tc>
        <w:tc>
          <w:tcPr>
            <w:tcW w:w="1272" w:type="dxa"/>
            <w:shd w:val="clear" w:color="auto" w:fill="F4F7FB"/>
            <w:vAlign w:val="top"/>
          </w:tcPr>
          <w:p>
            <w:pPr>
              <w:pStyle w:val="TableText"/>
              <w:jc w:val="left"/>
            </w:pPr>
            <w:r>
              <w:t xml:space="preserve">Tasco360 to platform</w:t>
            </w:r>
          </w:p>
        </w:tc>
        <w:tc>
          <w:tcPr>
            <w:tcW w:w="1686" w:type="dxa"/>
            <w:shd w:val="clear" w:color="auto" w:fill="F4F7FB"/>
            <w:vAlign w:val="top"/>
          </w:tcPr>
          <w:p>
            <w:pPr>
              <w:pStyle w:val="TableText"/>
              <w:jc w:val="left"/>
            </w:pPr>
            <w:r>
              <w:t xml:space="preserve">Partner API with key scopes</w:t>
            </w:r>
          </w:p>
        </w:tc>
        <w:tc>
          <w:tcPr>
            <w:tcW w:w="2359" w:type="dxa"/>
            <w:shd w:val="clear" w:color="auto" w:fill="F4F7FB"/>
            <w:vAlign w:val="top"/>
          </w:tcPr>
          <w:p>
            <w:pPr>
              <w:pStyle w:val="TableText"/>
              <w:jc w:val="left"/>
            </w:pPr>
            <w:r>
              <w:t xml:space="preserve">Built (partner API)</w:t>
            </w:r>
          </w:p>
        </w:tc>
        <w:tc>
          <w:tcPr>
            <w:tcW w:w="1351" w:type="dxa"/>
            <w:shd w:val="clear" w:color="auto" w:fill="F4F7FB"/>
            <w:vAlign w:val="top"/>
          </w:tcPr>
          <w:p>
            <w:pPr>
              <w:pStyle w:val="TableText"/>
              <w:jc w:val="left"/>
            </w:pPr>
            <w:r>
              <w:t xml:space="preserve">Candidate first partner</w:t>
            </w:r>
          </w:p>
        </w:tc>
      </w:tr>
      <w:tr>
        <w:trPr>
          <w:cantSplit/>
        </w:trPr>
        <w:tc>
          <w:tcPr>
            <w:tcW w:w="2359" w:type="dxa"/>
            <w:vAlign w:val="top"/>
          </w:tcPr>
          <w:p>
            <w:pPr>
              <w:pStyle w:val="TableText"/>
              <w:jc w:val="left"/>
            </w:pPr>
            <w:r>
              <w:t xml:space="preserve">TASCO e-commerce site (e.baohiemtasco.vn)</w:t>
            </w:r>
          </w:p>
        </w:tc>
        <w:tc>
          <w:tcPr>
            <w:tcW w:w="1272" w:type="dxa"/>
            <w:vAlign w:val="top"/>
          </w:tcPr>
          <w:p>
            <w:pPr>
              <w:pStyle w:val="TableText"/>
              <w:jc w:val="left"/>
            </w:pPr>
            <w:r>
              <w:t xml:space="preserve">Site to platform</w:t>
            </w:r>
          </w:p>
        </w:tc>
        <w:tc>
          <w:tcPr>
            <w:tcW w:w="1686" w:type="dxa"/>
            <w:vAlign w:val="top"/>
          </w:tcPr>
          <w:p>
            <w:pPr>
              <w:pStyle w:val="TableText"/>
              <w:jc w:val="left"/>
            </w:pPr>
            <w:r>
              <w:t xml:space="preserve">Shared core rating; optional enquiry feed with consent</w:t>
            </w:r>
          </w:p>
        </w:tc>
        <w:tc>
          <w:tcPr>
            <w:tcW w:w="2359" w:type="dxa"/>
            <w:vAlign w:val="top"/>
          </w:tcPr>
          <w:p>
            <w:pPr>
              <w:pStyle w:val="TableText"/>
              <w:jc w:val="left"/>
            </w:pPr>
            <w:r>
              <w:t xml:space="preserve">Ingestion API built; feed to be agreed</w:t>
            </w:r>
          </w:p>
        </w:tc>
        <w:tc>
          <w:tcPr>
            <w:tcW w:w="1351" w:type="dxa"/>
            <w:vAlign w:val="top"/>
          </w:tcPr>
          <w:p>
            <w:pPr>
              <w:pStyle w:val="TableText"/>
              <w:jc w:val="left"/>
            </w:pPr>
            <w:r>
              <w:t xml:space="preserve">Scale phase</w:t>
            </w:r>
          </w:p>
        </w:tc>
      </w:tr>
      <w:tr>
        <w:trPr>
          <w:cantSplit/>
        </w:trPr>
        <w:tc>
          <w:tcPr>
            <w:tcW w:w="2359" w:type="dxa"/>
            <w:shd w:val="clear" w:color="auto" w:fill="F4F7FB"/>
            <w:vAlign w:val="top"/>
          </w:tcPr>
          <w:p>
            <w:pPr>
              <w:pStyle w:val="TableText"/>
              <w:jc w:val="left"/>
            </w:pPr>
            <w:r>
              <w:t xml:space="preserve">TASCO data warehouse</w:t>
            </w:r>
          </w:p>
        </w:tc>
        <w:tc>
          <w:tcPr>
            <w:tcW w:w="1272" w:type="dxa"/>
            <w:shd w:val="clear" w:color="auto" w:fill="F4F7FB"/>
            <w:vAlign w:val="top"/>
          </w:tcPr>
          <w:p>
            <w:pPr>
              <w:pStyle w:val="TableText"/>
              <w:jc w:val="left"/>
            </w:pPr>
            <w:r>
              <w:t xml:space="preserve">Platform to DWH</w:t>
            </w:r>
          </w:p>
        </w:tc>
        <w:tc>
          <w:tcPr>
            <w:tcW w:w="1686" w:type="dxa"/>
            <w:shd w:val="clear" w:color="auto" w:fill="F4F7FB"/>
            <w:vAlign w:val="top"/>
          </w:tcPr>
          <w:p>
            <w:pPr>
              <w:pStyle w:val="TableText"/>
              <w:jc w:val="left"/>
            </w:pPr>
            <w:r>
              <w:t xml:space="preserve">Daily pseudonymised extract</w:t>
            </w:r>
          </w:p>
        </w:tc>
        <w:tc>
          <w:tcPr>
            <w:tcW w:w="2359" w:type="dxa"/>
            <w:shd w:val="clear" w:color="auto" w:fill="F4F7FB"/>
            <w:vAlign w:val="top"/>
          </w:tcPr>
          <w:p>
            <w:pPr>
              <w:pStyle w:val="TableText"/>
              <w:jc w:val="left"/>
            </w:pPr>
            <w:r>
              <w:t xml:space="preserve">Planned</w:t>
            </w:r>
          </w:p>
        </w:tc>
        <w:tc>
          <w:tcPr>
            <w:tcW w:w="1351" w:type="dxa"/>
            <w:shd w:val="clear" w:color="auto" w:fill="F4F7FB"/>
            <w:vAlign w:val="top"/>
          </w:tcPr>
          <w:p>
            <w:pPr>
              <w:pStyle w:val="TableText"/>
              <w:jc w:val="left"/>
            </w:pPr>
            <w:r>
              <w:t xml:space="preserve">Scale phase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TASCO core</w:t>
      </w:r>
      <w:bookmarkEnd w:id="17"/>
    </w:p>
    <w:p>
      <w:pPr>
        <w:pStyle w:val="FirstParagraph"/>
      </w:pPr>
      <w:r>
        <w:t xml:space="preserve">TASCO core owns the product catalogue and rating, and the platform uses them instead of duplicating them (ADR-013). This is the most important integration in the programme.</w:t>
      </w:r>
    </w:p>
    <w:p>
      <w:pPr>
        <w:pStyle w:val="Heading2"/>
      </w:pPr>
      <w:bookmarkStart w:id="18" w:name="_Toc300000014"/>
      <w:r>
        <w:t xml:space="preserve">Touchpoints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42"/>
        <w:gridCol w:w="4197"/>
        <w:gridCol w:w="2688"/>
      </w:tblGrid>
      <w:tr>
        <w:trPr>
          <w:cantSplit/>
          <w:tblHeader/>
        </w:trPr>
        <w:tc>
          <w:tcPr>
            <w:tcW w:w="2142" w:type="dxa"/>
            <w:shd w:val="clear" w:color="auto" w:fill="0F4761"/>
            <w:vAlign w:val="center"/>
          </w:tcPr>
          <w:p>
            <w:pPr>
              <w:pStyle w:val="TableHeading"/>
              <w:jc w:val="left"/>
            </w:pPr>
            <w:r>
              <w:rPr>
                <w:color w:val="FFFFFF"/>
              </w:rPr>
              <w:t xml:space="preserve">Touchpoint</w:t>
            </w:r>
          </w:p>
        </w:tc>
        <w:tc>
          <w:tcPr>
            <w:tcW w:w="4197" w:type="dxa"/>
            <w:shd w:val="clear" w:color="auto" w:fill="0F4761"/>
            <w:vAlign w:val="center"/>
          </w:tcPr>
          <w:p>
            <w:pPr>
              <w:pStyle w:val="TableHeading"/>
              <w:jc w:val="left"/>
            </w:pPr>
            <w:r>
              <w:rPr>
                <w:color w:val="FFFFFF"/>
              </w:rPr>
              <w:t xml:space="preserve">Purpose</w:t>
            </w:r>
          </w:p>
        </w:tc>
        <w:tc>
          <w:tcPr>
            <w:tcW w:w="2688" w:type="dxa"/>
            <w:shd w:val="clear" w:color="auto" w:fill="0F4761"/>
            <w:vAlign w:val="center"/>
          </w:tcPr>
          <w:p>
            <w:pPr>
              <w:pStyle w:val="TableHeading"/>
              <w:jc w:val="left"/>
            </w:pPr>
            <w:r>
              <w:rPr>
                <w:color w:val="FFFFFF"/>
              </w:rPr>
              <w:t xml:space="preserve">Pattern</w:t>
            </w:r>
          </w:p>
        </w:tc>
      </w:tr>
      <w:tr>
        <w:trPr>
          <w:cantSplit/>
        </w:trPr>
        <w:tc>
          <w:tcPr>
            <w:tcW w:w="2142" w:type="dxa"/>
            <w:vAlign w:val="top"/>
          </w:tcPr>
          <w:p>
            <w:pPr>
              <w:pStyle w:val="TableText"/>
              <w:jc w:val="left"/>
            </w:pPr>
            <w:r>
              <w:t xml:space="preserve">Product catalogue</w:t>
            </w:r>
          </w:p>
        </w:tc>
        <w:tc>
          <w:tcPr>
            <w:tcW w:w="4197" w:type="dxa"/>
            <w:vAlign w:val="top"/>
          </w:tcPr>
          <w:p>
            <w:pPr>
              <w:pStyle w:val="TableText"/>
              <w:jc w:val="left"/>
            </w:pPr>
            <w:r>
              <w:t xml:space="preserve">Products, versions, eligibility, add-ons, on-sale status</w:t>
            </w:r>
          </w:p>
        </w:tc>
        <w:tc>
          <w:tcPr>
            <w:tcW w:w="2688" w:type="dxa"/>
            <w:vAlign w:val="top"/>
          </w:tcPr>
          <w:p>
            <w:pPr>
              <w:pStyle w:val="TableText"/>
              <w:jc w:val="left"/>
            </w:pPr>
            <w:r>
              <w:t xml:space="preserve">Scheduled sync; changes become a draft that TASCO approves</w:t>
            </w:r>
          </w:p>
        </w:tc>
      </w:tr>
      <w:tr>
        <w:trPr>
          <w:cantSplit/>
        </w:trPr>
        <w:tc>
          <w:tcPr>
            <w:tcW w:w="2142" w:type="dxa"/>
            <w:shd w:val="clear" w:color="auto" w:fill="F4F7FB"/>
            <w:vAlign w:val="top"/>
          </w:tcPr>
          <w:p>
            <w:pPr>
              <w:pStyle w:val="TableText"/>
              <w:jc w:val="left"/>
            </w:pPr>
            <w:r>
              <w:t xml:space="preserve">Rating and quotation</w:t>
            </w:r>
          </w:p>
        </w:tc>
        <w:tc>
          <w:tcPr>
            <w:tcW w:w="4197" w:type="dxa"/>
            <w:shd w:val="clear" w:color="auto" w:fill="F4F7FB"/>
            <w:vAlign w:val="top"/>
          </w:tcPr>
          <w:p>
            <w:pPr>
              <w:pStyle w:val="TableText"/>
              <w:jc w:val="left"/>
            </w:pPr>
            <w:r>
              <w:t xml:space="preserve">Price a policy for a vehicle and term; core returns premium, VAT, quote reference and validity</w:t>
            </w:r>
          </w:p>
        </w:tc>
        <w:tc>
          <w:tcPr>
            <w:tcW w:w="2688" w:type="dxa"/>
            <w:shd w:val="clear" w:color="auto" w:fill="F4F7FB"/>
            <w:vAlign w:val="top"/>
          </w:tcPr>
          <w:p>
            <w:pPr>
              <w:pStyle w:val="TableText"/>
              <w:jc w:val="left"/>
            </w:pPr>
            <w:r>
              <w:t xml:space="preserve">Real-time REST call</w:t>
            </w:r>
          </w:p>
        </w:tc>
      </w:tr>
      <w:tr>
        <w:trPr>
          <w:cantSplit/>
        </w:trPr>
        <w:tc>
          <w:tcPr>
            <w:tcW w:w="2142" w:type="dxa"/>
            <w:vAlign w:val="top"/>
          </w:tcPr>
          <w:p>
            <w:pPr>
              <w:pStyle w:val="TableText"/>
              <w:jc w:val="left"/>
            </w:pPr>
            <w:r>
              <w:t xml:space="preserve">Bind and issue</w:t>
            </w:r>
          </w:p>
        </w:tc>
        <w:tc>
          <w:tcPr>
            <w:tcW w:w="4197" w:type="dxa"/>
            <w:vAlign w:val="top"/>
          </w:tcPr>
          <w:p>
            <w:pPr>
              <w:pStyle w:val="TableText"/>
              <w:jc w:val="left"/>
            </w:pPr>
            <w:r>
              <w:t xml:space="preserve">After payment, bind the quote core priced and issue the policy and e-certificate</w:t>
            </w:r>
          </w:p>
        </w:tc>
        <w:tc>
          <w:tcPr>
            <w:tcW w:w="2688" w:type="dxa"/>
            <w:vAlign w:val="top"/>
          </w:tcPr>
          <w:p>
            <w:pPr>
              <w:pStyle w:val="TableText"/>
              <w:jc w:val="left"/>
            </w:pPr>
            <w:r>
              <w:t xml:space="preserve">Real-time REST call, idempotent</w:t>
            </w:r>
          </w:p>
        </w:tc>
      </w:tr>
      <w:tr>
        <w:trPr>
          <w:cantSplit/>
        </w:trPr>
        <w:tc>
          <w:tcPr>
            <w:tcW w:w="2142" w:type="dxa"/>
            <w:shd w:val="clear" w:color="auto" w:fill="F4F7FB"/>
            <w:vAlign w:val="top"/>
          </w:tcPr>
          <w:p>
            <w:pPr>
              <w:pStyle w:val="TableText"/>
              <w:jc w:val="left"/>
            </w:pPr>
            <w:r>
              <w:t xml:space="preserve">Policy book</w:t>
            </w:r>
          </w:p>
        </w:tc>
        <w:tc>
          <w:tcPr>
            <w:tcW w:w="4197" w:type="dxa"/>
            <w:shd w:val="clear" w:color="auto" w:fill="F4F7FB"/>
            <w:vAlign w:val="top"/>
          </w:tcPr>
          <w:p>
            <w:pPr>
              <w:pStyle w:val="TableText"/>
              <w:jc w:val="left"/>
            </w:pPr>
            <w:r>
              <w:t xml:space="preserve">Active and expiring TASCO policies, to drive renewals and avoid selling to insured customers</w:t>
            </w:r>
          </w:p>
        </w:tc>
        <w:tc>
          <w:tcPr>
            <w:tcW w:w="2688" w:type="dxa"/>
            <w:shd w:val="clear" w:color="auto" w:fill="F4F7FB"/>
            <w:vAlign w:val="top"/>
          </w:tcPr>
          <w:p>
            <w:pPr>
              <w:pStyle w:val="TableText"/>
              <w:jc w:val="left"/>
            </w:pPr>
            <w:r>
              <w:t xml:space="preserve">Daily extract, then incremental</w:t>
            </w:r>
          </w:p>
        </w:tc>
      </w:tr>
      <w:tr>
        <w:trPr>
          <w:cantSplit/>
        </w:trPr>
        <w:tc>
          <w:tcPr>
            <w:tcW w:w="2142" w:type="dxa"/>
            <w:vAlign w:val="top"/>
          </w:tcPr>
          <w:p>
            <w:pPr>
              <w:pStyle w:val="TableText"/>
              <w:jc w:val="left"/>
            </w:pPr>
            <w:r>
              <w:t xml:space="preserve">Cancellation and claims notification</w:t>
            </w:r>
          </w:p>
        </w:tc>
        <w:tc>
          <w:tcPr>
            <w:tcW w:w="4197" w:type="dxa"/>
            <w:vAlign w:val="top"/>
          </w:tcPr>
          <w:p>
            <w:pPr>
              <w:pStyle w:val="TableText"/>
              <w:jc w:val="left"/>
            </w:pPr>
            <w:r>
              <w:t xml:space="preserve">Cancel or refund where allowed; pass first notice of loss to the claims system</w:t>
            </w:r>
          </w:p>
        </w:tc>
        <w:tc>
          <w:tcPr>
            <w:tcW w:w="2688" w:type="dxa"/>
            <w:vAlign w:val="top"/>
          </w:tcPr>
          <w:p>
            <w:pPr>
              <w:pStyle w:val="TableText"/>
              <w:jc w:val="left"/>
            </w:pPr>
            <w:r>
              <w:t xml:space="preserve">REST or file; claims by staff queue in the MVP</w:t>
            </w:r>
          </w:p>
        </w:tc>
      </w:tr>
    </w:tbl>
    <w:p>
      <w:pPr>
        <w:pStyle w:val="BodyText"/>
        <w:spacing w:before="160"/>
      </w:pPr>
      <w:r>
        <w:t xml:space="preserve">Each quote records which system rated it, the core quote reference and the rating version. Rating requests carry only the risk attributes core needs: vehicle category, usage, seats, first registration year, holder type and term. The plate and the holder’s name go to core only at issuance, with the quote reference, so core binds exactly the price it quoted.</w:t>
      </w:r>
    </w:p>
    <w:p>
      <w:pPr>
        <w:pStyle w:val="Heading2"/>
      </w:pPr>
      <w:bookmarkStart w:id="19" w:name="_Toc300000015"/>
      <w:r>
        <w:t xml:space="preserve">Rating modes</w:t>
      </w:r>
      <w:bookmarkEnd w:id="19"/>
    </w:p>
    <w:p>
      <w:pPr>
        <w:pStyle w:val="FirstParagraph"/>
      </w:pPr>
      <w:r>
        <w:t xml:space="preserve">TASCO chooses in discovery how the platform behaves when core is unavailable. The setting is</w:t>
      </w:r>
      <w:r>
        <w:t xml:space="preserve"> </w:t>
      </w:r>
      <w:r>
        <w:rPr>
          <w:rStyle w:val="CodeChar"/>
        </w:rPr>
        <w:t xml:space="preserve">RATING_SOURCE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364"/>
        <w:gridCol w:w="1653"/>
        <w:gridCol w:w="2685"/>
        <w:gridCol w:w="2325"/>
      </w:tblGrid>
      <w:tr>
        <w:trPr>
          <w:cantSplit/>
          <w:tblHeader/>
        </w:trPr>
        <w:tc>
          <w:tcPr>
            <w:tcW w:w="2364" w:type="dxa"/>
            <w:shd w:val="clear" w:color="auto" w:fill="0F4761"/>
            <w:vAlign w:val="center"/>
          </w:tcPr>
          <w:p>
            <w:pPr>
              <w:pStyle w:val="TableHeading"/>
              <w:jc w:val="left"/>
            </w:pPr>
            <w:r>
              <w:rPr>
                <w:color w:val="FFFFFF"/>
              </w:rPr>
              <w:t xml:space="preserve">Mode</w:t>
            </w:r>
          </w:p>
        </w:tc>
        <w:tc>
          <w:tcPr>
            <w:tcW w:w="1653" w:type="dxa"/>
            <w:shd w:val="clear" w:color="auto" w:fill="0F4761"/>
            <w:vAlign w:val="center"/>
          </w:tcPr>
          <w:p>
            <w:pPr>
              <w:pStyle w:val="TableHeading"/>
              <w:jc w:val="left"/>
            </w:pPr>
            <w:r>
              <w:rPr>
                <w:color w:val="FFFFFF"/>
              </w:rPr>
              <w:t xml:space="preserve">Behaviour when core is available</w:t>
            </w:r>
          </w:p>
        </w:tc>
        <w:tc>
          <w:tcPr>
            <w:tcW w:w="2685" w:type="dxa"/>
            <w:shd w:val="clear" w:color="auto" w:fill="0F4761"/>
            <w:vAlign w:val="center"/>
          </w:tcPr>
          <w:p>
            <w:pPr>
              <w:pStyle w:val="TableHeading"/>
              <w:jc w:val="left"/>
            </w:pPr>
            <w:r>
              <w:rPr>
                <w:color w:val="FFFFFF"/>
              </w:rPr>
              <w:t xml:space="preserve">Behaviour when core is unavailable</w:t>
            </w:r>
          </w:p>
        </w:tc>
        <w:tc>
          <w:tcPr>
            <w:tcW w:w="2325" w:type="dxa"/>
            <w:shd w:val="clear" w:color="auto" w:fill="0F4761"/>
            <w:vAlign w:val="center"/>
          </w:tcPr>
          <w:p>
            <w:pPr>
              <w:pStyle w:val="TableHeading"/>
              <w:jc w:val="left"/>
            </w:pPr>
            <w:r>
              <w:rPr>
                <w:color w:val="FFFFFF"/>
              </w:rPr>
              <w:t xml:space="preserve">Use</w:t>
            </w:r>
          </w:p>
        </w:tc>
      </w:tr>
      <w:tr>
        <w:trPr>
          <w:cantSplit/>
        </w:trPr>
        <w:tc>
          <w:tcPr>
            <w:tcW w:w="2364" w:type="dxa"/>
            <w:vAlign w:val="top"/>
          </w:tcPr>
          <w:p>
            <w:pPr>
              <w:pStyle w:val="TableText"/>
              <w:jc w:val="left"/>
            </w:pPr>
            <w:r>
              <w:rPr>
                <w:rStyle w:val="CodeChar"/>
              </w:rPr>
              <w:t xml:space="preserve">core</w:t>
            </w:r>
          </w:p>
        </w:tc>
        <w:tc>
          <w:tcPr>
            <w:tcW w:w="1653" w:type="dxa"/>
            <w:vAlign w:val="top"/>
          </w:tcPr>
          <w:p>
            <w:pPr>
              <w:pStyle w:val="TableText"/>
              <w:jc w:val="left"/>
            </w:pPr>
            <w:r>
              <w:t xml:space="preserve">Core prices every quote</w:t>
            </w:r>
          </w:p>
        </w:tc>
        <w:tc>
          <w:tcPr>
            <w:tcW w:w="2685" w:type="dxa"/>
            <w:vAlign w:val="top"/>
          </w:tcPr>
          <w:p>
            <w:pPr>
              <w:pStyle w:val="TableText"/>
              <w:jc w:val="left"/>
            </w:pPr>
            <w:r>
              <w:t xml:space="preserve">No quote is shown; the customer is asked to retry (HTTP 503)</w:t>
            </w:r>
          </w:p>
        </w:tc>
        <w:tc>
          <w:tcPr>
            <w:tcW w:w="2325" w:type="dxa"/>
            <w:vAlign w:val="top"/>
          </w:tcPr>
          <w:p>
            <w:pPr>
              <w:pStyle w:val="TableText"/>
              <w:jc w:val="left"/>
            </w:pPr>
            <w:r>
              <w:t xml:space="preserve">Production, safest</w:t>
            </w:r>
          </w:p>
        </w:tc>
      </w:tr>
      <w:tr>
        <w:trPr>
          <w:cantSplit/>
        </w:trPr>
        <w:tc>
          <w:tcPr>
            <w:tcW w:w="2364" w:type="dxa"/>
            <w:shd w:val="clear" w:color="auto" w:fill="F4F7FB"/>
            <w:vAlign w:val="top"/>
          </w:tcPr>
          <w:p>
            <w:pPr>
              <w:pStyle w:val="TableText"/>
              <w:jc w:val="left"/>
            </w:pPr>
            <w:r>
              <w:rPr>
                <w:rStyle w:val="CodeChar"/>
              </w:rPr>
              <w:t xml:space="preserve">core_with_fallback</w:t>
            </w:r>
          </w:p>
        </w:tc>
        <w:tc>
          <w:tcPr>
            <w:tcW w:w="1653" w:type="dxa"/>
            <w:shd w:val="clear" w:color="auto" w:fill="F4F7FB"/>
            <w:vAlign w:val="top"/>
          </w:tcPr>
          <w:p>
            <w:pPr>
              <w:pStyle w:val="TableText"/>
              <w:jc w:val="left"/>
            </w:pPr>
            <w:r>
              <w:t xml:space="preserve">Core prices every quote</w:t>
            </w:r>
          </w:p>
        </w:tc>
        <w:tc>
          <w:tcPr>
            <w:tcW w:w="2685" w:type="dxa"/>
            <w:shd w:val="clear" w:color="auto" w:fill="F4F7FB"/>
            <w:vAlign w:val="top"/>
          </w:tcPr>
          <w:p>
            <w:pPr>
              <w:pStyle w:val="TableText"/>
              <w:jc w:val="left"/>
            </w:pPr>
            <w:r>
              <w:t xml:space="preserve">An indicative price from the approved tariff tables, clearly marked; payment blocked until core re-rates it</w:t>
            </w:r>
          </w:p>
        </w:tc>
        <w:tc>
          <w:tcPr>
            <w:tcW w:w="2325" w:type="dxa"/>
            <w:shd w:val="clear" w:color="auto" w:fill="F4F7FB"/>
            <w:vAlign w:val="top"/>
          </w:tcPr>
          <w:p>
            <w:pPr>
              <w:pStyle w:val="TableText"/>
              <w:jc w:val="left"/>
            </w:pPr>
            <w:r>
              <w:t xml:space="preserve">Production, if TASCO prefers availability</w:t>
            </w:r>
          </w:p>
        </w:tc>
      </w:tr>
      <w:tr>
        <w:trPr>
          <w:cantSplit/>
        </w:trPr>
        <w:tc>
          <w:tcPr>
            <w:tcW w:w="2364" w:type="dxa"/>
            <w:vAlign w:val="top"/>
          </w:tcPr>
          <w:p>
            <w:pPr>
              <w:pStyle w:val="TableText"/>
              <w:jc w:val="left"/>
            </w:pPr>
            <w:r>
              <w:rPr>
                <w:rStyle w:val="CodeChar"/>
              </w:rPr>
              <w:t xml:space="preserve">rules</w:t>
            </w:r>
          </w:p>
        </w:tc>
        <w:tc>
          <w:tcPr>
            <w:tcW w:w="1653" w:type="dxa"/>
            <w:vAlign w:val="top"/>
          </w:tcPr>
          <w:p>
            <w:pPr>
              <w:pStyle w:val="TableText"/>
              <w:jc w:val="left"/>
            </w:pPr>
            <w:r>
              <w:t xml:space="preserve">Local rule sets price the quote</w:t>
            </w:r>
          </w:p>
        </w:tc>
        <w:tc>
          <w:tcPr>
            <w:tcW w:w="2685" w:type="dxa"/>
            <w:vAlign w:val="top"/>
          </w:tcPr>
          <w:p>
            <w:pPr>
              <w:pStyle w:val="TableText"/>
              <w:jc w:val="left"/>
            </w:pPr>
            <w:r>
              <w:t xml:space="preserve">Not applicable</w:t>
            </w:r>
          </w:p>
        </w:tc>
        <w:tc>
          <w:tcPr>
            <w:tcW w:w="2325" w:type="dxa"/>
            <w:vAlign w:val="top"/>
          </w:tcPr>
          <w:p>
            <w:pPr>
              <w:pStyle w:val="TableText"/>
              <w:jc w:val="left"/>
            </w:pPr>
            <w:r>
              <w:t xml:space="preserve">Sandbox and testing; refused in production unless explicitly allowed</w:t>
            </w:r>
          </w:p>
        </w:tc>
      </w:tr>
    </w:tbl>
    <w:p>
      <w:pPr>
        <w:pStyle w:val="BodyText"/>
        <w:spacing w:before="160"/>
      </w:pPr>
      <w:r>
        <w:t xml:space="preserve">Business answers from core (declined, referred to an underwriter, product inactive) are never replaced by a local price in any mode. The production configuration in the Kubernetes manifests sets</w:t>
      </w:r>
      <w:r>
        <w:t xml:space="preserve"> </w:t>
      </w:r>
      <w:r>
        <w:rPr>
          <w:rStyle w:val="CodeChar"/>
        </w:rPr>
        <w:t xml:space="preserve">core</w:t>
      </w:r>
      <w:r>
        <w:t xml:space="preserve">. A production start with</w:t>
      </w:r>
      <w:r>
        <w:t xml:space="preserve"> </w:t>
      </w:r>
      <w:r>
        <w:rPr>
          <w:rStyle w:val="CodeChar"/>
        </w:rPr>
        <w:t xml:space="preserve">rules</w:t>
      </w:r>
      <w:r>
        <w:t xml:space="preserve">, or with a core mode but no core address, is refused unless</w:t>
      </w:r>
      <w:r>
        <w:t xml:space="preserve"> </w:t>
      </w:r>
      <w:r>
        <w:rPr>
          <w:rStyle w:val="CodeChar"/>
        </w:rPr>
        <w:t xml:space="preserve">ALLOW_LOCAL_RATING</w:t>
      </w:r>
      <w:r>
        <w:t xml:space="preserve"> </w:t>
      </w:r>
      <w:r>
        <w:t xml:space="preserve">is set.</w:t>
      </w:r>
    </w:p>
    <w:p>
      <w:pPr>
        <w:pStyle w:val="Heading2"/>
      </w:pPr>
      <w:bookmarkStart w:id="20" w:name="_Toc300000016"/>
      <w:r>
        <w:t xml:space="preserve">Rating and issuance sequence</w:t>
      </w:r>
      <w:bookmarkEnd w:id="20"/>
    </w:p>
    <w:p>
      <w:pPr>
        <w:pStyle w:val="FirstParagraph"/>
      </w:pPr>
      <w:r>
        <w:t xml:space="preserve">The first sequence shows a customer quote priced, declined or referred by core; the second shows what happens when core is down, in each rating mode; the third shows the re-rating of an indicative quote and issuance after payment. Payment itself is shown in section 5.</w:t>
      </w:r>
    </w:p>
    <w:p xmlns:a="http://schemas.openxmlformats.org/drawingml/2006/main" xmlns:pic="http://schemas.openxmlformats.org/drawingml/2006/picture">
      <w:pPr>
        <w:pStyle w:val="Figure"/>
      </w:pPr>
      <w:r>
        <w:drawing>
          <wp:inline>
            <wp:extent cx="5727700" cy="5488177"/>
            <wp:effectExtent b="0" l="0" r="0" t="0"/>
            <wp:docPr descr="Rating, part 1: core prices the quote, or declines or refers it" title="" id="5003" name="Picture"/>
            <a:graphic>
              <a:graphicData uri="http://schemas.openxmlformats.org/drawingml/2006/picture">
                <pic:pic>
                  <pic:nvPicPr>
                    <pic:cNvPr descr="/home/user/TASCO/tools/docs-source/gen/.cache/mermaid/e431d31aa6ee0bee.png" id="37" name="Picture"/>
                    <pic:cNvPicPr>
                      <a:picLocks noChangeArrowheads="1" noChangeAspect="1"/>
                    </pic:cNvPicPr>
                  </pic:nvPicPr>
                  <pic:blipFill>
                    <a:blip r:embed="rIdG2"/>
                    <a:stretch>
                      <a:fillRect/>
                    </a:stretch>
                  </pic:blipFill>
                  <pic:spPr bwMode="auto">
                    <a:xfrm>
                      <a:off x="0" y="0"/>
                      <a:ext cx="5727700" cy="5488177"/>
                    </a:xfrm>
                    <a:prstGeom prst="rect">
                      <a:avLst/>
                    </a:prstGeom>
                    <a:noFill/>
                    <a:ln w="9525">
                      <a:noFill/>
                      <a:headEnd/>
                      <a:tailEnd/>
                    </a:ln>
                  </pic:spPr>
                </pic:pic>
              </a:graphicData>
            </a:graphic>
          </wp:inline>
        </w:drawing>
      </w:r>
    </w:p>
    <w:p>
      <w:pPr>
        <w:pStyle w:val="Caption"/>
      </w:pPr>
      <w:r>
        <w:t xml:space="preserve">Figure 2 – Rating, part 1: core prices the quote, or declines or refers it</w:t>
      </w:r>
    </w:p>
    <w:p xmlns:a="http://schemas.openxmlformats.org/drawingml/2006/main" xmlns:pic="http://schemas.openxmlformats.org/drawingml/2006/picture">
      <w:pPr>
        <w:pStyle w:val="Figure"/>
      </w:pPr>
      <w:r>
        <w:drawing>
          <wp:inline>
            <wp:extent cx="5727700" cy="5241713"/>
            <wp:effectExtent b="0" l="0" r="0" t="0"/>
            <wp:docPr descr="Rating, part 2: core is unavailable, by rating mode" title="" id="5004" name="Picture"/>
            <a:graphic>
              <a:graphicData uri="http://schemas.openxmlformats.org/drawingml/2006/picture">
                <pic:pic>
                  <pic:nvPicPr>
                    <pic:cNvPr descr="/home/user/TASCO/tools/docs-source/gen/.cache/mermaid/cd81237bd17390a9.png" id="40" name="Picture"/>
                    <pic:cNvPicPr>
                      <a:picLocks noChangeArrowheads="1" noChangeAspect="1"/>
                    </pic:cNvPicPr>
                  </pic:nvPicPr>
                  <pic:blipFill>
                    <a:blip r:embed="rIdG3"/>
                    <a:stretch>
                      <a:fillRect/>
                    </a:stretch>
                  </pic:blipFill>
                  <pic:spPr bwMode="auto">
                    <a:xfrm>
                      <a:off x="0" y="0"/>
                      <a:ext cx="5727700" cy="5241713"/>
                    </a:xfrm>
                    <a:prstGeom prst="rect">
                      <a:avLst/>
                    </a:prstGeom>
                    <a:noFill/>
                    <a:ln w="9525">
                      <a:noFill/>
                      <a:headEnd/>
                      <a:tailEnd/>
                    </a:ln>
                  </pic:spPr>
                </pic:pic>
              </a:graphicData>
            </a:graphic>
          </wp:inline>
        </w:drawing>
      </w:r>
    </w:p>
    <w:p>
      <w:pPr>
        <w:pStyle w:val="Caption"/>
      </w:pPr>
      <w:r>
        <w:t xml:space="preserve">Figure 3 – Rating, part 2: core is unavailable, by rating mode</w:t>
      </w:r>
    </w:p>
    <w:p xmlns:a="http://schemas.openxmlformats.org/drawingml/2006/main" xmlns:pic="http://schemas.openxmlformats.org/drawingml/2006/picture">
      <w:pPr>
        <w:pStyle w:val="Figure"/>
      </w:pPr>
      <w:r>
        <w:drawing>
          <wp:inline>
            <wp:extent cx="5727700" cy="5373624"/>
            <wp:effectExtent b="0" l="0" r="0" t="0"/>
            <wp:docPr descr="Rating, part 3: re-rating an indicative quote, then issuance after payment" title="" id="5005" name="Picture"/>
            <a:graphic>
              <a:graphicData uri="http://schemas.openxmlformats.org/drawingml/2006/picture">
                <pic:pic>
                  <pic:nvPicPr>
                    <pic:cNvPr descr="/home/user/TASCO/tools/docs-source/gen/.cache/mermaid/506d663dda6cc230.png" id="43" name="Picture"/>
                    <pic:cNvPicPr>
                      <a:picLocks noChangeArrowheads="1" noChangeAspect="1"/>
                    </pic:cNvPicPr>
                  </pic:nvPicPr>
                  <pic:blipFill>
                    <a:blip r:embed="rIdG4"/>
                    <a:stretch>
                      <a:fillRect/>
                    </a:stretch>
                  </pic:blipFill>
                  <pic:spPr bwMode="auto">
                    <a:xfrm>
                      <a:off x="0" y="0"/>
                      <a:ext cx="5727700" cy="5373624"/>
                    </a:xfrm>
                    <a:prstGeom prst="rect">
                      <a:avLst/>
                    </a:prstGeom>
                    <a:noFill/>
                    <a:ln w="9525">
                      <a:noFill/>
                      <a:headEnd/>
                      <a:tailEnd/>
                    </a:ln>
                  </pic:spPr>
                </pic:pic>
              </a:graphicData>
            </a:graphic>
          </wp:inline>
        </w:drawing>
      </w:r>
    </w:p>
    <w:p>
      <w:pPr>
        <w:pStyle w:val="Caption"/>
      </w:pPr>
      <w:r>
        <w:t xml:space="preserve">Figure 4 – Rating, part 3: re-rating an indicative quote, then issuance after payment</w:t>
      </w:r>
    </w:p>
    <w:p>
      <w:pPr>
        <w:pStyle w:val="BodyText"/>
      </w:pPr>
      <w:r>
        <w:t xml:space="preserve">Staff and customers can both re-rate an indicative quote (</w:t>
      </w:r>
      <w:r>
        <w:rPr>
          <w:rStyle w:val="CodeChar"/>
        </w:rPr>
        <w:t xml:space="preserve">POST /api/quotes/:id/rerate</w:t>
      </w:r>
      <w:r>
        <w:t xml:space="preserve"> </w:t>
      </w:r>
      <w:r>
        <w:t xml:space="preserve">and</w:t>
      </w:r>
      <w:r>
        <w:t xml:space="preserve"> </w:t>
      </w:r>
      <w:r>
        <w:rPr>
          <w:rStyle w:val="CodeChar"/>
        </w:rPr>
        <w:t xml:space="preserve">POST /api/customer/quotes/:id/rerate</w:t>
      </w:r>
      <w:r>
        <w:t xml:space="preserve">). Re-rating requires a core answer; the previous indicative total is kept on the quote for audit. The bind-and-issue call uses the sandbox policy administration adapter today; the real adapter is built against TASCO’s specification in SIT.</w:t>
      </w:r>
    </w:p>
    <w:p>
      <w:pPr>
        <w:pStyle w:val="Heading2"/>
      </w:pPr>
      <w:bookmarkStart w:id="21" w:name="_Toc300000017"/>
      <w:r>
        <w:t xml:space="preserve">Port contracts</w:t>
      </w:r>
      <w:bookmarkEnd w:id="21"/>
    </w:p>
    <w:p>
      <w:pPr>
        <w:pStyle w:val="FirstParagraph"/>
      </w:pPr>
      <w:r>
        <w:t xml:space="preserve">The contracts below use TypeScript notation for readability; the code is JavaScript.</w:t>
      </w:r>
    </w:p>
    <w:p>
      <w:pPr>
        <w:pStyle w:val="CodeBlock"/>
      </w:pPr>
      <w:r>
        <w:t xml:space="preserve">interface CoreRating {</w:t>
      </w:r>
      <w:r>
        <w:br/>
      </w:r>
      <w:r>
        <w:t xml:space="preserve">  quote(req: {</w:t>
      </w:r>
      <w:r>
        <w:br/>
      </w:r>
      <w:r>
        <w:t xml:space="preserve">    idempotencyKey: string; requestId: string; channel: string; partnerId: string | null;</w:t>
      </w:r>
      <w:r>
        <w:br/>
      </w:r>
      <w:r>
        <w:t xml:space="preserve">    quoteDate: string; startDate: string; termYears: number;</w:t>
      </w:r>
      <w:r>
        <w:br/>
      </w:r>
      <w:r>
        <w:t xml:space="preserve">    holder: { type: 'individual' | 'company' };</w:t>
      </w:r>
      <w:r>
        <w:br/>
      </w:r>
      <w:r>
        <w:t xml:space="preserve">    vehicle: { category: string; usage: string; seats: number; firstRegisteredYear: number };</w:t>
      </w:r>
      <w:r>
        <w:br/>
      </w:r>
      <w:r>
        <w:t xml:space="preserve">    lines: { product: string; options?: object }[];</w:t>
      </w:r>
      <w:r>
        <w:br/>
      </w:r>
      <w:r>
        <w:t xml:space="preserve">  }): Promise&lt;{</w:t>
      </w:r>
      <w:r>
        <w:br/>
      </w:r>
      <w:r>
        <w:t xml:space="preserve">    coreQuoteRef: string; ratingVersion: string; validUntil: string;</w:t>
      </w:r>
      <w:r>
        <w:br/>
      </w:r>
      <w:r>
        <w:t xml:space="preserve">    lines: { product: string; premiumNet: number; vat: number; total: number;</w:t>
      </w:r>
      <w:r>
        <w:br/>
      </w:r>
      <w:r>
        <w:t xml:space="preserve">             startDate: string; endDate: string; termDays: number; ratingRef: string }[];</w:t>
      </w:r>
      <w:r>
        <w:br/>
      </w:r>
      <w:r>
        <w:t xml:space="preserve">  }&gt;;</w:t>
      </w:r>
      <w:r>
        <w:br/>
      </w:r>
      <w:r>
        <w:t xml:space="preserve">}</w:t>
      </w:r>
      <w:r>
        <w:br/>
      </w:r>
      <w:r>
        <w:br/>
      </w:r>
      <w:r>
        <w:t xml:space="preserve">interface ProductCatalogue {</w:t>
      </w:r>
      <w:r>
        <w:br/>
      </w:r>
      <w:r>
        <w:t xml:space="preserve">  fetchCatalogue(): Promise&lt;{ catalogueVersion: string; publishedAt?: string;</w:t>
      </w:r>
      <w:r>
        <w:br/>
      </w:r>
      <w:r>
        <w:t xml:space="preserve">    products: { code: string; version: string; name: string; status: 'active' | 'inactive' | 'withdrawn';</w:t>
      </w:r>
      <w:r>
        <w:br/>
      </w:r>
      <w:r>
        <w:t xml:space="preserve">                compulsory?: boolean; priceRegulated?: boolean; requiresInspection?: boolean; ratingMethod?: string }[] }&gt;;</w:t>
      </w:r>
      <w:r>
        <w:br/>
      </w:r>
      <w:r>
        <w:t xml:space="preserve">}</w:t>
      </w:r>
      <w:r>
        <w:br/>
      </w:r>
      <w:r>
        <w:br/>
      </w:r>
      <w:r>
        <w:t xml:space="preserve">interface PolicyAdministration {</w:t>
      </w:r>
      <w:r>
        <w:br/>
      </w:r>
      <w:r>
        <w:t xml:space="preserve">  issuePolicy(req: { product: string; plate: string; holderName: string | null; startDate: string; endDate: string;</w:t>
      </w:r>
      <w:r>
        <w:br/>
      </w:r>
      <w:r>
        <w:t xml:space="preserve">                     premiumNet: number; vat: number; orderId: string; coreQuoteRef: string | null; coreLineRef: string | null })</w:t>
      </w:r>
      <w:r>
        <w:br/>
      </w:r>
      <w:r>
        <w:t xml:space="preserve">    : Promise&lt;{ policyNo: string; certNo: string; certificateUrl: string; issuedAt: string }&gt;;</w:t>
      </w:r>
      <w:r>
        <w:br/>
      </w:r>
      <w:r>
        <w:t xml:space="preserve">  cancelPolicy(req: { policyNo: string; reason: string }): Promise&lt;{ policyNo: string; status: 'cancelled' }&gt;;</w:t>
      </w:r>
      <w:r>
        <w:br/>
      </w:r>
      <w:r>
        <w:t xml:space="preserve">}</w:t>
      </w:r>
    </w:p>
    <w:p>
      <w:pPr>
        <w:pStyle w:val="Heading2"/>
      </w:pPr>
      <w:bookmarkStart w:id="22" w:name="_Toc300000018"/>
      <w:r>
        <w:t xml:space="preserve">Contract details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Production adapter</w:t>
            </w:r>
          </w:p>
        </w:tc>
        <w:tc>
          <w:tcPr>
            <w:tcW w:w="7077" w:type="dxa"/>
            <w:vAlign w:val="top"/>
          </w:tcPr>
          <w:p>
            <w:pPr>
              <w:pStyle w:val="TableText"/>
              <w:jc w:val="left"/>
            </w:pPr>
            <w:r>
              <w:rPr>
                <w:rStyle w:val="CodeChar"/>
              </w:rPr>
              <w:t xml:space="preserve">tascoCoreRatingClient.js</w:t>
            </w:r>
            <w:r>
              <w:t xml:space="preserve">:</w:t>
            </w:r>
            <w:r>
              <w:t xml:space="preserve"> </w:t>
            </w:r>
            <w:r>
              <w:rPr>
                <w:rStyle w:val="CodeChar"/>
              </w:rPr>
              <w:t xml:space="preserve">POST /rating/v1/quotes</w:t>
            </w:r>
            <w:r>
              <w:t xml:space="preserve"> </w:t>
            </w:r>
            <w:r>
              <w:t xml:space="preserve">and</w:t>
            </w:r>
            <w:r>
              <w:t xml:space="preserve"> </w:t>
            </w:r>
            <w:r>
              <w:rPr>
                <w:rStyle w:val="CodeChar"/>
              </w:rPr>
              <w:t xml:space="preserve">GET /products/v1/catalogue</w:t>
            </w:r>
            <w:r>
              <w:t xml:space="preserve">. These paths and payloads are assumptions until TASCO’s interface specification is received; only the mapping inside the adapter changes.</w:t>
            </w:r>
          </w:p>
        </w:tc>
      </w:tr>
      <w:tr>
        <w:trPr>
          <w:cantSplit/>
        </w:trPr>
        <w:tc>
          <w:tcPr>
            <w:tcW w:w="1950" w:type="dxa"/>
            <w:shd w:val="clear" w:color="auto" w:fill="F4F7FB"/>
            <w:vAlign w:val="top"/>
          </w:tcPr>
          <w:p>
            <w:pPr>
              <w:pStyle w:val="TableText"/>
              <w:jc w:val="left"/>
            </w:pPr>
            <w:r>
              <w:t xml:space="preserve">Sandbox adapter</w:t>
            </w:r>
          </w:p>
        </w:tc>
        <w:tc>
          <w:tcPr>
            <w:tcW w:w="7077" w:type="dxa"/>
            <w:shd w:val="clear" w:color="auto" w:fill="F4F7FB"/>
            <w:vAlign w:val="top"/>
          </w:tcPr>
          <w:p>
            <w:pPr>
              <w:pStyle w:val="TableText"/>
              <w:jc w:val="left"/>
            </w:pPr>
            <w:r>
              <w:rPr>
                <w:rStyle w:val="CodeChar"/>
              </w:rPr>
              <w:t xml:space="preserve">simulatedTascoCore.js</w:t>
            </w:r>
            <w:r>
              <w:t xml:space="preserve">: same contract, priced from the approved local rule sets, returning core-style references. Used whenever</w:t>
            </w:r>
            <w:r>
              <w:t xml:space="preserve"> </w:t>
            </w:r>
            <w:r>
              <w:rPr>
                <w:rStyle w:val="CodeChar"/>
              </w:rPr>
              <w:t xml:space="preserve">TASCO_CORE_BASE_URL</w:t>
            </w:r>
            <w:r>
              <w:t xml:space="preserve"> </w:t>
            </w:r>
            <w:r>
              <w:t xml:space="preserve">is empty.</w:t>
            </w:r>
          </w:p>
        </w:tc>
      </w:tr>
      <w:tr>
        <w:trPr>
          <w:cantSplit/>
        </w:trPr>
        <w:tc>
          <w:tcPr>
            <w:tcW w:w="1950" w:type="dxa"/>
            <w:vAlign w:val="top"/>
          </w:tcPr>
          <w:p>
            <w:pPr>
              <w:pStyle w:val="TableText"/>
              <w:jc w:val="left"/>
            </w:pPr>
            <w:r>
              <w:t xml:space="preserve">Authentication</w:t>
            </w:r>
          </w:p>
        </w:tc>
        <w:tc>
          <w:tcPr>
            <w:tcW w:w="7077" w:type="dxa"/>
            <w:vAlign w:val="top"/>
          </w:tcPr>
          <w:p>
            <w:pPr>
              <w:pStyle w:val="TableText"/>
              <w:jc w:val="left"/>
            </w:pPr>
            <w:r>
              <w:t xml:space="preserve">OAuth 2.0 client credentials (</w:t>
            </w:r>
            <w:r>
              <w:rPr>
                <w:rStyle w:val="CodeChar"/>
              </w:rPr>
              <w:t xml:space="preserve">TASCO_CORE_CLIENT_ID</w:t>
            </w:r>
            <w:r>
              <w:t xml:space="preserve">, secret from a mounted file). Token cached until shortly before expiry; a 401 forces a new token. HTTPS only in production. Mutual TLS by client certificate or at the egress proxy.</w:t>
            </w:r>
          </w:p>
        </w:tc>
      </w:tr>
      <w:tr>
        <w:trPr>
          <w:cantSplit/>
        </w:trPr>
        <w:tc>
          <w:tcPr>
            <w:tcW w:w="1950" w:type="dxa"/>
            <w:shd w:val="clear" w:color="auto" w:fill="F4F7FB"/>
            <w:vAlign w:val="top"/>
          </w:tcPr>
          <w:p>
            <w:pPr>
              <w:pStyle w:val="TableText"/>
              <w:jc w:val="left"/>
            </w:pPr>
            <w:r>
              <w:t xml:space="preserve">Resilience</w:t>
            </w:r>
          </w:p>
        </w:tc>
        <w:tc>
          <w:tcPr>
            <w:tcW w:w="7077" w:type="dxa"/>
            <w:shd w:val="clear" w:color="auto" w:fill="F4F7FB"/>
            <w:vAlign w:val="top"/>
          </w:tcPr>
          <w:p>
            <w:pPr>
              <w:pStyle w:val="TableText"/>
              <w:jc w:val="left"/>
            </w:pPr>
            <w:r>
              <w:t xml:space="preserve">5,000 ms per call (</w:t>
            </w:r>
            <w:r>
              <w:rPr>
                <w:rStyle w:val="CodeChar"/>
              </w:rPr>
              <w:t xml:space="preserve">TASCO_CORE_TIMEOUT_MS</w:t>
            </w:r>
            <w:r>
              <w:t xml:space="preserve">), cancelled on timeout; two retries with backoff; one circuit breaker for rating and one for catalogue. Business errors are not retried and do not open the circuit.</w:t>
            </w:r>
          </w:p>
        </w:tc>
      </w:tr>
      <w:tr>
        <w:trPr>
          <w:cantSplit/>
        </w:trPr>
        <w:tc>
          <w:tcPr>
            <w:tcW w:w="1950" w:type="dxa"/>
            <w:vAlign w:val="top"/>
          </w:tcPr>
          <w:p>
            <w:pPr>
              <w:pStyle w:val="TableText"/>
              <w:jc w:val="left"/>
            </w:pPr>
            <w:r>
              <w:t xml:space="preserve">Idempotency</w:t>
            </w:r>
          </w:p>
        </w:tc>
        <w:tc>
          <w:tcPr>
            <w:tcW w:w="7077" w:type="dxa"/>
            <w:vAlign w:val="top"/>
          </w:tcPr>
          <w:p>
            <w:pPr>
              <w:pStyle w:val="TableText"/>
              <w:jc w:val="left"/>
            </w:pPr>
            <w:r>
              <w:rPr>
                <w:rStyle w:val="CodeChar"/>
              </w:rPr>
              <w:t xml:space="preserve">Idempotency-Key</w:t>
            </w:r>
            <w:r>
              <w:t xml:space="preserve"> </w:t>
            </w:r>
            <w:r>
              <w:t xml:space="preserve">on every rating call (the quote id, or the quote id with a re-rate suffix). Issuance must de-duplicate on order and product: the production adapter sends</w:t>
            </w:r>
            <w:r>
              <w:t xml:space="preserve"> </w:t>
            </w:r>
            <w:r>
              <w:rPr>
                <w:rStyle w:val="CodeChar"/>
              </w:rPr>
              <w:t xml:space="preserve">Idempotency-Key</w:t>
            </w:r>
            <w:r>
              <w:t xml:space="preserve"> </w:t>
            </w:r>
            <w:r>
              <w:t xml:space="preserve">as order id plus product.</w:t>
            </w:r>
          </w:p>
        </w:tc>
      </w:tr>
      <w:tr>
        <w:trPr>
          <w:cantSplit/>
        </w:trPr>
        <w:tc>
          <w:tcPr>
            <w:tcW w:w="1950" w:type="dxa"/>
            <w:shd w:val="clear" w:color="auto" w:fill="F4F7FB"/>
            <w:vAlign w:val="top"/>
          </w:tcPr>
          <w:p>
            <w:pPr>
              <w:pStyle w:val="TableText"/>
              <w:jc w:val="left"/>
            </w:pPr>
            <w:r>
              <w:t xml:space="preserve">Response checks</w:t>
            </w:r>
          </w:p>
        </w:tc>
        <w:tc>
          <w:tcPr>
            <w:tcW w:w="7077" w:type="dxa"/>
            <w:shd w:val="clear" w:color="auto" w:fill="F4F7FB"/>
            <w:vAlign w:val="top"/>
          </w:tcPr>
          <w:p>
            <w:pPr>
              <w:pStyle w:val="TableText"/>
              <w:jc w:val="left"/>
            </w:pPr>
            <w:r>
              <w:t xml:space="preserve">Responses are schema-validated. Missing or malformed required fields are treated as core unavailable (503), never as a price.</w:t>
            </w:r>
          </w:p>
        </w:tc>
      </w:tr>
      <w:tr>
        <w:trPr>
          <w:cantSplit/>
        </w:trPr>
        <w:tc>
          <w:tcPr>
            <w:tcW w:w="1950" w:type="dxa"/>
            <w:vAlign w:val="top"/>
          </w:tcPr>
          <w:p>
            <w:pPr>
              <w:pStyle w:val="TableText"/>
              <w:jc w:val="left"/>
            </w:pPr>
            <w:r>
              <w:t xml:space="preserve">Error mapping</w:t>
            </w:r>
          </w:p>
        </w:tc>
        <w:tc>
          <w:tcPr>
            <w:tcW w:w="7077" w:type="dxa"/>
            <w:vAlign w:val="top"/>
          </w:tcPr>
          <w:p>
            <w:pPr>
              <w:pStyle w:val="TableText"/>
              <w:jc w:val="left"/>
            </w:pPr>
            <w:r>
              <w:t xml:space="preserve">Core codes such as</w:t>
            </w:r>
            <w:r>
              <w:t xml:space="preserve"> </w:t>
            </w:r>
            <w:r>
              <w:rPr>
                <w:rStyle w:val="CodeChar"/>
              </w:rPr>
              <w:t xml:space="preserve">UNDERWRITING_DECLINED</w:t>
            </w:r>
            <w:r>
              <w:t xml:space="preserve">,</w:t>
            </w:r>
            <w:r>
              <w:t xml:space="preserve"> </w:t>
            </w:r>
            <w:r>
              <w:rPr>
                <w:rStyle w:val="CodeChar"/>
              </w:rPr>
              <w:t xml:space="preserve">REFER_TO_UNDERWRITER</w:t>
            </w:r>
            <w:r>
              <w:t xml:space="preserve">,</w:t>
            </w:r>
            <w:r>
              <w:t xml:space="preserve"> </w:t>
            </w:r>
            <w:r>
              <w:rPr>
                <w:rStyle w:val="CodeChar"/>
              </w:rPr>
              <w:t xml:space="preserve">PRODUCT_INACTIVE</w:t>
            </w:r>
            <w:r>
              <w:t xml:space="preserve"> </w:t>
            </w:r>
            <w:r>
              <w:t xml:space="preserve">and</w:t>
            </w:r>
            <w:r>
              <w:t xml:space="preserve"> </w:t>
            </w:r>
            <w:r>
              <w:rPr>
                <w:rStyle w:val="CodeChar"/>
              </w:rPr>
              <w:t xml:space="preserve">QUOTE_EXPIRED</w:t>
            </w:r>
            <w:r>
              <w:t xml:space="preserve"> </w:t>
            </w:r>
            <w:r>
              <w:t xml:space="preserve">become business outcomes (HTTP 422 or 409). Authentication failures, throttling and timeouts become 503. Core error messages are never echoed.</w:t>
            </w:r>
          </w:p>
        </w:tc>
      </w:tr>
      <w:tr>
        <w:trPr>
          <w:cantSplit/>
        </w:trPr>
        <w:tc>
          <w:tcPr>
            <w:tcW w:w="1950" w:type="dxa"/>
            <w:shd w:val="clear" w:color="auto" w:fill="F4F7FB"/>
            <w:vAlign w:val="top"/>
          </w:tcPr>
          <w:p>
            <w:pPr>
              <w:pStyle w:val="TableText"/>
              <w:jc w:val="left"/>
            </w:pPr>
            <w:r>
              <w:t xml:space="preserve">Quote validity</w:t>
            </w:r>
          </w:p>
        </w:tc>
        <w:tc>
          <w:tcPr>
            <w:tcW w:w="7077" w:type="dxa"/>
            <w:shd w:val="clear" w:color="auto" w:fill="F4F7FB"/>
            <w:vAlign w:val="top"/>
          </w:tcPr>
          <w:p>
            <w:pPr>
              <w:pStyle w:val="TableText"/>
              <w:jc w:val="left"/>
            </w:pPr>
            <w:r>
              <w:t xml:space="preserve">The platform quote expires after 24 hours or at core’s validity, whichever comes first.</w:t>
            </w:r>
          </w:p>
        </w:tc>
      </w:tr>
      <w:tr>
        <w:trPr>
          <w:cantSplit/>
        </w:trPr>
        <w:tc>
          <w:tcPr>
            <w:tcW w:w="1950" w:type="dxa"/>
            <w:vAlign w:val="top"/>
          </w:tcPr>
          <w:p>
            <w:pPr>
              <w:pStyle w:val="TableText"/>
              <w:jc w:val="left"/>
            </w:pPr>
            <w:r>
              <w:t xml:space="preserve">Monitoring</w:t>
            </w:r>
          </w:p>
        </w:tc>
        <w:tc>
          <w:tcPr>
            <w:tcW w:w="7077" w:type="dxa"/>
            <w:vAlign w:val="top"/>
          </w:tcPr>
          <w:p>
            <w:pPr>
              <w:pStyle w:val="TableText"/>
              <w:jc w:val="left"/>
            </w:pPr>
            <w:r>
              <w:rPr>
                <w:rStyle w:val="CodeChar"/>
              </w:rPr>
              <w:t xml:space="preserve">GET /api/integrations/status</w:t>
            </w:r>
            <w:r>
              <w:t xml:space="preserve"> </w:t>
            </w:r>
            <w:r>
              <w:t xml:space="preserve">shows the rating mode, core endpoint, circuit states and the last catalogue sync. Metrics count core rating calls, unavailability and indicative quotes.</w:t>
            </w:r>
          </w:p>
        </w:tc>
      </w:tr>
      <w:tr>
        <w:trPr>
          <w:cantSplit/>
        </w:trPr>
        <w:tc>
          <w:tcPr>
            <w:tcW w:w="1950" w:type="dxa"/>
            <w:shd w:val="clear" w:color="auto" w:fill="F4F7FB"/>
            <w:vAlign w:val="top"/>
          </w:tcPr>
          <w:p>
            <w:pPr>
              <w:pStyle w:val="TableText"/>
              <w:jc w:val="left"/>
            </w:pPr>
            <w:r>
              <w:t xml:space="preserve">Proposed service level</w:t>
            </w:r>
          </w:p>
        </w:tc>
        <w:tc>
          <w:tcPr>
            <w:tcW w:w="7077" w:type="dxa"/>
            <w:shd w:val="clear" w:color="auto" w:fill="F4F7FB"/>
            <w:vAlign w:val="top"/>
          </w:tcPr>
          <w:p>
            <w:pPr>
              <w:pStyle w:val="TableText"/>
              <w:jc w:val="left"/>
            </w:pPr>
            <w:r>
              <w:t xml:space="preserve">Rating at or under 1 second at the 95th percentile; 99.9% availability in contact hours (to be agreed with TASCO core).</w:t>
            </w:r>
          </w:p>
        </w:tc>
      </w:tr>
    </w:tbl>
    <w:p>
      <w:pPr>
        <w:pStyle w:val="Heading2"/>
      </w:pPr>
      <w:bookmarkStart w:id="23" w:name="_Toc300000019"/>
      <w:r>
        <w:t xml:space="preserve">Catalogue sync with maker-checker</w:t>
      </w:r>
      <w:bookmarkEnd w:id="23"/>
    </w:p>
    <w:p>
      <w:pPr>
        <w:pStyle w:val="FirstParagraph"/>
      </w:pPr>
      <w:r>
        <w:t xml:space="preserve">TASCO core is authoritative for which products exist, their version and whether they are on sale. The platform stays authoritative for distribution: channels, bundles and local indicative rates. The nightly job proposes changes; a person approves them.</w:t>
      </w:r>
    </w:p>
    <w:p xmlns:a="http://schemas.openxmlformats.org/drawingml/2006/main" xmlns:pic="http://schemas.openxmlformats.org/drawingml/2006/picture">
      <w:pPr>
        <w:pStyle w:val="Figure"/>
      </w:pPr>
      <w:r>
        <w:drawing>
          <wp:inline>
            <wp:extent cx="5727700" cy="5665216"/>
            <wp:effectExtent b="0" l="0" r="0" t="0"/>
            <wp:docPr descr="Catalogue sync, part 1: the nightly job proposes changes from TASCO core" title="" id="5006" name="Picture"/>
            <a:graphic>
              <a:graphicData uri="http://schemas.openxmlformats.org/drawingml/2006/picture">
                <pic:pic>
                  <pic:nvPicPr>
                    <pic:cNvPr descr="/home/user/TASCO/tools/docs-source/gen/.cache/mermaid/8df6a420f5ac3e7f.png" id="49" name="Picture"/>
                    <pic:cNvPicPr>
                      <a:picLocks noChangeArrowheads="1" noChangeAspect="1"/>
                    </pic:cNvPicPr>
                  </pic:nvPicPr>
                  <pic:blipFill>
                    <a:blip r:embed="rIdG5"/>
                    <a:stretch>
                      <a:fillRect/>
                    </a:stretch>
                  </pic:blipFill>
                  <pic:spPr bwMode="auto">
                    <a:xfrm>
                      <a:off x="0" y="0"/>
                      <a:ext cx="5727700" cy="5665216"/>
                    </a:xfrm>
                    <a:prstGeom prst="rect">
                      <a:avLst/>
                    </a:prstGeom>
                    <a:noFill/>
                    <a:ln w="9525">
                      <a:noFill/>
                      <a:headEnd/>
                      <a:tailEnd/>
                    </a:ln>
                  </pic:spPr>
                </pic:pic>
              </a:graphicData>
            </a:graphic>
          </wp:inline>
        </w:drawing>
      </w:r>
    </w:p>
    <w:p>
      <w:pPr>
        <w:pStyle w:val="Caption"/>
      </w:pPr>
      <w:r>
        <w:t xml:space="preserve">Figure 5 – Catalogue sync, part 1: the nightly job proposes changes from TASCO core</w:t>
      </w:r>
    </w:p>
    <w:p xmlns:a="http://schemas.openxmlformats.org/drawingml/2006/main" xmlns:pic="http://schemas.openxmlformats.org/drawingml/2006/picture">
      <w:pPr>
        <w:pStyle w:val="Figure"/>
      </w:pPr>
      <w:r>
        <w:drawing>
          <wp:inline>
            <wp:extent cx="4456799" cy="4334399"/>
            <wp:effectExtent b="0" l="0" r="0" t="0"/>
            <wp:docPr descr="Catalogue sync, part 2: a person approves or rejects the proposal" title="" id="5007" name="Picture"/>
            <a:graphic>
              <a:graphicData uri="http://schemas.openxmlformats.org/drawingml/2006/picture">
                <pic:pic>
                  <pic:nvPicPr>
                    <pic:cNvPr descr="/home/user/TASCO/tools/docs-source/gen/.cache/mermaid/5e4adc52b45fcd4c.png" id="52" name="Picture"/>
                    <pic:cNvPicPr>
                      <a:picLocks noChangeArrowheads="1" noChangeAspect="1"/>
                    </pic:cNvPicPr>
                  </pic:nvPicPr>
                  <pic:blipFill>
                    <a:blip r:embed="rIdG6"/>
                    <a:stretch>
                      <a:fillRect/>
                    </a:stretch>
                  </pic:blipFill>
                  <pic:spPr bwMode="auto">
                    <a:xfrm>
                      <a:off x="0" y="0"/>
                      <a:ext cx="4456799" cy="4334399"/>
                    </a:xfrm>
                    <a:prstGeom prst="rect">
                      <a:avLst/>
                    </a:prstGeom>
                    <a:noFill/>
                    <a:ln w="9525">
                      <a:noFill/>
                      <a:headEnd/>
                      <a:tailEnd/>
                    </a:ln>
                  </pic:spPr>
                </pic:pic>
              </a:graphicData>
            </a:graphic>
          </wp:inline>
        </w:drawing>
      </w:r>
    </w:p>
    <w:p>
      <w:pPr>
        <w:pStyle w:val="Caption"/>
      </w:pPr>
      <w:r>
        <w:t xml:space="preserve">Figure 6 – Catalogue sync, part 2: a person approves or rejects the proposal</w:t>
      </w:r>
    </w:p>
    <w:p>
      <w:pPr>
        <w:pStyle w:val="BodyText"/>
      </w:pPr>
      <w:r>
        <w:t xml:space="preserve">New products from core arrive with no sales channels, so nothing goes on sale until the business configures them. Products missing from core are marked withdrawn but kept, so history and renewals still resolve. The sync user holds only the rule author role and cannot approve its own proposal. The job can also be run on demand (</w:t>
      </w:r>
      <w:r>
        <w:rPr>
          <w:rStyle w:val="CodeChar"/>
        </w:rPr>
        <w:t xml:space="preserve">POST /api/ops/jobs/catalogue-sync</w:t>
      </w:r>
      <w:r>
        <w:t xml:space="preserve">, permission to run jobs).</w:t>
      </w:r>
    </w:p>
    <w:p>
      <w:pPr>
        <w:pStyle w:val="Heading2"/>
      </w:pPr>
      <w:bookmarkStart w:id="24" w:name="_Toc300000020"/>
      <w:r>
        <w:t xml:space="preserve">Policy book extract</w:t>
      </w:r>
      <w:bookmarkEnd w:id="24"/>
    </w:p>
    <w:p>
      <w:pPr>
        <w:pStyle w:val="FirstParagraph"/>
      </w:pPr>
      <w:r>
        <w:t xml:space="preserve">TASCO’s in-force and expired policies are loaded through the same ingestion path as VETC data, as source</w:t>
      </w:r>
      <w:r>
        <w:t xml:space="preserve"> </w:t>
      </w:r>
      <w:r>
        <w:rPr>
          <w:rStyle w:val="CodeChar"/>
        </w:rPr>
        <w:t xml:space="preserve">tasco_core</w:t>
      </w:r>
      <w:r>
        <w:t xml:space="preserve"> </w:t>
      </w:r>
      <w:r>
        <w:t xml:space="preserve">with verified certificates. This source carries the highest trust (1.0), so renewal journeys for TASCO customers are accurate from day one and vehicles already insured with TASCO are not offered new business. The extract format (plate, certificate number, cover period, holder) is agreed in discovery; a daily delta follows the initial load.</w:t>
      </w:r>
    </w:p>
    <w:p>
      <w:pPr>
        <w:pStyle w:val="Heading2"/>
      </w:pPr>
      <w:bookmarkStart w:id="25" w:name="_Toc300000021"/>
      <w:r>
        <w:t xml:space="preserve">Claims notification</w:t>
      </w:r>
      <w:bookmarkEnd w:id="25"/>
    </w:p>
    <w:p>
      <w:pPr>
        <w:pStyle w:val="FirstParagraph"/>
      </w:pPr>
      <w:r>
        <w:t xml:space="preserve">When a customer reports a claim in the app, the platform records it, sets the acknowledgement deadline from the service levels (4 hours) and sends the customer an acknowledgement. In the MVP, claims handlers work the claims queue in the staff console and register the claim in TASCO’s claims system. In the scale phase a subscriber to the claim event calls the TASCO core claims API with the claim id as idempotency key and stores the core claim number. Photos are counted only today; uploads will use pre-signed object storage with malware scanning.</w:t>
      </w:r>
    </w:p>
    <w:p>
      <w:pPr>
        <w:pStyle w:val="Heading2"/>
      </w:pPr>
      <w:bookmarkStart w:id="26" w:name="_Toc300000022"/>
      <w:r>
        <w:t xml:space="preserve">Interim path without a rating API</w:t>
      </w:r>
      <w:bookmarkEnd w:id="26"/>
    </w:p>
    <w:p>
      <w:pPr>
        <w:pStyle w:val="FirstParagraph"/>
      </w:pPr>
      <w:r>
        <w:t xml:space="preserve">If TASCO core cannot expose a rating API in time, the platform rates from tariff tables synchronised from core and approved by TASCO, and core re-rates at the moment of issue, rejecting any mismatch. The path is confirmed in the first two weeks of discovery.</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VETC</w:t>
      </w:r>
      <w:bookmarkEnd w:id="27"/>
    </w:p>
    <w:p>
      <w:pPr>
        <w:pStyle w:val="Heading2"/>
      </w:pPr>
      <w:bookmarkStart w:id="28" w:name="_Toc300000024"/>
      <w:r>
        <w:t xml:space="preserve">Account and vehicle data</w:t>
      </w:r>
      <w:bookmarkEnd w:id="28"/>
    </w:p>
    <w:p>
      <w:pPr>
        <w:pStyle w:val="FirstParagraph"/>
      </w:pPr>
      <w:r>
        <w:t xml:space="preserve">VETC supplies plates, vehicle class, seats, owner name and phone, engagement signals and consent flags for its account base. Records arrive through the SourceFeed port or the ingestion API and are upserted by record id, so re-sending a batch is safe.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Entry points</w:t>
            </w:r>
          </w:p>
        </w:tc>
        <w:tc>
          <w:tcPr>
            <w:tcW w:w="7077" w:type="dxa"/>
            <w:vAlign w:val="top"/>
          </w:tcPr>
          <w:p>
            <w:pPr>
              <w:pStyle w:val="TableText"/>
              <w:jc w:val="left"/>
            </w:pPr>
            <w:r>
              <w:rPr>
                <w:rStyle w:val="CodeChar"/>
              </w:rPr>
              <w:t xml:space="preserve">POST /api/data/ingest</w:t>
            </w:r>
            <w:r>
              <w:t xml:space="preserve"> </w:t>
            </w:r>
            <w:r>
              <w:t xml:space="preserve">(up to 5,000 records per call, field allow-list), the bulk loader for files and the CDC consumer</w:t>
            </w:r>
          </w:p>
        </w:tc>
      </w:tr>
      <w:tr>
        <w:trPr>
          <w:cantSplit/>
        </w:trPr>
        <w:tc>
          <w:tcPr>
            <w:tcW w:w="1950" w:type="dxa"/>
            <w:shd w:val="clear" w:color="auto" w:fill="F4F7FB"/>
            <w:vAlign w:val="top"/>
          </w:tcPr>
          <w:p>
            <w:pPr>
              <w:pStyle w:val="TableText"/>
              <w:jc w:val="left"/>
            </w:pPr>
            <w:r>
              <w:t xml:space="preserve">Match key</w:t>
            </w:r>
          </w:p>
        </w:tc>
        <w:tc>
          <w:tcPr>
            <w:tcW w:w="7077" w:type="dxa"/>
            <w:shd w:val="clear" w:color="auto" w:fill="F4F7FB"/>
            <w:vAlign w:val="top"/>
          </w:tcPr>
          <w:p>
            <w:pPr>
              <w:pStyle w:val="TableText"/>
              <w:jc w:val="left"/>
            </w:pPr>
            <w:r>
              <w:t xml:space="preserve">Normalised plate. Invalid plates are landed but excluded from the golden record and raise a data quality issue.</w:t>
            </w:r>
          </w:p>
        </w:tc>
      </w:tr>
      <w:tr>
        <w:trPr>
          <w:cantSplit/>
        </w:trPr>
        <w:tc>
          <w:tcPr>
            <w:tcW w:w="1950" w:type="dxa"/>
            <w:vAlign w:val="top"/>
          </w:tcPr>
          <w:p>
            <w:pPr>
              <w:pStyle w:val="TableText"/>
              <w:jc w:val="left"/>
            </w:pPr>
            <w:r>
              <w:t xml:space="preserve">Personal data</w:t>
            </w:r>
          </w:p>
        </w:tc>
        <w:tc>
          <w:tcPr>
            <w:tcW w:w="7077" w:type="dxa"/>
            <w:vAlign w:val="top"/>
          </w:tcPr>
          <w:p>
            <w:pPr>
              <w:pStyle w:val="TableText"/>
              <w:jc w:val="left"/>
            </w:pPr>
            <w:r>
              <w:t xml:space="preserve">Phone and name are encrypted at rest. National id, address and date of birth are not accepted.</w:t>
            </w:r>
          </w:p>
        </w:tc>
      </w:tr>
      <w:tr>
        <w:trPr>
          <w:cantSplit/>
        </w:trPr>
        <w:tc>
          <w:tcPr>
            <w:tcW w:w="1950" w:type="dxa"/>
            <w:shd w:val="clear" w:color="auto" w:fill="F4F7FB"/>
            <w:vAlign w:val="top"/>
          </w:tcPr>
          <w:p>
            <w:pPr>
              <w:pStyle w:val="TableText"/>
              <w:jc w:val="left"/>
            </w:pPr>
            <w:r>
              <w:t xml:space="preserve">Consent</w:t>
            </w:r>
          </w:p>
        </w:tc>
        <w:tc>
          <w:tcPr>
            <w:tcW w:w="7077" w:type="dxa"/>
            <w:shd w:val="clear" w:color="auto" w:fill="F4F7FB"/>
            <w:vAlign w:val="top"/>
          </w:tcPr>
          <w:p>
            <w:pPr>
              <w:pStyle w:val="TableText"/>
              <w:jc w:val="left"/>
            </w:pPr>
            <w:r>
              <w:t xml:space="preserve">Consent and do-not-contact changes must take effect before the next contact: target 15 minutes end to end, through a dedicated topic or webhook</w:t>
            </w:r>
          </w:p>
        </w:tc>
      </w:tr>
      <w:tr>
        <w:trPr>
          <w:cantSplit/>
        </w:trPr>
        <w:tc>
          <w:tcPr>
            <w:tcW w:w="1950" w:type="dxa"/>
            <w:vAlign w:val="top"/>
          </w:tcPr>
          <w:p>
            <w:pPr>
              <w:pStyle w:val="TableText"/>
              <w:jc w:val="left"/>
            </w:pPr>
            <w:r>
              <w:t xml:space="preserve">Deletes</w:t>
            </w:r>
          </w:p>
        </w:tc>
        <w:tc>
          <w:tcPr>
            <w:tcW w:w="7077" w:type="dxa"/>
            <w:vAlign w:val="top"/>
          </w:tcPr>
          <w:p>
            <w:pPr>
              <w:pStyle w:val="TableText"/>
              <w:jc w:val="left"/>
            </w:pPr>
            <w:r>
              <w:t xml:space="preserve">Account closure or erasure at VETC anonymises the profile unless an active policy requires retention</w:t>
            </w:r>
          </w:p>
        </w:tc>
      </w:tr>
    </w:tbl>
    <w:p>
      <w:pPr>
        <w:pStyle w:val="BodyText"/>
        <w:spacing w:before="160"/>
      </w:pPr>
      <w:r>
        <w:t xml:space="preserve">The initial load of the full base runs once per environment, as the diagram shows.</w:t>
      </w:r>
    </w:p>
    <w:p xmlns:a="http://schemas.openxmlformats.org/drawingml/2006/main" xmlns:pic="http://schemas.openxmlformats.org/drawingml/2006/picture">
      <w:pPr>
        <w:pStyle w:val="Figure"/>
      </w:pPr>
      <w:r>
        <w:drawing>
          <wp:inline>
            <wp:extent cx="5727700" cy="3436620"/>
            <wp:effectExtent b="0" l="0" r="0" t="0"/>
            <wp:docPr descr="Initial load of the full VETC base, run once per environment" title="" id="5008" name="Picture"/>
            <a:graphic>
              <a:graphicData uri="http://schemas.openxmlformats.org/drawingml/2006/picture">
                <pic:pic>
                  <pic:nvPicPr>
                    <pic:cNvPr descr="/home/user/TASCO/tools/docs-source/gen/.cache/mermaid/5bcd2f4db63200a2.png" id="60" name="Picture"/>
                    <pic:cNvPicPr>
                      <a:picLocks noChangeArrowheads="1" noChangeAspect="1"/>
                    </pic:cNvPicPr>
                  </pic:nvPicPr>
                  <pic:blipFill>
                    <a:blip r:embed="rIdG7"/>
                    <a:stretch>
                      <a:fillRect/>
                    </a:stretch>
                  </pic:blipFill>
                  <pic:spPr bwMode="auto">
                    <a:xfrm>
                      <a:off x="0" y="0"/>
                      <a:ext cx="5727700" cy="3436620"/>
                    </a:xfrm>
                    <a:prstGeom prst="rect">
                      <a:avLst/>
                    </a:prstGeom>
                    <a:noFill/>
                    <a:ln w="9525">
                      <a:noFill/>
                      <a:headEnd/>
                      <a:tailEnd/>
                    </a:ln>
                  </pic:spPr>
                </pic:pic>
              </a:graphicData>
            </a:graphic>
          </wp:inline>
        </w:drawing>
      </w:r>
    </w:p>
    <w:p>
      <w:pPr>
        <w:pStyle w:val="Caption"/>
      </w:pPr>
      <w:r>
        <w:t xml:space="preserve">Figure 7 – Initial load of the full VETC base, run once per environment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40"/>
        <w:gridCol w:w="7587"/>
      </w:tblGrid>
      <w:tr>
        <w:trPr>
          <w:cantSplit/>
          <w:tblHeader/>
        </w:trPr>
        <w:tc>
          <w:tcPr>
            <w:tcW w:w="1440" w:type="dxa"/>
            <w:shd w:val="clear" w:color="auto" w:fill="0F4761"/>
            <w:vAlign w:val="center"/>
          </w:tcPr>
          <w:p>
            <w:pPr>
              <w:pStyle w:val="TableHeading"/>
              <w:jc w:val="left"/>
            </w:pPr>
            <w:r>
              <w:rPr>
                <w:color w:val="FFFFFF"/>
              </w:rPr>
              <w:t xml:space="preserve">Item</w:t>
            </w:r>
          </w:p>
        </w:tc>
        <w:tc>
          <w:tcPr>
            <w:tcW w:w="7587" w:type="dxa"/>
            <w:shd w:val="clear" w:color="auto" w:fill="0F4761"/>
            <w:vAlign w:val="center"/>
          </w:tcPr>
          <w:p>
            <w:pPr>
              <w:pStyle w:val="TableHeading"/>
              <w:jc w:val="left"/>
            </w:pPr>
            <w:r>
              <w:rPr>
                <w:color w:val="FFFFFF"/>
              </w:rPr>
              <w:t xml:space="preserve">Design</w:t>
            </w:r>
          </w:p>
        </w:tc>
      </w:tr>
      <w:tr>
        <w:trPr>
          <w:cantSplit/>
        </w:trPr>
        <w:tc>
          <w:tcPr>
            <w:tcW w:w="1440" w:type="dxa"/>
            <w:vAlign w:val="top"/>
          </w:tcPr>
          <w:p>
            <w:pPr>
              <w:pStyle w:val="TableText"/>
              <w:jc w:val="left"/>
            </w:pPr>
            <w:r>
              <w:t xml:space="preserve">Volume</w:t>
            </w:r>
          </w:p>
        </w:tc>
        <w:tc>
          <w:tcPr>
            <w:tcW w:w="7587" w:type="dxa"/>
            <w:vAlign w:val="top"/>
          </w:tcPr>
          <w:p>
            <w:pPr>
              <w:pStyle w:val="TableText"/>
              <w:jc w:val="left"/>
            </w:pPr>
            <w:r>
              <w:t xml:space="preserve">About 6 million VETC account records plus partner and telesales records, about 7.8 million source records in total</w:t>
            </w:r>
          </w:p>
        </w:tc>
      </w:tr>
      <w:tr>
        <w:trPr>
          <w:cantSplit/>
        </w:trPr>
        <w:tc>
          <w:tcPr>
            <w:tcW w:w="1440" w:type="dxa"/>
            <w:shd w:val="clear" w:color="auto" w:fill="F4F7FB"/>
            <w:vAlign w:val="top"/>
          </w:tcPr>
          <w:p>
            <w:pPr>
              <w:pStyle w:val="TableText"/>
              <w:jc w:val="left"/>
            </w:pPr>
            <w:r>
              <w:t xml:space="preserve">Format</w:t>
            </w:r>
          </w:p>
        </w:tc>
        <w:tc>
          <w:tcPr>
            <w:tcW w:w="7587" w:type="dxa"/>
            <w:shd w:val="clear" w:color="auto" w:fill="F4F7FB"/>
            <w:vAlign w:val="top"/>
          </w:tcPr>
          <w:p>
            <w:pPr>
              <w:pStyle w:val="TableText"/>
              <w:jc w:val="left"/>
            </w:pPr>
            <w:r>
              <w:t xml:space="preserve">Parquet preferred, or UTF-8 CSV with a header; manifest with row count, checksum and schema version; plates and phones sent raw</w:t>
            </w:r>
          </w:p>
        </w:tc>
      </w:tr>
      <w:tr>
        <w:trPr>
          <w:cantSplit/>
        </w:trPr>
        <w:tc>
          <w:tcPr>
            <w:tcW w:w="1440" w:type="dxa"/>
            <w:vAlign w:val="top"/>
          </w:tcPr>
          <w:p>
            <w:pPr>
              <w:pStyle w:val="TableText"/>
              <w:jc w:val="left"/>
            </w:pPr>
            <w:r>
              <w:t xml:space="preserve">Security</w:t>
            </w:r>
          </w:p>
        </w:tc>
        <w:tc>
          <w:tcPr>
            <w:tcW w:w="7587" w:type="dxa"/>
            <w:vAlign w:val="top"/>
          </w:tcPr>
          <w:p>
            <w:pPr>
              <w:pStyle w:val="TableText"/>
              <w:jc w:val="left"/>
            </w:pPr>
            <w:r>
              <w:t xml:space="preserve">PGP-encrypted files, landing bucket in Vietnam (to be confirmed by TASCO legal), files deleted seven days after a successful load</w:t>
            </w:r>
          </w:p>
        </w:tc>
      </w:tr>
      <w:tr>
        <w:trPr>
          <w:cantSplit/>
        </w:trPr>
        <w:tc>
          <w:tcPr>
            <w:tcW w:w="1440" w:type="dxa"/>
            <w:shd w:val="clear" w:color="auto" w:fill="F4F7FB"/>
            <w:vAlign w:val="top"/>
          </w:tcPr>
          <w:p>
            <w:pPr>
              <w:pStyle w:val="TableText"/>
              <w:jc w:val="left"/>
            </w:pPr>
            <w:r>
              <w:t xml:space="preserve">Validation</w:t>
            </w:r>
          </w:p>
        </w:tc>
        <w:tc>
          <w:tcPr>
            <w:tcW w:w="7587" w:type="dxa"/>
            <w:shd w:val="clear" w:color="auto" w:fill="F4F7FB"/>
            <w:vAlign w:val="top"/>
          </w:tcPr>
          <w:p>
            <w:pPr>
              <w:pStyle w:val="TableText"/>
              <w:jc w:val="left"/>
            </w:pPr>
            <w:r>
              <w:t xml:space="preserve">Row counts and checksum against the manifest; abort if more than 5% of plates are invalid</w:t>
            </w:r>
          </w:p>
        </w:tc>
      </w:tr>
      <w:tr>
        <w:trPr>
          <w:cantSplit/>
        </w:trPr>
        <w:tc>
          <w:tcPr>
            <w:tcW w:w="1440" w:type="dxa"/>
            <w:vAlign w:val="top"/>
          </w:tcPr>
          <w:p>
            <w:pPr>
              <w:pStyle w:val="TableText"/>
              <w:jc w:val="left"/>
            </w:pPr>
            <w:r>
              <w:t xml:space="preserve">Steady state</w:t>
            </w:r>
          </w:p>
        </w:tc>
        <w:tc>
          <w:tcPr>
            <w:tcW w:w="7587" w:type="dxa"/>
            <w:vAlign w:val="top"/>
          </w:tcPr>
          <w:p>
            <w:pPr>
              <w:pStyle w:val="TableText"/>
              <w:jc w:val="left"/>
            </w:pPr>
            <w:r>
              <w:t xml:space="preserve">CDC from VETC (preferred) into micro-batches of up to 5,000 records or 5 seconds; otherwise a nightly delta file between 00:00 and 05:00 ICT</w:t>
            </w:r>
          </w:p>
        </w:tc>
      </w:tr>
    </w:tbl>
    <w:p>
      <w:pPr>
        <w:pStyle w:val="Heading2"/>
      </w:pPr>
      <w:bookmarkStart w:id="29" w:name="_Toc300000025"/>
      <w:r>
        <w:t xml:space="preserve">Tag and ecosystem events</w:t>
      </w:r>
      <w:bookmarkEnd w:id="29"/>
    </w:p>
    <w:p>
      <w:pPr>
        <w:pStyle w:val="FirstParagraph"/>
      </w:pPr>
      <w:r>
        <w:t xml:space="preserve">VETC events trigger timely actions: a tag activation enrols a new vehicle; an inspection booking, a wallet top-up or a long trip near the expiry date prompts a message. Each event is matched against the trigger rules and passes the contact policy before any message is sent.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Event types</w:t>
            </w:r>
          </w:p>
        </w:tc>
        <w:tc>
          <w:tcPr>
            <w:tcW w:w="7077" w:type="dxa"/>
            <w:vAlign w:val="top"/>
          </w:tcPr>
          <w:p>
            <w:pPr>
              <w:pStyle w:val="TableText"/>
              <w:jc w:val="left"/>
            </w:pPr>
            <w:r>
              <w:rPr>
                <w:rStyle w:val="CodeChar"/>
              </w:rPr>
              <w:t xml:space="preserve">vetc.tag_activated</w:t>
            </w:r>
            <w:r>
              <w:t xml:space="preserve">,</w:t>
            </w:r>
            <w:r>
              <w:t xml:space="preserve"> </w:t>
            </w:r>
            <w:r>
              <w:rPr>
                <w:rStyle w:val="CodeChar"/>
              </w:rPr>
              <w:t xml:space="preserve">vetc.inspection_booked</w:t>
            </w:r>
            <w:r>
              <w:t xml:space="preserve">,</w:t>
            </w:r>
            <w:r>
              <w:t xml:space="preserve"> </w:t>
            </w:r>
            <w:r>
              <w:rPr>
                <w:rStyle w:val="CodeChar"/>
              </w:rPr>
              <w:t xml:space="preserve">vetc.wallet_topped_up</w:t>
            </w:r>
            <w:r>
              <w:t xml:space="preserve">,</w:t>
            </w:r>
            <w:r>
              <w:t xml:space="preserve"> </w:t>
            </w:r>
            <w:r>
              <w:rPr>
                <w:rStyle w:val="CodeChar"/>
              </w:rPr>
              <w:t xml:space="preserve">vetc.long_trip_started</w:t>
            </w:r>
          </w:p>
        </w:tc>
      </w:tr>
      <w:tr>
        <w:trPr>
          <w:cantSplit/>
        </w:trPr>
        <w:tc>
          <w:tcPr>
            <w:tcW w:w="1950" w:type="dxa"/>
            <w:shd w:val="clear" w:color="auto" w:fill="F4F7FB"/>
            <w:vAlign w:val="top"/>
          </w:tcPr>
          <w:p>
            <w:pPr>
              <w:pStyle w:val="TableText"/>
              <w:jc w:val="left"/>
            </w:pPr>
            <w:r>
              <w:t xml:space="preserve">Today</w:t>
            </w:r>
          </w:p>
        </w:tc>
        <w:tc>
          <w:tcPr>
            <w:tcW w:w="7077" w:type="dxa"/>
            <w:shd w:val="clear" w:color="auto" w:fill="F4F7FB"/>
            <w:vAlign w:val="top"/>
          </w:tcPr>
          <w:p>
            <w:pPr>
              <w:pStyle w:val="TableText"/>
              <w:jc w:val="left"/>
            </w:pPr>
            <w:r>
              <w:rPr>
                <w:rStyle w:val="CodeChar"/>
              </w:rPr>
              <w:t xml:space="preserve">POST /api/ecosystem/events</w:t>
            </w:r>
            <w:r>
              <w:t xml:space="preserve"> </w:t>
            </w:r>
            <w:r>
              <w:t xml:space="preserve">with a staff token holding the journeys permission</w:t>
            </w:r>
          </w:p>
        </w:tc>
      </w:tr>
      <w:tr>
        <w:trPr>
          <w:cantSplit/>
        </w:trPr>
        <w:tc>
          <w:tcPr>
            <w:tcW w:w="1950" w:type="dxa"/>
            <w:vAlign w:val="top"/>
          </w:tcPr>
          <w:p>
            <w:pPr>
              <w:pStyle w:val="TableText"/>
              <w:jc w:val="left"/>
            </w:pPr>
            <w:r>
              <w:t xml:space="preserve">Production transport</w:t>
            </w:r>
          </w:p>
        </w:tc>
        <w:tc>
          <w:tcPr>
            <w:tcW w:w="7077" w:type="dxa"/>
            <w:vAlign w:val="top"/>
          </w:tcPr>
          <w:p>
            <w:pPr>
              <w:pStyle w:val="TableText"/>
              <w:jc w:val="left"/>
            </w:pPr>
            <w:r>
              <w:t xml:space="preserve">Preferred: a topic consumed by a platform worker (at least once, committed after handling). Alternative: an HTTPS webhook with HMAC signature, a dedicated machine identity and a dedicated permission.</w:t>
            </w:r>
          </w:p>
        </w:tc>
      </w:tr>
      <w:tr>
        <w:trPr>
          <w:cantSplit/>
        </w:trPr>
        <w:tc>
          <w:tcPr>
            <w:tcW w:w="1950" w:type="dxa"/>
            <w:shd w:val="clear" w:color="auto" w:fill="F4F7FB"/>
            <w:vAlign w:val="top"/>
          </w:tcPr>
          <w:p>
            <w:pPr>
              <w:pStyle w:val="TableText"/>
              <w:jc w:val="left"/>
            </w:pPr>
            <w:r>
              <w:t xml:space="preserve">Idempotency</w:t>
            </w:r>
          </w:p>
        </w:tc>
        <w:tc>
          <w:tcPr>
            <w:tcW w:w="7077" w:type="dxa"/>
            <w:shd w:val="clear" w:color="auto" w:fill="F4F7FB"/>
            <w:vAlign w:val="top"/>
          </w:tcPr>
          <w:p>
            <w:pPr>
              <w:pStyle w:val="TableText"/>
              <w:jc w:val="left"/>
            </w:pPr>
            <w:r>
              <w:t xml:space="preserve">Each event carries a unique event id; processed ids are kept for seven days</w:t>
            </w:r>
          </w:p>
        </w:tc>
      </w:tr>
      <w:tr>
        <w:trPr>
          <w:cantSplit/>
        </w:trPr>
        <w:tc>
          <w:tcPr>
            <w:tcW w:w="1950" w:type="dxa"/>
            <w:vAlign w:val="top"/>
          </w:tcPr>
          <w:p>
            <w:pPr>
              <w:pStyle w:val="TableText"/>
              <w:jc w:val="left"/>
            </w:pPr>
            <w:r>
              <w:t xml:space="preserve">Volume</w:t>
            </w:r>
          </w:p>
        </w:tc>
        <w:tc>
          <w:tcPr>
            <w:tcW w:w="7077" w:type="dxa"/>
            <w:vAlign w:val="top"/>
          </w:tcPr>
          <w:p>
            <w:pPr>
              <w:pStyle w:val="TableText"/>
              <w:jc w:val="left"/>
            </w:pPr>
            <w:r>
              <w:t xml:space="preserve">Top-ups and trips can reach millions per day; VETC should pre-filter to vehicles near expiry or newly tagged</w:t>
            </w:r>
          </w:p>
        </w:tc>
      </w:tr>
    </w:tbl>
    <w:p>
      <w:pPr>
        <w:pStyle w:val="Heading2"/>
      </w:pPr>
      <w:bookmarkStart w:id="30" w:name="_Toc300000026"/>
      <w:r>
        <w:t xml:space="preserve">App web view and push</w:t>
      </w:r>
      <w:bookmarkEnd w:id="30"/>
    </w:p>
    <w:p>
      <w:pPr>
        <w:pStyle w:val="FirstParagraph"/>
      </w:pPr>
      <w:r>
        <w:t xml:space="preserve">The customer app runs inside the VETC app as a web view. Customers arrive through a signed renewal link that expires after 30 days (</w:t>
      </w:r>
      <w:r>
        <w:rPr>
          <w:rStyle w:val="CodeChar"/>
        </w:rPr>
        <w:t xml:space="preserve">LINK_TTL_DAYS</w:t>
      </w:r>
      <w:r>
        <w:t xml:space="preserve">) and receive a customer session of one hour. In the scale phase VETC app sign-on replaces the link: the VETC token is exchanged for a platform customer token bound to the VETC account id.</w:t>
      </w:r>
    </w:p>
    <w:p>
      <w:pPr>
        <w:pStyle w:val="BodyText"/>
      </w:pPr>
      <w:r>
        <w:t xml:space="preserve">Push notifications go through VETC’s push service, addressed by account, never by phone. The deep link in each push is the signed renewal link. If the VETC app embeds the customer app in an iframe rather than a top-level web view, the frame policy for the customer app must be relaxed for the VETC origins only.</w:t>
      </w:r>
    </w:p>
    <w:p>
      <w:pPr>
        <w:pStyle w:val="Heading2"/>
      </w:pPr>
      <w:bookmarkStart w:id="31" w:name="_Toc300000027"/>
      <w:r>
        <w:t xml:space="preserve">Wallet payment with saga refund</w:t>
      </w:r>
      <w:bookmarkEnd w:id="31"/>
    </w:p>
    <w:p>
      <w:pPr>
        <w:pStyle w:val="FirstParagraph"/>
      </w:pPr>
      <w:r>
        <w:t xml:space="preserve">Only the customer can trigger a wallet debit, from the customer app. Staff send quotes but never take payment, and partner sales never touch the wallet. The first sequence shows the payment; the second shows issuance and the compensation path when issuance fails after the money is taken.</w:t>
      </w:r>
    </w:p>
    <w:p xmlns:a="http://schemas.openxmlformats.org/drawingml/2006/main" xmlns:pic="http://schemas.openxmlformats.org/drawingml/2006/picture">
      <w:pPr>
        <w:pStyle w:val="Figure"/>
      </w:pPr>
      <w:r>
        <w:drawing>
          <wp:inline>
            <wp:extent cx="5079599" cy="6479999"/>
            <wp:effectExtent b="0" l="0" r="0" t="0"/>
            <wp:docPr descr="Wallet payment, part 1: idempotency checks and the wallet debit" title="" id="5009" name="Picture"/>
            <a:graphic>
              <a:graphicData uri="http://schemas.openxmlformats.org/drawingml/2006/picture">
                <pic:pic>
                  <pic:nvPicPr>
                    <pic:cNvPr descr="/home/user/TASCO/tools/docs-source/gen/.cache/mermaid/8adee8fa8f87a4fc.png" id="66" name="Picture"/>
                    <pic:cNvPicPr>
                      <a:picLocks noChangeArrowheads="1" noChangeAspect="1"/>
                    </pic:cNvPicPr>
                  </pic:nvPicPr>
                  <pic:blipFill>
                    <a:blip r:embed="rIdG8"/>
                    <a:stretch>
                      <a:fillRect/>
                    </a:stretch>
                  </pic:blipFill>
                  <pic:spPr bwMode="auto">
                    <a:xfrm>
                      <a:off x="0" y="0"/>
                      <a:ext cx="5079599" cy="6479999"/>
                    </a:xfrm>
                    <a:prstGeom prst="rect">
                      <a:avLst/>
                    </a:prstGeom>
                    <a:noFill/>
                    <a:ln w="9525">
                      <a:noFill/>
                      <a:headEnd/>
                      <a:tailEnd/>
                    </a:ln>
                  </pic:spPr>
                </pic:pic>
              </a:graphicData>
            </a:graphic>
          </wp:inline>
        </w:drawing>
      </w:r>
    </w:p>
    <w:p>
      <w:pPr>
        <w:pStyle w:val="Caption"/>
      </w:pPr>
      <w:r>
        <w:t xml:space="preserve">Figure 8 – Wallet payment, part 1: idempotency checks and the wallet debit</w:t>
      </w:r>
    </w:p>
    <w:p xmlns:a="http://schemas.openxmlformats.org/drawingml/2006/main" xmlns:pic="http://schemas.openxmlformats.org/drawingml/2006/picture">
      <w:pPr>
        <w:pStyle w:val="Figure"/>
      </w:pPr>
      <w:r>
        <w:drawing>
          <wp:inline>
            <wp:extent cx="5727700" cy="5550662"/>
            <wp:effectExtent b="0" l="0" r="0" t="0"/>
            <wp:docPr descr="Wallet payment, part 2: issuance, and the saga refund when issuance fails" title="" id="5010" name="Picture"/>
            <a:graphic>
              <a:graphicData uri="http://schemas.openxmlformats.org/drawingml/2006/picture">
                <pic:pic>
                  <pic:nvPicPr>
                    <pic:cNvPr descr="/home/user/TASCO/tools/docs-source/gen/.cache/mermaid/891d22ba5eb24e12.png" id="69" name="Picture"/>
                    <pic:cNvPicPr>
                      <a:picLocks noChangeArrowheads="1" noChangeAspect="1"/>
                    </pic:cNvPicPr>
                  </pic:nvPicPr>
                  <pic:blipFill>
                    <a:blip r:embed="rIdG9"/>
                    <a:stretch>
                      <a:fillRect/>
                    </a:stretch>
                  </pic:blipFill>
                  <pic:spPr bwMode="auto">
                    <a:xfrm>
                      <a:off x="0" y="0"/>
                      <a:ext cx="5727700" cy="5550662"/>
                    </a:xfrm>
                    <a:prstGeom prst="rect">
                      <a:avLst/>
                    </a:prstGeom>
                    <a:noFill/>
                    <a:ln w="9525">
                      <a:noFill/>
                      <a:headEnd/>
                      <a:tailEnd/>
                    </a:ln>
                  </pic:spPr>
                </pic:pic>
              </a:graphicData>
            </a:graphic>
          </wp:inline>
        </w:drawing>
      </w:r>
    </w:p>
    <w:p>
      <w:pPr>
        <w:pStyle w:val="Caption"/>
      </w:pPr>
      <w:r>
        <w:t xml:space="preserve">Figure 9 – Wallet payment, part 2: issuance, and the saga refund when issuance fails</w:t>
      </w:r>
    </w:p>
    <w:p>
      <w:pPr>
        <w:pStyle w:val="BodyText"/>
      </w:pPr>
      <w:r>
        <w:t xml:space="preserve">The quote is claimed with an optimistic version check before payment, so two purchases of the same quote cannot both debit the wallet; the second receives HTTP 409. If a refund or a cancellation fails, the order is set to</w:t>
      </w:r>
      <w:r>
        <w:t xml:space="preserve"> </w:t>
      </w:r>
      <w:r>
        <w:rPr>
          <w:rStyle w:val="CodeChar"/>
        </w:rPr>
        <w:t xml:space="preserve">compensation_failed</w:t>
      </w:r>
      <w:r>
        <w:t xml:space="preserve"> </w:t>
      </w:r>
      <w:r>
        <w:t xml:space="preserve">and the nightly reconciliation flags it for manual action. Automatic refund retry through the outbox is planned before go-live.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Debit</w:t>
            </w:r>
          </w:p>
        </w:tc>
        <w:tc>
          <w:tcPr>
            <w:tcW w:w="7077" w:type="dxa"/>
            <w:vAlign w:val="top"/>
          </w:tcPr>
          <w:p>
            <w:pPr>
              <w:pStyle w:val="TableText"/>
              <w:jc w:val="left"/>
            </w:pPr>
            <w:r>
              <w:rPr>
                <w:rStyle w:val="CodeChar"/>
              </w:rPr>
              <w:t xml:space="preserve">debit({ idempotencyKey, customerId, amount, description })</w:t>
            </w:r>
            <w:r>
              <w:t xml:space="preserve">. The wallet must return the original result for a repeated key, so a retry after a timeout is safe.</w:t>
            </w:r>
          </w:p>
        </w:tc>
      </w:tr>
      <w:tr>
        <w:trPr>
          <w:cantSplit/>
        </w:trPr>
        <w:tc>
          <w:tcPr>
            <w:tcW w:w="1950" w:type="dxa"/>
            <w:shd w:val="clear" w:color="auto" w:fill="F4F7FB"/>
            <w:vAlign w:val="top"/>
          </w:tcPr>
          <w:p>
            <w:pPr>
              <w:pStyle w:val="TableText"/>
              <w:jc w:val="left"/>
            </w:pPr>
            <w:r>
              <w:t xml:space="preserve">Refund</w:t>
            </w:r>
          </w:p>
        </w:tc>
        <w:tc>
          <w:tcPr>
            <w:tcW w:w="7077" w:type="dxa"/>
            <w:shd w:val="clear" w:color="auto" w:fill="F4F7FB"/>
            <w:vAlign w:val="top"/>
          </w:tcPr>
          <w:p>
            <w:pPr>
              <w:pStyle w:val="TableText"/>
              <w:jc w:val="left"/>
            </w:pPr>
            <w:r>
              <w:rPr>
                <w:rStyle w:val="CodeChar"/>
              </w:rPr>
              <w:t xml:space="preserve">refund({ transactionId, amount })</w:t>
            </w:r>
            <w:r>
              <w:t xml:space="preserve">, called only by the compensation step, through the same circuit breaker</w:t>
            </w:r>
          </w:p>
        </w:tc>
      </w:tr>
      <w:tr>
        <w:trPr>
          <w:cantSplit/>
        </w:trPr>
        <w:tc>
          <w:tcPr>
            <w:tcW w:w="1950" w:type="dxa"/>
            <w:vAlign w:val="top"/>
          </w:tcPr>
          <w:p>
            <w:pPr>
              <w:pStyle w:val="TableText"/>
              <w:jc w:val="left"/>
            </w:pPr>
            <w:r>
              <w:t xml:space="preserve">Customer identity</w:t>
            </w:r>
          </w:p>
        </w:tc>
        <w:tc>
          <w:tcPr>
            <w:tcW w:w="7077" w:type="dxa"/>
            <w:vAlign w:val="top"/>
          </w:tcPr>
          <w:p>
            <w:pPr>
              <w:pStyle w:val="TableText"/>
              <w:jc w:val="left"/>
            </w:pPr>
            <w:r>
              <w:t xml:space="preserve">Today the profile id; in production the VETC account id resolved from the golden record. The plate is not sent.</w:t>
            </w:r>
          </w:p>
        </w:tc>
      </w:tr>
      <w:tr>
        <w:trPr>
          <w:cantSplit/>
        </w:trPr>
        <w:tc>
          <w:tcPr>
            <w:tcW w:w="1950" w:type="dxa"/>
            <w:shd w:val="clear" w:color="auto" w:fill="F4F7FB"/>
            <w:vAlign w:val="top"/>
          </w:tcPr>
          <w:p>
            <w:pPr>
              <w:pStyle w:val="TableText"/>
              <w:jc w:val="left"/>
            </w:pPr>
            <w:r>
              <w:t xml:space="preserve">Customer confirmation</w:t>
            </w:r>
          </w:p>
        </w:tc>
        <w:tc>
          <w:tcPr>
            <w:tcW w:w="7077" w:type="dxa"/>
            <w:shd w:val="clear" w:color="auto" w:fill="F4F7FB"/>
            <w:vAlign w:val="top"/>
          </w:tcPr>
          <w:p>
            <w:pPr>
              <w:pStyle w:val="TableText"/>
              <w:jc w:val="left"/>
            </w:pPr>
            <w:r>
              <w:t xml:space="preserve">VETC should confirm the debit with the wallet holder (push, PIN or biometrics) under its payment rules. If confirmation is asynchronous, the adapter returns a pending status and completes through a signed webhook. To be agreed with VETC.</w:t>
            </w:r>
          </w:p>
        </w:tc>
      </w:tr>
      <w:tr>
        <w:trPr>
          <w:cantSplit/>
        </w:trPr>
        <w:tc>
          <w:tcPr>
            <w:tcW w:w="1950" w:type="dxa"/>
            <w:vAlign w:val="top"/>
          </w:tcPr>
          <w:p>
            <w:pPr>
              <w:pStyle w:val="TableText"/>
              <w:jc w:val="left"/>
            </w:pPr>
            <w:r>
              <w:t xml:space="preserve">Errors</w:t>
            </w:r>
          </w:p>
        </w:tc>
        <w:tc>
          <w:tcPr>
            <w:tcW w:w="7077" w:type="dxa"/>
            <w:vAlign w:val="top"/>
          </w:tcPr>
          <w:p>
            <w:pPr>
              <w:pStyle w:val="TableText"/>
              <w:jc w:val="left"/>
            </w:pPr>
            <w:r>
              <w:t xml:space="preserve">Insufficient balance or a blocked account (4xx) fails the payment without retry and releases the quote. Timeouts and 5xx are retried twice, then return 503.</w:t>
            </w:r>
          </w:p>
        </w:tc>
      </w:tr>
      <w:tr>
        <w:trPr>
          <w:cantSplit/>
        </w:trPr>
        <w:tc>
          <w:tcPr>
            <w:tcW w:w="1950" w:type="dxa"/>
            <w:shd w:val="clear" w:color="auto" w:fill="F4F7FB"/>
            <w:vAlign w:val="top"/>
          </w:tcPr>
          <w:p>
            <w:pPr>
              <w:pStyle w:val="TableText"/>
              <w:jc w:val="left"/>
            </w:pPr>
            <w:r>
              <w:t xml:space="preserve">Reconciliation</w:t>
            </w:r>
          </w:p>
        </w:tc>
        <w:tc>
          <w:tcPr>
            <w:tcW w:w="7077" w:type="dxa"/>
            <w:shd w:val="clear" w:color="auto" w:fill="F4F7FB"/>
            <w:vAlign w:val="top"/>
          </w:tcPr>
          <w:p>
            <w:pPr>
              <w:pStyle w:val="TableText"/>
              <w:jc w:val="left"/>
            </w:pPr>
            <w:r>
              <w:t xml:space="preserve">Nightly: completed orders without a payment reference or policy, orders pending for more than an hour, failed payments to confirm no capture, failed compensations. The daily wallet settlement file match is planned.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Messaging channels</w:t>
      </w:r>
      <w:bookmarkEnd w:id="32"/>
    </w:p>
    <w:p>
      <w:pPr>
        <w:pStyle w:val="Heading2"/>
      </w:pPr>
      <w:bookmarkStart w:id="33" w:name="_Toc300000029"/>
      <w:r>
        <w:t xml:space="preserve">Notification contract</w:t>
      </w:r>
      <w:bookmarkEnd w:id="33"/>
    </w:p>
    <w:p>
      <w:pPr>
        <w:pStyle w:val="FirstParagraph"/>
      </w:pPr>
      <w:r>
        <w:t xml:space="preserve">App push, Zalo ZNS and SMS share one port. The journey service is the only send path, used by journey steps, ecosystem triggers, quote sending, renewal links, purchase confirmations and claim acknowledgements.</w:t>
      </w:r>
    </w:p>
    <w:p>
      <w:pPr>
        <w:pStyle w:val="CodeBlock"/>
      </w:pPr>
      <w:r>
        <w:t xml:space="preserve">interface NotificationChannel {</w:t>
      </w:r>
      <w:r>
        <w:br/>
      </w:r>
      <w:r>
        <w:t xml:space="preserve">  name: 'app_push' | 'zalo_zns' | 'sms';</w:t>
      </w:r>
      <w:r>
        <w:br/>
      </w:r>
      <w:r>
        <w:t xml:space="preserve">  send(req: { to: string; text: string; templateKey: string; idempotencyKey: string })</w:t>
      </w:r>
      <w:r>
        <w:br/>
      </w:r>
      <w:r>
        <w:t xml:space="preserve">    : Promise&lt;{ providerMessageId: string; status: 'accepted' }&gt;;</w:t>
      </w:r>
      <w:r>
        <w:br/>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Checks before sending</w:t>
            </w:r>
          </w:p>
        </w:tc>
        <w:tc>
          <w:tcPr>
            <w:tcW w:w="7077" w:type="dxa"/>
            <w:vAlign w:val="top"/>
          </w:tcPr>
          <w:p>
            <w:pPr>
              <w:pStyle w:val="TableText"/>
              <w:jc w:val="left"/>
            </w:pPr>
            <w:r>
              <w:t xml:space="preserve">Reachable channel, do-not-contact, consent per channel and purpose, 08:00 to 20:00 window and daily and weekly caps for marketing, then template rendering and the copy guard. A message failing the copy guard is blocked and never sent.</w:t>
            </w:r>
          </w:p>
        </w:tc>
      </w:tr>
      <w:tr>
        <w:trPr>
          <w:cantSplit/>
        </w:trPr>
        <w:tc>
          <w:tcPr>
            <w:tcW w:w="1950" w:type="dxa"/>
            <w:shd w:val="clear" w:color="auto" w:fill="F4F7FB"/>
            <w:vAlign w:val="top"/>
          </w:tcPr>
          <w:p>
            <w:pPr>
              <w:pStyle w:val="TableText"/>
              <w:jc w:val="left"/>
            </w:pPr>
            <w:r>
              <w:t xml:space="preserve">Fallback</w:t>
            </w:r>
          </w:p>
        </w:tc>
        <w:tc>
          <w:tcPr>
            <w:tcW w:w="7077" w:type="dxa"/>
            <w:shd w:val="clear" w:color="auto" w:fill="F4F7FB"/>
            <w:vAlign w:val="top"/>
          </w:tcPr>
          <w:p>
            <w:pPr>
              <w:pStyle w:val="TableText"/>
              <w:jc w:val="left"/>
            </w:pPr>
            <w:r>
              <w:t xml:space="preserve">A step lists channels in priority order; the first accepted send wins, and a failure tries the next channel</w:t>
            </w:r>
          </w:p>
        </w:tc>
      </w:tr>
      <w:tr>
        <w:trPr>
          <w:cantSplit/>
        </w:trPr>
        <w:tc>
          <w:tcPr>
            <w:tcW w:w="1950" w:type="dxa"/>
            <w:vAlign w:val="top"/>
          </w:tcPr>
          <w:p>
            <w:pPr>
              <w:pStyle w:val="TableText"/>
              <w:jc w:val="left"/>
            </w:pPr>
            <w:r>
              <w:t xml:space="preserve">Idempotency</w:t>
            </w:r>
          </w:p>
        </w:tc>
        <w:tc>
          <w:tcPr>
            <w:tcW w:w="7077" w:type="dxa"/>
            <w:vAlign w:val="top"/>
          </w:tcPr>
          <w:p>
            <w:pPr>
              <w:pStyle w:val="TableText"/>
              <w:jc w:val="left"/>
            </w:pPr>
            <w:r>
              <w:t xml:space="preserve">The message id is the idempotency key, mapped to each provider’s de-duplication field</w:t>
            </w:r>
          </w:p>
        </w:tc>
      </w:tr>
      <w:tr>
        <w:trPr>
          <w:cantSplit/>
        </w:trPr>
        <w:tc>
          <w:tcPr>
            <w:tcW w:w="1950" w:type="dxa"/>
            <w:shd w:val="clear" w:color="auto" w:fill="F4F7FB"/>
            <w:vAlign w:val="top"/>
          </w:tcPr>
          <w:p>
            <w:pPr>
              <w:pStyle w:val="TableText"/>
              <w:jc w:val="left"/>
            </w:pPr>
            <w:r>
              <w:t xml:space="preserve">Delivery receipts</w:t>
            </w:r>
          </w:p>
        </w:tc>
        <w:tc>
          <w:tcPr>
            <w:tcW w:w="7077" w:type="dxa"/>
            <w:shd w:val="clear" w:color="auto" w:fill="F4F7FB"/>
            <w:vAlign w:val="top"/>
          </w:tcPr>
          <w:p>
            <w:pPr>
              <w:pStyle w:val="TableText"/>
              <w:jc w:val="left"/>
            </w:pPr>
            <w:r>
              <w:t xml:space="preserve">Planned: signed provider webhooks update the message status. Today the status reflects provider acceptance.</w:t>
            </w:r>
          </w:p>
        </w:tc>
      </w:tr>
      <w:tr>
        <w:trPr>
          <w:cantSplit/>
        </w:trPr>
        <w:tc>
          <w:tcPr>
            <w:tcW w:w="1950" w:type="dxa"/>
            <w:vAlign w:val="top"/>
          </w:tcPr>
          <w:p>
            <w:pPr>
              <w:pStyle w:val="TableText"/>
              <w:jc w:val="left"/>
            </w:pPr>
            <w:r>
              <w:t xml:space="preserve">Address</w:t>
            </w:r>
          </w:p>
        </w:tc>
        <w:tc>
          <w:tcPr>
            <w:tcW w:w="7077" w:type="dxa"/>
            <w:vAlign w:val="top"/>
          </w:tcPr>
          <w:p>
            <w:pPr>
              <w:pStyle w:val="TableText"/>
              <w:jc w:val="left"/>
            </w:pPr>
            <w:r>
              <w:t xml:space="preserve">Push uses the VETC account; Zalo and SMS use the phone number</w:t>
            </w:r>
          </w:p>
        </w:tc>
      </w:tr>
    </w:tbl>
    <w:p>
      <w:pPr>
        <w:pStyle w:val="Heading2"/>
      </w:pPr>
      <w:bookmarkStart w:id="34" w:name="_Toc300000030"/>
      <w:r>
        <w:t xml:space="preserve">Zalo ZNS template governance</w:t>
      </w:r>
      <w:bookmarkEnd w:id="34"/>
    </w:p>
    <w:p>
      <w:pPr>
        <w:pStyle w:val="FirstParagraph"/>
      </w:pPr>
      <w:r>
        <w:t xml:space="preserve">Zalo ZNS sends only pre-approved templates with typed parameters, through TASCO’s Official Account</w:t>
      </w:r>
      <w:r>
        <w:t xml:space="preserve"> </w:t>
      </w:r>
      <w:r>
        <w:t xml:space="preserve">“</w:t>
      </w:r>
      <w:r>
        <w:t xml:space="preserve">Bảo hiểm Tasco</w:t>
      </w:r>
      <w:r>
        <w:t xml:space="preserve">”</w:t>
      </w:r>
      <w:r>
        <w:t xml:space="preserve">. The production adapter therefore sends a template id and parameters, never free text; the sandbox accepts free text, which is not how ZNS works. The flow below keeps the platform’s wording and Zalo’s templates in step.</w:t>
      </w:r>
    </w:p>
    <w:p xmlns:a="http://schemas.openxmlformats.org/drawingml/2006/main" xmlns:pic="http://schemas.openxmlformats.org/drawingml/2006/picture">
      <w:pPr>
        <w:pStyle w:val="Figure"/>
      </w:pPr>
      <w:r>
        <w:drawing>
          <wp:inline>
            <wp:extent cx="5072399" cy="6479999"/>
            <wp:effectExtent b="0" l="0" r="0" t="0"/>
            <wp:docPr descr="Zalo ZNS template governance, from draft wording to delivery monitoring" title="" id="5011" name="Picture"/>
            <a:graphic>
              <a:graphicData uri="http://schemas.openxmlformats.org/drawingml/2006/picture">
                <pic:pic>
                  <pic:nvPicPr>
                    <pic:cNvPr descr="/home/user/TASCO/tools/docs-source/gen/.cache/mermaid/49c34c2d97847575.png" id="75" name="Picture"/>
                    <pic:cNvPicPr>
                      <a:picLocks noChangeArrowheads="1" noChangeAspect="1"/>
                    </pic:cNvPicPr>
                  </pic:nvPicPr>
                  <pic:blipFill>
                    <a:blip r:embed="rIdG10"/>
                    <a:stretch>
                      <a:fillRect/>
                    </a:stretch>
                  </pic:blipFill>
                  <pic:spPr bwMode="auto">
                    <a:xfrm>
                      <a:off x="0" y="0"/>
                      <a:ext cx="5072399" cy="6479999"/>
                    </a:xfrm>
                    <a:prstGeom prst="rect">
                      <a:avLst/>
                    </a:prstGeom>
                    <a:noFill/>
                    <a:ln w="9525">
                      <a:noFill/>
                      <a:headEnd/>
                      <a:tailEnd/>
                    </a:ln>
                  </pic:spPr>
                </pic:pic>
              </a:graphicData>
            </a:graphic>
          </wp:inline>
        </w:drawing>
      </w:r>
    </w:p>
    <w:p>
      <w:pPr>
        <w:pStyle w:val="Caption"/>
      </w:pPr>
      <w:r>
        <w:t xml:space="preserve">Figure 10 – Zalo ZNS template governance, from draft wording to delivery monitoring</w:t>
      </w:r>
    </w:p>
    <w:p>
      <w:pPr>
        <w:pStyle w:val="BodyText"/>
      </w:pPr>
      <w:r>
        <w:t xml:space="preserve">The message content rule set holds the canonical wording, and the Zalo template must match it word for word apart from parameters. The mapping from template key to Zalo template id is itself configuration under maker-checker, and a key without an approved mapping is rejected by the production adapter. A wording change needs a new rule version and a new Zalo template; the old mapping stays until the new template is approved. Service messages (purchase confirmation, quote ready, claim received) are distinct from promotional ones, and the journey’s marketing flag must match the Zalo template class. Zalo’s template rules, quotas and pricing change from time to time and must be confirmed with Zalo and TASCO legal before go-live.</w:t>
      </w:r>
    </w:p>
    <w:p>
      <w:pPr>
        <w:pStyle w:val="Heading2"/>
      </w:pPr>
      <w:bookmarkStart w:id="35" w:name="_Toc300000031"/>
      <w:r>
        <w:t xml:space="preserve">SMS</w:t>
      </w:r>
      <w:bookmarkEnd w:id="35"/>
    </w:p>
    <w:p>
      <w:pPr>
        <w:pStyle w:val="FirstParagraph"/>
      </w:pPr>
      <w:r>
        <w:t xml:space="preserve">Messages go out under a registered brandname through an SMS aggregator; today’s templates are sent in VETC’s name as the owner of the customer relationship, and the sender name is confirmed with the consent basis in discovery. They follow the anti-spam and advertising rules of Decree 91/2020/ND-CP (to be confirmed by TASCO legal). Vietnamese diacritics force UCS-2 encoding at 70 characters per segment, so templates are checked for segment count before approval.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Voice AI vendor</w:t>
      </w:r>
      <w:bookmarkEnd w:id="36"/>
    </w:p>
    <w:p>
      <w:pPr>
        <w:pStyle w:val="FirstParagraph"/>
      </w:pPr>
      <w:r>
        <w:t xml:space="preserve">The platform keeps the dialogue policy: which line to say next and what each answer means. The vendor provides dialling, speech recognition, text to speech of the exact approved lines and call recording. TGP-ARC-06 AI Governance covers the governance of the script and the dialogue.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Port</w:t>
            </w:r>
          </w:p>
        </w:tc>
        <w:tc>
          <w:tcPr>
            <w:tcW w:w="7077" w:type="dxa"/>
            <w:vAlign w:val="top"/>
          </w:tcPr>
          <w:p>
            <w:pPr>
              <w:pStyle w:val="TableText"/>
              <w:jc w:val="left"/>
            </w:pPr>
            <w:r>
              <w:rPr>
                <w:rStyle w:val="CodeChar"/>
              </w:rPr>
              <w:t xml:space="preserve">runCall(dialogue, session, plateDisplay)</w:t>
            </w:r>
            <w:r>
              <w:t xml:space="preserve">: the vendor streams recognised text turns into the dialogue and speaks the returned lines until the session ends</w:t>
            </w:r>
          </w:p>
        </w:tc>
      </w:tr>
      <w:tr>
        <w:trPr>
          <w:cantSplit/>
        </w:trPr>
        <w:tc>
          <w:tcPr>
            <w:tcW w:w="1950" w:type="dxa"/>
            <w:shd w:val="clear" w:color="auto" w:fill="F4F7FB"/>
            <w:vAlign w:val="top"/>
          </w:tcPr>
          <w:p>
            <w:pPr>
              <w:pStyle w:val="TableText"/>
              <w:jc w:val="left"/>
            </w:pPr>
            <w:r>
              <w:t xml:space="preserve">Callers</w:t>
            </w:r>
          </w:p>
        </w:tc>
        <w:tc>
          <w:tcPr>
            <w:tcW w:w="7077" w:type="dxa"/>
            <w:shd w:val="clear" w:color="auto" w:fill="F4F7FB"/>
            <w:vAlign w:val="top"/>
          </w:tcPr>
          <w:p>
            <w:pPr>
              <w:pStyle w:val="TableText"/>
              <w:jc w:val="left"/>
            </w:pPr>
            <w:r>
              <w:t xml:space="preserve">Journey voice steps and voice campaigns, each checked against the contact policy; company-owned vehicles are skipped and routed to B2B</w:t>
            </w:r>
          </w:p>
        </w:tc>
      </w:tr>
      <w:tr>
        <w:trPr>
          <w:cantSplit/>
        </w:trPr>
        <w:tc>
          <w:tcPr>
            <w:tcW w:w="1950" w:type="dxa"/>
            <w:vAlign w:val="top"/>
          </w:tcPr>
          <w:p>
            <w:pPr>
              <w:pStyle w:val="TableText"/>
              <w:jc w:val="left"/>
            </w:pPr>
            <w:r>
              <w:t xml:space="preserve">Production shape</w:t>
            </w:r>
          </w:p>
        </w:tc>
        <w:tc>
          <w:tcPr>
            <w:tcW w:w="7077" w:type="dxa"/>
            <w:vAlign w:val="top"/>
          </w:tcPr>
          <w:p>
            <w:pPr>
              <w:pStyle w:val="TableText"/>
              <w:jc w:val="left"/>
            </w:pPr>
            <w:r>
              <w:t xml:space="preserve">Streaming session (WebSocket or gRPC); per-turn timeout plus an overall call cap of about four minutes; the call result returns through a webhook</w:t>
            </w:r>
          </w:p>
        </w:tc>
      </w:tr>
      <w:tr>
        <w:trPr>
          <w:cantSplit/>
        </w:trPr>
        <w:tc>
          <w:tcPr>
            <w:tcW w:w="1950" w:type="dxa"/>
            <w:shd w:val="clear" w:color="auto" w:fill="F4F7FB"/>
            <w:vAlign w:val="top"/>
          </w:tcPr>
          <w:p>
            <w:pPr>
              <w:pStyle w:val="TableText"/>
              <w:jc w:val="left"/>
            </w:pPr>
            <w:r>
              <w:t xml:space="preserve">Data sent</w:t>
            </w:r>
          </w:p>
        </w:tc>
        <w:tc>
          <w:tcPr>
            <w:tcW w:w="7077" w:type="dxa"/>
            <w:shd w:val="clear" w:color="auto" w:fill="F4F7FB"/>
            <w:vAlign w:val="top"/>
          </w:tcPr>
          <w:p>
            <w:pPr>
              <w:pStyle w:val="TableText"/>
              <w:jc w:val="left"/>
            </w:pPr>
            <w:r>
              <w:t xml:space="preserve">Phone number to dial and the approved line text. The bot speaks a masked plate and never reads out the customer’s data.</w:t>
            </w:r>
          </w:p>
        </w:tc>
      </w:tr>
      <w:tr>
        <w:trPr>
          <w:cantSplit/>
        </w:trPr>
        <w:tc>
          <w:tcPr>
            <w:tcW w:w="1950" w:type="dxa"/>
            <w:vAlign w:val="top"/>
          </w:tcPr>
          <w:p>
            <w:pPr>
              <w:pStyle w:val="TableText"/>
              <w:jc w:val="left"/>
            </w:pPr>
            <w:r>
              <w:t xml:space="preserve">Recording</w:t>
            </w:r>
          </w:p>
        </w:tc>
        <w:tc>
          <w:tcPr>
            <w:tcW w:w="7077" w:type="dxa"/>
            <w:vAlign w:val="top"/>
          </w:tcPr>
          <w:p>
            <w:pPr>
              <w:pStyle w:val="TableText"/>
              <w:jc w:val="left"/>
            </w:pPr>
            <w:r>
              <w:t xml:space="preserve">Vendor recordings need a DPA, storage in Vietnam, deletion after 180 days and deletion on DSAR. Disclosure wording to be confirmed by TASCO legal.</w:t>
            </w:r>
          </w:p>
        </w:tc>
      </w:tr>
      <w:tr>
        <w:trPr>
          <w:cantSplit/>
        </w:trPr>
        <w:tc>
          <w:tcPr>
            <w:tcW w:w="1950" w:type="dxa"/>
            <w:shd w:val="clear" w:color="auto" w:fill="F4F7FB"/>
            <w:vAlign w:val="top"/>
          </w:tcPr>
          <w:p>
            <w:pPr>
              <w:pStyle w:val="TableText"/>
              <w:jc w:val="left"/>
            </w:pPr>
            <w:r>
              <w:t xml:space="preserve">Caller id</w:t>
            </w:r>
          </w:p>
        </w:tc>
        <w:tc>
          <w:tcPr>
            <w:tcW w:w="7077" w:type="dxa"/>
            <w:shd w:val="clear" w:color="auto" w:fill="F4F7FB"/>
            <w:vAlign w:val="top"/>
          </w:tcPr>
          <w:p>
            <w:pPr>
              <w:pStyle w:val="TableText"/>
              <w:jc w:val="left"/>
            </w:pPr>
            <w:r>
              <w:t xml:space="preserve">A registered official number only. The approved script currently introduces the assistant as VETC’s; the caller identity is agreed with TASCO and VETC before go-live.</w:t>
            </w:r>
          </w:p>
        </w:tc>
      </w:tr>
      <w:tr>
        <w:trPr>
          <w:cantSplit/>
        </w:trPr>
        <w:tc>
          <w:tcPr>
            <w:tcW w:w="1950" w:type="dxa"/>
            <w:vAlign w:val="top"/>
          </w:tcPr>
          <w:p>
            <w:pPr>
              <w:pStyle w:val="TableText"/>
              <w:jc w:val="left"/>
            </w:pPr>
            <w:r>
              <w:t xml:space="preserve">Sandbox</w:t>
            </w:r>
          </w:p>
        </w:tc>
        <w:tc>
          <w:tcPr>
            <w:tcW w:w="7077" w:type="dxa"/>
            <w:vAlign w:val="top"/>
          </w:tcPr>
          <w:p>
            <w:pPr>
              <w:pStyle w:val="TableText"/>
              <w:jc w:val="left"/>
            </w:pPr>
            <w:r>
              <w:t xml:space="preserve">Simulated caller with weighted personas (eager, self-serve, price shopper, sceptic, already renewed, busy, opt-out, wrong plate)</w:t>
            </w:r>
          </w:p>
        </w:tc>
      </w:tr>
    </w:tbl>
    <w:p>
      <w:pPr>
        <w:pStyle w:val="Heading2"/>
      </w:pPr>
      <w:bookmarkStart w:id="37" w:name="_Toc300000033"/>
      <w:r>
        <w:t xml:space="preserve">Voice handoff sequence</w:t>
      </w:r>
      <w:bookmarkEnd w:id="37"/>
    </w:p>
    <w:p>
      <w:pPr>
        <w:pStyle w:val="FirstParagraph"/>
      </w:pPr>
      <w:r>
        <w:t xml:space="preserve">The first sequence shows an automated renewal call up to the offer; the second shows the handoff to a person and the other call outcomes.</w:t>
      </w:r>
    </w:p>
    <w:p xmlns:a="http://schemas.openxmlformats.org/drawingml/2006/main" xmlns:pic="http://schemas.openxmlformats.org/drawingml/2006/picture">
      <w:pPr>
        <w:pStyle w:val="Figure"/>
      </w:pPr>
      <w:r>
        <w:drawing>
          <wp:inline>
            <wp:extent cx="5727700" cy="4512733"/>
            <wp:effectExtent b="0" l="0" r="0" t="0"/>
            <wp:docPr descr="Voice call, part 1: from the approved script to the offer" title="" id="5012" name="Picture"/>
            <a:graphic>
              <a:graphicData uri="http://schemas.openxmlformats.org/drawingml/2006/picture">
                <pic:pic>
                  <pic:nvPicPr>
                    <pic:cNvPr descr="/home/user/TASCO/tools/docs-source/gen/.cache/mermaid/6a6b23114e2534b2.png" id="81" name="Picture"/>
                    <pic:cNvPicPr>
                      <a:picLocks noChangeArrowheads="1" noChangeAspect="1"/>
                    </pic:cNvPicPr>
                  </pic:nvPicPr>
                  <pic:blipFill>
                    <a:blip r:embed="rIdG11"/>
                    <a:stretch>
                      <a:fillRect/>
                    </a:stretch>
                  </pic:blipFill>
                  <pic:spPr bwMode="auto">
                    <a:xfrm>
                      <a:off x="0" y="0"/>
                      <a:ext cx="5727700" cy="4512733"/>
                    </a:xfrm>
                    <a:prstGeom prst="rect">
                      <a:avLst/>
                    </a:prstGeom>
                    <a:noFill/>
                    <a:ln w="9525">
                      <a:noFill/>
                      <a:headEnd/>
                      <a:tailEnd/>
                    </a:ln>
                  </pic:spPr>
                </pic:pic>
              </a:graphicData>
            </a:graphic>
          </wp:inline>
        </w:drawing>
      </w:r>
    </w:p>
    <w:p>
      <w:pPr>
        <w:pStyle w:val="Caption"/>
      </w:pPr>
      <w:r>
        <w:t xml:space="preserve">Figure 11 – Voice call, part 1: from the approved script to the offer</w:t>
      </w:r>
    </w:p>
    <w:p xmlns:a="http://schemas.openxmlformats.org/drawingml/2006/main" xmlns:pic="http://schemas.openxmlformats.org/drawingml/2006/picture">
      <w:pPr>
        <w:pStyle w:val="Figure"/>
      </w:pPr>
      <w:r>
        <w:drawing>
          <wp:inline>
            <wp:extent cx="4831199" cy="6479999"/>
            <wp:effectExtent b="0" l="0" r="0" t="0"/>
            <wp:docPr descr="Voice call, part 2: handoff to telesales and the other call outcomes" title="" id="5013" name="Picture"/>
            <a:graphic>
              <a:graphicData uri="http://schemas.openxmlformats.org/drawingml/2006/picture">
                <pic:pic>
                  <pic:nvPicPr>
                    <pic:cNvPr descr="/home/user/TASCO/tools/docs-source/gen/.cache/mermaid/4a02c3d151150700.png" id="84" name="Picture"/>
                    <pic:cNvPicPr>
                      <a:picLocks noChangeArrowheads="1" noChangeAspect="1"/>
                    </pic:cNvPicPr>
                  </pic:nvPicPr>
                  <pic:blipFill>
                    <a:blip r:embed="rIdG12"/>
                    <a:stretch>
                      <a:fillRect/>
                    </a:stretch>
                  </pic:blipFill>
                  <pic:spPr bwMode="auto">
                    <a:xfrm>
                      <a:off x="0" y="0"/>
                      <a:ext cx="4831199" cy="6479999"/>
                    </a:xfrm>
                    <a:prstGeom prst="rect">
                      <a:avLst/>
                    </a:prstGeom>
                    <a:noFill/>
                    <a:ln w="9525">
                      <a:noFill/>
                      <a:headEnd/>
                      <a:tailEnd/>
                    </a:ln>
                  </pic:spPr>
                </pic:pic>
              </a:graphicData>
            </a:graphic>
          </wp:inline>
        </w:drawing>
      </w:r>
    </w:p>
    <w:p>
      <w:pPr>
        <w:pStyle w:val="Caption"/>
      </w:pPr>
      <w:r>
        <w:t xml:space="preserve">Figure 12 – Voice call, part 2: handoff to telesales and the other call outcomes</w:t>
      </w:r>
    </w:p>
    <w:p>
      <w:pPr>
        <w:pStyle w:val="BodyText"/>
      </w:pPr>
      <w:r>
        <w:t xml:space="preserve">A handoff carries only what the agent needs: a masked phone, the plate the customer confirmed, the expiry date, the premium and talking points. Agents see handoffs in their own region, and an agent sees only handoffs assigned to them or unassigned. The handoff event has no subscriber yet; a dialler or CTI queue is the target. The customer then pays in the app as shown in section 5.</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Partners</w:t>
      </w:r>
      <w:bookmarkEnd w:id="38"/>
    </w:p>
    <w:p>
      <w:pPr>
        <w:pStyle w:val="FirstParagraph"/>
      </w:pPr>
      <w:r>
        <w:t xml:space="preserve">Banks, showrooms, agents, fleets and inspection centres sell TASCO cover through the Partner API. The partner collects the premium from its customer and remits it to TASCO under the partner agreement; the platform records the sale and computes commission. TGP-MAN-03 Partner API Integration Guide is the developer guide.</w:t>
      </w:r>
    </w:p>
    <w:p xmlns:a="http://schemas.openxmlformats.org/drawingml/2006/main" xmlns:pic="http://schemas.openxmlformats.org/drawingml/2006/picture">
      <w:pPr>
        <w:pStyle w:val="Figure"/>
      </w:pPr>
      <w:r>
        <w:drawing>
          <wp:inline>
            <wp:extent cx="5727700" cy="6060947"/>
            <wp:effectExtent b="0" l="0" r="0" t="0"/>
            <wp:docPr descr="Partner API, part 1: quote" title="" id="5014" name="Picture"/>
            <a:graphic>
              <a:graphicData uri="http://schemas.openxmlformats.org/drawingml/2006/picture">
                <pic:pic>
                  <pic:nvPicPr>
                    <pic:cNvPr descr="/home/user/TASCO/tools/docs-source/gen/.cache/mermaid/930f3da1c4ebac72.png" id="89" name="Picture"/>
                    <pic:cNvPicPr>
                      <a:picLocks noChangeArrowheads="1" noChangeAspect="1"/>
                    </pic:cNvPicPr>
                  </pic:nvPicPr>
                  <pic:blipFill>
                    <a:blip r:embed="rIdG13"/>
                    <a:stretch>
                      <a:fillRect/>
                    </a:stretch>
                  </pic:blipFill>
                  <pic:spPr bwMode="auto">
                    <a:xfrm>
                      <a:off x="0" y="0"/>
                      <a:ext cx="5727700" cy="6060947"/>
                    </a:xfrm>
                    <a:prstGeom prst="rect">
                      <a:avLst/>
                    </a:prstGeom>
                    <a:noFill/>
                    <a:ln w="9525">
                      <a:noFill/>
                      <a:headEnd/>
                      <a:tailEnd/>
                    </a:ln>
                  </pic:spPr>
                </pic:pic>
              </a:graphicData>
            </a:graphic>
          </wp:inline>
        </w:drawing>
      </w:r>
    </w:p>
    <w:p>
      <w:pPr>
        <w:pStyle w:val="Caption"/>
      </w:pPr>
      <w:r>
        <w:t xml:space="preserve">Figure 13 – Partner API, part 1: quote</w:t>
      </w:r>
    </w:p>
    <w:p xmlns:a="http://schemas.openxmlformats.org/drawingml/2006/main" xmlns:pic="http://schemas.openxmlformats.org/drawingml/2006/picture">
      <w:pPr>
        <w:pStyle w:val="Figure"/>
      </w:pPr>
      <w:r>
        <w:drawing>
          <wp:inline>
            <wp:extent cx="5727700" cy="4571746"/>
            <wp:effectExtent b="0" l="0" r="0" t="0"/>
            <wp:docPr descr="Partner API, part 2: order, issuance and commission" title="" id="5015" name="Picture"/>
            <a:graphic>
              <a:graphicData uri="http://schemas.openxmlformats.org/drawingml/2006/picture">
                <pic:pic>
                  <pic:nvPicPr>
                    <pic:cNvPr descr="/home/user/TASCO/tools/docs-source/gen/.cache/mermaid/690b25e979469bad.png" id="92" name="Picture"/>
                    <pic:cNvPicPr>
                      <a:picLocks noChangeArrowheads="1" noChangeAspect="1"/>
                    </pic:cNvPicPr>
                  </pic:nvPicPr>
                  <pic:blipFill>
                    <a:blip r:embed="rIdG14"/>
                    <a:stretch>
                      <a:fillRect/>
                    </a:stretch>
                  </pic:blipFill>
                  <pic:spPr bwMode="auto">
                    <a:xfrm>
                      <a:off x="0" y="0"/>
                      <a:ext cx="5727700" cy="4571746"/>
                    </a:xfrm>
                    <a:prstGeom prst="rect">
                      <a:avLst/>
                    </a:prstGeom>
                    <a:noFill/>
                    <a:ln w="9525">
                      <a:noFill/>
                      <a:headEnd/>
                      <a:tailEnd/>
                    </a:ln>
                  </pic:spPr>
                </pic:pic>
              </a:graphicData>
            </a:graphic>
          </wp:inline>
        </w:drawing>
      </w:r>
    </w:p>
    <w:p>
      <w:pPr>
        <w:pStyle w:val="Caption"/>
      </w:pPr>
      <w:r>
        <w:t xml:space="preserve">Figure 14 – Partner API, part 2: order, issuance and commission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7077"/>
      </w:tblGrid>
      <w:tr>
        <w:trPr>
          <w:cantSplit/>
          <w:tblHeader/>
        </w:trPr>
        <w:tc>
          <w:tcPr>
            <w:tcW w:w="1950" w:type="dxa"/>
            <w:shd w:val="clear" w:color="auto" w:fill="0F4761"/>
            <w:vAlign w:val="center"/>
          </w:tcPr>
          <w:p>
            <w:pPr>
              <w:pStyle w:val="TableHeading"/>
              <w:jc w:val="left"/>
            </w:pPr>
            <w:r>
              <w:rPr>
                <w:color w:val="FFFFFF"/>
              </w:rPr>
              <w:t xml:space="preserve">Aspect</w:t>
            </w:r>
          </w:p>
        </w:tc>
        <w:tc>
          <w:tcPr>
            <w:tcW w:w="7077" w:type="dxa"/>
            <w:shd w:val="clear" w:color="auto" w:fill="0F4761"/>
            <w:vAlign w:val="center"/>
          </w:tcPr>
          <w:p>
            <w:pPr>
              <w:pStyle w:val="TableHeading"/>
              <w:jc w:val="left"/>
            </w:pPr>
            <w:r>
              <w:rPr>
                <w:color w:val="FFFFFF"/>
              </w:rPr>
              <w:t xml:space="preserve">Contract</w:t>
            </w:r>
          </w:p>
        </w:tc>
      </w:tr>
      <w:tr>
        <w:trPr>
          <w:cantSplit/>
        </w:trPr>
        <w:tc>
          <w:tcPr>
            <w:tcW w:w="1950" w:type="dxa"/>
            <w:vAlign w:val="top"/>
          </w:tcPr>
          <w:p>
            <w:pPr>
              <w:pStyle w:val="TableText"/>
              <w:jc w:val="left"/>
            </w:pPr>
            <w:r>
              <w:t xml:space="preserve">Base path</w:t>
            </w:r>
          </w:p>
        </w:tc>
        <w:tc>
          <w:tcPr>
            <w:tcW w:w="7077" w:type="dxa"/>
            <w:vAlign w:val="top"/>
          </w:tcPr>
          <w:p>
            <w:pPr>
              <w:pStyle w:val="TableText"/>
              <w:jc w:val="left"/>
            </w:pPr>
            <w:r>
              <w:rPr>
                <w:rStyle w:val="CodeChar"/>
              </w:rPr>
              <w:t xml:space="preserve">/api/partner/v1</w:t>
            </w:r>
            <w:r>
              <w:t xml:space="preserve">, versioned in the path; a breaking change runs as v2 alongside v1 for at least six months</w:t>
            </w:r>
          </w:p>
        </w:tc>
      </w:tr>
      <w:tr>
        <w:trPr>
          <w:cantSplit/>
        </w:trPr>
        <w:tc>
          <w:tcPr>
            <w:tcW w:w="1950" w:type="dxa"/>
            <w:shd w:val="clear" w:color="auto" w:fill="F4F7FB"/>
            <w:vAlign w:val="top"/>
          </w:tcPr>
          <w:p>
            <w:pPr>
              <w:pStyle w:val="TableText"/>
              <w:jc w:val="left"/>
            </w:pPr>
            <w:r>
              <w:t xml:space="preserve">Operations</w:t>
            </w:r>
          </w:p>
        </w:tc>
        <w:tc>
          <w:tcPr>
            <w:tcW w:w="7077" w:type="dxa"/>
            <w:shd w:val="clear" w:color="auto" w:fill="F4F7FB"/>
            <w:vAlign w:val="top"/>
          </w:tcPr>
          <w:p>
            <w:pPr>
              <w:pStyle w:val="TableText"/>
              <w:jc w:val="left"/>
            </w:pPr>
            <w:r>
              <w:t xml:space="preserve">Quote (scope</w:t>
            </w:r>
            <w:r>
              <w:t xml:space="preserve"> </w:t>
            </w:r>
            <w:r>
              <w:rPr>
                <w:rStyle w:val="CodeChar"/>
              </w:rPr>
              <w:t xml:space="preserve">quote</w:t>
            </w:r>
            <w:r>
              <w:t xml:space="preserve">), order (scope</w:t>
            </w:r>
            <w:r>
              <w:t xml:space="preserve"> </w:t>
            </w:r>
            <w:r>
              <w:rPr>
                <w:rStyle w:val="CodeChar"/>
              </w:rPr>
              <w:t xml:space="preserve">purchase</w:t>
            </w:r>
            <w:r>
              <w:t xml:space="preserve">), policies and commission statement (scope</w:t>
            </w:r>
            <w:r>
              <w:t xml:space="preserve"> </w:t>
            </w:r>
            <w:r>
              <w:rPr>
                <w:rStyle w:val="CodeChar"/>
              </w:rPr>
              <w:t xml:space="preserve">policies:read</w:t>
            </w:r>
            <w:r>
              <w:t xml:space="preserve">)</w:t>
            </w:r>
          </w:p>
        </w:tc>
      </w:tr>
      <w:tr>
        <w:trPr>
          <w:cantSplit/>
        </w:trPr>
        <w:tc>
          <w:tcPr>
            <w:tcW w:w="1950" w:type="dxa"/>
            <w:vAlign w:val="top"/>
          </w:tcPr>
          <w:p>
            <w:pPr>
              <w:pStyle w:val="TableText"/>
              <w:jc w:val="left"/>
            </w:pPr>
            <w:r>
              <w:t xml:space="preserve">Authentication</w:t>
            </w:r>
          </w:p>
        </w:tc>
        <w:tc>
          <w:tcPr>
            <w:tcW w:w="7077" w:type="dxa"/>
            <w:vAlign w:val="top"/>
          </w:tcPr>
          <w:p>
            <w:pPr>
              <w:pStyle w:val="TableText"/>
              <w:jc w:val="left"/>
            </w:pPr>
            <w:r>
              <w:rPr>
                <w:rStyle w:val="CodeChar"/>
              </w:rPr>
              <w:t xml:space="preserve">X-Api-Key</w:t>
            </w:r>
            <w:r>
              <w:t xml:space="preserve">, issued once by the partner manager and stored only as a hash. OAuth 2.0 client credentials or mutual TLS at the API gateway is the production target.</w:t>
            </w:r>
          </w:p>
        </w:tc>
      </w:tr>
      <w:tr>
        <w:trPr>
          <w:cantSplit/>
        </w:trPr>
        <w:tc>
          <w:tcPr>
            <w:tcW w:w="1950" w:type="dxa"/>
            <w:shd w:val="clear" w:color="auto" w:fill="F4F7FB"/>
            <w:vAlign w:val="top"/>
          </w:tcPr>
          <w:p>
            <w:pPr>
              <w:pStyle w:val="TableText"/>
              <w:jc w:val="left"/>
            </w:pPr>
            <w:r>
              <w:t xml:space="preserve">Ownership</w:t>
            </w:r>
          </w:p>
        </w:tc>
        <w:tc>
          <w:tcPr>
            <w:tcW w:w="7077" w:type="dxa"/>
            <w:shd w:val="clear" w:color="auto" w:fill="F4F7FB"/>
            <w:vAlign w:val="top"/>
          </w:tcPr>
          <w:p>
            <w:pPr>
              <w:pStyle w:val="TableText"/>
              <w:jc w:val="left"/>
            </w:pPr>
            <w:r>
              <w:t xml:space="preserve">A partner can order only its own quotes and sees only its own policies and statements</w:t>
            </w:r>
          </w:p>
        </w:tc>
      </w:tr>
      <w:tr>
        <w:trPr>
          <w:cantSplit/>
        </w:trPr>
        <w:tc>
          <w:tcPr>
            <w:tcW w:w="1950" w:type="dxa"/>
            <w:vAlign w:val="top"/>
          </w:tcPr>
          <w:p>
            <w:pPr>
              <w:pStyle w:val="TableText"/>
              <w:jc w:val="left"/>
            </w:pPr>
            <w:r>
              <w:t xml:space="preserve">Payment</w:t>
            </w:r>
          </w:p>
        </w:tc>
        <w:tc>
          <w:tcPr>
            <w:tcW w:w="7077" w:type="dxa"/>
            <w:vAlign w:val="top"/>
          </w:tcPr>
          <w:p>
            <w:pPr>
              <w:pStyle w:val="TableText"/>
              <w:jc w:val="left"/>
            </w:pPr>
            <w:r>
              <w:t xml:space="preserve">Partner-collected; the order payment reference starts with</w:t>
            </w:r>
            <w:r>
              <w:t xml:space="preserve"> </w:t>
            </w:r>
            <w:r>
              <w:rPr>
                <w:rStyle w:val="CodeChar"/>
              </w:rPr>
              <w:t xml:space="preserve">PARTNER-</w:t>
            </w:r>
            <w:r>
              <w:t xml:space="preserve"> </w:t>
            </w:r>
            <w:r>
              <w:t xml:space="preserve">and is reconciled through the commission statement</w:t>
            </w:r>
          </w:p>
        </w:tc>
      </w:tr>
      <w:tr>
        <w:trPr>
          <w:cantSplit/>
        </w:trPr>
        <w:tc>
          <w:tcPr>
            <w:tcW w:w="1950" w:type="dxa"/>
            <w:shd w:val="clear" w:color="auto" w:fill="F4F7FB"/>
            <w:vAlign w:val="top"/>
          </w:tcPr>
          <w:p>
            <w:pPr>
              <w:pStyle w:val="TableText"/>
              <w:jc w:val="left"/>
            </w:pPr>
            <w:r>
              <w:t xml:space="preserve">Commission</w:t>
            </w:r>
          </w:p>
        </w:tc>
        <w:tc>
          <w:tcPr>
            <w:tcW w:w="7077" w:type="dxa"/>
            <w:shd w:val="clear" w:color="auto" w:fill="F4F7FB"/>
            <w:vAlign w:val="top"/>
          </w:tcPr>
          <w:p>
            <w:pPr>
              <w:pStyle w:val="TableText"/>
              <w:jc w:val="left"/>
            </w:pPr>
            <w:r>
              <w:t xml:space="preserve">Computed per line at bind time from the commission rule set and capped at the statutory cap (figures to be confirmed with TASCO finance and legal)</w:t>
            </w:r>
          </w:p>
        </w:tc>
      </w:tr>
      <w:tr>
        <w:trPr>
          <w:cantSplit/>
        </w:trPr>
        <w:tc>
          <w:tcPr>
            <w:tcW w:w="1950" w:type="dxa"/>
            <w:vAlign w:val="top"/>
          </w:tcPr>
          <w:p>
            <w:pPr>
              <w:pStyle w:val="TableText"/>
              <w:jc w:val="left"/>
            </w:pPr>
            <w:r>
              <w:t xml:space="preserve">Errors</w:t>
            </w:r>
          </w:p>
        </w:tc>
        <w:tc>
          <w:tcPr>
            <w:tcW w:w="7077" w:type="dxa"/>
            <w:vAlign w:val="top"/>
          </w:tcPr>
          <w:p>
            <w:pPr>
              <w:pStyle w:val="TableText"/>
              <w:jc w:val="left"/>
            </w:pPr>
            <w:r>
              <w:t xml:space="preserve">Uniform error body with code, message and request id: 400, 401, 403, 404, 409, 422, 429 and 503</w:t>
            </w:r>
          </w:p>
        </w:tc>
      </w:tr>
    </w:tbl>
    <w:p>
      <w:pPr>
        <w:pStyle w:val="BodyText"/>
        <w:spacing w:before="160"/>
      </w:pPr>
      <w:r>
        <w:t xml:space="preserve">Three exposure controls apply before external partners go live. A quote for a plate already on the platform must not reveal the vehicle’s current expiry date through the cover start date; partner quotes for existing profiles will use partner-supplied facts or return only the price. Partner-supplied facts merge into the golden record at lower trust than VETC and TASCO sources, and partner phone numbers will be held until verified. Partners cannot submit marketing consent; consent is captured by VETC or by the customer in the app.</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9" w:name="_Toc300000035"/>
      <w:r>
        <w:rPr>
          <w:rStyle w:val="BookTitle"/>
          <w:bCs w:val="0"/>
          <w:i w:val="0"/>
          <w:iCs w:val="0"/>
          <w:spacing w:val="0"/>
        </w:rPr>
        <w:t xml:space="preserve">Reuse of existing assets</w:t>
      </w:r>
      <w:bookmarkEnd w:id="39"/>
    </w:p>
    <w:p>
      <w:pPr>
        <w:pStyle w:val="FirstParagraph"/>
      </w:pPr>
      <w:r>
        <w:t xml:space="preserve">The platform reuses the systems TASCO and VETC already run and builds only what is missing between them.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517"/>
        <w:gridCol w:w="850"/>
        <w:gridCol w:w="2118"/>
        <w:gridCol w:w="2200"/>
        <w:gridCol w:w="1342"/>
      </w:tblGrid>
      <w:tr>
        <w:trPr>
          <w:cantSplit/>
          <w:tblHeader/>
        </w:trPr>
        <w:tc>
          <w:tcPr>
            <w:tcW w:w="2517" w:type="dxa"/>
            <w:shd w:val="clear" w:color="auto" w:fill="0F4761"/>
            <w:vAlign w:val="center"/>
          </w:tcPr>
          <w:p>
            <w:pPr>
              <w:pStyle w:val="TableHeading"/>
              <w:jc w:val="left"/>
            </w:pPr>
            <w:r>
              <w:rPr>
                <w:color w:val="FFFFFF"/>
              </w:rPr>
              <w:t xml:space="preserve">Existing asset</w:t>
            </w:r>
          </w:p>
        </w:tc>
        <w:tc>
          <w:tcPr>
            <w:tcW w:w="850" w:type="dxa"/>
            <w:shd w:val="clear" w:color="auto" w:fill="0F4761"/>
            <w:vAlign w:val="center"/>
          </w:tcPr>
          <w:p>
            <w:pPr>
              <w:pStyle w:val="TableHeading"/>
              <w:jc w:val="left"/>
            </w:pPr>
            <w:r>
              <w:rPr>
                <w:color w:val="FFFFFF"/>
              </w:rPr>
              <w:t xml:space="preserve">Owner</w:t>
            </w:r>
          </w:p>
        </w:tc>
        <w:tc>
          <w:tcPr>
            <w:tcW w:w="2118" w:type="dxa"/>
            <w:shd w:val="clear" w:color="auto" w:fill="0F4761"/>
            <w:vAlign w:val="center"/>
          </w:tcPr>
          <w:p>
            <w:pPr>
              <w:pStyle w:val="TableHeading"/>
              <w:jc w:val="left"/>
            </w:pPr>
            <w:r>
              <w:rPr>
                <w:color w:val="FFFFFF"/>
              </w:rPr>
              <w:t xml:space="preserve">What the platform reuses</w:t>
            </w:r>
          </w:p>
        </w:tc>
        <w:tc>
          <w:tcPr>
            <w:tcW w:w="2200" w:type="dxa"/>
            <w:shd w:val="clear" w:color="auto" w:fill="0F4761"/>
            <w:vAlign w:val="center"/>
          </w:tcPr>
          <w:p>
            <w:pPr>
              <w:pStyle w:val="TableHeading"/>
              <w:jc w:val="left"/>
            </w:pPr>
            <w:r>
              <w:rPr>
                <w:color w:val="FFFFFF"/>
              </w:rPr>
              <w:t xml:space="preserve">How it connects</w:t>
            </w:r>
          </w:p>
        </w:tc>
        <w:tc>
          <w:tcPr>
            <w:tcW w:w="1342" w:type="dxa"/>
            <w:shd w:val="clear" w:color="auto" w:fill="0F4761"/>
            <w:vAlign w:val="center"/>
          </w:tcPr>
          <w:p>
            <w:pPr>
              <w:pStyle w:val="TableHeading"/>
              <w:jc w:val="left"/>
            </w:pPr>
            <w:r>
              <w:rPr>
                <w:color w:val="FFFFFF"/>
              </w:rPr>
              <w:t xml:space="preserve">MVP</w:t>
            </w:r>
          </w:p>
        </w:tc>
      </w:tr>
      <w:tr>
        <w:trPr>
          <w:cantSplit/>
        </w:trPr>
        <w:tc>
          <w:tcPr>
            <w:tcW w:w="2517" w:type="dxa"/>
            <w:vAlign w:val="top"/>
          </w:tcPr>
          <w:p>
            <w:pPr>
              <w:pStyle w:val="TableText"/>
              <w:jc w:val="left"/>
            </w:pPr>
            <w:r>
              <w:t xml:space="preserve">Core system</w:t>
            </w:r>
          </w:p>
        </w:tc>
        <w:tc>
          <w:tcPr>
            <w:tcW w:w="850" w:type="dxa"/>
            <w:vAlign w:val="top"/>
          </w:tcPr>
          <w:p>
            <w:pPr>
              <w:pStyle w:val="TableText"/>
              <w:jc w:val="left"/>
            </w:pPr>
            <w:r>
              <w:t xml:space="preserve">TASCO</w:t>
            </w:r>
          </w:p>
        </w:tc>
        <w:tc>
          <w:tcPr>
            <w:tcW w:w="2118" w:type="dxa"/>
            <w:vAlign w:val="top"/>
          </w:tcPr>
          <w:p>
            <w:pPr>
              <w:pStyle w:val="TableText"/>
              <w:jc w:val="left"/>
            </w:pPr>
            <w:r>
              <w:t xml:space="preserve">Products, tariffs, rating, policy issuance, e-certificates, claims</w:t>
            </w:r>
          </w:p>
        </w:tc>
        <w:tc>
          <w:tcPr>
            <w:tcW w:w="2200" w:type="dxa"/>
            <w:vAlign w:val="top"/>
          </w:tcPr>
          <w:p>
            <w:pPr>
              <w:pStyle w:val="TableText"/>
              <w:jc w:val="left"/>
            </w:pPr>
            <w:r>
              <w:t xml:space="preserve">Catalogue sync, live rating, bind and issue, daily policy extract; claims by staff queue first</w:t>
            </w:r>
          </w:p>
        </w:tc>
        <w:tc>
          <w:tcPr>
            <w:tcW w:w="1342" w:type="dxa"/>
            <w:vAlign w:val="top"/>
          </w:tcPr>
          <w:p>
            <w:pPr>
              <w:pStyle w:val="TableText"/>
              <w:jc w:val="left"/>
            </w:pPr>
            <w:r>
              <w:t xml:space="preserve">Yes</w:t>
            </w:r>
          </w:p>
        </w:tc>
      </w:tr>
      <w:tr>
        <w:trPr>
          <w:cantSplit/>
        </w:trPr>
        <w:tc>
          <w:tcPr>
            <w:tcW w:w="2517" w:type="dxa"/>
            <w:shd w:val="clear" w:color="auto" w:fill="F4F7FB"/>
            <w:vAlign w:val="top"/>
          </w:tcPr>
          <w:p>
            <w:pPr>
              <w:pStyle w:val="TableText"/>
              <w:jc w:val="left"/>
            </w:pPr>
            <w:r>
              <w:t xml:space="preserve">Customer app and website (e.baohiemtasco.vn)</w:t>
            </w:r>
          </w:p>
        </w:tc>
        <w:tc>
          <w:tcPr>
            <w:tcW w:w="850" w:type="dxa"/>
            <w:shd w:val="clear" w:color="auto" w:fill="F4F7FB"/>
            <w:vAlign w:val="top"/>
          </w:tcPr>
          <w:p>
            <w:pPr>
              <w:pStyle w:val="TableText"/>
              <w:jc w:val="left"/>
            </w:pPr>
            <w:r>
              <w:t xml:space="preserve">TASCO</w:t>
            </w:r>
          </w:p>
        </w:tc>
        <w:tc>
          <w:tcPr>
            <w:tcW w:w="2118" w:type="dxa"/>
            <w:shd w:val="clear" w:color="auto" w:fill="F4F7FB"/>
            <w:vAlign w:val="top"/>
          </w:tcPr>
          <w:p>
            <w:pPr>
              <w:pStyle w:val="TableText"/>
              <w:jc w:val="left"/>
            </w:pPr>
            <w:r>
              <w:t xml:space="preserve">Customer accounts, brand, online payment gateway</w:t>
            </w:r>
          </w:p>
        </w:tc>
        <w:tc>
          <w:tcPr>
            <w:tcW w:w="2200" w:type="dxa"/>
            <w:shd w:val="clear" w:color="auto" w:fill="F4F7FB"/>
            <w:vAlign w:val="top"/>
          </w:tcPr>
          <w:p>
            <w:pPr>
              <w:pStyle w:val="TableText"/>
              <w:jc w:val="left"/>
            </w:pPr>
            <w:r>
              <w:t xml:space="preserve">The same renewal and purchase journeys, opened as a web view or called through the customer API; payment through TASCO’s own gateway; sales recorded against the TASCO channel</w:t>
            </w:r>
          </w:p>
        </w:tc>
        <w:tc>
          <w:tcPr>
            <w:tcW w:w="1342" w:type="dxa"/>
            <w:shd w:val="clear" w:color="auto" w:fill="F4F7FB"/>
            <w:vAlign w:val="top"/>
          </w:tcPr>
          <w:p>
            <w:pPr>
              <w:pStyle w:val="TableText"/>
              <w:jc w:val="left"/>
            </w:pPr>
            <w:r>
              <w:t xml:space="preserve">Scale module S3, from March 2027</w:t>
            </w:r>
          </w:p>
        </w:tc>
      </w:tr>
      <w:tr>
        <w:trPr>
          <w:cantSplit/>
        </w:trPr>
        <w:tc>
          <w:tcPr>
            <w:tcW w:w="2517" w:type="dxa"/>
            <w:vAlign w:val="top"/>
          </w:tcPr>
          <w:p>
            <w:pPr>
              <w:pStyle w:val="TableText"/>
              <w:jc w:val="left"/>
            </w:pPr>
            <w:r>
              <w:t xml:space="preserve">Tasco360</w:t>
            </w:r>
          </w:p>
        </w:tc>
        <w:tc>
          <w:tcPr>
            <w:tcW w:w="850" w:type="dxa"/>
            <w:vAlign w:val="top"/>
          </w:tcPr>
          <w:p>
            <w:pPr>
              <w:pStyle w:val="TableText"/>
              <w:jc w:val="left"/>
            </w:pPr>
            <w:r>
              <w:t xml:space="preserve">TASCO</w:t>
            </w:r>
          </w:p>
        </w:tc>
        <w:tc>
          <w:tcPr>
            <w:tcW w:w="2118" w:type="dxa"/>
            <w:vAlign w:val="top"/>
          </w:tcPr>
          <w:p>
            <w:pPr>
              <w:pStyle w:val="TableText"/>
              <w:jc w:val="left"/>
            </w:pPr>
            <w:r>
              <w:t xml:space="preserve">The app partners and agents already use</w:t>
            </w:r>
          </w:p>
        </w:tc>
        <w:tc>
          <w:tcPr>
            <w:tcW w:w="2200" w:type="dxa"/>
            <w:vAlign w:val="top"/>
          </w:tcPr>
          <w:p>
            <w:pPr>
              <w:pStyle w:val="TableText"/>
              <w:jc w:val="left"/>
            </w:pPr>
            <w:r>
              <w:t xml:space="preserve">Partner API: quote by plate, bind, statements</w:t>
            </w:r>
          </w:p>
        </w:tc>
        <w:tc>
          <w:tcPr>
            <w:tcW w:w="1342" w:type="dxa"/>
            <w:vAlign w:val="top"/>
          </w:tcPr>
          <w:p>
            <w:pPr>
              <w:pStyle w:val="TableText"/>
              <w:jc w:val="left"/>
            </w:pPr>
            <w:r>
              <w:t xml:space="preserve">Candidate first partner</w:t>
            </w:r>
          </w:p>
        </w:tc>
      </w:tr>
      <w:tr>
        <w:trPr>
          <w:cantSplit/>
        </w:trPr>
        <w:tc>
          <w:tcPr>
            <w:tcW w:w="2517" w:type="dxa"/>
            <w:shd w:val="clear" w:color="auto" w:fill="F4F7FB"/>
            <w:vAlign w:val="top"/>
          </w:tcPr>
          <w:p>
            <w:pPr>
              <w:pStyle w:val="TableText"/>
              <w:jc w:val="left"/>
            </w:pPr>
            <w:r>
              <w:t xml:space="preserve">Zalo Official Account</w:t>
            </w:r>
          </w:p>
        </w:tc>
        <w:tc>
          <w:tcPr>
            <w:tcW w:w="850" w:type="dxa"/>
            <w:shd w:val="clear" w:color="auto" w:fill="F4F7FB"/>
            <w:vAlign w:val="top"/>
          </w:tcPr>
          <w:p>
            <w:pPr>
              <w:pStyle w:val="TableText"/>
              <w:jc w:val="left"/>
            </w:pPr>
            <w:r>
              <w:t xml:space="preserve">TASCO</w:t>
            </w:r>
          </w:p>
        </w:tc>
        <w:tc>
          <w:tcPr>
            <w:tcW w:w="2118" w:type="dxa"/>
            <w:shd w:val="clear" w:color="auto" w:fill="F4F7FB"/>
            <w:vAlign w:val="top"/>
          </w:tcPr>
          <w:p>
            <w:pPr>
              <w:pStyle w:val="TableText"/>
              <w:jc w:val="left"/>
            </w:pPr>
            <w:r>
              <w:t xml:space="preserve">Followers, approved ZNS templates, chat</w:t>
            </w:r>
          </w:p>
        </w:tc>
        <w:tc>
          <w:tcPr>
            <w:tcW w:w="2200" w:type="dxa"/>
            <w:shd w:val="clear" w:color="auto" w:fill="F4F7FB"/>
            <w:vAlign w:val="top"/>
          </w:tcPr>
          <w:p>
            <w:pPr>
              <w:pStyle w:val="TableText"/>
              <w:jc w:val="left"/>
            </w:pPr>
            <w:r>
              <w:t xml:space="preserve">ZNS reminders and service messages; OA chat linked from the app; the same journeys as a Zalo Mini App later</w:t>
            </w:r>
          </w:p>
        </w:tc>
        <w:tc>
          <w:tcPr>
            <w:tcW w:w="1342" w:type="dxa"/>
            <w:shd w:val="clear" w:color="auto" w:fill="F4F7FB"/>
            <w:vAlign w:val="top"/>
          </w:tcPr>
          <w:p>
            <w:pPr>
              <w:pStyle w:val="TableText"/>
              <w:jc w:val="left"/>
            </w:pPr>
            <w:r>
              <w:t xml:space="preserve">ZNS yes; Mini App in scale module S4</w:t>
            </w:r>
          </w:p>
        </w:tc>
      </w:tr>
      <w:tr>
        <w:trPr>
          <w:cantSplit/>
        </w:trPr>
        <w:tc>
          <w:tcPr>
            <w:tcW w:w="2517" w:type="dxa"/>
            <w:vAlign w:val="top"/>
          </w:tcPr>
          <w:p>
            <w:pPr>
              <w:pStyle w:val="TableText"/>
              <w:jc w:val="left"/>
            </w:pPr>
            <w:r>
              <w:t xml:space="preserve">Hotline 1900 1562 and contact centre</w:t>
            </w:r>
          </w:p>
        </w:tc>
        <w:tc>
          <w:tcPr>
            <w:tcW w:w="850" w:type="dxa"/>
            <w:vAlign w:val="top"/>
          </w:tcPr>
          <w:p>
            <w:pPr>
              <w:pStyle w:val="TableText"/>
              <w:jc w:val="left"/>
            </w:pPr>
            <w:r>
              <w:t xml:space="preserve">TASCO</w:t>
            </w:r>
          </w:p>
        </w:tc>
        <w:tc>
          <w:tcPr>
            <w:tcW w:w="2118" w:type="dxa"/>
            <w:vAlign w:val="top"/>
          </w:tcPr>
          <w:p>
            <w:pPr>
              <w:pStyle w:val="TableText"/>
              <w:jc w:val="left"/>
            </w:pPr>
            <w:r>
              <w:t xml:space="preserve">Agents, caller identity customers recognise</w:t>
            </w:r>
          </w:p>
        </w:tc>
        <w:tc>
          <w:tcPr>
            <w:tcW w:w="2200" w:type="dxa"/>
            <w:vAlign w:val="top"/>
          </w:tcPr>
          <w:p>
            <w:pPr>
              <w:pStyle w:val="TableText"/>
              <w:jc w:val="left"/>
            </w:pPr>
            <w:r>
              <w:t xml:space="preserve">Telesales inbox and handoffs; outbound calls from a registered TASCO number</w:t>
            </w:r>
          </w:p>
        </w:tc>
        <w:tc>
          <w:tcPr>
            <w:tcW w:w="1342" w:type="dxa"/>
            <w:vAlign w:val="top"/>
          </w:tcPr>
          <w:p>
            <w:pPr>
              <w:pStyle w:val="TableText"/>
              <w:jc w:val="left"/>
            </w:pPr>
            <w:r>
              <w:t xml:space="preserve">Yes</w:t>
            </w:r>
          </w:p>
        </w:tc>
      </w:tr>
      <w:tr>
        <w:trPr>
          <w:cantSplit/>
        </w:trPr>
        <w:tc>
          <w:tcPr>
            <w:tcW w:w="2517" w:type="dxa"/>
            <w:shd w:val="clear" w:color="auto" w:fill="F4F7FB"/>
            <w:vAlign w:val="top"/>
          </w:tcPr>
          <w:p>
            <w:pPr>
              <w:pStyle w:val="TableText"/>
              <w:jc w:val="left"/>
            </w:pPr>
            <w:r>
              <w:t xml:space="preserve">VETC app</w:t>
            </w:r>
          </w:p>
        </w:tc>
        <w:tc>
          <w:tcPr>
            <w:tcW w:w="850" w:type="dxa"/>
            <w:shd w:val="clear" w:color="auto" w:fill="F4F7FB"/>
            <w:vAlign w:val="top"/>
          </w:tcPr>
          <w:p>
            <w:pPr>
              <w:pStyle w:val="TableText"/>
              <w:jc w:val="left"/>
            </w:pPr>
            <w:r>
              <w:t xml:space="preserve">VETC</w:t>
            </w:r>
          </w:p>
        </w:tc>
        <w:tc>
          <w:tcPr>
            <w:tcW w:w="2118" w:type="dxa"/>
            <w:shd w:val="clear" w:color="auto" w:fill="F4F7FB"/>
            <w:vAlign w:val="top"/>
          </w:tcPr>
          <w:p>
            <w:pPr>
              <w:pStyle w:val="TableText"/>
              <w:jc w:val="left"/>
            </w:pPr>
            <w:r>
              <w:t xml:space="preserve">Reach to about 6 million drivers, push</w:t>
            </w:r>
          </w:p>
        </w:tc>
        <w:tc>
          <w:tcPr>
            <w:tcW w:w="2200" w:type="dxa"/>
            <w:shd w:val="clear" w:color="auto" w:fill="F4F7FB"/>
            <w:vAlign w:val="top"/>
          </w:tcPr>
          <w:p>
            <w:pPr>
              <w:pStyle w:val="TableText"/>
              <w:jc w:val="left"/>
            </w:pPr>
            <w:r>
              <w:t xml:space="preserve">Web view with signed links; push for reminders; single sign-on later</w:t>
            </w:r>
          </w:p>
        </w:tc>
        <w:tc>
          <w:tcPr>
            <w:tcW w:w="1342" w:type="dxa"/>
            <w:shd w:val="clear" w:color="auto" w:fill="F4F7FB"/>
            <w:vAlign w:val="top"/>
          </w:tcPr>
          <w:p>
            <w:pPr>
              <w:pStyle w:val="TableText"/>
              <w:jc w:val="left"/>
            </w:pPr>
            <w:r>
              <w:t xml:space="preserve">Yes</w:t>
            </w:r>
          </w:p>
        </w:tc>
      </w:tr>
      <w:tr>
        <w:trPr>
          <w:cantSplit/>
        </w:trPr>
        <w:tc>
          <w:tcPr>
            <w:tcW w:w="2517" w:type="dxa"/>
            <w:vAlign w:val="top"/>
          </w:tcPr>
          <w:p>
            <w:pPr>
              <w:pStyle w:val="TableText"/>
              <w:jc w:val="left"/>
            </w:pPr>
            <w:r>
              <w:t xml:space="preserve">VETC wallet</w:t>
            </w:r>
          </w:p>
        </w:tc>
        <w:tc>
          <w:tcPr>
            <w:tcW w:w="850" w:type="dxa"/>
            <w:vAlign w:val="top"/>
          </w:tcPr>
          <w:p>
            <w:pPr>
              <w:pStyle w:val="TableText"/>
              <w:jc w:val="left"/>
            </w:pPr>
            <w:r>
              <w:t xml:space="preserve">VETC</w:t>
            </w:r>
          </w:p>
        </w:tc>
        <w:tc>
          <w:tcPr>
            <w:tcW w:w="2118" w:type="dxa"/>
            <w:vAlign w:val="top"/>
          </w:tcPr>
          <w:p>
            <w:pPr>
              <w:pStyle w:val="TableText"/>
              <w:jc w:val="left"/>
            </w:pPr>
            <w:r>
              <w:t xml:space="preserve">Card-free payment</w:t>
            </w:r>
          </w:p>
        </w:tc>
        <w:tc>
          <w:tcPr>
            <w:tcW w:w="2200" w:type="dxa"/>
            <w:vAlign w:val="top"/>
          </w:tcPr>
          <w:p>
            <w:pPr>
              <w:pStyle w:val="TableText"/>
              <w:jc w:val="left"/>
            </w:pPr>
            <w:r>
              <w:t xml:space="preserve">Debit, refund and daily reconciliation</w:t>
            </w:r>
          </w:p>
        </w:tc>
        <w:tc>
          <w:tcPr>
            <w:tcW w:w="1342" w:type="dxa"/>
            <w:vAlign w:val="top"/>
          </w:tcPr>
          <w:p>
            <w:pPr>
              <w:pStyle w:val="TableText"/>
              <w:jc w:val="left"/>
            </w:pPr>
            <w:r>
              <w:t xml:space="preserve">Yes</w:t>
            </w:r>
          </w:p>
        </w:tc>
      </w:tr>
      <w:tr>
        <w:trPr>
          <w:cantSplit/>
        </w:trPr>
        <w:tc>
          <w:tcPr>
            <w:tcW w:w="2517" w:type="dxa"/>
            <w:shd w:val="clear" w:color="auto" w:fill="F4F7FB"/>
            <w:vAlign w:val="top"/>
          </w:tcPr>
          <w:p>
            <w:pPr>
              <w:pStyle w:val="TableText"/>
              <w:jc w:val="left"/>
            </w:pPr>
            <w:r>
              <w:t xml:space="preserve">VETC data and events</w:t>
            </w:r>
          </w:p>
        </w:tc>
        <w:tc>
          <w:tcPr>
            <w:tcW w:w="850" w:type="dxa"/>
            <w:shd w:val="clear" w:color="auto" w:fill="F4F7FB"/>
            <w:vAlign w:val="top"/>
          </w:tcPr>
          <w:p>
            <w:pPr>
              <w:pStyle w:val="TableText"/>
              <w:jc w:val="left"/>
            </w:pPr>
            <w:r>
              <w:t xml:space="preserve">VETC</w:t>
            </w:r>
          </w:p>
        </w:tc>
        <w:tc>
          <w:tcPr>
            <w:tcW w:w="2118" w:type="dxa"/>
            <w:shd w:val="clear" w:color="auto" w:fill="F4F7FB"/>
            <w:vAlign w:val="top"/>
          </w:tcPr>
          <w:p>
            <w:pPr>
              <w:pStyle w:val="TableText"/>
              <w:jc w:val="left"/>
            </w:pPr>
            <w:r>
              <w:t xml:space="preserve">Vehicles, owners, tag activation</w:t>
            </w:r>
          </w:p>
        </w:tc>
        <w:tc>
          <w:tcPr>
            <w:tcW w:w="2200" w:type="dxa"/>
            <w:shd w:val="clear" w:color="auto" w:fill="F4F7FB"/>
            <w:vAlign w:val="top"/>
          </w:tcPr>
          <w:p>
            <w:pPr>
              <w:pStyle w:val="TableText"/>
              <w:jc w:val="left"/>
            </w:pPr>
            <w:r>
              <w:t xml:space="preserve">Initial file, daily changes, activation events</w:t>
            </w:r>
          </w:p>
        </w:tc>
        <w:tc>
          <w:tcPr>
            <w:tcW w:w="1342" w:type="dxa"/>
            <w:shd w:val="clear" w:color="auto" w:fill="F4F7FB"/>
            <w:vAlign w:val="top"/>
          </w:tcPr>
          <w:p>
            <w:pPr>
              <w:pStyle w:val="TableText"/>
              <w:jc w:val="left"/>
            </w:pPr>
            <w:r>
              <w:t xml:space="preserve">Yes</w:t>
            </w:r>
          </w:p>
        </w:tc>
      </w:tr>
    </w:tbl>
    <w:p>
      <w:pPr>
        <w:pStyle w:val="BodyText"/>
        <w:spacing w:before="160"/>
      </w:pPr>
      <w:r>
        <w:t xml:space="preserve">The customer API is host-neutral.</w:t>
      </w:r>
      <w:r>
        <w:t xml:space="preserve"> </w:t>
      </w:r>
      <w:r>
        <w:rPr>
          <w:rStyle w:val="CodeChar"/>
        </w:rPr>
        <w:t xml:space="preserve">POST /api/customer/session</w:t>
      </w:r>
      <w:r>
        <w:t xml:space="preserve"> </w:t>
      </w:r>
      <w:r>
        <w:t xml:space="preserve">accepts the host channel (</w:t>
      </w:r>
      <w:r>
        <w:rPr>
          <w:rStyle w:val="CodeChar"/>
        </w:rPr>
        <w:t xml:space="preserve">vetc_app</w:t>
      </w:r>
      <w:r>
        <w:t xml:space="preserve">,</w:t>
      </w:r>
      <w:r>
        <w:t xml:space="preserve"> </w:t>
      </w:r>
      <w:r>
        <w:rPr>
          <w:rStyle w:val="CodeChar"/>
        </w:rPr>
        <w:t xml:space="preserve">zalo_mini_app</w:t>
      </w:r>
      <w:r>
        <w:t xml:space="preserve">,</w:t>
      </w:r>
      <w:r>
        <w:t xml:space="preserve"> </w:t>
      </w:r>
      <w:r>
        <w:rPr>
          <w:rStyle w:val="CodeChar"/>
        </w:rPr>
        <w:t xml:space="preserve">tasco_app</w:t>
      </w:r>
      <w:r>
        <w:t xml:space="preserve">,</w:t>
      </w:r>
      <w:r>
        <w:t xml:space="preserve"> </w:t>
      </w:r>
      <w:r>
        <w:rPr>
          <w:rStyle w:val="CodeChar"/>
        </w:rPr>
        <w:t xml:space="preserve">tasco_web</w:t>
      </w:r>
      <w:r>
        <w:t xml:space="preserve">) and writes it into the customer token. Quotes and orders are attributed to that channel. Payment uses the VETC wallet port for the VETC app and the Zalo Mini App, and the TASCO payment gateway port for TASCO’s app and website. Products list the channels they may be sold on, so a new front door is enabled by configuration and approval.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0" w:name="_Toc300000036"/>
      <w:r>
        <w:rPr>
          <w:rStyle w:val="BookTitle"/>
          <w:bCs w:val="0"/>
          <w:i w:val="0"/>
          <w:iCs w:val="0"/>
          <w:spacing w:val="0"/>
        </w:rPr>
        <w:t xml:space="preserve">TASCO digital channels</w:t>
      </w:r>
      <w:bookmarkEnd w:id="40"/>
    </w:p>
    <w:p>
      <w:pPr>
        <w:pStyle w:val="FirstParagraph"/>
      </w:pPr>
      <w:r>
        <w:t xml:space="preserve">TASCO already sells and serves customers through its own digital channels. The platform shares the same core with them and does not duplicate them.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56"/>
        <w:gridCol w:w="3011"/>
        <w:gridCol w:w="3760"/>
      </w:tblGrid>
      <w:tr>
        <w:trPr>
          <w:cantSplit/>
          <w:tblHeader/>
        </w:trPr>
        <w:tc>
          <w:tcPr>
            <w:tcW w:w="2256" w:type="dxa"/>
            <w:shd w:val="clear" w:color="auto" w:fill="0F4761"/>
            <w:vAlign w:val="center"/>
          </w:tcPr>
          <w:p>
            <w:pPr>
              <w:pStyle w:val="TableHeading"/>
              <w:jc w:val="left"/>
            </w:pPr>
            <w:r>
              <w:rPr>
                <w:color w:val="FFFFFF"/>
              </w:rPr>
              <w:t xml:space="preserve">Channel</w:t>
            </w:r>
          </w:p>
        </w:tc>
        <w:tc>
          <w:tcPr>
            <w:tcW w:w="3011" w:type="dxa"/>
            <w:shd w:val="clear" w:color="auto" w:fill="0F4761"/>
            <w:vAlign w:val="center"/>
          </w:tcPr>
          <w:p>
            <w:pPr>
              <w:pStyle w:val="TableHeading"/>
              <w:jc w:val="left"/>
            </w:pPr>
            <w:r>
              <w:rPr>
                <w:color w:val="FFFFFF"/>
              </w:rPr>
              <w:t xml:space="preserve">Today</w:t>
            </w:r>
          </w:p>
        </w:tc>
        <w:tc>
          <w:tcPr>
            <w:tcW w:w="3760" w:type="dxa"/>
            <w:shd w:val="clear" w:color="auto" w:fill="0F4761"/>
            <w:vAlign w:val="center"/>
          </w:tcPr>
          <w:p>
            <w:pPr>
              <w:pStyle w:val="TableHeading"/>
              <w:jc w:val="left"/>
            </w:pPr>
            <w:r>
              <w:rPr>
                <w:color w:val="FFFFFF"/>
              </w:rPr>
              <w:t xml:space="preserve">Integration with the platform</w:t>
            </w:r>
          </w:p>
        </w:tc>
      </w:tr>
      <w:tr>
        <w:trPr>
          <w:cantSplit/>
        </w:trPr>
        <w:tc>
          <w:tcPr>
            <w:tcW w:w="2256" w:type="dxa"/>
            <w:vAlign w:val="top"/>
          </w:tcPr>
          <w:p>
            <w:pPr>
              <w:pStyle w:val="TableText"/>
              <w:jc w:val="left"/>
            </w:pPr>
            <w:r>
              <w:t xml:space="preserve">e.baohiemtasco.vn</w:t>
            </w:r>
          </w:p>
        </w:tc>
        <w:tc>
          <w:tcPr>
            <w:tcW w:w="3011" w:type="dxa"/>
            <w:vAlign w:val="top"/>
          </w:tcPr>
          <w:p>
            <w:pPr>
              <w:pStyle w:val="TableText"/>
              <w:jc w:val="left"/>
            </w:pPr>
            <w:r>
              <w:t xml:space="preserve">Online purchase of compulsory TNDS for cars; asks business use, vehicle type, seats and phone. Physical damage is marked</w:t>
            </w:r>
            <w:r>
              <w:t xml:space="preserve"> </w:t>
            </w:r>
            <w:r>
              <w:t xml:space="preserve">“</w:t>
            </w:r>
            <w:r>
              <w:t xml:space="preserve">coming soon</w:t>
            </w:r>
            <w:r>
              <w:t xml:space="preserve">”</w:t>
            </w:r>
            <w:r>
              <w:t xml:space="preserve">.</w:t>
            </w:r>
          </w:p>
        </w:tc>
        <w:tc>
          <w:tcPr>
            <w:tcW w:w="3760" w:type="dxa"/>
            <w:vAlign w:val="top"/>
          </w:tcPr>
          <w:p>
            <w:pPr>
              <w:pStyle w:val="TableText"/>
              <w:jc w:val="left"/>
            </w:pPr>
            <w:r>
              <w:t xml:space="preserve">Same core catalogue and rating, so premiums match across channels. The customer app asks the same vehicle questions through</w:t>
            </w:r>
            <w:r>
              <w:t xml:space="preserve"> </w:t>
            </w:r>
            <w:r>
              <w:rPr>
                <w:rStyle w:val="CodeChar"/>
              </w:rPr>
              <w:t xml:space="preserve">POST /api/customer/vehicle</w:t>
            </w:r>
            <w:r>
              <w:t xml:space="preserve">, which records the answer as evidence from the customer with source trust 0.9 and recalculates the tariff category. An enquiry feed (phone left without purchase, with consent) can enter through the ingestion API; scope to be agreed.</w:t>
            </w:r>
          </w:p>
        </w:tc>
      </w:tr>
      <w:tr>
        <w:trPr>
          <w:cantSplit/>
        </w:trPr>
        <w:tc>
          <w:tcPr>
            <w:tcW w:w="2256" w:type="dxa"/>
            <w:shd w:val="clear" w:color="auto" w:fill="F4F7FB"/>
            <w:vAlign w:val="top"/>
          </w:tcPr>
          <w:p>
            <w:pPr>
              <w:pStyle w:val="TableText"/>
              <w:jc w:val="left"/>
            </w:pPr>
            <w:r>
              <w:t xml:space="preserve">Tasco360</w:t>
            </w:r>
          </w:p>
        </w:tc>
        <w:tc>
          <w:tcPr>
            <w:tcW w:w="3011" w:type="dxa"/>
            <w:shd w:val="clear" w:color="auto" w:fill="F4F7FB"/>
            <w:vAlign w:val="top"/>
          </w:tcPr>
          <w:p>
            <w:pPr>
              <w:pStyle w:val="TableText"/>
              <w:jc w:val="left"/>
            </w:pPr>
            <w:r>
              <w:t xml:space="preserve">Mobile app for partners and stakeholders: consultation, sales and after-sales</w:t>
            </w:r>
          </w:p>
        </w:tc>
        <w:tc>
          <w:tcPr>
            <w:tcW w:w="3760" w:type="dxa"/>
            <w:shd w:val="clear" w:color="auto" w:fill="F4F7FB"/>
            <w:vAlign w:val="top"/>
          </w:tcPr>
          <w:p>
            <w:pPr>
              <w:pStyle w:val="TableText"/>
              <w:jc w:val="left"/>
            </w:pPr>
            <w:r>
              <w:t xml:space="preserve">Calls the partner API as a partner of type agent: quote by plate, bind, own policies and commission statement. Needs an API key with</w:t>
            </w:r>
            <w:r>
              <w:t xml:space="preserve"> </w:t>
            </w:r>
            <w:r>
              <w:rPr>
                <w:rStyle w:val="CodeChar"/>
              </w:rPr>
              <w:t xml:space="preserve">quote</w:t>
            </w:r>
            <w:r>
              <w:t xml:space="preserve"> </w:t>
            </w:r>
            <w:r>
              <w:t xml:space="preserve">and</w:t>
            </w:r>
            <w:r>
              <w:t xml:space="preserve"> </w:t>
            </w:r>
            <w:r>
              <w:rPr>
                <w:rStyle w:val="CodeChar"/>
              </w:rPr>
              <w:t xml:space="preserve">purchase</w:t>
            </w:r>
            <w:r>
              <w:t xml:space="preserve"> </w:t>
            </w:r>
            <w:r>
              <w:t xml:space="preserve">scopes.</w:t>
            </w:r>
          </w:p>
        </w:tc>
      </w:tr>
      <w:tr>
        <w:trPr>
          <w:cantSplit/>
        </w:trPr>
        <w:tc>
          <w:tcPr>
            <w:tcW w:w="2256" w:type="dxa"/>
            <w:vAlign w:val="top"/>
          </w:tcPr>
          <w:p>
            <w:pPr>
              <w:pStyle w:val="TableText"/>
              <w:jc w:val="left"/>
            </w:pPr>
            <w:r>
              <w:t xml:space="preserve">Contact centre and chat</w:t>
            </w:r>
          </w:p>
        </w:tc>
        <w:tc>
          <w:tcPr>
            <w:tcW w:w="3011" w:type="dxa"/>
            <w:vAlign w:val="top"/>
          </w:tcPr>
          <w:p>
            <w:pPr>
              <w:pStyle w:val="TableText"/>
              <w:jc w:val="left"/>
            </w:pPr>
            <w:r>
              <w:t xml:space="preserve">Hotline 1900 1562,</w:t>
            </w:r>
            <w:r>
              <w:t xml:space="preserve"> </w:t>
            </w:r>
            <w:hyperlink r:id="rIdG15">
              <w:r>
                <w:rPr>
                  <w:rStyle w:val="Hyperlink"/>
                </w:rPr>
                <w:t xml:space="preserve">info@baohiemtasco.vn</w:t>
              </w:r>
            </w:hyperlink>
            <w:r>
              <w:t xml:space="preserve">, Zalo, Messenger and website chat</w:t>
            </w:r>
          </w:p>
        </w:tc>
        <w:tc>
          <w:tcPr>
            <w:tcW w:w="3760" w:type="dxa"/>
            <w:vAlign w:val="top"/>
          </w:tcPr>
          <w:p>
            <w:pPr>
              <w:pStyle w:val="TableText"/>
              <w:jc w:val="left"/>
            </w:pPr>
            <w:r>
              <w:t xml:space="preserve">The customer app reads the official contacts from configuration through</w:t>
            </w:r>
            <w:r>
              <w:t xml:space="preserve"> </w:t>
            </w:r>
            <w:r>
              <w:rPr>
                <w:rStyle w:val="CodeChar"/>
              </w:rPr>
              <w:t xml:space="preserve">GET /api/meta</w:t>
            </w:r>
            <w:r>
              <w:t xml:space="preserve">: hotline 1900 1562,</w:t>
            </w:r>
            <w:r>
              <w:t xml:space="preserve"> </w:t>
            </w:r>
            <w:hyperlink r:id="rIdG15">
              <w:r>
                <w:rPr>
                  <w:rStyle w:val="Hyperlink"/>
                </w:rPr>
                <w:t xml:space="preserve">info@baohiemtasco.vn</w:t>
              </w:r>
            </w:hyperlink>
            <w:r>
              <w:t xml:space="preserve">, baohiemtasco.vn, the Facebook page and Messenger (m.me/tasco.baohiem), and the Zalo Official Account</w:t>
            </w:r>
            <w:r>
              <w:t xml:space="preserve"> </w:t>
            </w:r>
            <w:r>
              <w:t xml:space="preserve">“</w:t>
            </w:r>
            <w:r>
              <w:t xml:space="preserve">Bảo hiểm Tasco</w:t>
            </w:r>
            <w:r>
              <w:t xml:space="preserve">”</w:t>
            </w:r>
            <w:r>
              <w:t xml:space="preserve">, which customers find by searching in Zalo until TASCO provides a direct OA link. An unset channel is hidden. Voice handoffs and telesales callbacks present a registered TASCO caller identity.</w:t>
            </w:r>
          </w:p>
        </w:tc>
      </w:tr>
    </w:tbl>
    <w:p>
      <w:pPr>
        <w:pStyle w:val="Heading2"/>
      </w:pPr>
      <w:bookmarkStart w:id="41" w:name="_Toc300000037"/>
      <w:r>
        <w:t xml:space="preserve">TASCO payment gateway</w:t>
      </w:r>
      <w:bookmarkEnd w:id="41"/>
    </w:p>
    <w:p>
      <w:pPr>
        <w:pStyle w:val="FirstParagraph"/>
      </w:pPr>
      <w:r>
        <w:t xml:space="preserve">When the customer app runs in TASCO’s app or website (</w:t>
      </w:r>
      <w:r>
        <w:rPr>
          <w:rStyle w:val="CodeChar"/>
        </w:rPr>
        <w:t xml:space="preserve">tasco_app</w:t>
      </w:r>
      <w:r>
        <w:t xml:space="preserve"> </w:t>
      </w:r>
      <w:r>
        <w:t xml:space="preserve">or</w:t>
      </w:r>
      <w:r>
        <w:t xml:space="preserve"> </w:t>
      </w:r>
      <w:r>
        <w:rPr>
          <w:rStyle w:val="CodeChar"/>
        </w:rPr>
        <w:t xml:space="preserve">tasco_web</w:t>
      </w:r>
      <w:r>
        <w:t xml:space="preserve">), payment goes through a second payment port backed by TASCO’s existing online payment gateway, the one behind e.baohiemtasco.vn. The port has the same</w:t>
      </w:r>
      <w:r>
        <w:t xml:space="preserve"> </w:t>
      </w:r>
      <w:r>
        <w:rPr>
          <w:rStyle w:val="CodeChar"/>
        </w:rPr>
        <w:t xml:space="preserve">debit</w:t>
      </w:r>
      <w:r>
        <w:t xml:space="preserve"> </w:t>
      </w:r>
      <w:r>
        <w:t xml:space="preserve">and</w:t>
      </w:r>
      <w:r>
        <w:t xml:space="preserve"> </w:t>
      </w:r>
      <w:r>
        <w:rPr>
          <w:rStyle w:val="CodeChar"/>
        </w:rPr>
        <w:t xml:space="preserve">refund</w:t>
      </w:r>
      <w:r>
        <w:t xml:space="preserve"> </w:t>
      </w:r>
      <w:r>
        <w:t xml:space="preserve">contract, idempotency, circuit breaker and saga refund as the wallet, so the payment and refund sequences in section 5 apply unchanged. The sales service chooses the port from the host channel in the customer’s session; the VETC app and the Zalo Mini App always use the VETC wallet. Today the port is a sandbox adapter; the real adapter is built against TASCO’s gateway specification with scale module S3, and card data never passes through the platform.</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2" w:name="_Toc300000038"/>
      <w:r>
        <w:rPr>
          <w:rStyle w:val="BookTitle"/>
          <w:bCs w:val="0"/>
          <w:i w:val="0"/>
          <w:iCs w:val="0"/>
          <w:spacing w:val="0"/>
        </w:rPr>
        <w:t xml:space="preserve">Data warehouse and outbound feeds</w:t>
      </w:r>
      <w:bookmarkEnd w:id="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46"/>
        <w:gridCol w:w="1861"/>
        <w:gridCol w:w="3990"/>
        <w:gridCol w:w="1330"/>
      </w:tblGrid>
      <w:tr>
        <w:trPr>
          <w:cantSplit/>
          <w:tblHeader/>
        </w:trPr>
        <w:tc>
          <w:tcPr>
            <w:tcW w:w="1846" w:type="dxa"/>
            <w:shd w:val="clear" w:color="auto" w:fill="0F4761"/>
            <w:vAlign w:val="center"/>
          </w:tcPr>
          <w:p>
            <w:pPr>
              <w:pStyle w:val="TableHeading"/>
              <w:jc w:val="left"/>
            </w:pPr>
            <w:r>
              <w:rPr>
                <w:color w:val="FFFFFF"/>
              </w:rPr>
              <w:t xml:space="preserve">Feed</w:t>
            </w:r>
          </w:p>
        </w:tc>
        <w:tc>
          <w:tcPr>
            <w:tcW w:w="1861" w:type="dxa"/>
            <w:shd w:val="clear" w:color="auto" w:fill="0F4761"/>
            <w:vAlign w:val="center"/>
          </w:tcPr>
          <w:p>
            <w:pPr>
              <w:pStyle w:val="TableHeading"/>
              <w:jc w:val="left"/>
            </w:pPr>
            <w:r>
              <w:rPr>
                <w:color w:val="FFFFFF"/>
              </w:rPr>
              <w:t xml:space="preserve">Consumer</w:t>
            </w:r>
          </w:p>
        </w:tc>
        <w:tc>
          <w:tcPr>
            <w:tcW w:w="3990" w:type="dxa"/>
            <w:shd w:val="clear" w:color="auto" w:fill="0F4761"/>
            <w:vAlign w:val="center"/>
          </w:tcPr>
          <w:p>
            <w:pPr>
              <w:pStyle w:val="TableHeading"/>
              <w:jc w:val="left"/>
            </w:pPr>
            <w:r>
              <w:rPr>
                <w:color w:val="FFFFFF"/>
              </w:rPr>
              <w:t xml:space="preserve">Content</w:t>
            </w:r>
          </w:p>
        </w:tc>
        <w:tc>
          <w:tcPr>
            <w:tcW w:w="1330" w:type="dxa"/>
            <w:shd w:val="clear" w:color="auto" w:fill="0F4761"/>
            <w:vAlign w:val="center"/>
          </w:tcPr>
          <w:p>
            <w:pPr>
              <w:pStyle w:val="TableHeading"/>
              <w:jc w:val="left"/>
            </w:pPr>
            <w:r>
              <w:rPr>
                <w:color w:val="FFFFFF"/>
              </w:rPr>
              <w:t xml:space="preserve">Cadence</w:t>
            </w:r>
          </w:p>
        </w:tc>
      </w:tr>
      <w:tr>
        <w:trPr>
          <w:cantSplit/>
        </w:trPr>
        <w:tc>
          <w:tcPr>
            <w:tcW w:w="1846" w:type="dxa"/>
            <w:vAlign w:val="top"/>
          </w:tcPr>
          <w:p>
            <w:pPr>
              <w:pStyle w:val="TableText"/>
              <w:jc w:val="left"/>
            </w:pPr>
            <w:r>
              <w:t xml:space="preserve">Analytics extract</w:t>
            </w:r>
          </w:p>
        </w:tc>
        <w:tc>
          <w:tcPr>
            <w:tcW w:w="1861" w:type="dxa"/>
            <w:vAlign w:val="top"/>
          </w:tcPr>
          <w:p>
            <w:pPr>
              <w:pStyle w:val="TableText"/>
              <w:jc w:val="left"/>
            </w:pPr>
            <w:r>
              <w:t xml:space="preserve">TASCO data warehouse</w:t>
            </w:r>
          </w:p>
        </w:tc>
        <w:tc>
          <w:tcPr>
            <w:tcW w:w="3990" w:type="dxa"/>
            <w:vAlign w:val="top"/>
          </w:tcPr>
          <w:p>
            <w:pPr>
              <w:pStyle w:val="TableText"/>
              <w:jc w:val="left"/>
            </w:pPr>
            <w:r>
              <w:t xml:space="preserve">Leads, journeys, sales and outcomes, pseudonymised; no decrypted personal data</w:t>
            </w:r>
          </w:p>
        </w:tc>
        <w:tc>
          <w:tcPr>
            <w:tcW w:w="1330" w:type="dxa"/>
            <w:vAlign w:val="top"/>
          </w:tcPr>
          <w:p>
            <w:pPr>
              <w:pStyle w:val="TableText"/>
              <w:jc w:val="left"/>
            </w:pPr>
            <w:r>
              <w:t xml:space="preserve">Daily (scale phase)</w:t>
            </w:r>
          </w:p>
        </w:tc>
      </w:tr>
      <w:tr>
        <w:trPr>
          <w:cantSplit/>
        </w:trPr>
        <w:tc>
          <w:tcPr>
            <w:tcW w:w="1846" w:type="dxa"/>
            <w:shd w:val="clear" w:color="auto" w:fill="F4F7FB"/>
            <w:vAlign w:val="top"/>
          </w:tcPr>
          <w:p>
            <w:pPr>
              <w:pStyle w:val="TableText"/>
              <w:jc w:val="left"/>
            </w:pPr>
            <w:r>
              <w:t xml:space="preserve">Policy register delta</w:t>
            </w:r>
          </w:p>
        </w:tc>
        <w:tc>
          <w:tcPr>
            <w:tcW w:w="1861" w:type="dxa"/>
            <w:shd w:val="clear" w:color="auto" w:fill="F4F7FB"/>
            <w:vAlign w:val="top"/>
          </w:tcPr>
          <w:p>
            <w:pPr>
              <w:pStyle w:val="TableText"/>
              <w:jc w:val="left"/>
            </w:pPr>
            <w:r>
              <w:t xml:space="preserve">TASCO core and finance</w:t>
            </w:r>
          </w:p>
        </w:tc>
        <w:tc>
          <w:tcPr>
            <w:tcW w:w="3990" w:type="dxa"/>
            <w:shd w:val="clear" w:color="auto" w:fill="F4F7FB"/>
            <w:vAlign w:val="top"/>
          </w:tcPr>
          <w:p>
            <w:pPr>
              <w:pStyle w:val="TableText"/>
              <w:jc w:val="left"/>
            </w:pPr>
            <w:r>
              <w:t xml:space="preserve">Policies and orders with payment reference and commission</w:t>
            </w:r>
          </w:p>
        </w:tc>
        <w:tc>
          <w:tcPr>
            <w:tcW w:w="1330" w:type="dxa"/>
            <w:shd w:val="clear" w:color="auto" w:fill="F4F7FB"/>
            <w:vAlign w:val="top"/>
          </w:tcPr>
          <w:p>
            <w:pPr>
              <w:pStyle w:val="TableText"/>
              <w:jc w:val="left"/>
            </w:pPr>
            <w:r>
              <w:t xml:space="preserve">Daily</w:t>
            </w:r>
          </w:p>
        </w:tc>
      </w:tr>
      <w:tr>
        <w:trPr>
          <w:cantSplit/>
        </w:trPr>
        <w:tc>
          <w:tcPr>
            <w:tcW w:w="1846" w:type="dxa"/>
            <w:vAlign w:val="top"/>
          </w:tcPr>
          <w:p>
            <w:pPr>
              <w:pStyle w:val="TableText"/>
              <w:jc w:val="left"/>
            </w:pPr>
            <w:r>
              <w:t xml:space="preserve">Commission statements</w:t>
            </w:r>
          </w:p>
        </w:tc>
        <w:tc>
          <w:tcPr>
            <w:tcW w:w="1861" w:type="dxa"/>
            <w:vAlign w:val="top"/>
          </w:tcPr>
          <w:p>
            <w:pPr>
              <w:pStyle w:val="TableText"/>
              <w:jc w:val="left"/>
            </w:pPr>
            <w:r>
              <w:t xml:space="preserve">Partners and TASCO finance</w:t>
            </w:r>
          </w:p>
        </w:tc>
        <w:tc>
          <w:tcPr>
            <w:tcW w:w="3990" w:type="dxa"/>
            <w:vAlign w:val="top"/>
          </w:tcPr>
          <w:p>
            <w:pPr>
              <w:pStyle w:val="TableText"/>
              <w:jc w:val="left"/>
            </w:pPr>
            <w:r>
              <w:t xml:space="preserve">Partner sales and commission per line</w:t>
            </w:r>
          </w:p>
        </w:tc>
        <w:tc>
          <w:tcPr>
            <w:tcW w:w="1330" w:type="dxa"/>
            <w:vAlign w:val="top"/>
          </w:tcPr>
          <w:p>
            <w:pPr>
              <w:pStyle w:val="TableText"/>
              <w:jc w:val="left"/>
            </w:pPr>
            <w:r>
              <w:t xml:space="preserve">Monthly</w:t>
            </w:r>
          </w:p>
        </w:tc>
      </w:tr>
      <w:tr>
        <w:trPr>
          <w:cantSplit/>
        </w:trPr>
        <w:tc>
          <w:tcPr>
            <w:tcW w:w="1846" w:type="dxa"/>
            <w:shd w:val="clear" w:color="auto" w:fill="F4F7FB"/>
            <w:vAlign w:val="top"/>
          </w:tcPr>
          <w:p>
            <w:pPr>
              <w:pStyle w:val="TableText"/>
              <w:jc w:val="left"/>
            </w:pPr>
            <w:r>
              <w:t xml:space="preserve">Data quality feedback</w:t>
            </w:r>
          </w:p>
        </w:tc>
        <w:tc>
          <w:tcPr>
            <w:tcW w:w="1861" w:type="dxa"/>
            <w:shd w:val="clear" w:color="auto" w:fill="F4F7FB"/>
            <w:vAlign w:val="top"/>
          </w:tcPr>
          <w:p>
            <w:pPr>
              <w:pStyle w:val="TableText"/>
              <w:jc w:val="left"/>
            </w:pPr>
            <w:r>
              <w:t xml:space="preserve">VETC data office</w:t>
            </w:r>
          </w:p>
        </w:tc>
        <w:tc>
          <w:tcPr>
            <w:tcW w:w="3990" w:type="dxa"/>
            <w:shd w:val="clear" w:color="auto" w:fill="F4F7FB"/>
            <w:vAlign w:val="top"/>
          </w:tcPr>
          <w:p>
            <w:pPr>
              <w:pStyle w:val="TableText"/>
              <w:jc w:val="left"/>
            </w:pPr>
            <w:r>
              <w:t xml:space="preserve">Invalid plates, conflicting phones, wrong-person outcomes by record id</w:t>
            </w:r>
          </w:p>
        </w:tc>
        <w:tc>
          <w:tcPr>
            <w:tcW w:w="1330" w:type="dxa"/>
            <w:shd w:val="clear" w:color="auto" w:fill="F4F7FB"/>
            <w:vAlign w:val="top"/>
          </w:tcPr>
          <w:p>
            <w:pPr>
              <w:pStyle w:val="TableText"/>
              <w:jc w:val="left"/>
            </w:pPr>
            <w:r>
              <w:t xml:space="preserve">Weekly</w:t>
            </w:r>
          </w:p>
        </w:tc>
      </w:tr>
    </w:tbl>
    <w:p>
      <w:pPr>
        <w:pStyle w:val="BodyText"/>
        <w:spacing w:before="160"/>
      </w:pPr>
      <w:r>
        <w:t xml:space="preserve">TGP-ARC-03 Data Architecture describes the pseudonymisation rules for the analytics extract.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3" w:name="_Toc300000039"/>
      <w:r>
        <w:rPr>
          <w:rStyle w:val="BookTitle"/>
          <w:bCs w:val="0"/>
          <w:i w:val="0"/>
          <w:iCs w:val="0"/>
          <w:spacing w:val="0"/>
        </w:rPr>
        <w:t xml:space="preserve">Identity integrations</w:t>
      </w:r>
      <w:bookmarkEnd w:id="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38"/>
        <w:gridCol w:w="3054"/>
        <w:gridCol w:w="4635"/>
      </w:tblGrid>
      <w:tr>
        <w:trPr>
          <w:cantSplit/>
          <w:tblHeader/>
        </w:trPr>
        <w:tc>
          <w:tcPr>
            <w:tcW w:w="1338" w:type="dxa"/>
            <w:shd w:val="clear" w:color="auto" w:fill="0F4761"/>
            <w:vAlign w:val="center"/>
          </w:tcPr>
          <w:p>
            <w:pPr>
              <w:pStyle w:val="TableHeading"/>
              <w:jc w:val="left"/>
            </w:pPr>
            <w:r>
              <w:rPr>
                <w:color w:val="FFFFFF"/>
              </w:rPr>
              <w:t xml:space="preserve">Principal</w:t>
            </w:r>
          </w:p>
        </w:tc>
        <w:tc>
          <w:tcPr>
            <w:tcW w:w="3054" w:type="dxa"/>
            <w:shd w:val="clear" w:color="auto" w:fill="0F4761"/>
            <w:vAlign w:val="center"/>
          </w:tcPr>
          <w:p>
            <w:pPr>
              <w:pStyle w:val="TableHeading"/>
              <w:jc w:val="left"/>
            </w:pPr>
            <w:r>
              <w:rPr>
                <w:color w:val="FFFFFF"/>
              </w:rPr>
              <w:t xml:space="preserve">Today</w:t>
            </w:r>
          </w:p>
        </w:tc>
        <w:tc>
          <w:tcPr>
            <w:tcW w:w="4635" w:type="dxa"/>
            <w:shd w:val="clear" w:color="auto" w:fill="0F4761"/>
            <w:vAlign w:val="center"/>
          </w:tcPr>
          <w:p>
            <w:pPr>
              <w:pStyle w:val="TableHeading"/>
              <w:jc w:val="left"/>
            </w:pPr>
            <w:r>
              <w:rPr>
                <w:color w:val="FFFFFF"/>
              </w:rPr>
              <w:t xml:space="preserve">Target</w:t>
            </w:r>
          </w:p>
        </w:tc>
      </w:tr>
      <w:tr>
        <w:trPr>
          <w:cantSplit/>
        </w:trPr>
        <w:tc>
          <w:tcPr>
            <w:tcW w:w="1338" w:type="dxa"/>
            <w:vAlign w:val="top"/>
          </w:tcPr>
          <w:p>
            <w:pPr>
              <w:pStyle w:val="TableText"/>
              <w:jc w:val="left"/>
            </w:pPr>
            <w:r>
              <w:t xml:space="preserve">Staff</w:t>
            </w:r>
          </w:p>
        </w:tc>
        <w:tc>
          <w:tcPr>
            <w:tcW w:w="3054" w:type="dxa"/>
            <w:vAlign w:val="top"/>
          </w:tcPr>
          <w:p>
            <w:pPr>
              <w:pStyle w:val="TableText"/>
              <w:jc w:val="left"/>
            </w:pPr>
            <w:r>
              <w:t xml:space="preserve">Local accounts, password plus TOTP for privileged roles, 30-minute tokens</w:t>
            </w:r>
          </w:p>
        </w:tc>
        <w:tc>
          <w:tcPr>
            <w:tcW w:w="4635" w:type="dxa"/>
            <w:vAlign w:val="top"/>
          </w:tcPr>
          <w:p>
            <w:pPr>
              <w:pStyle w:val="TableText"/>
              <w:jc w:val="left"/>
            </w:pPr>
            <w:r>
              <w:t xml:space="preserve">OIDC authorisation code with PKCE against the TASCO identity provider; groups mapped to platform roles; MFA by conditional access</w:t>
            </w:r>
          </w:p>
        </w:tc>
      </w:tr>
      <w:tr>
        <w:trPr>
          <w:cantSplit/>
        </w:trPr>
        <w:tc>
          <w:tcPr>
            <w:tcW w:w="1338" w:type="dxa"/>
            <w:shd w:val="clear" w:color="auto" w:fill="F4F7FB"/>
            <w:vAlign w:val="top"/>
          </w:tcPr>
          <w:p>
            <w:pPr>
              <w:pStyle w:val="TableText"/>
              <w:jc w:val="left"/>
            </w:pPr>
            <w:r>
              <w:t xml:space="preserve">Customers</w:t>
            </w:r>
          </w:p>
        </w:tc>
        <w:tc>
          <w:tcPr>
            <w:tcW w:w="3054" w:type="dxa"/>
            <w:shd w:val="clear" w:color="auto" w:fill="F4F7FB"/>
            <w:vAlign w:val="top"/>
          </w:tcPr>
          <w:p>
            <w:pPr>
              <w:pStyle w:val="TableText"/>
              <w:jc w:val="left"/>
            </w:pPr>
            <w:r>
              <w:t xml:space="preserve">Signed renewal link, then a one-hour customer token</w:t>
            </w:r>
          </w:p>
        </w:tc>
        <w:tc>
          <w:tcPr>
            <w:tcW w:w="4635" w:type="dxa"/>
            <w:shd w:val="clear" w:color="auto" w:fill="F4F7FB"/>
            <w:vAlign w:val="top"/>
          </w:tcPr>
          <w:p>
            <w:pPr>
              <w:pStyle w:val="TableText"/>
              <w:jc w:val="left"/>
            </w:pPr>
            <w:r>
              <w:t xml:space="preserve">VETC app sign-on, exchanged for a platform customer token</w:t>
            </w:r>
          </w:p>
        </w:tc>
      </w:tr>
      <w:tr>
        <w:trPr>
          <w:cantSplit/>
        </w:trPr>
        <w:tc>
          <w:tcPr>
            <w:tcW w:w="1338" w:type="dxa"/>
            <w:vAlign w:val="top"/>
          </w:tcPr>
          <w:p>
            <w:pPr>
              <w:pStyle w:val="TableText"/>
              <w:jc w:val="left"/>
            </w:pPr>
            <w:r>
              <w:t xml:space="preserve">Partners</w:t>
            </w:r>
          </w:p>
        </w:tc>
        <w:tc>
          <w:tcPr>
            <w:tcW w:w="3054" w:type="dxa"/>
            <w:vAlign w:val="top"/>
          </w:tcPr>
          <w:p>
            <w:pPr>
              <w:pStyle w:val="TableText"/>
              <w:jc w:val="left"/>
            </w:pPr>
            <w:r>
              <w:t xml:space="preserve">API key with enforced scopes</w:t>
            </w:r>
          </w:p>
        </w:tc>
        <w:tc>
          <w:tcPr>
            <w:tcW w:w="4635" w:type="dxa"/>
            <w:vAlign w:val="top"/>
          </w:tcPr>
          <w:p>
            <w:pPr>
              <w:pStyle w:val="TableText"/>
              <w:jc w:val="left"/>
            </w:pPr>
            <w:r>
              <w:t xml:space="preserve">OAuth 2.0 client credentials or mutual TLS at the gateway</w:t>
            </w:r>
          </w:p>
        </w:tc>
      </w:tr>
    </w:tbl>
    <w:p>
      <w:pPr>
        <w:pStyle w:val="BodyText"/>
        <w:spacing w:before="160"/>
      </w:pPr>
      <w:r>
        <w:t xml:space="preserve">ADR-007 in TGP-ARC-07 Architecture Decision Records records this decision and its migration path.</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4" w:name="_Toc300000040"/>
      <w:r>
        <w:rPr>
          <w:rStyle w:val="BookTitle"/>
          <w:bCs w:val="0"/>
          <w:i w:val="0"/>
          <w:iCs w:val="0"/>
          <w:spacing w:val="0"/>
        </w:rPr>
        <w:t xml:space="preserve">Proposed service levels</w:t>
      </w:r>
      <w:bookmarkEnd w:id="44"/>
    </w:p>
    <w:p>
      <w:pPr>
        <w:pStyle w:val="FirstParagraph"/>
      </w:pPr>
      <w:r>
        <w:t xml:space="preserve">These figures are proposals for the integration agreements; each is confirmed with the provider.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54"/>
        <w:gridCol w:w="1738"/>
        <w:gridCol w:w="1720"/>
        <w:gridCol w:w="1638"/>
        <w:gridCol w:w="2277"/>
      </w:tblGrid>
      <w:tr>
        <w:trPr>
          <w:cantSplit/>
          <w:tblHeader/>
        </w:trPr>
        <w:tc>
          <w:tcPr>
            <w:tcW w:w="1654" w:type="dxa"/>
            <w:shd w:val="clear" w:color="auto" w:fill="0F4761"/>
            <w:vAlign w:val="center"/>
          </w:tcPr>
          <w:p>
            <w:pPr>
              <w:pStyle w:val="TableHeading"/>
              <w:jc w:val="left"/>
            </w:pPr>
            <w:r>
              <w:rPr>
                <w:color w:val="FFFFFF"/>
              </w:rPr>
              <w:t xml:space="preserve">Integration</w:t>
            </w:r>
          </w:p>
        </w:tc>
        <w:tc>
          <w:tcPr>
            <w:tcW w:w="1738" w:type="dxa"/>
            <w:shd w:val="clear" w:color="auto" w:fill="0F4761"/>
            <w:vAlign w:val="center"/>
          </w:tcPr>
          <w:p>
            <w:pPr>
              <w:pStyle w:val="TableHeading"/>
              <w:jc w:val="left"/>
            </w:pPr>
            <w:r>
              <w:rPr>
                <w:color w:val="FFFFFF"/>
              </w:rPr>
              <w:t xml:space="preserve">Availability</w:t>
            </w:r>
          </w:p>
        </w:tc>
        <w:tc>
          <w:tcPr>
            <w:tcW w:w="1720" w:type="dxa"/>
            <w:shd w:val="clear" w:color="auto" w:fill="0F4761"/>
            <w:vAlign w:val="center"/>
          </w:tcPr>
          <w:p>
            <w:pPr>
              <w:pStyle w:val="TableHeading"/>
              <w:jc w:val="left"/>
            </w:pPr>
            <w:r>
              <w:rPr>
                <w:color w:val="FFFFFF"/>
              </w:rPr>
              <w:t xml:space="preserve">Latency (95th percentile)</w:t>
            </w:r>
          </w:p>
        </w:tc>
        <w:tc>
          <w:tcPr>
            <w:tcW w:w="1638" w:type="dxa"/>
            <w:shd w:val="clear" w:color="auto" w:fill="0F4761"/>
            <w:vAlign w:val="center"/>
          </w:tcPr>
          <w:p>
            <w:pPr>
              <w:pStyle w:val="TableHeading"/>
              <w:jc w:val="left"/>
            </w:pPr>
            <w:r>
              <w:rPr>
                <w:color w:val="FFFFFF"/>
              </w:rPr>
              <w:t xml:space="preserve">Peak throughput</w:t>
            </w:r>
          </w:p>
        </w:tc>
        <w:tc>
          <w:tcPr>
            <w:tcW w:w="2277" w:type="dxa"/>
            <w:shd w:val="clear" w:color="auto" w:fill="0F4761"/>
            <w:vAlign w:val="center"/>
          </w:tcPr>
          <w:p>
            <w:pPr>
              <w:pStyle w:val="TableHeading"/>
              <w:jc w:val="left"/>
            </w:pPr>
            <w:r>
              <w:rPr>
                <w:color w:val="FFFFFF"/>
              </w:rPr>
              <w:t xml:space="preserve">Behaviour when breached</w:t>
            </w:r>
          </w:p>
        </w:tc>
      </w:tr>
      <w:tr>
        <w:trPr>
          <w:cantSplit/>
        </w:trPr>
        <w:tc>
          <w:tcPr>
            <w:tcW w:w="1654" w:type="dxa"/>
            <w:vAlign w:val="top"/>
          </w:tcPr>
          <w:p>
            <w:pPr>
              <w:pStyle w:val="TableText"/>
              <w:jc w:val="left"/>
            </w:pPr>
            <w:r>
              <w:t xml:space="preserve">TASCO core rating</w:t>
            </w:r>
          </w:p>
        </w:tc>
        <w:tc>
          <w:tcPr>
            <w:tcW w:w="1738" w:type="dxa"/>
            <w:vAlign w:val="top"/>
          </w:tcPr>
          <w:p>
            <w:pPr>
              <w:pStyle w:val="TableText"/>
              <w:jc w:val="left"/>
            </w:pPr>
            <w:r>
              <w:t xml:space="preserve">99.9% in contact hours</w:t>
            </w:r>
          </w:p>
        </w:tc>
        <w:tc>
          <w:tcPr>
            <w:tcW w:w="1720" w:type="dxa"/>
            <w:vAlign w:val="top"/>
          </w:tcPr>
          <w:p>
            <w:pPr>
              <w:pStyle w:val="TableText"/>
              <w:jc w:val="left"/>
            </w:pPr>
            <w:r>
              <w:t xml:space="preserve">1 s</w:t>
            </w:r>
          </w:p>
        </w:tc>
        <w:tc>
          <w:tcPr>
            <w:tcW w:w="1638" w:type="dxa"/>
            <w:vAlign w:val="top"/>
          </w:tcPr>
          <w:p>
            <w:pPr>
              <w:pStyle w:val="TableText"/>
              <w:jc w:val="left"/>
            </w:pPr>
            <w:r>
              <w:t xml:space="preserve">10 per second</w:t>
            </w:r>
          </w:p>
        </w:tc>
        <w:tc>
          <w:tcPr>
            <w:tcW w:w="2277" w:type="dxa"/>
            <w:vAlign w:val="top"/>
          </w:tcPr>
          <w:p>
            <w:pPr>
              <w:pStyle w:val="TableText"/>
              <w:jc w:val="left"/>
            </w:pPr>
            <w:r>
              <w:t xml:space="preserve">Fail closed or indicative price, per rating mode</w:t>
            </w:r>
          </w:p>
        </w:tc>
      </w:tr>
      <w:tr>
        <w:trPr>
          <w:cantSplit/>
        </w:trPr>
        <w:tc>
          <w:tcPr>
            <w:tcW w:w="1654" w:type="dxa"/>
            <w:shd w:val="clear" w:color="auto" w:fill="F4F7FB"/>
            <w:vAlign w:val="top"/>
          </w:tcPr>
          <w:p>
            <w:pPr>
              <w:pStyle w:val="TableText"/>
              <w:jc w:val="left"/>
            </w:pPr>
            <w:r>
              <w:t xml:space="preserve">TASCO core issuance</w:t>
            </w:r>
          </w:p>
        </w:tc>
        <w:tc>
          <w:tcPr>
            <w:tcW w:w="1738" w:type="dxa"/>
            <w:shd w:val="clear" w:color="auto" w:fill="F4F7FB"/>
            <w:vAlign w:val="top"/>
          </w:tcPr>
          <w:p>
            <w:pPr>
              <w:pStyle w:val="TableText"/>
              <w:jc w:val="left"/>
            </w:pPr>
            <w:r>
              <w:t xml:space="preserve">99.9%</w:t>
            </w:r>
          </w:p>
        </w:tc>
        <w:tc>
          <w:tcPr>
            <w:tcW w:w="1720" w:type="dxa"/>
            <w:shd w:val="clear" w:color="auto" w:fill="F4F7FB"/>
            <w:vAlign w:val="top"/>
          </w:tcPr>
          <w:p>
            <w:pPr>
              <w:pStyle w:val="TableText"/>
              <w:jc w:val="left"/>
            </w:pPr>
            <w:r>
              <w:t xml:space="preserve">3 s per line</w:t>
            </w:r>
          </w:p>
        </w:tc>
        <w:tc>
          <w:tcPr>
            <w:tcW w:w="1638" w:type="dxa"/>
            <w:shd w:val="clear" w:color="auto" w:fill="F4F7FB"/>
            <w:vAlign w:val="top"/>
          </w:tcPr>
          <w:p>
            <w:pPr>
              <w:pStyle w:val="TableText"/>
              <w:jc w:val="left"/>
            </w:pPr>
            <w:r>
              <w:t xml:space="preserve">10 per second</w:t>
            </w:r>
          </w:p>
        </w:tc>
        <w:tc>
          <w:tcPr>
            <w:tcW w:w="2277" w:type="dxa"/>
            <w:shd w:val="clear" w:color="auto" w:fill="F4F7FB"/>
            <w:vAlign w:val="top"/>
          </w:tcPr>
          <w:p>
            <w:pPr>
              <w:pStyle w:val="TableText"/>
              <w:jc w:val="left"/>
            </w:pPr>
            <w:r>
              <w:t xml:space="preserve">Cancel and refund, then reconciliation</w:t>
            </w:r>
          </w:p>
        </w:tc>
      </w:tr>
      <w:tr>
        <w:trPr>
          <w:cantSplit/>
        </w:trPr>
        <w:tc>
          <w:tcPr>
            <w:tcW w:w="1654" w:type="dxa"/>
            <w:vAlign w:val="top"/>
          </w:tcPr>
          <w:p>
            <w:pPr>
              <w:pStyle w:val="TableText"/>
              <w:jc w:val="left"/>
            </w:pPr>
            <w:r>
              <w:t xml:space="preserve">VETC wallet</w:t>
            </w:r>
          </w:p>
        </w:tc>
        <w:tc>
          <w:tcPr>
            <w:tcW w:w="1738" w:type="dxa"/>
            <w:vAlign w:val="top"/>
          </w:tcPr>
          <w:p>
            <w:pPr>
              <w:pStyle w:val="TableText"/>
              <w:jc w:val="left"/>
            </w:pPr>
            <w:r>
              <w:t xml:space="preserve">99.95%</w:t>
            </w:r>
          </w:p>
        </w:tc>
        <w:tc>
          <w:tcPr>
            <w:tcW w:w="1720" w:type="dxa"/>
            <w:vAlign w:val="top"/>
          </w:tcPr>
          <w:p>
            <w:pPr>
              <w:pStyle w:val="TableText"/>
              <w:jc w:val="left"/>
            </w:pPr>
            <w:r>
              <w:t xml:space="preserve">2 s</w:t>
            </w:r>
          </w:p>
        </w:tc>
        <w:tc>
          <w:tcPr>
            <w:tcW w:w="1638" w:type="dxa"/>
            <w:vAlign w:val="top"/>
          </w:tcPr>
          <w:p>
            <w:pPr>
              <w:pStyle w:val="TableText"/>
              <w:jc w:val="left"/>
            </w:pPr>
            <w:r>
              <w:t xml:space="preserve">5 per second</w:t>
            </w:r>
          </w:p>
        </w:tc>
        <w:tc>
          <w:tcPr>
            <w:tcW w:w="2277" w:type="dxa"/>
            <w:vAlign w:val="top"/>
          </w:tcPr>
          <w:p>
            <w:pPr>
              <w:pStyle w:val="TableText"/>
              <w:jc w:val="left"/>
            </w:pPr>
            <w:r>
              <w:t xml:space="preserve">Payment returns 503, quote released, no partial state</w:t>
            </w:r>
          </w:p>
        </w:tc>
      </w:tr>
      <w:tr>
        <w:trPr>
          <w:cantSplit/>
        </w:trPr>
        <w:tc>
          <w:tcPr>
            <w:tcW w:w="1654" w:type="dxa"/>
            <w:shd w:val="clear" w:color="auto" w:fill="F4F7FB"/>
            <w:vAlign w:val="top"/>
          </w:tcPr>
          <w:p>
            <w:pPr>
              <w:pStyle w:val="TableText"/>
              <w:jc w:val="left"/>
            </w:pPr>
            <w:r>
              <w:t xml:space="preserve">TASCO payment gateway</w:t>
            </w:r>
          </w:p>
        </w:tc>
        <w:tc>
          <w:tcPr>
            <w:tcW w:w="1738" w:type="dxa"/>
            <w:shd w:val="clear" w:color="auto" w:fill="F4F7FB"/>
            <w:vAlign w:val="top"/>
          </w:tcPr>
          <w:p>
            <w:pPr>
              <w:pStyle w:val="TableText"/>
              <w:jc w:val="left"/>
            </w:pPr>
            <w:r>
              <w:t xml:space="preserve">99.95%</w:t>
            </w:r>
          </w:p>
        </w:tc>
        <w:tc>
          <w:tcPr>
            <w:tcW w:w="1720" w:type="dxa"/>
            <w:shd w:val="clear" w:color="auto" w:fill="F4F7FB"/>
            <w:vAlign w:val="top"/>
          </w:tcPr>
          <w:p>
            <w:pPr>
              <w:pStyle w:val="TableText"/>
              <w:jc w:val="left"/>
            </w:pPr>
            <w:r>
              <w:t xml:space="preserve">2 s</w:t>
            </w:r>
          </w:p>
        </w:tc>
        <w:tc>
          <w:tcPr>
            <w:tcW w:w="1638" w:type="dxa"/>
            <w:shd w:val="clear" w:color="auto" w:fill="F4F7FB"/>
            <w:vAlign w:val="top"/>
          </w:tcPr>
          <w:p>
            <w:pPr>
              <w:pStyle w:val="TableText"/>
              <w:jc w:val="left"/>
            </w:pPr>
            <w:r>
              <w:t xml:space="preserve">5 per second</w:t>
            </w:r>
          </w:p>
        </w:tc>
        <w:tc>
          <w:tcPr>
            <w:tcW w:w="2277" w:type="dxa"/>
            <w:shd w:val="clear" w:color="auto" w:fill="F4F7FB"/>
            <w:vAlign w:val="top"/>
          </w:tcPr>
          <w:p>
            <w:pPr>
              <w:pStyle w:val="TableText"/>
              <w:jc w:val="left"/>
            </w:pPr>
            <w:r>
              <w:t xml:space="preserve">As for the VETC wallet</w:t>
            </w:r>
          </w:p>
        </w:tc>
      </w:tr>
      <w:tr>
        <w:trPr>
          <w:cantSplit/>
        </w:trPr>
        <w:tc>
          <w:tcPr>
            <w:tcW w:w="1654" w:type="dxa"/>
            <w:vAlign w:val="top"/>
          </w:tcPr>
          <w:p>
            <w:pPr>
              <w:pStyle w:val="TableText"/>
              <w:jc w:val="left"/>
            </w:pPr>
            <w:r>
              <w:t xml:space="preserve">App push</w:t>
            </w:r>
          </w:p>
        </w:tc>
        <w:tc>
          <w:tcPr>
            <w:tcW w:w="1738" w:type="dxa"/>
            <w:vAlign w:val="top"/>
          </w:tcPr>
          <w:p>
            <w:pPr>
              <w:pStyle w:val="TableText"/>
              <w:jc w:val="left"/>
            </w:pPr>
            <w:r>
              <w:t xml:space="preserve">99.9%</w:t>
            </w:r>
          </w:p>
        </w:tc>
        <w:tc>
          <w:tcPr>
            <w:tcW w:w="1720" w:type="dxa"/>
            <w:vAlign w:val="top"/>
          </w:tcPr>
          <w:p>
            <w:pPr>
              <w:pStyle w:val="TableText"/>
              <w:jc w:val="left"/>
            </w:pPr>
            <w:r>
              <w:t xml:space="preserve">500 ms to accept</w:t>
            </w:r>
          </w:p>
        </w:tc>
        <w:tc>
          <w:tcPr>
            <w:tcW w:w="1638" w:type="dxa"/>
            <w:vAlign w:val="top"/>
          </w:tcPr>
          <w:p>
            <w:pPr>
              <w:pStyle w:val="TableText"/>
              <w:jc w:val="left"/>
            </w:pPr>
            <w:r>
              <w:t xml:space="preserve">200 per second</w:t>
            </w:r>
          </w:p>
        </w:tc>
        <w:tc>
          <w:tcPr>
            <w:tcW w:w="2277" w:type="dxa"/>
            <w:vAlign w:val="top"/>
          </w:tcPr>
          <w:p>
            <w:pPr>
              <w:pStyle w:val="TableText"/>
              <w:jc w:val="left"/>
            </w:pPr>
            <w:r>
              <w:t xml:space="preserve">Next channel in the step</w:t>
            </w:r>
          </w:p>
        </w:tc>
      </w:tr>
      <w:tr>
        <w:trPr>
          <w:cantSplit/>
        </w:trPr>
        <w:tc>
          <w:tcPr>
            <w:tcW w:w="1654" w:type="dxa"/>
            <w:shd w:val="clear" w:color="auto" w:fill="F4F7FB"/>
            <w:vAlign w:val="top"/>
          </w:tcPr>
          <w:p>
            <w:pPr>
              <w:pStyle w:val="TableText"/>
              <w:jc w:val="left"/>
            </w:pPr>
            <w:r>
              <w:t xml:space="preserve">Zalo ZNS</w:t>
            </w:r>
          </w:p>
        </w:tc>
        <w:tc>
          <w:tcPr>
            <w:tcW w:w="1738" w:type="dxa"/>
            <w:shd w:val="clear" w:color="auto" w:fill="F4F7FB"/>
            <w:vAlign w:val="top"/>
          </w:tcPr>
          <w:p>
            <w:pPr>
              <w:pStyle w:val="TableText"/>
              <w:jc w:val="left"/>
            </w:pPr>
            <w:r>
              <w:t xml:space="preserve">Provider terms</w:t>
            </w:r>
          </w:p>
        </w:tc>
        <w:tc>
          <w:tcPr>
            <w:tcW w:w="1720" w:type="dxa"/>
            <w:shd w:val="clear" w:color="auto" w:fill="F4F7FB"/>
            <w:vAlign w:val="top"/>
          </w:tcPr>
          <w:p>
            <w:pPr>
              <w:pStyle w:val="TableText"/>
              <w:jc w:val="left"/>
            </w:pPr>
            <w:r>
              <w:t xml:space="preserve">1 s to accept</w:t>
            </w:r>
          </w:p>
        </w:tc>
        <w:tc>
          <w:tcPr>
            <w:tcW w:w="1638" w:type="dxa"/>
            <w:shd w:val="clear" w:color="auto" w:fill="F4F7FB"/>
            <w:vAlign w:val="top"/>
          </w:tcPr>
          <w:p>
            <w:pPr>
              <w:pStyle w:val="TableText"/>
              <w:jc w:val="left"/>
            </w:pPr>
            <w:r>
              <w:t xml:space="preserve">50 per second (quota)</w:t>
            </w:r>
          </w:p>
        </w:tc>
        <w:tc>
          <w:tcPr>
            <w:tcW w:w="2277" w:type="dxa"/>
            <w:shd w:val="clear" w:color="auto" w:fill="F4F7FB"/>
            <w:vAlign w:val="top"/>
          </w:tcPr>
          <w:p>
            <w:pPr>
              <w:pStyle w:val="TableText"/>
              <w:jc w:val="left"/>
            </w:pPr>
            <w:r>
              <w:t xml:space="preserve">Next channel in the step</w:t>
            </w:r>
          </w:p>
        </w:tc>
      </w:tr>
      <w:tr>
        <w:trPr>
          <w:cantSplit/>
        </w:trPr>
        <w:tc>
          <w:tcPr>
            <w:tcW w:w="1654" w:type="dxa"/>
            <w:vAlign w:val="top"/>
          </w:tcPr>
          <w:p>
            <w:pPr>
              <w:pStyle w:val="TableText"/>
              <w:jc w:val="left"/>
            </w:pPr>
            <w:r>
              <w:t xml:space="preserve">SMS</w:t>
            </w:r>
          </w:p>
        </w:tc>
        <w:tc>
          <w:tcPr>
            <w:tcW w:w="1738" w:type="dxa"/>
            <w:vAlign w:val="top"/>
          </w:tcPr>
          <w:p>
            <w:pPr>
              <w:pStyle w:val="TableText"/>
              <w:jc w:val="left"/>
            </w:pPr>
            <w:r>
              <w:t xml:space="preserve">Provider terms</w:t>
            </w:r>
          </w:p>
        </w:tc>
        <w:tc>
          <w:tcPr>
            <w:tcW w:w="1720" w:type="dxa"/>
            <w:vAlign w:val="top"/>
          </w:tcPr>
          <w:p>
            <w:pPr>
              <w:pStyle w:val="TableText"/>
              <w:jc w:val="left"/>
            </w:pPr>
            <w:r>
              <w:t xml:space="preserve">1 s to accept</w:t>
            </w:r>
          </w:p>
        </w:tc>
        <w:tc>
          <w:tcPr>
            <w:tcW w:w="1638" w:type="dxa"/>
            <w:vAlign w:val="top"/>
          </w:tcPr>
          <w:p>
            <w:pPr>
              <w:pStyle w:val="TableText"/>
              <w:jc w:val="left"/>
            </w:pPr>
            <w:r>
              <w:t xml:space="preserve">50 per second</w:t>
            </w:r>
          </w:p>
        </w:tc>
        <w:tc>
          <w:tcPr>
            <w:tcW w:w="2277" w:type="dxa"/>
            <w:vAlign w:val="top"/>
          </w:tcPr>
          <w:p>
            <w:pPr>
              <w:pStyle w:val="TableText"/>
              <w:jc w:val="left"/>
            </w:pPr>
            <w:r>
              <w:t xml:space="preserve">Next channel or next run</w:t>
            </w:r>
          </w:p>
        </w:tc>
      </w:tr>
      <w:tr>
        <w:trPr>
          <w:cantSplit/>
        </w:trPr>
        <w:tc>
          <w:tcPr>
            <w:tcW w:w="1654" w:type="dxa"/>
            <w:shd w:val="clear" w:color="auto" w:fill="F4F7FB"/>
            <w:vAlign w:val="top"/>
          </w:tcPr>
          <w:p>
            <w:pPr>
              <w:pStyle w:val="TableText"/>
              <w:jc w:val="left"/>
            </w:pPr>
            <w:r>
              <w:t xml:space="preserve">Voice AI vendor</w:t>
            </w:r>
          </w:p>
        </w:tc>
        <w:tc>
          <w:tcPr>
            <w:tcW w:w="1738" w:type="dxa"/>
            <w:shd w:val="clear" w:color="auto" w:fill="F4F7FB"/>
            <w:vAlign w:val="top"/>
          </w:tcPr>
          <w:p>
            <w:pPr>
              <w:pStyle w:val="TableText"/>
              <w:jc w:val="left"/>
            </w:pPr>
            <w:r>
              <w:t xml:space="preserve">99.5%</w:t>
            </w:r>
          </w:p>
        </w:tc>
        <w:tc>
          <w:tcPr>
            <w:tcW w:w="1720" w:type="dxa"/>
            <w:shd w:val="clear" w:color="auto" w:fill="F4F7FB"/>
            <w:vAlign w:val="top"/>
          </w:tcPr>
          <w:p>
            <w:pPr>
              <w:pStyle w:val="TableText"/>
              <w:jc w:val="left"/>
            </w:pPr>
            <w:r>
              <w:t xml:space="preserve">Recognition 300 ms, speech 400 ms</w:t>
            </w:r>
          </w:p>
        </w:tc>
        <w:tc>
          <w:tcPr>
            <w:tcW w:w="1638" w:type="dxa"/>
            <w:shd w:val="clear" w:color="auto" w:fill="F4F7FB"/>
            <w:vAlign w:val="top"/>
          </w:tcPr>
          <w:p>
            <w:pPr>
              <w:pStyle w:val="TableText"/>
              <w:jc w:val="left"/>
            </w:pPr>
            <w:r>
              <w:t xml:space="preserve">100 concurrent calls (pilot 20)</w:t>
            </w:r>
          </w:p>
        </w:tc>
        <w:tc>
          <w:tcPr>
            <w:tcW w:w="2277" w:type="dxa"/>
            <w:shd w:val="clear" w:color="auto" w:fill="F4F7FB"/>
            <w:vAlign w:val="top"/>
          </w:tcPr>
          <w:p>
            <w:pPr>
              <w:pStyle w:val="TableText"/>
              <w:jc w:val="left"/>
            </w:pPr>
            <w:r>
              <w:t xml:space="preserve">Step retried in the next run within caps</w:t>
            </w:r>
          </w:p>
        </w:tc>
      </w:tr>
      <w:tr>
        <w:trPr>
          <w:cantSplit/>
        </w:trPr>
        <w:tc>
          <w:tcPr>
            <w:tcW w:w="1654" w:type="dxa"/>
            <w:vAlign w:val="top"/>
          </w:tcPr>
          <w:p>
            <w:pPr>
              <w:pStyle w:val="TableText"/>
              <w:jc w:val="left"/>
            </w:pPr>
            <w:r>
              <w:t xml:space="preserve">VETC CDC feed</w:t>
            </w:r>
          </w:p>
        </w:tc>
        <w:tc>
          <w:tcPr>
            <w:tcW w:w="1738" w:type="dxa"/>
            <w:vAlign w:val="top"/>
          </w:tcPr>
          <w:p>
            <w:pPr>
              <w:pStyle w:val="TableText"/>
              <w:jc w:val="left"/>
            </w:pPr>
            <w:r>
              <w:t xml:space="preserve">99.5%</w:t>
            </w:r>
          </w:p>
        </w:tc>
        <w:tc>
          <w:tcPr>
            <w:tcW w:w="1720" w:type="dxa"/>
            <w:vAlign w:val="top"/>
          </w:tcPr>
          <w:p>
            <w:pPr>
              <w:pStyle w:val="TableText"/>
              <w:jc w:val="left"/>
            </w:pPr>
            <w:r>
              <w:t xml:space="preserve">Data within 15 minutes</w:t>
            </w:r>
          </w:p>
        </w:tc>
        <w:tc>
          <w:tcPr>
            <w:tcW w:w="1638" w:type="dxa"/>
            <w:vAlign w:val="top"/>
          </w:tcPr>
          <w:p>
            <w:pPr>
              <w:pStyle w:val="TableText"/>
              <w:jc w:val="left"/>
            </w:pPr>
            <w:r>
              <w:t xml:space="preserve">1 to 2 million changes per day</w:t>
            </w:r>
          </w:p>
        </w:tc>
        <w:tc>
          <w:tcPr>
            <w:tcW w:w="2277" w:type="dxa"/>
            <w:vAlign w:val="top"/>
          </w:tcPr>
          <w:p>
            <w:pPr>
              <w:pStyle w:val="TableText"/>
              <w:jc w:val="left"/>
            </w:pPr>
            <w:r>
              <w:t xml:space="preserve">Backfill from the daily delta file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5" w:name="_Toc300000041"/>
      <w:r>
        <w:rPr>
          <w:rStyle w:val="BookTitle"/>
          <w:bCs w:val="0"/>
          <w:i w:val="0"/>
          <w:iCs w:val="0"/>
          <w:spacing w:val="0"/>
        </w:rPr>
        <w:t xml:space="preserve">Integration testing</w:t>
      </w:r>
      <w:bookmarkEnd w:id="4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78"/>
        <w:gridCol w:w="5312"/>
        <w:gridCol w:w="2037"/>
      </w:tblGrid>
      <w:tr>
        <w:trPr>
          <w:cantSplit/>
          <w:tblHeader/>
        </w:trPr>
        <w:tc>
          <w:tcPr>
            <w:tcW w:w="1678" w:type="dxa"/>
            <w:shd w:val="clear" w:color="auto" w:fill="0F4761"/>
            <w:vAlign w:val="center"/>
          </w:tcPr>
          <w:p>
            <w:pPr>
              <w:pStyle w:val="TableHeading"/>
              <w:jc w:val="left"/>
            </w:pPr>
            <w:r>
              <w:rPr>
                <w:color w:val="FFFFFF"/>
              </w:rPr>
              <w:t xml:space="preserve">Level</w:t>
            </w:r>
          </w:p>
        </w:tc>
        <w:tc>
          <w:tcPr>
            <w:tcW w:w="5312" w:type="dxa"/>
            <w:shd w:val="clear" w:color="auto" w:fill="0F4761"/>
            <w:vAlign w:val="center"/>
          </w:tcPr>
          <w:p>
            <w:pPr>
              <w:pStyle w:val="TableHeading"/>
              <w:jc w:val="left"/>
            </w:pPr>
            <w:r>
              <w:rPr>
                <w:color w:val="FFFFFF"/>
              </w:rPr>
              <w:t xml:space="preserve">Scope</w:t>
            </w:r>
          </w:p>
        </w:tc>
        <w:tc>
          <w:tcPr>
            <w:tcW w:w="2037" w:type="dxa"/>
            <w:shd w:val="clear" w:color="auto" w:fill="0F4761"/>
            <w:vAlign w:val="center"/>
          </w:tcPr>
          <w:p>
            <w:pPr>
              <w:pStyle w:val="TableHeading"/>
              <w:jc w:val="left"/>
            </w:pPr>
            <w:r>
              <w:rPr>
                <w:color w:val="FFFFFF"/>
              </w:rPr>
              <w:t xml:space="preserve">Where</w:t>
            </w:r>
          </w:p>
        </w:tc>
      </w:tr>
      <w:tr>
        <w:trPr>
          <w:cantSplit/>
        </w:trPr>
        <w:tc>
          <w:tcPr>
            <w:tcW w:w="1678" w:type="dxa"/>
            <w:vAlign w:val="top"/>
          </w:tcPr>
          <w:p>
            <w:pPr>
              <w:pStyle w:val="TableText"/>
              <w:jc w:val="left"/>
            </w:pPr>
            <w:r>
              <w:t xml:space="preserve">Automated suite</w:t>
            </w:r>
          </w:p>
        </w:tc>
        <w:tc>
          <w:tcPr>
            <w:tcW w:w="5312" w:type="dxa"/>
            <w:vAlign w:val="top"/>
          </w:tcPr>
          <w:p>
            <w:pPr>
              <w:pStyle w:val="TableText"/>
              <w:jc w:val="left"/>
            </w:pPr>
            <w:r>
              <w:t xml:space="preserve">Domain, services and HTTP API with sandbox gateways, including idempotency, compensation and circuit breakers</w:t>
            </w:r>
          </w:p>
        </w:tc>
        <w:tc>
          <w:tcPr>
            <w:tcW w:w="2037" w:type="dxa"/>
            <w:vAlign w:val="top"/>
          </w:tcPr>
          <w:p>
            <w:pPr>
              <w:pStyle w:val="TableText"/>
              <w:jc w:val="left"/>
            </w:pPr>
            <w:r>
              <w:rPr>
                <w:rStyle w:val="CodeChar"/>
              </w:rPr>
              <w:t xml:space="preserve">npm test</w:t>
            </w:r>
            <w:r>
              <w:t xml:space="preserve"> </w:t>
            </w:r>
            <w:r>
              <w:t xml:space="preserve">in CI</w:t>
            </w:r>
          </w:p>
        </w:tc>
      </w:tr>
      <w:tr>
        <w:trPr>
          <w:cantSplit/>
        </w:trPr>
        <w:tc>
          <w:tcPr>
            <w:tcW w:w="1678" w:type="dxa"/>
            <w:shd w:val="clear" w:color="auto" w:fill="F4F7FB"/>
            <w:vAlign w:val="top"/>
          </w:tcPr>
          <w:p>
            <w:pPr>
              <w:pStyle w:val="TableText"/>
              <w:jc w:val="left"/>
            </w:pPr>
            <w:r>
              <w:t xml:space="preserve">TASCO core client</w:t>
            </w:r>
          </w:p>
        </w:tc>
        <w:tc>
          <w:tcPr>
            <w:tcW w:w="5312" w:type="dxa"/>
            <w:shd w:val="clear" w:color="auto" w:fill="F4F7FB"/>
            <w:vAlign w:val="top"/>
          </w:tcPr>
          <w:p>
            <w:pPr>
              <w:pStyle w:val="TableText"/>
              <w:jc w:val="left"/>
            </w:pPr>
            <w:r>
              <w:t xml:space="preserve">Request mapping, token caching, error mapping, timeouts and schema checks against a mocked core</w:t>
            </w:r>
          </w:p>
        </w:tc>
        <w:tc>
          <w:tcPr>
            <w:tcW w:w="2037" w:type="dxa"/>
            <w:shd w:val="clear" w:color="auto" w:fill="F4F7FB"/>
            <w:vAlign w:val="top"/>
          </w:tcPr>
          <w:p>
            <w:pPr>
              <w:pStyle w:val="TableText"/>
              <w:jc w:val="left"/>
            </w:pPr>
            <w:r>
              <w:rPr>
                <w:rStyle w:val="CodeChar"/>
              </w:rPr>
              <w:t xml:space="preserve">npm test</w:t>
            </w:r>
            <w:r>
              <w:t xml:space="preserve"> </w:t>
            </w:r>
            <w:r>
              <w:t xml:space="preserve">in CI</w:t>
            </w:r>
          </w:p>
        </w:tc>
      </w:tr>
      <w:tr>
        <w:trPr>
          <w:cantSplit/>
        </w:trPr>
        <w:tc>
          <w:tcPr>
            <w:tcW w:w="1678" w:type="dxa"/>
            <w:vAlign w:val="top"/>
          </w:tcPr>
          <w:p>
            <w:pPr>
              <w:pStyle w:val="TableText"/>
              <w:jc w:val="left"/>
            </w:pPr>
            <w:r>
              <w:t xml:space="preserve">PostgreSQL</w:t>
            </w:r>
          </w:p>
        </w:tc>
        <w:tc>
          <w:tcPr>
            <w:tcW w:w="5312" w:type="dxa"/>
            <w:vAlign w:val="top"/>
          </w:tcPr>
          <w:p>
            <w:pPr>
              <w:pStyle w:val="TableText"/>
              <w:jc w:val="left"/>
            </w:pPr>
            <w:r>
              <w:t xml:space="preserve">Store behaviour on real PostgreSQL:</w:t>
            </w:r>
            <w:r>
              <w:t xml:space="preserve"> </w:t>
            </w:r>
            <w:r>
              <w:rPr>
                <w:rStyle w:val="CodeChar"/>
              </w:rPr>
              <w:t xml:space="preserve">SKIP LOCKED</w:t>
            </w:r>
            <w:r>
              <w:t xml:space="preserve">, optimistic locking, audit chain</w:t>
            </w:r>
          </w:p>
        </w:tc>
        <w:tc>
          <w:tcPr>
            <w:tcW w:w="2037" w:type="dxa"/>
            <w:vAlign w:val="top"/>
          </w:tcPr>
          <w:p>
            <w:pPr>
              <w:pStyle w:val="TableText"/>
              <w:jc w:val="left"/>
            </w:pPr>
            <w:r>
              <w:rPr>
                <w:rStyle w:val="CodeChar"/>
              </w:rPr>
              <w:t xml:space="preserve">npm run test:pg</w:t>
            </w:r>
            <w:r>
              <w:t xml:space="preserve"> </w:t>
            </w:r>
            <w:r>
              <w:t xml:space="preserve">in CI</w:t>
            </w:r>
          </w:p>
        </w:tc>
      </w:tr>
      <w:tr>
        <w:trPr>
          <w:cantSplit/>
        </w:trPr>
        <w:tc>
          <w:tcPr>
            <w:tcW w:w="1678" w:type="dxa"/>
            <w:shd w:val="clear" w:color="auto" w:fill="F4F7FB"/>
            <w:vAlign w:val="top"/>
          </w:tcPr>
          <w:p>
            <w:pPr>
              <w:pStyle w:val="TableText"/>
              <w:jc w:val="left"/>
            </w:pPr>
            <w:r>
              <w:t xml:space="preserve">Contract</w:t>
            </w:r>
          </w:p>
        </w:tc>
        <w:tc>
          <w:tcPr>
            <w:tcW w:w="5312" w:type="dxa"/>
            <w:shd w:val="clear" w:color="auto" w:fill="F4F7FB"/>
            <w:vAlign w:val="top"/>
          </w:tcPr>
          <w:p>
            <w:pPr>
              <w:pStyle w:val="TableText"/>
              <w:jc w:val="left"/>
            </w:pPr>
            <w:r>
              <w:t xml:space="preserve">A shared suite per port run against the sandbox and the real adapter</w:t>
            </w:r>
          </w:p>
        </w:tc>
        <w:tc>
          <w:tcPr>
            <w:tcW w:w="2037" w:type="dxa"/>
            <w:shd w:val="clear" w:color="auto" w:fill="F4F7FB"/>
            <w:vAlign w:val="top"/>
          </w:tcPr>
          <w:p>
            <w:pPr>
              <w:pStyle w:val="TableText"/>
              <w:jc w:val="left"/>
            </w:pPr>
            <w:r>
              <w:t xml:space="preserve">Planned, SIT</w:t>
            </w:r>
          </w:p>
        </w:tc>
      </w:tr>
      <w:tr>
        <w:trPr>
          <w:cantSplit/>
        </w:trPr>
        <w:tc>
          <w:tcPr>
            <w:tcW w:w="1678" w:type="dxa"/>
            <w:vAlign w:val="top"/>
          </w:tcPr>
          <w:p>
            <w:pPr>
              <w:pStyle w:val="TableText"/>
              <w:jc w:val="left"/>
            </w:pPr>
            <w:r>
              <w:t xml:space="preserve">System integration</w:t>
            </w:r>
          </w:p>
        </w:tc>
        <w:tc>
          <w:tcPr>
            <w:tcW w:w="5312" w:type="dxa"/>
            <w:vAlign w:val="top"/>
          </w:tcPr>
          <w:p>
            <w:pPr>
              <w:pStyle w:val="TableText"/>
              <w:jc w:val="left"/>
            </w:pPr>
            <w:r>
              <w:t xml:space="preserve">TASCO core UAT, VETC wallet sandbox, TASCO payment gateway test account, Zalo test account, SMS test brandname, voice vendor test trunk</w:t>
            </w:r>
          </w:p>
        </w:tc>
        <w:tc>
          <w:tcPr>
            <w:tcW w:w="2037" w:type="dxa"/>
            <w:vAlign w:val="top"/>
          </w:tcPr>
          <w:p>
            <w:pPr>
              <w:pStyle w:val="TableText"/>
              <w:jc w:val="left"/>
            </w:pPr>
            <w:r>
              <w:t xml:space="preserve">SIT environment</w:t>
            </w:r>
          </w:p>
        </w:tc>
      </w:tr>
      <w:tr>
        <w:trPr>
          <w:cantSplit/>
        </w:trPr>
        <w:tc>
          <w:tcPr>
            <w:tcW w:w="1678" w:type="dxa"/>
            <w:shd w:val="clear" w:color="auto" w:fill="F4F7FB"/>
            <w:vAlign w:val="top"/>
          </w:tcPr>
          <w:p>
            <w:pPr>
              <w:pStyle w:val="TableText"/>
              <w:jc w:val="left"/>
            </w:pPr>
            <w:r>
              <w:t xml:space="preserve">Resilience</w:t>
            </w:r>
          </w:p>
        </w:tc>
        <w:tc>
          <w:tcPr>
            <w:tcW w:w="5312" w:type="dxa"/>
            <w:shd w:val="clear" w:color="auto" w:fill="F4F7FB"/>
            <w:vAlign w:val="top"/>
          </w:tcPr>
          <w:p>
            <w:pPr>
              <w:pStyle w:val="TableText"/>
              <w:jc w:val="left"/>
            </w:pPr>
            <w:r>
              <w:t xml:space="preserve">Fault injection on sandbox gateways and a network fault proxy in SIT</w:t>
            </w:r>
          </w:p>
        </w:tc>
        <w:tc>
          <w:tcPr>
            <w:tcW w:w="2037" w:type="dxa"/>
            <w:shd w:val="clear" w:color="auto" w:fill="F4F7FB"/>
            <w:vAlign w:val="top"/>
          </w:tcPr>
          <w:p>
            <w:pPr>
              <w:pStyle w:val="TableText"/>
              <w:jc w:val="left"/>
            </w:pPr>
            <w:r>
              <w:t xml:space="preserve">SIT and performance environment</w:t>
            </w:r>
          </w:p>
        </w:tc>
      </w:tr>
      <w:tr>
        <w:trPr>
          <w:cantSplit/>
        </w:trPr>
        <w:tc>
          <w:tcPr>
            <w:tcW w:w="1678" w:type="dxa"/>
            <w:vAlign w:val="top"/>
          </w:tcPr>
          <w:p>
            <w:pPr>
              <w:pStyle w:val="TableText"/>
              <w:jc w:val="left"/>
            </w:pPr>
            <w:r>
              <w:t xml:space="preserve">Load</w:t>
            </w:r>
          </w:p>
        </w:tc>
        <w:tc>
          <w:tcPr>
            <w:tcW w:w="5312" w:type="dxa"/>
            <w:vAlign w:val="top"/>
          </w:tcPr>
          <w:p>
            <w:pPr>
              <w:pStyle w:val="TableText"/>
              <w:jc w:val="left"/>
            </w:pPr>
            <w:r>
              <w:t xml:space="preserve">Load smoke in CI (194 requests per second, 95th percentile 210 ms, no errors on one process) and simulated caller personas</w:t>
            </w:r>
          </w:p>
        </w:tc>
        <w:tc>
          <w:tcPr>
            <w:tcW w:w="2037" w:type="dxa"/>
            <w:vAlign w:val="top"/>
          </w:tcPr>
          <w:p>
            <w:pPr>
              <w:pStyle w:val="TableText"/>
              <w:jc w:val="left"/>
            </w:pPr>
            <w:r>
              <w:t xml:space="preserve">CI and performance environment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6" w:name="_Toc300000042"/>
      <w:r>
        <w:rPr>
          <w:rStyle w:val="BookTitle"/>
          <w:bCs w:val="0"/>
          <w:i w:val="0"/>
          <w:iCs w:val="0"/>
          <w:spacing w:val="0"/>
        </w:rPr>
        <w:t xml:space="preserve">Appendix</w:t>
      </w:r>
      <w:bookmarkEnd w:id="46"/>
    </w:p>
    <w:p>
      <w:pPr>
        <w:pStyle w:val="Heading2"/>
      </w:pPr>
      <w:bookmarkStart w:id="47" w:name="_Toc300000043"/>
      <w:r>
        <w:t xml:space="preserve">Platform error codes</w:t>
      </w:r>
      <w:bookmarkEnd w:id="4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954"/>
        <w:gridCol w:w="981"/>
        <w:gridCol w:w="5092"/>
      </w:tblGrid>
      <w:tr>
        <w:trPr>
          <w:cantSplit/>
          <w:tblHeader/>
        </w:trPr>
        <w:tc>
          <w:tcPr>
            <w:tcW w:w="2954" w:type="dxa"/>
            <w:shd w:val="clear" w:color="auto" w:fill="0F4761"/>
            <w:vAlign w:val="center"/>
          </w:tcPr>
          <w:p>
            <w:pPr>
              <w:pStyle w:val="TableHeading"/>
              <w:jc w:val="left"/>
            </w:pPr>
            <w:r>
              <w:rPr>
                <w:color w:val="FFFFFF"/>
              </w:rPr>
              <w:t xml:space="preserve">Code</w:t>
            </w:r>
          </w:p>
        </w:tc>
        <w:tc>
          <w:tcPr>
            <w:tcW w:w="981" w:type="dxa"/>
            <w:shd w:val="clear" w:color="auto" w:fill="0F4761"/>
            <w:vAlign w:val="center"/>
          </w:tcPr>
          <w:p>
            <w:pPr>
              <w:pStyle w:val="TableHeading"/>
              <w:jc w:val="left"/>
            </w:pPr>
            <w:r>
              <w:rPr>
                <w:color w:val="FFFFFF"/>
              </w:rPr>
              <w:t xml:space="preserve">HTTP status</w:t>
            </w:r>
          </w:p>
        </w:tc>
        <w:tc>
          <w:tcPr>
            <w:tcW w:w="5092" w:type="dxa"/>
            <w:shd w:val="clear" w:color="auto" w:fill="0F4761"/>
            <w:vAlign w:val="center"/>
          </w:tcPr>
          <w:p>
            <w:pPr>
              <w:pStyle w:val="TableHeading"/>
              <w:jc w:val="left"/>
            </w:pPr>
            <w:r>
              <w:rPr>
                <w:color w:val="FFFFFF"/>
              </w:rPr>
              <w:t xml:space="preserve">Meaning</w:t>
            </w:r>
          </w:p>
        </w:tc>
      </w:tr>
      <w:tr>
        <w:trPr>
          <w:cantSplit/>
        </w:trPr>
        <w:tc>
          <w:tcPr>
            <w:tcW w:w="2954" w:type="dxa"/>
            <w:vAlign w:val="top"/>
          </w:tcPr>
          <w:p>
            <w:pPr>
              <w:pStyle w:val="TableText"/>
              <w:jc w:val="left"/>
            </w:pPr>
            <w:r>
              <w:rPr>
                <w:rStyle w:val="CodeChar"/>
              </w:rPr>
              <w:t xml:space="preserve">VALIDATION_FAILED</w:t>
            </w:r>
          </w:p>
        </w:tc>
        <w:tc>
          <w:tcPr>
            <w:tcW w:w="981" w:type="dxa"/>
            <w:vAlign w:val="top"/>
          </w:tcPr>
          <w:p>
            <w:pPr>
              <w:pStyle w:val="TableText"/>
              <w:jc w:val="left"/>
            </w:pPr>
            <w:r>
              <w:t xml:space="preserve">400</w:t>
            </w:r>
          </w:p>
        </w:tc>
        <w:tc>
          <w:tcPr>
            <w:tcW w:w="5092" w:type="dxa"/>
            <w:vAlign w:val="top"/>
          </w:tcPr>
          <w:p>
            <w:pPr>
              <w:pStyle w:val="TableText"/>
              <w:jc w:val="left"/>
            </w:pPr>
            <w:r>
              <w:t xml:space="preserve">Request does not match the schema</w:t>
            </w:r>
          </w:p>
        </w:tc>
      </w:tr>
      <w:tr>
        <w:trPr>
          <w:cantSplit/>
        </w:trPr>
        <w:tc>
          <w:tcPr>
            <w:tcW w:w="2954" w:type="dxa"/>
            <w:shd w:val="clear" w:color="auto" w:fill="F4F7FB"/>
            <w:vAlign w:val="top"/>
          </w:tcPr>
          <w:p>
            <w:pPr>
              <w:pStyle w:val="TableText"/>
              <w:jc w:val="left"/>
            </w:pPr>
            <w:r>
              <w:rPr>
                <w:rStyle w:val="CodeChar"/>
              </w:rPr>
              <w:t xml:space="preserve">UNAUTHENTICATED</w:t>
            </w:r>
          </w:p>
        </w:tc>
        <w:tc>
          <w:tcPr>
            <w:tcW w:w="981" w:type="dxa"/>
            <w:shd w:val="clear" w:color="auto" w:fill="F4F7FB"/>
            <w:vAlign w:val="top"/>
          </w:tcPr>
          <w:p>
            <w:pPr>
              <w:pStyle w:val="TableText"/>
              <w:jc w:val="left"/>
            </w:pPr>
            <w:r>
              <w:t xml:space="preserve">401</w:t>
            </w:r>
          </w:p>
        </w:tc>
        <w:tc>
          <w:tcPr>
            <w:tcW w:w="5092" w:type="dxa"/>
            <w:shd w:val="clear" w:color="auto" w:fill="F4F7FB"/>
            <w:vAlign w:val="top"/>
          </w:tcPr>
          <w:p>
            <w:pPr>
              <w:pStyle w:val="TableText"/>
              <w:jc w:val="left"/>
            </w:pPr>
            <w:r>
              <w:t xml:space="preserve">Missing or invalid credentials</w:t>
            </w:r>
          </w:p>
        </w:tc>
      </w:tr>
      <w:tr>
        <w:trPr>
          <w:cantSplit/>
        </w:trPr>
        <w:tc>
          <w:tcPr>
            <w:tcW w:w="2954" w:type="dxa"/>
            <w:vAlign w:val="top"/>
          </w:tcPr>
          <w:p>
            <w:pPr>
              <w:pStyle w:val="TableText"/>
              <w:jc w:val="left"/>
            </w:pPr>
            <w:r>
              <w:rPr>
                <w:rStyle w:val="CodeChar"/>
              </w:rPr>
              <w:t xml:space="preserve">FORBIDDEN</w:t>
            </w:r>
          </w:p>
        </w:tc>
        <w:tc>
          <w:tcPr>
            <w:tcW w:w="981" w:type="dxa"/>
            <w:vAlign w:val="top"/>
          </w:tcPr>
          <w:p>
            <w:pPr>
              <w:pStyle w:val="TableText"/>
              <w:jc w:val="left"/>
            </w:pPr>
            <w:r>
              <w:t xml:space="preserve">403</w:t>
            </w:r>
          </w:p>
        </w:tc>
        <w:tc>
          <w:tcPr>
            <w:tcW w:w="5092" w:type="dxa"/>
            <w:vAlign w:val="top"/>
          </w:tcPr>
          <w:p>
            <w:pPr>
              <w:pStyle w:val="TableText"/>
              <w:jc w:val="left"/>
            </w:pPr>
            <w:r>
              <w:t xml:space="preserve">Permission, scope or ownership check failed</w:t>
            </w:r>
          </w:p>
        </w:tc>
      </w:tr>
      <w:tr>
        <w:trPr>
          <w:cantSplit/>
        </w:trPr>
        <w:tc>
          <w:tcPr>
            <w:tcW w:w="2954" w:type="dxa"/>
            <w:shd w:val="clear" w:color="auto" w:fill="F4F7FB"/>
            <w:noWrap/>
            <w:vAlign w:val="top"/>
          </w:tcPr>
          <w:p>
            <w:pPr>
              <w:pStyle w:val="TableText"/>
              <w:jc w:val="left"/>
            </w:pPr>
            <w:r>
              <w:rPr>
                <w:rStyle w:val="CodeChar"/>
              </w:rPr>
              <w:t xml:space="preserve">NOT_FOUND</w:t>
            </w:r>
          </w:p>
        </w:tc>
        <w:tc>
          <w:tcPr>
            <w:tcW w:w="981" w:type="dxa"/>
            <w:shd w:val="clear" w:color="auto" w:fill="F4F7FB"/>
            <w:vAlign w:val="top"/>
          </w:tcPr>
          <w:p>
            <w:pPr>
              <w:pStyle w:val="TableText"/>
              <w:jc w:val="left"/>
            </w:pPr>
            <w:r>
              <w:t xml:space="preserve">404</w:t>
            </w:r>
          </w:p>
        </w:tc>
        <w:tc>
          <w:tcPr>
            <w:tcW w:w="5092" w:type="dxa"/>
            <w:shd w:val="clear" w:color="auto" w:fill="F4F7FB"/>
            <w:vAlign w:val="top"/>
          </w:tcPr>
          <w:p>
            <w:pPr>
              <w:pStyle w:val="TableText"/>
              <w:jc w:val="left"/>
            </w:pPr>
            <w:r>
              <w:t xml:space="preserve">Resource does not exist or is not visible to the caller</w:t>
            </w:r>
          </w:p>
        </w:tc>
      </w:tr>
      <w:tr>
        <w:trPr>
          <w:cantSplit/>
        </w:trPr>
        <w:tc>
          <w:tcPr>
            <w:tcW w:w="2954" w:type="dxa"/>
            <w:vAlign w:val="top"/>
          </w:tcPr>
          <w:p>
            <w:pPr>
              <w:pStyle w:val="TableText"/>
              <w:jc w:val="left"/>
            </w:pPr>
            <w:r>
              <w:rPr>
                <w:rStyle w:val="CodeChar"/>
              </w:rPr>
              <w:t xml:space="preserve">CONFLICT</w:t>
            </w:r>
          </w:p>
        </w:tc>
        <w:tc>
          <w:tcPr>
            <w:tcW w:w="981" w:type="dxa"/>
            <w:vAlign w:val="top"/>
          </w:tcPr>
          <w:p>
            <w:pPr>
              <w:pStyle w:val="TableText"/>
              <w:jc w:val="left"/>
            </w:pPr>
            <w:r>
              <w:t xml:space="preserve">409</w:t>
            </w:r>
          </w:p>
        </w:tc>
        <w:tc>
          <w:tcPr>
            <w:tcW w:w="5092" w:type="dxa"/>
            <w:vAlign w:val="top"/>
          </w:tcPr>
          <w:p>
            <w:pPr>
              <w:pStyle w:val="TableText"/>
              <w:jc w:val="left"/>
            </w:pPr>
            <w:r>
              <w:t xml:space="preserve">Concurrent update, quote already being paid, or reused key of a failed attempt</w:t>
            </w:r>
          </w:p>
        </w:tc>
      </w:tr>
      <w:tr>
        <w:trPr>
          <w:cantSplit/>
        </w:trPr>
        <w:tc>
          <w:tcPr>
            <w:tcW w:w="2954" w:type="dxa"/>
            <w:shd w:val="clear" w:color="auto" w:fill="F4F7FB"/>
            <w:vAlign w:val="top"/>
          </w:tcPr>
          <w:p>
            <w:pPr>
              <w:pStyle w:val="TableText"/>
              <w:jc w:val="left"/>
            </w:pPr>
            <w:r>
              <w:rPr>
                <w:rStyle w:val="CodeChar"/>
              </w:rPr>
              <w:t xml:space="preserve">BUSINESS_RULE_VIOLATION</w:t>
            </w:r>
          </w:p>
        </w:tc>
        <w:tc>
          <w:tcPr>
            <w:tcW w:w="981" w:type="dxa"/>
            <w:shd w:val="clear" w:color="auto" w:fill="F4F7FB"/>
            <w:vAlign w:val="top"/>
          </w:tcPr>
          <w:p>
            <w:pPr>
              <w:pStyle w:val="TableText"/>
              <w:jc w:val="left"/>
            </w:pPr>
            <w:r>
              <w:t xml:space="preserve">422</w:t>
            </w:r>
          </w:p>
        </w:tc>
        <w:tc>
          <w:tcPr>
            <w:tcW w:w="5092" w:type="dxa"/>
            <w:shd w:val="clear" w:color="auto" w:fill="F4F7FB"/>
            <w:vAlign w:val="top"/>
          </w:tcPr>
          <w:p>
            <w:pPr>
              <w:pStyle w:val="TableText"/>
              <w:jc w:val="left"/>
            </w:pPr>
            <w:r>
              <w:t xml:space="preserve">Business rule stops the action, for example an indicative quote or a missing inspection</w:t>
            </w:r>
          </w:p>
        </w:tc>
      </w:tr>
      <w:tr>
        <w:trPr>
          <w:cantSplit/>
        </w:trPr>
        <w:tc>
          <w:tcPr>
            <w:tcW w:w="2954" w:type="dxa"/>
            <w:vAlign w:val="top"/>
          </w:tcPr>
          <w:p>
            <w:pPr>
              <w:pStyle w:val="TableText"/>
              <w:jc w:val="left"/>
            </w:pPr>
            <w:r>
              <w:rPr>
                <w:rStyle w:val="CodeChar"/>
              </w:rPr>
              <w:t xml:space="preserve">RATE_LIMITED</w:t>
            </w:r>
          </w:p>
        </w:tc>
        <w:tc>
          <w:tcPr>
            <w:tcW w:w="981" w:type="dxa"/>
            <w:vAlign w:val="top"/>
          </w:tcPr>
          <w:p>
            <w:pPr>
              <w:pStyle w:val="TableText"/>
              <w:jc w:val="left"/>
            </w:pPr>
            <w:r>
              <w:t xml:space="preserve">429</w:t>
            </w:r>
          </w:p>
        </w:tc>
        <w:tc>
          <w:tcPr>
            <w:tcW w:w="5092" w:type="dxa"/>
            <w:vAlign w:val="top"/>
          </w:tcPr>
          <w:p>
            <w:pPr>
              <w:pStyle w:val="TableText"/>
              <w:jc w:val="left"/>
            </w:pPr>
            <w:r>
              <w:t xml:space="preserve">Too many requests</w:t>
            </w:r>
          </w:p>
        </w:tc>
      </w:tr>
      <w:tr>
        <w:trPr>
          <w:cantSplit/>
        </w:trPr>
        <w:tc>
          <w:tcPr>
            <w:tcW w:w="2954" w:type="dxa"/>
            <w:shd w:val="clear" w:color="auto" w:fill="F4F7FB"/>
            <w:vAlign w:val="top"/>
          </w:tcPr>
          <w:p>
            <w:pPr>
              <w:pStyle w:val="TableText"/>
              <w:jc w:val="left"/>
            </w:pPr>
            <w:r>
              <w:rPr>
                <w:rStyle w:val="CodeChar"/>
              </w:rPr>
              <w:t xml:space="preserve">UPSTREAM_UNAVAILABLE</w:t>
            </w:r>
          </w:p>
        </w:tc>
        <w:tc>
          <w:tcPr>
            <w:tcW w:w="981" w:type="dxa"/>
            <w:shd w:val="clear" w:color="auto" w:fill="F4F7FB"/>
            <w:vAlign w:val="top"/>
          </w:tcPr>
          <w:p>
            <w:pPr>
              <w:pStyle w:val="TableText"/>
              <w:jc w:val="left"/>
            </w:pPr>
            <w:r>
              <w:t xml:space="preserve">503</w:t>
            </w:r>
          </w:p>
        </w:tc>
        <w:tc>
          <w:tcPr>
            <w:tcW w:w="5092" w:type="dxa"/>
            <w:shd w:val="clear" w:color="auto" w:fill="F4F7FB"/>
            <w:vAlign w:val="top"/>
          </w:tcPr>
          <w:p>
            <w:pPr>
              <w:pStyle w:val="TableText"/>
              <w:jc w:val="left"/>
            </w:pPr>
            <w:r>
              <w:t xml:space="preserve">An external system is unavailable or its circuit is open</w:t>
            </w:r>
          </w:p>
        </w:tc>
      </w:tr>
    </w:tbl>
    <w:p>
      <w:pPr>
        <w:pStyle w:val="Heading2"/>
      </w:pPr>
      <w:bookmarkStart w:id="48" w:name="_Toc300000044"/>
      <w:r>
        <w:t xml:space="preserve">Message templates in use</w:t>
      </w:r>
      <w:bookmarkEnd w:id="48"/>
    </w:p>
    <w:p>
      <w:pPr>
        <w:pStyle w:val="FirstParagraph"/>
      </w:pPr>
      <w:r>
        <w:t xml:space="preserve">Verify expiry, first reminder, conquest reminder, value reminder, urgent reminder, expiry day, lapsed notice, new vehicle welcome, inspection check, cross-sell, purchase confirmation, quote ready and claim received. Each needs an approved Zalo template and a registered SMS template before go-live.</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9" w:name="_Toc300000045"/>
      <w:r>
        <w:rPr>
          <w:rStyle w:val="BookTitle"/>
          <w:bCs w:val="0"/>
          <w:i w:val="0"/>
          <w:iCs w:val="0"/>
          <w:spacing w:val="0"/>
        </w:rPr>
        <w:t xml:space="preserve">Sign-Off</w:t>
      </w:r>
      <w:bookmarkEnd w:id="4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810"/>
        <w:gridCol w:w="2273"/>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810"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273"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Integration specifications for TASCO core rating, catalogue, issuance and policy extract confirmed in discovery</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VETC wallet confirmation model (synchronous or asynchronous customer confirmation)</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Payments</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payment gateway interface specification for the TASCO app and website (scale module S3)</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Caller identity and number for automated calls (the approved script currently names VETC)</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Customer Experience and VETC</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VETC data feed format and CDC availability</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Data Office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6</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Zalo ZNS template classes and SMS brandname registration</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7</w:t>
            </w:r>
          </w:p>
        </w:tc>
        <w:tc>
          <w:tcPr>
            <w:tcW w:w="4810"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Call recording disclosure wording and vendor data processing agreement</w:t>
            </w:r>
          </w:p>
        </w:tc>
        <w:tc>
          <w:tcPr>
            <w:tcW w:w="2273"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to be confirmed by 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73"/>
        <w:gridCol w:w="1690"/>
        <w:gridCol w:w="2648"/>
        <w:gridCol w:w="3616"/>
      </w:tblGrid>
      <w:tr w:rsidR="002B183A" w14:paraId="731A77C7" w14:textId="77777777" w:rsidTr="002923F3">
        <w:trPr>
          <w:cantSplit/>
          <w:trHeight w:val="440"/>
          <w:tblHeader/>
        </w:trPr>
        <w:tc>
          <w:tcPr>
            <w:tcW w:w="1073"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90"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4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1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Architecture</w:t>
            </w:r>
          </w:p>
        </w:tc>
      </w:tr>
      <w:tr w:rsidR="002B183A" w:rsidRPr="00BB346A" w14:paraId="2AD1806B" w14:textId="77777777" w:rsidTr="002923F3">
        <w:trPr>
          <w:cantSplit/>
          <w:trHeight w:val="760"/>
        </w:trPr>
        <w:tc>
          <w:tcPr>
            <w:tcW w:w="1073"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4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 Id="rIdG2" Type="http://schemas.openxmlformats.org/officeDocument/2006/relationships/image" Target="media/body_002.png"/><Relationship Id="rIdG3" Type="http://schemas.openxmlformats.org/officeDocument/2006/relationships/image" Target="media/body_003.png"/><Relationship Id="rIdG4" Type="http://schemas.openxmlformats.org/officeDocument/2006/relationships/image" Target="media/body_004.png"/><Relationship Id="rIdG5" Type="http://schemas.openxmlformats.org/officeDocument/2006/relationships/image" Target="media/body_005.png"/><Relationship Id="rIdG6" Type="http://schemas.openxmlformats.org/officeDocument/2006/relationships/image" Target="media/body_006.png"/><Relationship Id="rIdG7" Type="http://schemas.openxmlformats.org/officeDocument/2006/relationships/image" Target="media/body_007.png"/><Relationship Id="rIdG8" Type="http://schemas.openxmlformats.org/officeDocument/2006/relationships/image" Target="media/body_008.png"/><Relationship Id="rIdG9" Type="http://schemas.openxmlformats.org/officeDocument/2006/relationships/image" Target="media/body_009.png"/><Relationship Id="rIdG10" Type="http://schemas.openxmlformats.org/officeDocument/2006/relationships/image" Target="media/body_010.png"/><Relationship Id="rIdG11" Type="http://schemas.openxmlformats.org/officeDocument/2006/relationships/image" Target="media/body_011.png"/><Relationship Id="rIdG12" Type="http://schemas.openxmlformats.org/officeDocument/2006/relationships/image" Target="media/body_012.png"/><Relationship Id="rIdG13" Type="http://schemas.openxmlformats.org/officeDocument/2006/relationships/image" Target="media/body_013.png"/><Relationship Id="rIdG14" Type="http://schemas.openxmlformats.org/officeDocument/2006/relationships/image" Target="media/body_014.png"/><Relationship Id="rIdG15" Type="http://schemas.openxmlformats.org/officeDocument/2006/relationships/hyperlink" Target="mailto:info@baohiemtasco.v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Architecture</dc:title>
  <dc:subject>TGP-ARC-02</dc:subject>
  <dc:creator>iorta TechNXT</dc:creator>
  <cp:keywords>TGP-ARC-02; TASCO Insurance; iorta TechNXT</cp:keywords>
  <dc:description>TASCO Motor Insurance Growth Platform</dc:description>
  <cp:lastModifiedBy>iorta TechNXT</cp:lastModifiedBy>
  <cp:revision>1</cp:revision>
  <dcterms:created xsi:type="dcterms:W3CDTF">2026-10-08T03:54:29Z</dcterms:created>
  <dcterms:modified xsi:type="dcterms:W3CDTF">2026-10-08T03:54:29Z</dcterms:modified>
</cp:coreProperties>
</file>