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TGP-ARC-03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Data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Data principles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1"/>
      </w:pPr>
      <w:hyperlink w:anchor="_Toc300000009" w:history="1">
        <w:r>
          <w:rPr>
            <w:noProof/>
          </w:rPr>
          <w:t>5.</w:t>
        </w:r>
        <w:r>
          <w:rPr>
            <w:noProof/>
          </w:rPr>
          <w:tab/>
        </w:r>
        <w:r>
          <w:rPr>
            <w:noProof/>
          </w:rPr>
          <w:t xml:space="preserve">Storage pattern</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1"/>
      </w:pPr>
      <w:hyperlink w:anchor="_Toc300000010" w:history="1">
        <w:r>
          <w:rPr>
            <w:noProof/>
          </w:rPr>
          <w:t>6.</w:t>
        </w:r>
        <w:r>
          <w:rPr>
            <w:noProof/>
          </w:rPr>
          <w:tab/>
        </w:r>
        <w:r>
          <w:rPr>
            <w:noProof/>
          </w:rPr>
          <w:t xml:space="preserve">Data model</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5</w:t>
        </w:r>
        <w:r>
          <w:rPr>
            <w:noProof/>
            <w:webHidden/>
          </w:rPr>
          <w:fldChar w:fldCharType="end"/>
        </w:r>
      </w:hyperlink>
    </w:p>
    <w:p>
      <w:pPr>
        <w:pStyle w:val="TOC2"/>
      </w:pPr>
      <w:hyperlink w:anchor="_Toc300000011" w:history="1">
        <w:r>
          <w:rPr>
            <w:noProof/>
          </w:rPr>
          <w:t>6.1.</w:t>
        </w:r>
        <w:r>
          <w:rPr>
            <w:noProof/>
          </w:rPr>
          <w:tab/>
        </w:r>
        <w:r>
          <w:rPr>
            <w:noProof/>
          </w:rPr>
          <w:t xml:space="preserve">Subject areas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5</w:t>
        </w:r>
        <w:r>
          <w:rPr>
            <w:noProof/>
            <w:webHidden/>
          </w:rPr>
          <w:fldChar w:fldCharType="end"/>
        </w:r>
      </w:hyperlink>
    </w:p>
    <w:p>
      <w:pPr>
        <w:pStyle w:val="TOC2"/>
      </w:pPr>
      <w:hyperlink w:anchor="_Toc300000012" w:history="1">
        <w:r>
          <w:rPr>
            <w:noProof/>
          </w:rPr>
          <w:t>6.2.</w:t>
        </w:r>
        <w:r>
          <w:rPr>
            <w:noProof/>
          </w:rPr>
          <w:tab/>
        </w:r>
        <w:r>
          <w:rPr>
            <w:noProof/>
          </w:rPr>
          <w:t xml:space="preserve">Customer and vehicle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6</w:t>
        </w:r>
        <w:r>
          <w:rPr>
            <w:noProof/>
            <w:webHidden/>
          </w:rPr>
          <w:fldChar w:fldCharType="end"/>
        </w:r>
      </w:hyperlink>
    </w:p>
    <w:p>
      <w:pPr>
        <w:pStyle w:val="TOC2"/>
      </w:pPr>
      <w:hyperlink w:anchor="_Toc300000013" w:history="1">
        <w:r>
          <w:rPr>
            <w:noProof/>
          </w:rPr>
          <w:t>6.3.</w:t>
        </w:r>
        <w:r>
          <w:rPr>
            <w:noProof/>
          </w:rPr>
          <w:tab/>
        </w:r>
        <w:r>
          <w:rPr>
            <w:noProof/>
          </w:rPr>
          <w:t xml:space="preserve">Engagement</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7</w:t>
        </w:r>
        <w:r>
          <w:rPr>
            <w:noProof/>
            <w:webHidden/>
          </w:rPr>
          <w:fldChar w:fldCharType="end"/>
        </w:r>
      </w:hyperlink>
    </w:p>
    <w:p>
      <w:pPr>
        <w:pStyle w:val="TOC2"/>
      </w:pPr>
      <w:hyperlink w:anchor="_Toc300000014" w:history="1">
        <w:r>
          <w:rPr>
            <w:noProof/>
          </w:rPr>
          <w:t>6.4.</w:t>
        </w:r>
        <w:r>
          <w:rPr>
            <w:noProof/>
          </w:rPr>
          <w:tab/>
        </w:r>
        <w:r>
          <w:rPr>
            <w:noProof/>
          </w:rPr>
          <w:t xml:space="preserve">Commerce and partners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6.5.</w:t>
        </w:r>
        <w:r>
          <w:rPr>
            <w:noProof/>
          </w:rPr>
          <w:tab/>
        </w:r>
        <w:r>
          <w:rPr>
            <w:noProof/>
          </w:rPr>
          <w:t xml:space="preserve">Governance</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12</w:t>
        </w:r>
        <w:r>
          <w:rPr>
            <w:noProof/>
            <w:webHidden/>
          </w:rPr>
          <w:fldChar w:fldCharType="end"/>
        </w:r>
      </w:hyperlink>
    </w:p>
    <w:p>
      <w:pPr>
        <w:pStyle w:val="TOC1"/>
      </w:pPr>
      <w:hyperlink w:anchor="_Toc300000016" w:history="1">
        <w:r>
          <w:rPr>
            <w:noProof/>
          </w:rPr>
          <w:t>7.</w:t>
        </w:r>
        <w:r>
          <w:rPr>
            <w:noProof/>
          </w:rPr>
          <w:tab/>
        </w:r>
        <w:r>
          <w:rPr>
            <w:noProof/>
          </w:rPr>
          <w:t xml:space="preserve">Data classification</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13</w:t>
        </w:r>
        <w:r>
          <w:rPr>
            <w:noProof/>
            <w:webHidden/>
          </w:rPr>
          <w:fldChar w:fldCharType="end"/>
        </w:r>
      </w:hyperlink>
    </w:p>
    <w:p>
      <w:pPr>
        <w:pStyle w:val="TOC1"/>
      </w:pPr>
      <w:hyperlink w:anchor="_Toc300000017" w:history="1">
        <w:r>
          <w:rPr>
            <w:noProof/>
          </w:rPr>
          <w:t>8.</w:t>
        </w:r>
        <w:r>
          <w:rPr>
            <w:noProof/>
          </w:rPr>
          <w:tab/>
        </w:r>
        <w:r>
          <w:rPr>
            <w:noProof/>
          </w:rPr>
          <w:t xml:space="preserve">Data dictionary</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15</w:t>
        </w:r>
        <w:r>
          <w:rPr>
            <w:noProof/>
            <w:webHidden/>
          </w:rPr>
          <w:fldChar w:fldCharType="end"/>
        </w:r>
      </w:hyperlink>
    </w:p>
    <w:p>
      <w:pPr>
        <w:pStyle w:val="TOC2"/>
      </w:pPr>
      <w:hyperlink w:anchor="_Toc300000018" w:history="1">
        <w:r>
          <w:rPr>
            <w:noProof/>
          </w:rPr>
          <w:t>8.1.</w:t>
        </w:r>
        <w:r>
          <w:rPr>
            <w:noProof/>
          </w:rPr>
          <w:tab/>
        </w:r>
        <w:r>
          <w:rPr>
            <w:noProof/>
          </w:rPr>
          <w:t xml:space="preserve">Profiles (golden record)</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15</w:t>
        </w:r>
        <w:r>
          <w:rPr>
            <w:noProof/>
            <w:webHidden/>
          </w:rPr>
          <w:fldChar w:fldCharType="end"/>
        </w:r>
      </w:hyperlink>
    </w:p>
    <w:p>
      <w:pPr>
        <w:pStyle w:val="TOC2"/>
      </w:pPr>
      <w:hyperlink w:anchor="_Toc300000019" w:history="1">
        <w:r>
          <w:rPr>
            <w:noProof/>
          </w:rPr>
          <w:t>8.2.</w:t>
        </w:r>
        <w:r>
          <w:rPr>
            <w:noProof/>
          </w:rPr>
          <w:tab/>
        </w:r>
        <w:r>
          <w:rPr>
            <w:noProof/>
          </w:rPr>
          <w:t xml:space="preserve">Other collections</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17</w:t>
        </w:r>
        <w:r>
          <w:rPr>
            <w:noProof/>
            <w:webHidden/>
          </w:rPr>
          <w:fldChar w:fldCharType="end"/>
        </w:r>
      </w:hyperlink>
    </w:p>
    <w:p>
      <w:pPr>
        <w:pStyle w:val="TOC1"/>
      </w:pPr>
      <w:hyperlink w:anchor="_Toc300000020" w:history="1">
        <w:r>
          <w:rPr>
            <w:noProof/>
          </w:rPr>
          <w:t>9.</w:t>
        </w:r>
        <w:r>
          <w:rPr>
            <w:noProof/>
          </w:rPr>
          <w:tab/>
        </w:r>
        <w:r>
          <w:rPr>
            <w:noProof/>
          </w:rPr>
          <w:t xml:space="preserve">Golden record</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18</w:t>
        </w:r>
        <w:r>
          <w:rPr>
            <w:noProof/>
            <w:webHidden/>
          </w:rPr>
          <w:fldChar w:fldCharType="end"/>
        </w:r>
      </w:hyperlink>
    </w:p>
    <w:p>
      <w:pPr>
        <w:pStyle w:val="TOC2"/>
      </w:pPr>
      <w:hyperlink w:anchor="_Toc300000021" w:history="1">
        <w:r>
          <w:rPr>
            <w:noProof/>
          </w:rPr>
          <w:t>9.1.</w:t>
        </w:r>
        <w:r>
          <w:rPr>
            <w:noProof/>
          </w:rPr>
          <w:tab/>
        </w:r>
        <w:r>
          <w:rPr>
            <w:noProof/>
          </w:rPr>
          <w:t xml:space="preserve">Building the profile</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18</w:t>
        </w:r>
        <w:r>
          <w:rPr>
            <w:noProof/>
            <w:webHidden/>
          </w:rPr>
          <w:fldChar w:fldCharType="end"/>
        </w:r>
      </w:hyperlink>
    </w:p>
    <w:p>
      <w:pPr>
        <w:pStyle w:val="TOC2"/>
      </w:pPr>
      <w:hyperlink w:anchor="_Toc300000022" w:history="1">
        <w:r>
          <w:rPr>
            <w:noProof/>
          </w:rPr>
          <w:t>9.2.</w:t>
        </w:r>
        <w:r>
          <w:rPr>
            <w:noProof/>
          </w:rPr>
          <w:tab/>
        </w:r>
        <w:r>
          <w:rPr>
            <w:noProof/>
          </w:rPr>
          <w:t xml:space="preserve">Survivorship</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19</w:t>
        </w:r>
        <w:r>
          <w:rPr>
            <w:noProof/>
            <w:webHidden/>
          </w:rPr>
          <w:fldChar w:fldCharType="end"/>
        </w:r>
      </w:hyperlink>
    </w:p>
    <w:p>
      <w:pPr>
        <w:pStyle w:val="TOC2"/>
      </w:pPr>
      <w:hyperlink w:anchor="_Toc300000023" w:history="1">
        <w:r>
          <w:rPr>
            <w:noProof/>
          </w:rPr>
          <w:t>9.3.</w:t>
        </w:r>
        <w:r>
          <w:rPr>
            <w:noProof/>
          </w:rPr>
          <w:tab/>
        </w:r>
        <w:r>
          <w:rPr>
            <w:noProof/>
          </w:rPr>
          <w:t xml:space="preserve">Expiry inference</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20</w:t>
        </w:r>
        <w:r>
          <w:rPr>
            <w:noProof/>
            <w:webHidden/>
          </w:rPr>
          <w:fldChar w:fldCharType="end"/>
        </w:r>
      </w:hyperlink>
    </w:p>
    <w:p>
      <w:pPr>
        <w:pStyle w:val="TOC1"/>
      </w:pPr>
      <w:hyperlink w:anchor="_Toc300000024" w:history="1">
        <w:r>
          <w:rPr>
            <w:noProof/>
          </w:rPr>
          <w:t>10.</w:t>
        </w:r>
        <w:r>
          <w:rPr>
            <w:noProof/>
          </w:rPr>
          <w:tab/>
        </w:r>
        <w:r>
          <w:rPr>
            <w:noProof/>
          </w:rPr>
          <w:t xml:space="preserve">Data quality</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20</w:t>
        </w:r>
        <w:r>
          <w:rPr>
            <w:noProof/>
            <w:webHidden/>
          </w:rPr>
          <w:fldChar w:fldCharType="end"/>
        </w:r>
      </w:hyperlink>
    </w:p>
    <w:p>
      <w:pPr>
        <w:pStyle w:val="TOC1"/>
      </w:pPr>
      <w:hyperlink w:anchor="_Toc300000025" w:history="1">
        <w:r>
          <w:rPr>
            <w:noProof/>
          </w:rPr>
          <w:t>11.</w:t>
        </w:r>
        <w:r>
          <w:rPr>
            <w:noProof/>
          </w:rPr>
          <w:tab/>
        </w:r>
        <w:r>
          <w:rPr>
            <w:noProof/>
          </w:rPr>
          <w:t xml:space="preserve">Lineage, metadata and reconciliation</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21</w:t>
        </w:r>
        <w:r>
          <w:rPr>
            <w:noProof/>
            <w:webHidden/>
          </w:rPr>
          <w:fldChar w:fldCharType="end"/>
        </w:r>
      </w:hyperlink>
    </w:p>
    <w:p>
      <w:pPr>
        <w:pStyle w:val="TOC1"/>
      </w:pPr>
      <w:hyperlink w:anchor="_Toc300000026" w:history="1">
        <w:r>
          <w:rPr>
            <w:noProof/>
          </w:rPr>
          <w:t>12.</w:t>
        </w:r>
        <w:r>
          <w:rPr>
            <w:noProof/>
          </w:rPr>
          <w:tab/>
        </w:r>
        <w:r>
          <w:rPr>
            <w:noProof/>
          </w:rPr>
          <w:t xml:space="preserve">Retention, erasure and backup</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22</w:t>
        </w:r>
        <w:r>
          <w:rPr>
            <w:noProof/>
            <w:webHidden/>
          </w:rPr>
          <w:fldChar w:fldCharType="end"/>
        </w:r>
      </w:hyperlink>
    </w:p>
    <w:p>
      <w:pPr>
        <w:pStyle w:val="TOC2"/>
      </w:pPr>
      <w:hyperlink w:anchor="_Toc300000027" w:history="1">
        <w:r>
          <w:rPr>
            <w:noProof/>
          </w:rPr>
          <w:t>12.1.</w:t>
        </w:r>
        <w:r>
          <w:rPr>
            <w:noProof/>
          </w:rPr>
          <w:tab/>
        </w:r>
        <w:r>
          <w:rPr>
            <w:noProof/>
          </w:rPr>
          <w:t xml:space="preserve">Retention</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22</w:t>
        </w:r>
        <w:r>
          <w:rPr>
            <w:noProof/>
            <w:webHidden/>
          </w:rPr>
          <w:fldChar w:fldCharType="end"/>
        </w:r>
      </w:hyperlink>
    </w:p>
    <w:p>
      <w:pPr>
        <w:pStyle w:val="TOC2"/>
      </w:pPr>
      <w:hyperlink w:anchor="_Toc300000028" w:history="1">
        <w:r>
          <w:rPr>
            <w:noProof/>
          </w:rPr>
          <w:t>12.2.</w:t>
        </w:r>
        <w:r>
          <w:rPr>
            <w:noProof/>
          </w:rPr>
          <w:tab/>
        </w:r>
        <w:r>
          <w:rPr>
            <w:noProof/>
          </w:rPr>
          <w:t xml:space="preserve">Erasure and export</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22</w:t>
        </w:r>
        <w:r>
          <w:rPr>
            <w:noProof/>
            <w:webHidden/>
          </w:rPr>
          <w:fldChar w:fldCharType="end"/>
        </w:r>
      </w:hyperlink>
    </w:p>
    <w:p>
      <w:pPr>
        <w:pStyle w:val="TOC2"/>
      </w:pPr>
      <w:hyperlink w:anchor="_Toc300000029" w:history="1">
        <w:r>
          <w:rPr>
            <w:noProof/>
          </w:rPr>
          <w:t>12.3.</w:t>
        </w:r>
        <w:r>
          <w:rPr>
            <w:noProof/>
          </w:rPr>
          <w:tab/>
        </w:r>
        <w:r>
          <w:rPr>
            <w:noProof/>
          </w:rPr>
          <w:t xml:space="preserve">Backup</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23</w:t>
        </w:r>
        <w:r>
          <w:rPr>
            <w:noProof/>
            <w:webHidden/>
          </w:rPr>
          <w:fldChar w:fldCharType="end"/>
        </w:r>
      </w:hyperlink>
    </w:p>
    <w:p>
      <w:pPr>
        <w:pStyle w:val="TOC1"/>
      </w:pPr>
      <w:hyperlink w:anchor="_Toc300000030" w:history="1">
        <w:r>
          <w:rPr>
            <w:noProof/>
          </w:rPr>
          <w:t>13.</w:t>
        </w:r>
        <w:r>
          <w:rPr>
            <w:noProof/>
          </w:rPr>
          <w:tab/>
        </w:r>
        <w:r>
          <w:rPr>
            <w:noProof/>
          </w:rPr>
          <w:t xml:space="preserve">Data migration</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23</w:t>
        </w:r>
        <w:r>
          <w:rPr>
            <w:noProof/>
            <w:webHidden/>
          </w:rPr>
          <w:fldChar w:fldCharType="end"/>
        </w:r>
      </w:hyperlink>
    </w:p>
    <w:p>
      <w:pPr>
        <w:pStyle w:val="TOC2"/>
      </w:pPr>
      <w:hyperlink w:anchor="_Toc300000031" w:history="1">
        <w:r>
          <w:rPr>
            <w:noProof/>
          </w:rPr>
          <w:t>13.1.</w:t>
        </w:r>
        <w:r>
          <w:rPr>
            <w:noProof/>
          </w:rPr>
          <w:tab/>
        </w:r>
        <w:r>
          <w:rPr>
            <w:noProof/>
          </w:rPr>
          <w:t xml:space="preserve">Schema migrations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23</w:t>
        </w:r>
        <w:r>
          <w:rPr>
            <w:noProof/>
            <w:webHidden/>
          </w:rPr>
          <w:fldChar w:fldCharType="end"/>
        </w:r>
      </w:hyperlink>
    </w:p>
    <w:p>
      <w:pPr>
        <w:pStyle w:val="TOC2"/>
      </w:pPr>
      <w:hyperlink w:anchor="_Toc300000032" w:history="1">
        <w:r>
          <w:rPr>
            <w:noProof/>
          </w:rPr>
          <w:t>13.2.</w:t>
        </w:r>
        <w:r>
          <w:rPr>
            <w:noProof/>
          </w:rPr>
          <w:tab/>
        </w:r>
        <w:r>
          <w:rPr>
            <w:noProof/>
          </w:rPr>
          <w:t xml:space="preserve">Initial data load</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23</w:t>
        </w:r>
        <w:r>
          <w:rPr>
            <w:noProof/>
            <w:webHidden/>
          </w:rPr>
          <w:fldChar w:fldCharType="end"/>
        </w:r>
      </w:hyperlink>
    </w:p>
    <w:p>
      <w:pPr>
        <w:pStyle w:val="TOC1"/>
      </w:pPr>
      <w:hyperlink w:anchor="_Toc300000033" w:history="1">
        <w:r>
          <w:rPr>
            <w:noProof/>
          </w:rPr>
          <w:t>14.</w:t>
        </w:r>
        <w:r>
          <w:rPr>
            <w:noProof/>
          </w:rPr>
          <w:tab/>
        </w:r>
        <w:r>
          <w:rPr>
            <w:noProof/>
          </w:rPr>
          <w:t xml:space="preserve">Analytics and data warehouse feed</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24</w:t>
        </w:r>
        <w:r>
          <w:rPr>
            <w:noProof/>
            <w:webHidden/>
          </w:rPr>
          <w:fldChar w:fldCharType="end"/>
        </w:r>
      </w:hyperlink>
    </w:p>
    <w:p>
      <w:pPr>
        <w:pStyle w:val="TOC1"/>
      </w:pPr>
      <w:hyperlink w:anchor="_Toc300000034" w:history="1">
        <w:r>
          <w:rPr>
            <w:noProof/>
          </w:rPr>
          <w:t>15.</w:t>
        </w:r>
        <w:r>
          <w:rPr>
            <w:noProof/>
          </w:rPr>
          <w:tab/>
        </w:r>
        <w:r>
          <w:rPr>
            <w:noProof/>
          </w:rPr>
          <w:t xml:space="preserve">Appendix</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26</w:t>
        </w:r>
        <w:r>
          <w:rPr>
            <w:noProof/>
            <w:webHidden/>
          </w:rPr>
          <w:fldChar w:fldCharType="end"/>
        </w:r>
      </w:hyperlink>
    </w:p>
    <w:p>
      <w:pPr>
        <w:pStyle w:val="TOC2"/>
      </w:pPr>
      <w:hyperlink w:anchor="_Toc300000035" w:history="1">
        <w:r>
          <w:rPr>
            <w:noProof/>
          </w:rPr>
          <w:t>15.1.</w:t>
        </w:r>
        <w:r>
          <w:rPr>
            <w:noProof/>
          </w:rPr>
          <w:tab/>
        </w:r>
        <w:r>
          <w:rPr>
            <w:noProof/>
          </w:rPr>
          <w:t xml:space="preserve">Known data gaps and planned treatment</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26</w:t>
        </w:r>
        <w:r>
          <w:rPr>
            <w:noProof/>
            <w:webHidden/>
          </w:rPr>
          <w:fldChar w:fldCharType="end"/>
        </w:r>
      </w:hyperlink>
    </w:p>
    <w:p>
      <w:pPr>
        <w:pStyle w:val="TOC1"/>
      </w:pPr>
      <w:hyperlink w:anchor="_Toc300000036" w:history="1">
        <w:r>
          <w:rPr>
            <w:noProof/>
          </w:rPr>
          <w:t>16.</w:t>
        </w:r>
        <w:r>
          <w:rPr>
            <w:noProof/>
          </w:rPr>
          <w:tab/>
        </w:r>
        <w:r>
          <w:rPr>
            <w:noProof/>
          </w:rPr>
          <w:t xml:space="preserve">Sign-Off</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27</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86"/>
        <w:gridCol w:w="991"/>
        <w:gridCol w:w="1821"/>
        <w:gridCol w:w="1500"/>
        <w:gridCol w:w="2142"/>
        <w:gridCol w:w="1287"/>
      </w:tblGrid>
      <w:tr w:rsidR="002B183A" w14:paraId="4E198CD6" w14:textId="77777777" w:rsidTr="002923F3">
        <w:trPr>
          <w:cantSplit/>
          <w:trHeight w:val="440"/>
          <w:tblHeader/>
        </w:trPr>
        <w:tc>
          <w:tcPr>
            <w:tcW w:w="1286"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91"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21"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5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4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8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86"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91"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21"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15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Architecture</w:t>
            </w:r>
          </w:p>
        </w:tc>
        <w:tc>
          <w:tcPr>
            <w:tcW w:w="214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8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48"/>
        <w:gridCol w:w="7479"/>
      </w:tblGrid>
      <w:tr w:rsidR="002B183A" w14:paraId="388F227F" w14:textId="77777777" w:rsidTr="002923F3">
        <w:trPr>
          <w:cantSplit/>
          <w:trHeight w:val="440"/>
          <w:tblHeader/>
        </w:trPr>
        <w:tc>
          <w:tcPr>
            <w:tcW w:w="1548"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79"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ADR</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Architecture decision record</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AES</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Advanced Encryption Standard</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BI</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intelligence</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DSAR</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subject access request</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GCM</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Galois/Counter Mode</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 added tax</w:t>
            </w:r>
          </w:p>
        </w:tc>
      </w:tr>
      <w:tr w:rsidR="002B183A" w:rsidRPr="00BB346A" w14:paraId="73CFB63E" w14:textId="77777777" w:rsidTr="002923F3">
        <w:trPr>
          <w:cantSplit/>
          <w:trHeight w:val="449"/>
        </w:trPr>
        <w:tc>
          <w:tcPr>
            <w:tcW w:w="154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47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 Electronic Toll Collection</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describes how the TASCO Growth Platform stores, structures, protects and governs data: the storage pattern, the data model, classification, the golden record built for every vehicle, data quality, lineage, retention and erasure, data migration and the analytics feed.</w:t>
      </w:r>
    </w:p>
    <w:p>
      <w:pPr>
        <w:pStyle w:val="Heading2"/>
      </w:pPr>
      <w:bookmarkStart w:id="9" w:name="_Toc300000005"/>
      <w:r>
        <w:t xml:space="preserve">Scope</w:t>
      </w:r>
      <w:bookmarkEnd w:id="9"/>
    </w:p>
    <w:p>
      <w:pPr>
        <w:pStyle w:val="FirstParagraph"/>
      </w:pPr>
      <w:r>
        <w:t xml:space="preserve">All data held by the platform in PostgreSQL, the feeds that bring data in and the extracts that take it out. The authoritative sources are the collection registry (</w:t>
      </w:r>
      <w:r>
        <w:rPr>
          <w:rStyle w:val="CodeChar"/>
        </w:rPr>
        <w:t xml:space="preserve">src/adapters/persistence/schema.js</w:t>
      </w:r>
      <w:r>
        <w:t xml:space="preserve">), the database migrations (</w:t>
      </w:r>
      <w:r>
        <w:rPr>
          <w:rStyle w:val="CodeChar"/>
        </w:rPr>
        <w:t xml:space="preserve">db/migrations</w:t>
      </w:r>
      <w:r>
        <w:t xml:space="preserve">), the field codec (</w:t>
      </w:r>
      <w:r>
        <w:rPr>
          <w:rStyle w:val="CodeChar"/>
        </w:rPr>
        <w:t xml:space="preserve">codec.js</w:t>
      </w:r>
      <w:r>
        <w:t xml:space="preserve">), the enrichment domain (</w:t>
      </w:r>
      <w:r>
        <w:rPr>
          <w:rStyle w:val="CodeChar"/>
        </w:rPr>
        <w:t xml:space="preserve">src/domain/enrichment.js</w:t>
      </w:r>
      <w:r>
        <w:t xml:space="preserve">) and the enrichment, service level and retention rule sets.</w:t>
      </w:r>
    </w:p>
    <w:p>
      <w:pPr>
        <w:pStyle w:val="Heading2"/>
      </w:pPr>
      <w:bookmarkStart w:id="10" w:name="_Toc300000006"/>
      <w:r>
        <w:t xml:space="preserve">Audience</w:t>
      </w:r>
      <w:bookmarkEnd w:id="10"/>
    </w:p>
    <w:p>
      <w:pPr>
        <w:pStyle w:val="FirstParagraph"/>
      </w:pPr>
      <w:r>
        <w:t xml:space="preserve">TASCO data office and data protection officer, data stewards, BI and data warehouse teams, VETC data office, and the iorta TechNXT engineering team.</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3"/>
        <w:gridCol w:w="3307"/>
        <w:gridCol w:w="4257"/>
      </w:tblGrid>
      <w:tr>
        <w:trPr>
          <w:cantSplit/>
          <w:tblHeader/>
        </w:trPr>
        <w:tc>
          <w:tcPr>
            <w:tcW w:w="1463" w:type="dxa"/>
            <w:shd w:val="clear" w:color="auto" w:fill="0F4761"/>
            <w:vAlign w:val="center"/>
          </w:tcPr>
          <w:p>
            <w:pPr>
              <w:pStyle w:val="TableHeading"/>
              <w:jc w:val="left"/>
            </w:pPr>
            <w:r>
              <w:rPr>
                <w:color w:val="FFFFFF"/>
              </w:rPr>
              <w:t xml:space="preserve">ID</w:t>
            </w:r>
          </w:p>
        </w:tc>
        <w:tc>
          <w:tcPr>
            <w:tcW w:w="3307" w:type="dxa"/>
            <w:shd w:val="clear" w:color="auto" w:fill="0F4761"/>
            <w:vAlign w:val="center"/>
          </w:tcPr>
          <w:p>
            <w:pPr>
              <w:pStyle w:val="TableHeading"/>
              <w:jc w:val="left"/>
            </w:pPr>
            <w:r>
              <w:rPr>
                <w:color w:val="FFFFFF"/>
              </w:rPr>
              <w:t xml:space="preserve">Title</w:t>
            </w:r>
          </w:p>
        </w:tc>
        <w:tc>
          <w:tcPr>
            <w:tcW w:w="4257" w:type="dxa"/>
            <w:shd w:val="clear" w:color="auto" w:fill="0F4761"/>
            <w:vAlign w:val="center"/>
          </w:tcPr>
          <w:p>
            <w:pPr>
              <w:pStyle w:val="TableHeading"/>
              <w:jc w:val="left"/>
            </w:pPr>
            <w:r>
              <w:rPr>
                <w:color w:val="FFFFFF"/>
              </w:rPr>
              <w:t xml:space="preserve">Relationship</w:t>
            </w:r>
          </w:p>
        </w:tc>
      </w:tr>
      <w:tr>
        <w:trPr>
          <w:cantSplit/>
        </w:trPr>
        <w:tc>
          <w:tcPr>
            <w:tcW w:w="1463" w:type="dxa"/>
            <w:noWrap/>
            <w:vAlign w:val="top"/>
          </w:tcPr>
          <w:p>
            <w:pPr>
              <w:pStyle w:val="TableText"/>
              <w:jc w:val="left"/>
            </w:pPr>
            <w:r>
              <w:t xml:space="preserve">TGP-ARC-01</w:t>
            </w:r>
          </w:p>
        </w:tc>
        <w:tc>
          <w:tcPr>
            <w:tcW w:w="3307" w:type="dxa"/>
            <w:vAlign w:val="top"/>
          </w:tcPr>
          <w:p>
            <w:pPr>
              <w:pStyle w:val="TableText"/>
              <w:jc w:val="left"/>
            </w:pPr>
            <w:r>
              <w:t xml:space="preserve">Solution Architecture</w:t>
            </w:r>
          </w:p>
        </w:tc>
        <w:tc>
          <w:tcPr>
            <w:tcW w:w="4257" w:type="dxa"/>
            <w:vAlign w:val="top"/>
          </w:tcPr>
          <w:p>
            <w:pPr>
              <w:pStyle w:val="TableText"/>
              <w:jc w:val="left"/>
            </w:pPr>
            <w:r>
              <w:t xml:space="preserve">Services that read and write this data</w:t>
            </w:r>
          </w:p>
        </w:tc>
      </w:tr>
      <w:tr>
        <w:trPr>
          <w:cantSplit/>
        </w:trPr>
        <w:tc>
          <w:tcPr>
            <w:tcW w:w="1463" w:type="dxa"/>
            <w:shd w:val="clear" w:color="auto" w:fill="F4F7FB"/>
            <w:noWrap/>
            <w:vAlign w:val="top"/>
          </w:tcPr>
          <w:p>
            <w:pPr>
              <w:pStyle w:val="TableText"/>
              <w:jc w:val="left"/>
            </w:pPr>
            <w:r>
              <w:t xml:space="preserve">TGP-ARC-02</w:t>
            </w:r>
          </w:p>
        </w:tc>
        <w:tc>
          <w:tcPr>
            <w:tcW w:w="3307" w:type="dxa"/>
            <w:shd w:val="clear" w:color="auto" w:fill="F4F7FB"/>
            <w:vAlign w:val="top"/>
          </w:tcPr>
          <w:p>
            <w:pPr>
              <w:pStyle w:val="TableText"/>
              <w:jc w:val="left"/>
            </w:pPr>
            <w:r>
              <w:t xml:space="preserve">Integration Architecture</w:t>
            </w:r>
          </w:p>
        </w:tc>
        <w:tc>
          <w:tcPr>
            <w:tcW w:w="4257" w:type="dxa"/>
            <w:shd w:val="clear" w:color="auto" w:fill="F4F7FB"/>
            <w:vAlign w:val="top"/>
          </w:tcPr>
          <w:p>
            <w:pPr>
              <w:pStyle w:val="TableText"/>
              <w:jc w:val="left"/>
            </w:pPr>
            <w:r>
              <w:t xml:space="preserve">Data feeds from VETC and TASCO core, outbound extracts</w:t>
            </w:r>
          </w:p>
        </w:tc>
      </w:tr>
      <w:tr>
        <w:trPr>
          <w:cantSplit/>
        </w:trPr>
        <w:tc>
          <w:tcPr>
            <w:tcW w:w="1463" w:type="dxa"/>
            <w:noWrap/>
            <w:vAlign w:val="top"/>
          </w:tcPr>
          <w:p>
            <w:pPr>
              <w:pStyle w:val="TableText"/>
              <w:jc w:val="left"/>
            </w:pPr>
            <w:r>
              <w:t xml:space="preserve">TGP-ARC-04</w:t>
            </w:r>
          </w:p>
        </w:tc>
        <w:tc>
          <w:tcPr>
            <w:tcW w:w="3307" w:type="dxa"/>
            <w:vAlign w:val="top"/>
          </w:tcPr>
          <w:p>
            <w:pPr>
              <w:pStyle w:val="TableText"/>
              <w:jc w:val="left"/>
            </w:pPr>
            <w:r>
              <w:t xml:space="preserve">Security Architecture</w:t>
            </w:r>
          </w:p>
        </w:tc>
        <w:tc>
          <w:tcPr>
            <w:tcW w:w="4257" w:type="dxa"/>
            <w:vAlign w:val="top"/>
          </w:tcPr>
          <w:p>
            <w:pPr>
              <w:pStyle w:val="TableText"/>
              <w:jc w:val="left"/>
            </w:pPr>
            <w:r>
              <w:t xml:space="preserve">Encryption, masking, access control</w:t>
            </w:r>
          </w:p>
        </w:tc>
      </w:tr>
      <w:tr>
        <w:trPr>
          <w:cantSplit/>
        </w:trPr>
        <w:tc>
          <w:tcPr>
            <w:tcW w:w="1463" w:type="dxa"/>
            <w:shd w:val="clear" w:color="auto" w:fill="F4F7FB"/>
            <w:noWrap/>
            <w:vAlign w:val="top"/>
          </w:tcPr>
          <w:p>
            <w:pPr>
              <w:pStyle w:val="TableText"/>
              <w:jc w:val="left"/>
            </w:pPr>
            <w:r>
              <w:t xml:space="preserve">TGP-ARC-07</w:t>
            </w:r>
          </w:p>
        </w:tc>
        <w:tc>
          <w:tcPr>
            <w:tcW w:w="3307" w:type="dxa"/>
            <w:shd w:val="clear" w:color="auto" w:fill="F4F7FB"/>
            <w:vAlign w:val="top"/>
          </w:tcPr>
          <w:p>
            <w:pPr>
              <w:pStyle w:val="TableText"/>
              <w:jc w:val="left"/>
            </w:pPr>
            <w:r>
              <w:t xml:space="preserve">Architecture Decision Records</w:t>
            </w:r>
          </w:p>
        </w:tc>
        <w:tc>
          <w:tcPr>
            <w:tcW w:w="4257" w:type="dxa"/>
            <w:shd w:val="clear" w:color="auto" w:fill="F4F7FB"/>
            <w:vAlign w:val="top"/>
          </w:tcPr>
          <w:p>
            <w:pPr>
              <w:pStyle w:val="TableText"/>
              <w:jc w:val="left"/>
            </w:pPr>
            <w:r>
              <w:t xml:space="preserve">ADR-004 persistence, ADR-006 field encryption, ADR-008 audit</w:t>
            </w:r>
          </w:p>
        </w:tc>
      </w:tr>
      <w:tr>
        <w:trPr>
          <w:cantSplit/>
        </w:trPr>
        <w:tc>
          <w:tcPr>
            <w:tcW w:w="1463" w:type="dxa"/>
            <w:noWrap/>
            <w:vAlign w:val="top"/>
          </w:tcPr>
          <w:p>
            <w:pPr>
              <w:pStyle w:val="TableText"/>
              <w:jc w:val="left"/>
            </w:pPr>
            <w:r>
              <w:t xml:space="preserve">TGP-OPS-03</w:t>
            </w:r>
          </w:p>
        </w:tc>
        <w:tc>
          <w:tcPr>
            <w:tcW w:w="3307" w:type="dxa"/>
            <w:vAlign w:val="top"/>
          </w:tcPr>
          <w:p>
            <w:pPr>
              <w:pStyle w:val="TableText"/>
              <w:jc w:val="left"/>
            </w:pPr>
            <w:r>
              <w:t xml:space="preserve">Disaster Recovery and Business Continuity Plan</w:t>
            </w:r>
          </w:p>
        </w:tc>
        <w:tc>
          <w:tcPr>
            <w:tcW w:w="4257" w:type="dxa"/>
            <w:vAlign w:val="top"/>
          </w:tcPr>
          <w:p>
            <w:pPr>
              <w:pStyle w:val="TableText"/>
              <w:jc w:val="left"/>
            </w:pPr>
            <w:r>
              <w:t xml:space="preserve">Backups and restore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Data principles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11"/>
        <w:gridCol w:w="6316"/>
      </w:tblGrid>
      <w:tr>
        <w:trPr>
          <w:cantSplit/>
          <w:tblHeader/>
        </w:trPr>
        <w:tc>
          <w:tcPr>
            <w:tcW w:w="2711" w:type="dxa"/>
            <w:shd w:val="clear" w:color="auto" w:fill="0F4761"/>
            <w:vAlign w:val="center"/>
          </w:tcPr>
          <w:p>
            <w:pPr>
              <w:pStyle w:val="TableHeading"/>
              <w:jc w:val="left"/>
            </w:pPr>
            <w:r>
              <w:rPr>
                <w:color w:val="FFFFFF"/>
              </w:rPr>
              <w:t xml:space="preserve">Principle</w:t>
            </w:r>
          </w:p>
        </w:tc>
        <w:tc>
          <w:tcPr>
            <w:tcW w:w="6316" w:type="dxa"/>
            <w:shd w:val="clear" w:color="auto" w:fill="0F4761"/>
            <w:vAlign w:val="center"/>
          </w:tcPr>
          <w:p>
            <w:pPr>
              <w:pStyle w:val="TableHeading"/>
              <w:jc w:val="left"/>
            </w:pPr>
            <w:r>
              <w:rPr>
                <w:color w:val="FFFFFF"/>
              </w:rPr>
              <w:t xml:space="preserve">Application</w:t>
            </w:r>
          </w:p>
        </w:tc>
      </w:tr>
      <w:tr>
        <w:trPr>
          <w:cantSplit/>
        </w:trPr>
        <w:tc>
          <w:tcPr>
            <w:tcW w:w="2711" w:type="dxa"/>
            <w:vAlign w:val="top"/>
          </w:tcPr>
          <w:p>
            <w:pPr>
              <w:pStyle w:val="TableText"/>
              <w:jc w:val="left"/>
            </w:pPr>
            <w:r>
              <w:t xml:space="preserve">One record per vehicle</w:t>
            </w:r>
          </w:p>
        </w:tc>
        <w:tc>
          <w:tcPr>
            <w:tcW w:w="6316" w:type="dxa"/>
            <w:vAlign w:val="top"/>
          </w:tcPr>
          <w:p>
            <w:pPr>
              <w:pStyle w:val="TableText"/>
              <w:jc w:val="left"/>
            </w:pPr>
            <w:r>
              <w:t xml:space="preserve">The normalised licence plate is the match key; every source record about a vehicle feeds one golden profile.</w:t>
            </w:r>
          </w:p>
        </w:tc>
      </w:tr>
      <w:tr>
        <w:trPr>
          <w:cantSplit/>
        </w:trPr>
        <w:tc>
          <w:tcPr>
            <w:tcW w:w="2711" w:type="dxa"/>
            <w:shd w:val="clear" w:color="auto" w:fill="F4F7FB"/>
            <w:vAlign w:val="top"/>
          </w:tcPr>
          <w:p>
            <w:pPr>
              <w:pStyle w:val="TableText"/>
              <w:jc w:val="left"/>
            </w:pPr>
            <w:r>
              <w:t xml:space="preserve">Every fact has a source and a confidence</w:t>
            </w:r>
          </w:p>
        </w:tc>
        <w:tc>
          <w:tcPr>
            <w:tcW w:w="6316" w:type="dxa"/>
            <w:shd w:val="clear" w:color="auto" w:fill="F4F7FB"/>
            <w:vAlign w:val="top"/>
          </w:tcPr>
          <w:p>
            <w:pPr>
              <w:pStyle w:val="TableText"/>
              <w:jc w:val="left"/>
            </w:pPr>
            <w:r>
              <w:t xml:space="preserve">Each profile field records where it came from, how confident the platform is and which rule produced it.</w:t>
            </w:r>
          </w:p>
        </w:tc>
      </w:tr>
      <w:tr>
        <w:trPr>
          <w:cantSplit/>
        </w:trPr>
        <w:tc>
          <w:tcPr>
            <w:tcW w:w="2711" w:type="dxa"/>
            <w:vAlign w:val="top"/>
          </w:tcPr>
          <w:p>
            <w:pPr>
              <w:pStyle w:val="TableText"/>
              <w:jc w:val="left"/>
            </w:pPr>
            <w:r>
              <w:t xml:space="preserve">Facts captured on the platform are not lost</w:t>
            </w:r>
          </w:p>
        </w:tc>
        <w:tc>
          <w:tcPr>
            <w:tcW w:w="6316" w:type="dxa"/>
            <w:vAlign w:val="top"/>
          </w:tcPr>
          <w:p>
            <w:pPr>
              <w:pStyle w:val="TableText"/>
              <w:jc w:val="left"/>
            </w:pPr>
            <w:r>
              <w:t xml:space="preserve">A customer’s declared expiry, a steward’s correction or a TASCO-issued policy survives the next rebuild from source data.</w:t>
            </w:r>
          </w:p>
        </w:tc>
      </w:tr>
      <w:tr>
        <w:trPr>
          <w:cantSplit/>
        </w:trPr>
        <w:tc>
          <w:tcPr>
            <w:tcW w:w="2711" w:type="dxa"/>
            <w:shd w:val="clear" w:color="auto" w:fill="F4F7FB"/>
            <w:vAlign w:val="top"/>
          </w:tcPr>
          <w:p>
            <w:pPr>
              <w:pStyle w:val="TableText"/>
              <w:jc w:val="left"/>
            </w:pPr>
            <w:r>
              <w:t xml:space="preserve">Collect the minimum</w:t>
            </w:r>
          </w:p>
        </w:tc>
        <w:tc>
          <w:tcPr>
            <w:tcW w:w="6316" w:type="dxa"/>
            <w:shd w:val="clear" w:color="auto" w:fill="F4F7FB"/>
            <w:vAlign w:val="top"/>
          </w:tcPr>
          <w:p>
            <w:pPr>
              <w:pStyle w:val="TableText"/>
              <w:jc w:val="left"/>
            </w:pPr>
            <w:r>
              <w:t xml:space="preserve">National id, address and date of birth are not accepted. Partners cannot submit marketing consent.</w:t>
            </w:r>
          </w:p>
        </w:tc>
      </w:tr>
      <w:tr>
        <w:trPr>
          <w:cantSplit/>
        </w:trPr>
        <w:tc>
          <w:tcPr>
            <w:tcW w:w="2711" w:type="dxa"/>
            <w:vAlign w:val="top"/>
          </w:tcPr>
          <w:p>
            <w:pPr>
              <w:pStyle w:val="TableText"/>
              <w:jc w:val="left"/>
            </w:pPr>
            <w:r>
              <w:t xml:space="preserve">Personal data is encrypted at the field level</w:t>
            </w:r>
          </w:p>
        </w:tc>
        <w:tc>
          <w:tcPr>
            <w:tcW w:w="6316" w:type="dxa"/>
            <w:vAlign w:val="top"/>
          </w:tcPr>
          <w:p>
            <w:pPr>
              <w:pStyle w:val="TableText"/>
              <w:jc w:val="left"/>
            </w:pPr>
            <w:r>
              <w:t xml:space="preserve">Names, phones, call transcripts, claim descriptions, data-request notes and staff authenticator seeds are encrypted before they reach the database.</w:t>
            </w:r>
          </w:p>
        </w:tc>
      </w:tr>
      <w:tr>
        <w:trPr>
          <w:cantSplit/>
        </w:trPr>
        <w:tc>
          <w:tcPr>
            <w:tcW w:w="2711" w:type="dxa"/>
            <w:shd w:val="clear" w:color="auto" w:fill="F4F7FB"/>
            <w:vAlign w:val="top"/>
          </w:tcPr>
          <w:p>
            <w:pPr>
              <w:pStyle w:val="TableText"/>
              <w:jc w:val="left"/>
            </w:pPr>
            <w:r>
              <w:t xml:space="preserve">No decrypted personal data leaves for analytics</w:t>
            </w:r>
          </w:p>
        </w:tc>
        <w:tc>
          <w:tcPr>
            <w:tcW w:w="6316" w:type="dxa"/>
            <w:shd w:val="clear" w:color="auto" w:fill="F4F7FB"/>
            <w:vAlign w:val="top"/>
          </w:tcPr>
          <w:p>
            <w:pPr>
              <w:pStyle w:val="TableText"/>
              <w:jc w:val="left"/>
            </w:pPr>
            <w:r>
              <w:t xml:space="preserve">Extracts are pseudonymised with a separate key.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Storage pattern</w:t>
      </w:r>
      <w:bookmarkEnd w:id="13"/>
    </w:p>
    <w:p>
      <w:pPr>
        <w:pStyle w:val="FirstParagraph"/>
      </w:pPr>
      <w:r>
        <w:t xml:space="preserve">Each of the 20 collections is a PostgreSQL table with the same shape: an identifier, a version number for optimistic locking, the document as</w:t>
      </w:r>
      <w:r>
        <w:t xml:space="preserve"> </w:t>
      </w:r>
      <w:r>
        <w:rPr>
          <w:rStyle w:val="CodeChar"/>
        </w:rPr>
        <w:t xml:space="preserve">jsonb</w:t>
      </w:r>
      <w:r>
        <w:t xml:space="preserve"> </w:t>
      </w:r>
      <w:r>
        <w:t xml:space="preserve">with personal fields encrypted, typed columns extracted from the document for filtering and sorting, blind-index columns where needed, and creation and update timestamps.</w:t>
      </w:r>
    </w:p>
    <w:p>
      <w:pPr>
        <w:pStyle w:val="CodeBlock"/>
      </w:pPr>
      <w:r>
        <w:t xml:space="preserve">id text primary key | version integer | data jsonb | &lt;indexed columns&gt; | &lt;blind-index columns&gt; | created_at | updated_at</w:t>
      </w:r>
    </w:p>
    <w:p>
      <w:pPr>
        <w:pStyle w:val="BodyText"/>
      </w:pPr>
      <w:r>
        <w:t xml:space="preserve">Only declared indexed columns, plus id and the timestamps, can be filtered or sorted, so a query can never reach an unindexed or personal field. The</w:t>
      </w:r>
      <w:r>
        <w:t xml:space="preserve"> </w:t>
      </w:r>
      <w:r>
        <w:rPr>
          <w:rStyle w:val="CodeChar"/>
        </w:rPr>
        <w:t xml:space="preserve">audit_log</w:t>
      </w:r>
      <w:r>
        <w:t xml:space="preserve"> </w:t>
      </w:r>
      <w:r>
        <w:t xml:space="preserve">table is separate: append-only, hash-chained, with database triggers that block update, delete and truncate. Applied migrations are recorded in</w:t>
      </w:r>
      <w:r>
        <w:t xml:space="preserve"> </w:t>
      </w:r>
      <w:r>
        <w:rPr>
          <w:rStyle w:val="CodeChar"/>
        </w:rPr>
        <w:t xml:space="preserve">schema_migrations</w:t>
      </w:r>
      <w:r>
        <w:t xml:space="preserve">. Three migrations exist:</w:t>
      </w:r>
      <w:r>
        <w:t xml:space="preserve"> </w:t>
      </w:r>
      <w:r>
        <w:rPr>
          <w:rStyle w:val="CodeChar"/>
        </w:rPr>
        <w:t xml:space="preserve">001_init.sql</w:t>
      </w:r>
      <w:r>
        <w:t xml:space="preserve"> </w:t>
      </w:r>
      <w:r>
        <w:t xml:space="preserve">creates the collection tables and the audit log,</w:t>
      </w:r>
      <w:r>
        <w:t xml:space="preserve"> </w:t>
      </w:r>
      <w:r>
        <w:rPr>
          <w:rStyle w:val="CodeChar"/>
        </w:rPr>
        <w:t xml:space="preserve">002_integrity_hardening.sql</w:t>
      </w:r>
      <w:r>
        <w:t xml:space="preserve"> </w:t>
      </w:r>
      <w:r>
        <w:t xml:space="preserve">allows only one active rule set per kind and blocks truncation of the audit log, and</w:t>
      </w:r>
      <w:r>
        <w:t xml:space="preserve"> </w:t>
      </w:r>
      <w:r>
        <w:rPr>
          <w:rStyle w:val="CodeChar"/>
        </w:rPr>
        <w:t xml:space="preserve">003_dsar_requests.sql</w:t>
      </w:r>
      <w:r>
        <w:t xml:space="preserve"> </w:t>
      </w:r>
      <w:r>
        <w:t xml:space="preserve">adds the data-subject request register. ADR-004 in TGP-ARC-07 Architecture Decision Records explains the choice of this pattern.</w:t>
      </w:r>
    </w:p>
    <w:p>
      <w:pPr>
        <w:pStyle w:val="BodyText"/>
      </w:pPr>
      <w:r>
        <w:t xml:space="preserve">Relationships between collections are logical. They are enforced in the application services and checked by the nightly reconciliation; there are no database foreign keys. This keeps the document schema free to evolve without heavy migrations.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Data model</w:t>
      </w:r>
      <w:bookmarkEnd w:id="14"/>
    </w:p>
    <w:p>
      <w:pPr>
        <w:pStyle w:val="Heading2"/>
      </w:pPr>
      <w:bookmarkStart w:id="15" w:name="_Toc300000011"/>
      <w:r>
        <w:t xml:space="preserve">Subject areas</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08"/>
        <w:gridCol w:w="3379"/>
        <w:gridCol w:w="4040"/>
      </w:tblGrid>
      <w:tr>
        <w:trPr>
          <w:cantSplit/>
          <w:tblHeader/>
        </w:trPr>
        <w:tc>
          <w:tcPr>
            <w:tcW w:w="1608" w:type="dxa"/>
            <w:shd w:val="clear" w:color="auto" w:fill="0F4761"/>
            <w:vAlign w:val="center"/>
          </w:tcPr>
          <w:p>
            <w:pPr>
              <w:pStyle w:val="TableHeading"/>
              <w:jc w:val="left"/>
            </w:pPr>
            <w:r>
              <w:rPr>
                <w:color w:val="FFFFFF"/>
              </w:rPr>
              <w:t xml:space="preserve">Subject area</w:t>
            </w:r>
          </w:p>
        </w:tc>
        <w:tc>
          <w:tcPr>
            <w:tcW w:w="3379" w:type="dxa"/>
            <w:shd w:val="clear" w:color="auto" w:fill="0F4761"/>
            <w:vAlign w:val="center"/>
          </w:tcPr>
          <w:p>
            <w:pPr>
              <w:pStyle w:val="TableHeading"/>
              <w:jc w:val="left"/>
            </w:pPr>
            <w:r>
              <w:rPr>
                <w:color w:val="FFFFFF"/>
              </w:rPr>
              <w:t xml:space="preserve">Collections</w:t>
            </w:r>
          </w:p>
        </w:tc>
        <w:tc>
          <w:tcPr>
            <w:tcW w:w="4040" w:type="dxa"/>
            <w:shd w:val="clear" w:color="auto" w:fill="0F4761"/>
            <w:vAlign w:val="center"/>
          </w:tcPr>
          <w:p>
            <w:pPr>
              <w:pStyle w:val="TableHeading"/>
              <w:jc w:val="left"/>
            </w:pPr>
            <w:r>
              <w:rPr>
                <w:color w:val="FFFFFF"/>
              </w:rPr>
              <w:t xml:space="preserve">Purpose</w:t>
            </w:r>
          </w:p>
        </w:tc>
      </w:tr>
      <w:tr>
        <w:trPr>
          <w:cantSplit/>
        </w:trPr>
        <w:tc>
          <w:tcPr>
            <w:tcW w:w="1608" w:type="dxa"/>
            <w:vAlign w:val="top"/>
          </w:tcPr>
          <w:p>
            <w:pPr>
              <w:pStyle w:val="TableText"/>
              <w:jc w:val="left"/>
            </w:pPr>
            <w:r>
              <w:t xml:space="preserve">Customer and vehicle</w:t>
            </w:r>
          </w:p>
        </w:tc>
        <w:tc>
          <w:tcPr>
            <w:tcW w:w="3379" w:type="dxa"/>
            <w:vAlign w:val="top"/>
          </w:tcPr>
          <w:p>
            <w:pPr>
              <w:pStyle w:val="TableText"/>
              <w:jc w:val="left"/>
            </w:pPr>
            <w:r>
              <w:rPr>
                <w:rStyle w:val="CodeChar"/>
              </w:rPr>
              <w:t xml:space="preserve">source_records</w:t>
            </w:r>
            <w:r>
              <w:t xml:space="preserve">,</w:t>
            </w:r>
            <w:r>
              <w:t xml:space="preserve"> </w:t>
            </w:r>
            <w:r>
              <w:rPr>
                <w:rStyle w:val="CodeChar"/>
              </w:rPr>
              <w:t xml:space="preserve">lineage</w:t>
            </w:r>
            <w:r>
              <w:t xml:space="preserve">,</w:t>
            </w:r>
            <w:r>
              <w:t xml:space="preserve"> </w:t>
            </w:r>
            <w:r>
              <w:rPr>
                <w:rStyle w:val="CodeChar"/>
              </w:rPr>
              <w:t xml:space="preserve">profiles</w:t>
            </w:r>
            <w:r>
              <w:t xml:space="preserve">,</w:t>
            </w:r>
            <w:r>
              <w:t xml:space="preserve"> </w:t>
            </w:r>
            <w:r>
              <w:rPr>
                <w:rStyle w:val="CodeChar"/>
              </w:rPr>
              <w:t xml:space="preserve">dq_issues</w:t>
            </w:r>
            <w:r>
              <w:t xml:space="preserve">,</w:t>
            </w:r>
            <w:r>
              <w:t xml:space="preserve"> </w:t>
            </w:r>
            <w:r>
              <w:rPr>
                <w:rStyle w:val="CodeChar"/>
              </w:rPr>
              <w:t xml:space="preserve">leads</w:t>
            </w:r>
          </w:p>
        </w:tc>
        <w:tc>
          <w:tcPr>
            <w:tcW w:w="4040" w:type="dxa"/>
            <w:vAlign w:val="top"/>
          </w:tcPr>
          <w:p>
            <w:pPr>
              <w:pStyle w:val="TableText"/>
              <w:jc w:val="left"/>
            </w:pPr>
            <w:r>
              <w:t xml:space="preserve">Golden record per vehicle, its evidence, data quality and score</w:t>
            </w:r>
          </w:p>
        </w:tc>
      </w:tr>
      <w:tr>
        <w:trPr>
          <w:cantSplit/>
        </w:trPr>
        <w:tc>
          <w:tcPr>
            <w:tcW w:w="1608" w:type="dxa"/>
            <w:shd w:val="clear" w:color="auto" w:fill="F4F7FB"/>
            <w:vAlign w:val="top"/>
          </w:tcPr>
          <w:p>
            <w:pPr>
              <w:pStyle w:val="TableText"/>
              <w:jc w:val="left"/>
            </w:pPr>
            <w:r>
              <w:t xml:space="preserve">Engagement</w:t>
            </w:r>
          </w:p>
        </w:tc>
        <w:tc>
          <w:tcPr>
            <w:tcW w:w="3379" w:type="dxa"/>
            <w:shd w:val="clear" w:color="auto" w:fill="F4F7FB"/>
            <w:vAlign w:val="top"/>
          </w:tcPr>
          <w:p>
            <w:pPr>
              <w:pStyle w:val="TableText"/>
              <w:jc w:val="left"/>
            </w:pPr>
            <w:r>
              <w:rPr>
                <w:rStyle w:val="CodeChar"/>
              </w:rPr>
              <w:t xml:space="preserve">touchpoints</w:t>
            </w:r>
            <w:r>
              <w:t xml:space="preserve">,</w:t>
            </w:r>
            <w:r>
              <w:t xml:space="preserve"> </w:t>
            </w:r>
            <w:r>
              <w:rPr>
                <w:rStyle w:val="CodeChar"/>
              </w:rPr>
              <w:t xml:space="preserve">messages</w:t>
            </w:r>
            <w:r>
              <w:t xml:space="preserve">,</w:t>
            </w:r>
            <w:r>
              <w:t xml:space="preserve"> </w:t>
            </w:r>
            <w:r>
              <w:rPr>
                <w:rStyle w:val="CodeChar"/>
              </w:rPr>
              <w:t xml:space="preserve">voice_sessions</w:t>
            </w:r>
            <w:r>
              <w:t xml:space="preserve">,</w:t>
            </w:r>
            <w:r>
              <w:t xml:space="preserve"> </w:t>
            </w:r>
            <w:r>
              <w:rPr>
                <w:rStyle w:val="CodeChar"/>
              </w:rPr>
              <w:t xml:space="preserve">handoffs</w:t>
            </w:r>
          </w:p>
        </w:tc>
        <w:tc>
          <w:tcPr>
            <w:tcW w:w="4040" w:type="dxa"/>
            <w:shd w:val="clear" w:color="auto" w:fill="F4F7FB"/>
            <w:vAlign w:val="top"/>
          </w:tcPr>
          <w:p>
            <w:pPr>
              <w:pStyle w:val="TableText"/>
              <w:jc w:val="left"/>
            </w:pPr>
            <w:r>
              <w:t xml:space="preserve">Planned and executed contacts, calls and telesales handoffs</w:t>
            </w:r>
          </w:p>
        </w:tc>
      </w:tr>
      <w:tr>
        <w:trPr>
          <w:cantSplit/>
        </w:trPr>
        <w:tc>
          <w:tcPr>
            <w:tcW w:w="1608" w:type="dxa"/>
            <w:vAlign w:val="top"/>
          </w:tcPr>
          <w:p>
            <w:pPr>
              <w:pStyle w:val="TableText"/>
              <w:jc w:val="left"/>
            </w:pPr>
            <w:r>
              <w:t xml:space="preserve">Commerce</w:t>
            </w:r>
          </w:p>
        </w:tc>
        <w:tc>
          <w:tcPr>
            <w:tcW w:w="3379" w:type="dxa"/>
            <w:vAlign w:val="top"/>
          </w:tcPr>
          <w:p>
            <w:pPr>
              <w:pStyle w:val="TableText"/>
              <w:jc w:val="left"/>
            </w:pPr>
            <w:r>
              <w:rPr>
                <w:rStyle w:val="CodeChar"/>
              </w:rPr>
              <w:t xml:space="preserve">quotes</w:t>
            </w:r>
            <w:r>
              <w:t xml:space="preserve">,</w:t>
            </w:r>
            <w:r>
              <w:t xml:space="preserve"> </w:t>
            </w:r>
            <w:r>
              <w:rPr>
                <w:rStyle w:val="CodeChar"/>
              </w:rPr>
              <w:t xml:space="preserve">orders</w:t>
            </w:r>
            <w:r>
              <w:t xml:space="preserve">,</w:t>
            </w:r>
            <w:r>
              <w:t xml:space="preserve"> </w:t>
            </w:r>
            <w:r>
              <w:rPr>
                <w:rStyle w:val="CodeChar"/>
              </w:rPr>
              <w:t xml:space="preserve">policies</w:t>
            </w:r>
            <w:r>
              <w:t xml:space="preserve">,</w:t>
            </w:r>
            <w:r>
              <w:t xml:space="preserve"> </w:t>
            </w:r>
            <w:r>
              <w:rPr>
                <w:rStyle w:val="CodeChar"/>
              </w:rPr>
              <w:t xml:space="preserve">claims</w:t>
            </w:r>
          </w:p>
        </w:tc>
        <w:tc>
          <w:tcPr>
            <w:tcW w:w="4040" w:type="dxa"/>
            <w:vAlign w:val="top"/>
          </w:tcPr>
          <w:p>
            <w:pPr>
              <w:pStyle w:val="TableText"/>
              <w:jc w:val="left"/>
            </w:pPr>
            <w:r>
              <w:t xml:space="preserve">Quotes, payments, issued policies and first notice of loss</w:t>
            </w:r>
          </w:p>
        </w:tc>
      </w:tr>
      <w:tr>
        <w:trPr>
          <w:cantSplit/>
        </w:trPr>
        <w:tc>
          <w:tcPr>
            <w:tcW w:w="1608" w:type="dxa"/>
            <w:shd w:val="clear" w:color="auto" w:fill="F4F7FB"/>
            <w:vAlign w:val="top"/>
          </w:tcPr>
          <w:p>
            <w:pPr>
              <w:pStyle w:val="TableText"/>
              <w:jc w:val="left"/>
            </w:pPr>
            <w:r>
              <w:t xml:space="preserve">Partners</w:t>
            </w:r>
          </w:p>
        </w:tc>
        <w:tc>
          <w:tcPr>
            <w:tcW w:w="3379" w:type="dxa"/>
            <w:shd w:val="clear" w:color="auto" w:fill="F4F7FB"/>
            <w:vAlign w:val="top"/>
          </w:tcPr>
          <w:p>
            <w:pPr>
              <w:pStyle w:val="TableText"/>
              <w:jc w:val="left"/>
            </w:pPr>
            <w:r>
              <w:rPr>
                <w:rStyle w:val="CodeChar"/>
              </w:rPr>
              <w:t xml:space="preserve">partners</w:t>
            </w:r>
            <w:r>
              <w:t xml:space="preserve">,</w:t>
            </w:r>
            <w:r>
              <w:t xml:space="preserve"> </w:t>
            </w:r>
            <w:r>
              <w:rPr>
                <w:rStyle w:val="CodeChar"/>
              </w:rPr>
              <w:t xml:space="preserve">api_keys</w:t>
            </w:r>
          </w:p>
        </w:tc>
        <w:tc>
          <w:tcPr>
            <w:tcW w:w="4040" w:type="dxa"/>
            <w:shd w:val="clear" w:color="auto" w:fill="F4F7FB"/>
            <w:vAlign w:val="top"/>
          </w:tcPr>
          <w:p>
            <w:pPr>
              <w:pStyle w:val="TableText"/>
              <w:jc w:val="left"/>
            </w:pPr>
            <w:r>
              <w:t xml:space="preserve">Partner organisations and their API credentials</w:t>
            </w:r>
          </w:p>
        </w:tc>
      </w:tr>
      <w:tr>
        <w:trPr>
          <w:cantSplit/>
        </w:trPr>
        <w:tc>
          <w:tcPr>
            <w:tcW w:w="1608" w:type="dxa"/>
            <w:vAlign w:val="top"/>
          </w:tcPr>
          <w:p>
            <w:pPr>
              <w:pStyle w:val="TableText"/>
              <w:jc w:val="left"/>
            </w:pPr>
            <w:r>
              <w:t xml:space="preserve">Governance</w:t>
            </w:r>
          </w:p>
        </w:tc>
        <w:tc>
          <w:tcPr>
            <w:tcW w:w="3379" w:type="dxa"/>
            <w:vAlign w:val="top"/>
          </w:tcPr>
          <w:p>
            <w:pPr>
              <w:pStyle w:val="TableText"/>
              <w:jc w:val="left"/>
            </w:pPr>
            <w:r>
              <w:rPr>
                <w:rStyle w:val="CodeChar"/>
              </w:rPr>
              <w:t xml:space="preserve">users</w:t>
            </w:r>
            <w:r>
              <w:t xml:space="preserve">,</w:t>
            </w:r>
            <w:r>
              <w:t xml:space="preserve"> </w:t>
            </w:r>
            <w:r>
              <w:rPr>
                <w:rStyle w:val="CodeChar"/>
              </w:rPr>
              <w:t xml:space="preserve">rulesets</w:t>
            </w:r>
            <w:r>
              <w:t xml:space="preserve">,</w:t>
            </w:r>
            <w:r>
              <w:t xml:space="preserve"> </w:t>
            </w:r>
            <w:r>
              <w:rPr>
                <w:rStyle w:val="CodeChar"/>
              </w:rPr>
              <w:t xml:space="preserve">domain_events</w:t>
            </w:r>
            <w:r>
              <w:t xml:space="preserve">,</w:t>
            </w:r>
            <w:r>
              <w:t xml:space="preserve"> </w:t>
            </w:r>
            <w:r>
              <w:rPr>
                <w:rStyle w:val="CodeChar"/>
              </w:rPr>
              <w:t xml:space="preserve">job_runs</w:t>
            </w:r>
            <w:r>
              <w:t xml:space="preserve">,</w:t>
            </w:r>
            <w:r>
              <w:t xml:space="preserve"> </w:t>
            </w:r>
            <w:r>
              <w:rPr>
                <w:rStyle w:val="CodeChar"/>
              </w:rPr>
              <w:t xml:space="preserve">audit_log</w:t>
            </w:r>
            <w:r>
              <w:t xml:space="preserve">,</w:t>
            </w:r>
            <w:r>
              <w:t xml:space="preserve"> </w:t>
            </w:r>
            <w:r>
              <w:rPr>
                <w:rStyle w:val="CodeChar"/>
              </w:rPr>
              <w:t xml:space="preserve">dsar_requests</w:t>
            </w:r>
          </w:p>
        </w:tc>
        <w:tc>
          <w:tcPr>
            <w:tcW w:w="4040" w:type="dxa"/>
            <w:vAlign w:val="top"/>
          </w:tcPr>
          <w:p>
            <w:pPr>
              <w:pStyle w:val="TableText"/>
              <w:jc w:val="left"/>
            </w:pPr>
            <w:r>
              <w:t xml:space="preserve">Staff accounts, rule versions, event outbox, job history, audit trail, data-subject requests</w:t>
            </w:r>
          </w:p>
        </w:tc>
      </w:tr>
    </w:tbl>
    <w:p>
      <w:pPr>
        <w:pStyle w:val="BodyText"/>
        <w:spacing w:before="160"/>
      </w:pPr>
      <w:r>
        <w:t xml:space="preserve">The diagrams below show the key entities by subject area. Each shows the identifier, the indexed columns that relate entities and the main encrypted fields.</w:t>
      </w:r>
    </w:p>
    <w:p>
      <w:pPr>
        <w:pStyle w:val="Heading2"/>
      </w:pPr>
      <w:bookmarkStart w:id="16" w:name="_Toc300000012"/>
      <w:r>
        <w:t xml:space="preserve">Customer and vehicle</w:t>
      </w:r>
      <w:bookmarkEnd w:id="16"/>
    </w:p>
    <w:p>
      <w:pPr>
        <w:pStyle w:val="FirstParagraph"/>
      </w:pPr>
      <w:r>
        <w:t xml:space="preserve">Source records from VETC, partners and telesales lists are grouped by plate into one profile. Each profile has at most one lead and any number of open data quality issues.</w:t>
      </w:r>
    </w:p>
    <w:p xmlns:a="http://schemas.openxmlformats.org/drawingml/2006/main" xmlns:pic="http://schemas.openxmlformats.org/drawingml/2006/picture">
      <w:pPr>
        <w:pStyle w:val="Figure"/>
      </w:pPr>
      <w:r>
        <w:drawing>
          <wp:inline>
            <wp:extent cx="5727700" cy="3956799"/>
            <wp:effectExtent b="0" l="0" r="0" t="0"/>
            <wp:docPr descr="Customer and vehicle, part 1: source records and their lineage" title="" id="5002" name="Picture"/>
            <a:graphic>
              <a:graphicData uri="http://schemas.openxmlformats.org/drawingml/2006/picture">
                <pic:pic>
                  <pic:nvPicPr>
                    <pic:cNvPr descr="/home/user/TASCO/tools/docs-source/gen/.cache/mermaid/1a445374a367e550.png" id="30" name="Picture"/>
                    <pic:cNvPicPr>
                      <a:picLocks noChangeArrowheads="1" noChangeAspect="1"/>
                    </pic:cNvPicPr>
                  </pic:nvPicPr>
                  <pic:blipFill>
                    <a:blip r:embed="rIdG1"/>
                    <a:stretch>
                      <a:fillRect/>
                    </a:stretch>
                  </pic:blipFill>
                  <pic:spPr bwMode="auto">
                    <a:xfrm>
                      <a:off x="0" y="0"/>
                      <a:ext cx="5727700" cy="3956799"/>
                    </a:xfrm>
                    <a:prstGeom prst="rect">
                      <a:avLst/>
                    </a:prstGeom>
                    <a:noFill/>
                    <a:ln w="9525">
                      <a:noFill/>
                      <a:headEnd/>
                      <a:tailEnd/>
                    </a:ln>
                  </pic:spPr>
                </pic:pic>
              </a:graphicData>
            </a:graphic>
          </wp:inline>
        </w:drawing>
      </w:r>
    </w:p>
    <w:p>
      <w:pPr>
        <w:pStyle w:val="Caption"/>
      </w:pPr>
      <w:r>
        <w:t xml:space="preserve">Figure 1 – Customer and vehicle, part 1: source records and their lineage</w:t>
      </w:r>
    </w:p>
    <w:p xmlns:a="http://schemas.openxmlformats.org/drawingml/2006/main" xmlns:pic="http://schemas.openxmlformats.org/drawingml/2006/picture">
      <w:pPr>
        <w:pStyle w:val="Figure"/>
      </w:pPr>
      <w:r>
        <w:drawing>
          <wp:inline>
            <wp:extent cx="5363999" cy="5608799"/>
            <wp:effectExtent b="0" l="0" r="0" t="0"/>
            <wp:docPr descr="Customer and vehicle, part 2: the profile, its lead and its data quality issues" title="" id="5003" name="Picture"/>
            <a:graphic>
              <a:graphicData uri="http://schemas.openxmlformats.org/drawingml/2006/picture">
                <pic:pic>
                  <pic:nvPicPr>
                    <pic:cNvPr descr="/home/user/TASCO/tools/docs-source/gen/.cache/mermaid/101613e02d62b85e.png" id="33" name="Picture"/>
                    <pic:cNvPicPr>
                      <a:picLocks noChangeArrowheads="1" noChangeAspect="1"/>
                    </pic:cNvPicPr>
                  </pic:nvPicPr>
                  <pic:blipFill>
                    <a:blip r:embed="rIdG2"/>
                    <a:stretch>
                      <a:fillRect/>
                    </a:stretch>
                  </pic:blipFill>
                  <pic:spPr bwMode="auto">
                    <a:xfrm>
                      <a:off x="0" y="0"/>
                      <a:ext cx="5363999" cy="5608799"/>
                    </a:xfrm>
                    <a:prstGeom prst="rect">
                      <a:avLst/>
                    </a:prstGeom>
                    <a:noFill/>
                    <a:ln w="9525">
                      <a:noFill/>
                      <a:headEnd/>
                      <a:tailEnd/>
                    </a:ln>
                  </pic:spPr>
                </pic:pic>
              </a:graphicData>
            </a:graphic>
          </wp:inline>
        </w:drawing>
      </w:r>
    </w:p>
    <w:p>
      <w:pPr>
        <w:pStyle w:val="Caption"/>
      </w:pPr>
      <w:r>
        <w:t xml:space="preserve">Figure 2 – Customer and vehicle, part 2: the profile, its lead and its data quality issues</w:t>
      </w:r>
    </w:p>
    <w:p>
      <w:pPr>
        <w:pStyle w:val="Heading2"/>
      </w:pPr>
      <w:bookmarkStart w:id="17" w:name="_Toc300000013"/>
      <w:r>
        <w:t xml:space="preserve">Engagement</w:t>
      </w:r>
      <w:bookmarkEnd w:id="17"/>
    </w:p>
    <w:p>
      <w:pPr>
        <w:pStyle w:val="FirstParagraph"/>
      </w:pPr>
      <w:r>
        <w:t xml:space="preserve">Touchpoints are planned from a lead’s journey and executed as messages or calls. A call that ends with a request to speak to a person creates one handoff, which a telesales user can be assigned.</w:t>
      </w:r>
    </w:p>
    <w:p xmlns:a="http://schemas.openxmlformats.org/drawingml/2006/main" xmlns:pic="http://schemas.openxmlformats.org/drawingml/2006/picture">
      <w:pPr>
        <w:pStyle w:val="Figure"/>
      </w:pPr>
      <w:r>
        <w:drawing>
          <wp:inline>
            <wp:extent cx="3682799" cy="6479999"/>
            <wp:effectExtent b="0" l="0" r="0" t="0"/>
            <wp:docPr descr="Engagement, part 1: planned touchpoints and the messages that execute them" title="" id="5004" name="Picture"/>
            <a:graphic>
              <a:graphicData uri="http://schemas.openxmlformats.org/drawingml/2006/picture">
                <pic:pic>
                  <pic:nvPicPr>
                    <pic:cNvPr descr="/home/user/TASCO/tools/docs-source/gen/.cache/mermaid/a50facaa323ac101.png" id="37" name="Picture"/>
                    <pic:cNvPicPr>
                      <a:picLocks noChangeArrowheads="1" noChangeAspect="1"/>
                    </pic:cNvPicPr>
                  </pic:nvPicPr>
                  <pic:blipFill>
                    <a:blip r:embed="rIdG3"/>
                    <a:stretch>
                      <a:fillRect/>
                    </a:stretch>
                  </pic:blipFill>
                  <pic:spPr bwMode="auto">
                    <a:xfrm>
                      <a:off x="0" y="0"/>
                      <a:ext cx="3682799" cy="6479999"/>
                    </a:xfrm>
                    <a:prstGeom prst="rect">
                      <a:avLst/>
                    </a:prstGeom>
                    <a:noFill/>
                    <a:ln w="9525">
                      <a:noFill/>
                      <a:headEnd/>
                      <a:tailEnd/>
                    </a:ln>
                  </pic:spPr>
                </pic:pic>
              </a:graphicData>
            </a:graphic>
          </wp:inline>
        </w:drawing>
      </w:r>
    </w:p>
    <w:p>
      <w:pPr>
        <w:pStyle w:val="Caption"/>
      </w:pPr>
      <w:r>
        <w:t xml:space="preserve">Figure 3 – Engagement, part 1: planned touchpoints and the messages that execute them</w:t>
      </w:r>
    </w:p>
    <w:p xmlns:a="http://schemas.openxmlformats.org/drawingml/2006/main" xmlns:pic="http://schemas.openxmlformats.org/drawingml/2006/picture">
      <w:pPr>
        <w:pStyle w:val="Figure"/>
      </w:pPr>
      <w:r>
        <w:drawing>
          <wp:inline>
            <wp:extent cx="5727700" cy="5857080"/>
            <wp:effectExtent b="0" l="0" r="0" t="0"/>
            <wp:docPr descr="Engagement, part 2: voice sessions and telesales handoffs" title="" id="5005" name="Picture"/>
            <a:graphic>
              <a:graphicData uri="http://schemas.openxmlformats.org/drawingml/2006/picture">
                <pic:pic>
                  <pic:nvPicPr>
                    <pic:cNvPr descr="/home/user/TASCO/tools/docs-source/gen/.cache/mermaid/06276757e77b7c57.png" id="40" name="Picture"/>
                    <pic:cNvPicPr>
                      <a:picLocks noChangeArrowheads="1" noChangeAspect="1"/>
                    </pic:cNvPicPr>
                  </pic:nvPicPr>
                  <pic:blipFill>
                    <a:blip r:embed="rIdG4"/>
                    <a:stretch>
                      <a:fillRect/>
                    </a:stretch>
                  </pic:blipFill>
                  <pic:spPr bwMode="auto">
                    <a:xfrm>
                      <a:off x="0" y="0"/>
                      <a:ext cx="5727700" cy="5857080"/>
                    </a:xfrm>
                    <a:prstGeom prst="rect">
                      <a:avLst/>
                    </a:prstGeom>
                    <a:noFill/>
                    <a:ln w="9525">
                      <a:noFill/>
                      <a:headEnd/>
                      <a:tailEnd/>
                    </a:ln>
                  </pic:spPr>
                </pic:pic>
              </a:graphicData>
            </a:graphic>
          </wp:inline>
        </w:drawing>
      </w:r>
    </w:p>
    <w:p>
      <w:pPr>
        <w:pStyle w:val="Caption"/>
      </w:pPr>
      <w:r>
        <w:t xml:space="preserve">Figure 4 – Engagement, part 2: voice sessions and telesales handoffs</w:t>
      </w:r>
    </w:p>
    <w:p>
      <w:pPr>
        <w:pStyle w:val="Heading2"/>
      </w:pPr>
      <w:bookmarkStart w:id="18" w:name="_Toc300000014"/>
      <w:r>
        <w:t xml:space="preserve">Commerce and partners</w:t>
      </w:r>
      <w:bookmarkEnd w:id="18"/>
    </w:p>
    <w:p>
      <w:pPr>
        <w:pStyle w:val="FirstParagraph"/>
      </w:pPr>
      <w:r>
        <w:t xml:space="preserve">A quote becomes at most one order, and a completed order holds one policy per quote line. Claims attach to policies. Partner quotes, orders and policies carry the partner id.</w:t>
      </w:r>
    </w:p>
    <w:p xmlns:a="http://schemas.openxmlformats.org/drawingml/2006/main" xmlns:pic="http://schemas.openxmlformats.org/drawingml/2006/picture">
      <w:pPr>
        <w:pStyle w:val="Figure"/>
      </w:pPr>
      <w:r>
        <w:drawing>
          <wp:inline>
            <wp:extent cx="4485599" cy="6029999"/>
            <wp:effectExtent b="0" l="0" r="0" t="0"/>
            <wp:docPr descr="Commerce and partners, part 1: a quote becomes at most one order" title="" id="5006" name="Picture"/>
            <a:graphic>
              <a:graphicData uri="http://schemas.openxmlformats.org/drawingml/2006/picture">
                <pic:pic>
                  <pic:nvPicPr>
                    <pic:cNvPr descr="/home/user/TASCO/tools/docs-source/gen/.cache/mermaid/1d5e555860241e4a.png" id="44" name="Picture"/>
                    <pic:cNvPicPr>
                      <a:picLocks noChangeArrowheads="1" noChangeAspect="1"/>
                    </pic:cNvPicPr>
                  </pic:nvPicPr>
                  <pic:blipFill>
                    <a:blip r:embed="rIdG5"/>
                    <a:stretch>
                      <a:fillRect/>
                    </a:stretch>
                  </pic:blipFill>
                  <pic:spPr bwMode="auto">
                    <a:xfrm>
                      <a:off x="0" y="0"/>
                      <a:ext cx="4485599" cy="6029999"/>
                    </a:xfrm>
                    <a:prstGeom prst="rect">
                      <a:avLst/>
                    </a:prstGeom>
                    <a:noFill/>
                    <a:ln w="9525">
                      <a:noFill/>
                      <a:headEnd/>
                      <a:tailEnd/>
                    </a:ln>
                  </pic:spPr>
                </pic:pic>
              </a:graphicData>
            </a:graphic>
          </wp:inline>
        </w:drawing>
      </w:r>
    </w:p>
    <w:p>
      <w:pPr>
        <w:pStyle w:val="Caption"/>
      </w:pPr>
      <w:r>
        <w:t xml:space="preserve">Figure 5 – Commerce and partners, part 1: a quote becomes at most one order</w:t>
      </w:r>
    </w:p>
    <w:p xmlns:a="http://schemas.openxmlformats.org/drawingml/2006/main" xmlns:pic="http://schemas.openxmlformats.org/drawingml/2006/picture">
      <w:pPr>
        <w:pStyle w:val="Figure"/>
      </w:pPr>
      <w:r>
        <w:drawing>
          <wp:inline>
            <wp:extent cx="4046399" cy="6029999"/>
            <wp:effectExtent b="0" l="0" r="0" t="0"/>
            <wp:docPr descr="Commerce and partners, part 2: a completed order issues policies, and claims attach to policies" title="" id="5007" name="Picture"/>
            <a:graphic>
              <a:graphicData uri="http://schemas.openxmlformats.org/drawingml/2006/picture">
                <pic:pic>
                  <pic:nvPicPr>
                    <pic:cNvPr descr="/home/user/TASCO/tools/docs-source/gen/.cache/mermaid/446dba9fab102977.png" id="47" name="Picture"/>
                    <pic:cNvPicPr>
                      <a:picLocks noChangeArrowheads="1" noChangeAspect="1"/>
                    </pic:cNvPicPr>
                  </pic:nvPicPr>
                  <pic:blipFill>
                    <a:blip r:embed="rIdG6"/>
                    <a:stretch>
                      <a:fillRect/>
                    </a:stretch>
                  </pic:blipFill>
                  <pic:spPr bwMode="auto">
                    <a:xfrm>
                      <a:off x="0" y="0"/>
                      <a:ext cx="4046399" cy="6029999"/>
                    </a:xfrm>
                    <a:prstGeom prst="rect">
                      <a:avLst/>
                    </a:prstGeom>
                    <a:noFill/>
                    <a:ln w="9525">
                      <a:noFill/>
                      <a:headEnd/>
                      <a:tailEnd/>
                    </a:ln>
                  </pic:spPr>
                </pic:pic>
              </a:graphicData>
            </a:graphic>
          </wp:inline>
        </w:drawing>
      </w:r>
    </w:p>
    <w:p>
      <w:pPr>
        <w:pStyle w:val="Caption"/>
      </w:pPr>
      <w:r>
        <w:t xml:space="preserve">Figure 6 – Commerce and partners, part 2: a completed order issues policies, and claims attach to policies</w:t>
      </w:r>
    </w:p>
    <w:p xmlns:a="http://schemas.openxmlformats.org/drawingml/2006/main" xmlns:pic="http://schemas.openxmlformats.org/drawingml/2006/picture">
      <w:pPr>
        <w:pStyle w:val="Figure"/>
      </w:pPr>
      <w:r>
        <w:drawing>
          <wp:inline>
            <wp:extent cx="5727700" cy="3266524"/>
            <wp:effectExtent b="0" l="0" r="0" t="0"/>
            <wp:docPr descr="Commerce and partners, part 3: partners, their API keys and the orders they sell" title="" id="5008" name="Picture"/>
            <a:graphic>
              <a:graphicData uri="http://schemas.openxmlformats.org/drawingml/2006/picture">
                <pic:pic>
                  <pic:nvPicPr>
                    <pic:cNvPr descr="/home/user/TASCO/tools/docs-source/gen/.cache/mermaid/44406ad5e649e87e.png" id="50" name="Picture"/>
                    <pic:cNvPicPr>
                      <a:picLocks noChangeArrowheads="1" noChangeAspect="1"/>
                    </pic:cNvPicPr>
                  </pic:nvPicPr>
                  <pic:blipFill>
                    <a:blip r:embed="rIdG7"/>
                    <a:stretch>
                      <a:fillRect/>
                    </a:stretch>
                  </pic:blipFill>
                  <pic:spPr bwMode="auto">
                    <a:xfrm>
                      <a:off x="0" y="0"/>
                      <a:ext cx="5727700" cy="3266524"/>
                    </a:xfrm>
                    <a:prstGeom prst="rect">
                      <a:avLst/>
                    </a:prstGeom>
                    <a:noFill/>
                    <a:ln w="9525">
                      <a:noFill/>
                      <a:headEnd/>
                      <a:tailEnd/>
                    </a:ln>
                  </pic:spPr>
                </pic:pic>
              </a:graphicData>
            </a:graphic>
          </wp:inline>
        </w:drawing>
      </w:r>
    </w:p>
    <w:p>
      <w:pPr>
        <w:pStyle w:val="Caption"/>
      </w:pPr>
      <w:r>
        <w:t xml:space="preserve">Figure 7 – Commerce and partners, part 3: partners, their API keys and the orders they sell</w:t>
      </w:r>
    </w:p>
    <w:p>
      <w:pPr>
        <w:pStyle w:val="Heading2"/>
      </w:pPr>
      <w:bookmarkStart w:id="19" w:name="_Toc300000015"/>
      <w:r>
        <w:t xml:space="preserve">Governance</w:t>
      </w:r>
      <w:bookmarkEnd w:id="19"/>
    </w:p>
    <w:p>
      <w:pPr>
        <w:pStyle w:val="FirstParagraph"/>
      </w:pPr>
      <w:r>
        <w:t xml:space="preserve">Staff users author and approve rule set versions and appear as actors in the audit trail. Domain events and job runs stand alone. Each data-subject request concerns one profile and is handled by a compliance officer.</w:t>
      </w:r>
    </w:p>
    <w:p xmlns:a="http://schemas.openxmlformats.org/drawingml/2006/main" xmlns:pic="http://schemas.openxmlformats.org/drawingml/2006/picture">
      <w:pPr>
        <w:pStyle w:val="Figure"/>
      </w:pPr>
      <w:r>
        <w:drawing>
          <wp:inline>
            <wp:extent cx="5727700" cy="3995504"/>
            <wp:effectExtent b="0" l="0" r="0" t="0"/>
            <wp:docPr descr="Governance, part 1: staff users, rule set versions and the audit trail" title="" id="5009" name="Picture"/>
            <a:graphic>
              <a:graphicData uri="http://schemas.openxmlformats.org/drawingml/2006/picture">
                <pic:pic>
                  <pic:nvPicPr>
                    <pic:cNvPr descr="/home/user/TASCO/tools/docs-source/gen/.cache/mermaid/333a83afef639285.png" id="54" name="Picture"/>
                    <pic:cNvPicPr>
                      <a:picLocks noChangeArrowheads="1" noChangeAspect="1"/>
                    </pic:cNvPicPr>
                  </pic:nvPicPr>
                  <pic:blipFill>
                    <a:blip r:embed="rIdG8"/>
                    <a:stretch>
                      <a:fillRect/>
                    </a:stretch>
                  </pic:blipFill>
                  <pic:spPr bwMode="auto">
                    <a:xfrm>
                      <a:off x="0" y="0"/>
                      <a:ext cx="5727700" cy="3995504"/>
                    </a:xfrm>
                    <a:prstGeom prst="rect">
                      <a:avLst/>
                    </a:prstGeom>
                    <a:noFill/>
                    <a:ln w="9525">
                      <a:noFill/>
                      <a:headEnd/>
                      <a:tailEnd/>
                    </a:ln>
                  </pic:spPr>
                </pic:pic>
              </a:graphicData>
            </a:graphic>
          </wp:inline>
        </w:drawing>
      </w:r>
    </w:p>
    <w:p>
      <w:pPr>
        <w:pStyle w:val="Caption"/>
      </w:pPr>
      <w:r>
        <w:t xml:space="preserve">Figure 8 – Governance, part 1: staff users, rule set versions and the audit trail</w:t>
      </w:r>
    </w:p>
    <w:p xmlns:a="http://schemas.openxmlformats.org/drawingml/2006/main" xmlns:pic="http://schemas.openxmlformats.org/drawingml/2006/picture">
      <w:pPr>
        <w:pStyle w:val="Figure"/>
      </w:pPr>
      <w:r>
        <w:drawing>
          <wp:inline>
            <wp:extent cx="5630399" cy="1666799"/>
            <wp:effectExtent b="0" l="0" r="0" t="0"/>
            <wp:docPr descr="Governance, part 2: domain events and job runs, which stand alone" title="" id="5010" name="Picture"/>
            <a:graphic>
              <a:graphicData uri="http://schemas.openxmlformats.org/drawingml/2006/picture">
                <pic:pic>
                  <pic:nvPicPr>
                    <pic:cNvPr descr="/home/user/TASCO/tools/docs-source/gen/.cache/mermaid/7ed98941391a9b2a.png" id="57" name="Picture"/>
                    <pic:cNvPicPr>
                      <a:picLocks noChangeArrowheads="1" noChangeAspect="1"/>
                    </pic:cNvPicPr>
                  </pic:nvPicPr>
                  <pic:blipFill>
                    <a:blip r:embed="rIdG9"/>
                    <a:stretch>
                      <a:fillRect/>
                    </a:stretch>
                  </pic:blipFill>
                  <pic:spPr bwMode="auto">
                    <a:xfrm>
                      <a:off x="0" y="0"/>
                      <a:ext cx="5630399" cy="1666799"/>
                    </a:xfrm>
                    <a:prstGeom prst="rect">
                      <a:avLst/>
                    </a:prstGeom>
                    <a:noFill/>
                    <a:ln w="9525">
                      <a:noFill/>
                      <a:headEnd/>
                      <a:tailEnd/>
                    </a:ln>
                  </pic:spPr>
                </pic:pic>
              </a:graphicData>
            </a:graphic>
          </wp:inline>
        </w:drawing>
      </w:r>
    </w:p>
    <w:p>
      <w:pPr>
        <w:pStyle w:val="Caption"/>
      </w:pPr>
      <w:r>
        <w:t xml:space="preserve">Figure 9 – Governance, part 2: domain events and job runs, which stand alone</w:t>
      </w:r>
    </w:p>
    <w:p xmlns:a="http://schemas.openxmlformats.org/drawingml/2006/main" xmlns:pic="http://schemas.openxmlformats.org/drawingml/2006/picture">
      <w:pPr>
        <w:pStyle w:val="Figure"/>
      </w:pPr>
      <w:r>
        <w:drawing>
          <wp:inline>
            <wp:extent cx="5086799" cy="4258799"/>
            <wp:effectExtent b="0" l="0" r="0" t="0"/>
            <wp:docPr descr="Governance, part 3: data-subject requests about a profile, handled by a staff user" title="" id="5011" name="Picture"/>
            <a:graphic>
              <a:graphicData uri="http://schemas.openxmlformats.org/drawingml/2006/picture">
                <pic:pic>
                  <pic:nvPicPr>
                    <pic:cNvPr descr="/home/user/TASCO/tools/docs-source/gen/.cache/mermaid/1bf698ecaad7bb75.png" id="60" name="Picture"/>
                    <pic:cNvPicPr>
                      <a:picLocks noChangeArrowheads="1" noChangeAspect="1"/>
                    </pic:cNvPicPr>
                  </pic:nvPicPr>
                  <pic:blipFill>
                    <a:blip r:embed="rIdG10"/>
                    <a:stretch>
                      <a:fillRect/>
                    </a:stretch>
                  </pic:blipFill>
                  <pic:spPr bwMode="auto">
                    <a:xfrm>
                      <a:off x="0" y="0"/>
                      <a:ext cx="5086799" cy="4258799"/>
                    </a:xfrm>
                    <a:prstGeom prst="rect">
                      <a:avLst/>
                    </a:prstGeom>
                    <a:noFill/>
                    <a:ln w="9525">
                      <a:noFill/>
                      <a:headEnd/>
                      <a:tailEnd/>
                    </a:ln>
                  </pic:spPr>
                </pic:pic>
              </a:graphicData>
            </a:graphic>
          </wp:inline>
        </w:drawing>
      </w:r>
    </w:p>
    <w:p>
      <w:pPr>
        <w:pStyle w:val="Caption"/>
      </w:pPr>
      <w:r>
        <w:t xml:space="preserve">Figure 10 – Governance, part 3: data-subject requests about a profile, handled by a staff user</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Data classification</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66"/>
        <w:gridCol w:w="3222"/>
        <w:gridCol w:w="3839"/>
      </w:tblGrid>
      <w:tr>
        <w:trPr>
          <w:cantSplit/>
          <w:tblHeader/>
        </w:trPr>
        <w:tc>
          <w:tcPr>
            <w:tcW w:w="1966" w:type="dxa"/>
            <w:shd w:val="clear" w:color="auto" w:fill="0F4761"/>
            <w:vAlign w:val="center"/>
          </w:tcPr>
          <w:p>
            <w:pPr>
              <w:pStyle w:val="TableHeading"/>
              <w:jc w:val="left"/>
            </w:pPr>
            <w:r>
              <w:rPr>
                <w:color w:val="FFFFFF"/>
              </w:rPr>
              <w:t xml:space="preserve">Class</w:t>
            </w:r>
          </w:p>
        </w:tc>
        <w:tc>
          <w:tcPr>
            <w:tcW w:w="3222" w:type="dxa"/>
            <w:shd w:val="clear" w:color="auto" w:fill="0F4761"/>
            <w:vAlign w:val="center"/>
          </w:tcPr>
          <w:p>
            <w:pPr>
              <w:pStyle w:val="TableHeading"/>
              <w:jc w:val="left"/>
            </w:pPr>
            <w:r>
              <w:rPr>
                <w:color w:val="FFFFFF"/>
              </w:rPr>
              <w:t xml:space="preserve">Examples</w:t>
            </w:r>
          </w:p>
        </w:tc>
        <w:tc>
          <w:tcPr>
            <w:tcW w:w="3839" w:type="dxa"/>
            <w:shd w:val="clear" w:color="auto" w:fill="0F4761"/>
            <w:vAlign w:val="center"/>
          </w:tcPr>
          <w:p>
            <w:pPr>
              <w:pStyle w:val="TableHeading"/>
              <w:jc w:val="left"/>
            </w:pPr>
            <w:r>
              <w:rPr>
                <w:color w:val="FFFFFF"/>
              </w:rPr>
              <w:t xml:space="preserve">Controls</w:t>
            </w:r>
          </w:p>
        </w:tc>
      </w:tr>
      <w:tr>
        <w:trPr>
          <w:cantSplit/>
        </w:trPr>
        <w:tc>
          <w:tcPr>
            <w:tcW w:w="1966" w:type="dxa"/>
            <w:vAlign w:val="top"/>
          </w:tcPr>
          <w:p>
            <w:pPr>
              <w:pStyle w:val="TableText"/>
              <w:jc w:val="left"/>
            </w:pPr>
            <w:r>
              <w:t xml:space="preserve">Restricted, personal</w:t>
            </w:r>
          </w:p>
        </w:tc>
        <w:tc>
          <w:tcPr>
            <w:tcW w:w="3222" w:type="dxa"/>
            <w:vAlign w:val="top"/>
          </w:tcPr>
          <w:p>
            <w:pPr>
              <w:pStyle w:val="TableText"/>
              <w:jc w:val="left"/>
            </w:pPr>
            <w:r>
              <w:t xml:space="preserve">Customer name and phone, call transcript, claim description and location, data-request note, staff authenticator seed</w:t>
            </w:r>
          </w:p>
        </w:tc>
        <w:tc>
          <w:tcPr>
            <w:tcW w:w="3839" w:type="dxa"/>
            <w:vAlign w:val="top"/>
          </w:tcPr>
          <w:p>
            <w:pPr>
              <w:pStyle w:val="TableText"/>
              <w:jc w:val="left"/>
            </w:pPr>
            <w:r>
              <w:t xml:space="preserve">Field encryption (AES-256-GCM); masked unless the user may see personal data; redacted in logs; included in DSAR export and erasure</w:t>
            </w:r>
          </w:p>
        </w:tc>
      </w:tr>
      <w:tr>
        <w:trPr>
          <w:cantSplit/>
        </w:trPr>
        <w:tc>
          <w:tcPr>
            <w:tcW w:w="1966" w:type="dxa"/>
            <w:shd w:val="clear" w:color="auto" w:fill="F4F7FB"/>
            <w:vAlign w:val="top"/>
          </w:tcPr>
          <w:p>
            <w:pPr>
              <w:pStyle w:val="TableText"/>
              <w:jc w:val="left"/>
            </w:pPr>
            <w:r>
              <w:t xml:space="preserve">Confidential, linked to a person</w:t>
            </w:r>
          </w:p>
        </w:tc>
        <w:tc>
          <w:tcPr>
            <w:tcW w:w="3222" w:type="dxa"/>
            <w:shd w:val="clear" w:color="auto" w:fill="F4F7FB"/>
            <w:vAlign w:val="top"/>
          </w:tcPr>
          <w:p>
            <w:pPr>
              <w:pStyle w:val="TableText"/>
              <w:jc w:val="left"/>
            </w:pPr>
            <w:r>
              <w:t xml:space="preserve">Licence plate, policy expiry and insurer, engagement metrics, wallet balance, consent flags, IP addresses in the audit trail</w:t>
            </w:r>
          </w:p>
        </w:tc>
        <w:tc>
          <w:tcPr>
            <w:tcW w:w="3839" w:type="dxa"/>
            <w:shd w:val="clear" w:color="auto" w:fill="F4F7FB"/>
            <w:vAlign w:val="top"/>
          </w:tcPr>
          <w:p>
            <w:pPr>
              <w:pStyle w:val="TableText"/>
              <w:jc w:val="left"/>
            </w:pPr>
            <w:r>
              <w:t xml:space="preserve">Stored in clear for matching and filtering; role and attribute-based access; pseudonymised in analytics. Whether the plate is personal data is to be confirmed by TASCO legal and the DPO.</w:t>
            </w:r>
          </w:p>
        </w:tc>
      </w:tr>
      <w:tr>
        <w:trPr>
          <w:cantSplit/>
        </w:trPr>
        <w:tc>
          <w:tcPr>
            <w:tcW w:w="1966" w:type="dxa"/>
            <w:vAlign w:val="top"/>
          </w:tcPr>
          <w:p>
            <w:pPr>
              <w:pStyle w:val="TableText"/>
              <w:jc w:val="left"/>
            </w:pPr>
            <w:r>
              <w:t xml:space="preserve">Confidential, business</w:t>
            </w:r>
          </w:p>
        </w:tc>
        <w:tc>
          <w:tcPr>
            <w:tcW w:w="3222" w:type="dxa"/>
            <w:vAlign w:val="top"/>
          </w:tcPr>
          <w:p>
            <w:pPr>
              <w:pStyle w:val="TableText"/>
              <w:jc w:val="left"/>
            </w:pPr>
            <w:r>
              <w:t xml:space="preserve">Quotes, orders, commission, tariffs and scoring rules, partner data</w:t>
            </w:r>
          </w:p>
        </w:tc>
        <w:tc>
          <w:tcPr>
            <w:tcW w:w="3839" w:type="dxa"/>
            <w:vAlign w:val="top"/>
          </w:tcPr>
          <w:p>
            <w:pPr>
              <w:pStyle w:val="TableText"/>
              <w:jc w:val="left"/>
            </w:pPr>
            <w:r>
              <w:t xml:space="preserve">Role-based access; audited</w:t>
            </w:r>
          </w:p>
        </w:tc>
      </w:tr>
      <w:tr>
        <w:trPr>
          <w:cantSplit/>
        </w:trPr>
        <w:tc>
          <w:tcPr>
            <w:tcW w:w="1966" w:type="dxa"/>
            <w:shd w:val="clear" w:color="auto" w:fill="F4F7FB"/>
            <w:vAlign w:val="top"/>
          </w:tcPr>
          <w:p>
            <w:pPr>
              <w:pStyle w:val="TableText"/>
              <w:jc w:val="left"/>
            </w:pPr>
            <w:r>
              <w:t xml:space="preserve">Internal</w:t>
            </w:r>
          </w:p>
        </w:tc>
        <w:tc>
          <w:tcPr>
            <w:tcW w:w="3222" w:type="dxa"/>
            <w:shd w:val="clear" w:color="auto" w:fill="F4F7FB"/>
            <w:vAlign w:val="top"/>
          </w:tcPr>
          <w:p>
            <w:pPr>
              <w:pStyle w:val="TableText"/>
              <w:jc w:val="left"/>
            </w:pPr>
            <w:r>
              <w:t xml:space="preserve">Metrics, job runs, data quality counts</w:t>
            </w:r>
          </w:p>
        </w:tc>
        <w:tc>
          <w:tcPr>
            <w:tcW w:w="3839" w:type="dxa"/>
            <w:shd w:val="clear" w:color="auto" w:fill="F4F7FB"/>
            <w:vAlign w:val="top"/>
          </w:tcPr>
          <w:p>
            <w:pPr>
              <w:pStyle w:val="TableText"/>
              <w:jc w:val="left"/>
            </w:pPr>
            <w:r>
              <w:t xml:space="preserve">Staff access</w:t>
            </w:r>
          </w:p>
        </w:tc>
      </w:tr>
      <w:tr>
        <w:trPr>
          <w:cantSplit/>
        </w:trPr>
        <w:tc>
          <w:tcPr>
            <w:tcW w:w="1966" w:type="dxa"/>
            <w:vAlign w:val="top"/>
          </w:tcPr>
          <w:p>
            <w:pPr>
              <w:pStyle w:val="TableText"/>
              <w:jc w:val="left"/>
            </w:pPr>
            <w:r>
              <w:t xml:space="preserve">Public</w:t>
            </w:r>
          </w:p>
        </w:tc>
        <w:tc>
          <w:tcPr>
            <w:tcW w:w="3222" w:type="dxa"/>
            <w:vAlign w:val="top"/>
          </w:tcPr>
          <w:p>
            <w:pPr>
              <w:pStyle w:val="TableText"/>
              <w:jc w:val="left"/>
            </w:pPr>
            <w:r>
              <w:t xml:space="preserve">Certificate validity with a masked plate</w:t>
            </w:r>
          </w:p>
        </w:tc>
        <w:tc>
          <w:tcPr>
            <w:tcW w:w="3839" w:type="dxa"/>
            <w:vAlign w:val="top"/>
          </w:tcPr>
          <w:p>
            <w:pPr>
              <w:pStyle w:val="TableText"/>
              <w:jc w:val="left"/>
            </w:pPr>
            <w:r>
              <w:t xml:space="preserve">Rate-limited; no personal data</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Data dictionary</w:t>
      </w:r>
      <w:bookmarkEnd w:id="21"/>
    </w:p>
    <w:p>
      <w:pPr>
        <w:pStyle w:val="Heading2"/>
      </w:pPr>
      <w:bookmarkStart w:id="22" w:name="_Toc300000018"/>
      <w:r>
        <w:t xml:space="preserve">Profiles (golden record)</w:t>
      </w:r>
      <w:bookmarkEnd w:id="22"/>
    </w:p>
    <w:p>
      <w:pPr>
        <w:pStyle w:val="FirstParagraph"/>
      </w:pPr>
      <w:r>
        <w:t xml:space="preserve">One profile per vehicle.</w:t>
      </w:r>
      <w:r>
        <w:t xml:space="preserve"> </w:t>
      </w:r>
      <w:r>
        <w:t xml:space="preserve">“</w:t>
      </w:r>
      <w:r>
        <w:t xml:space="preserve">Indexed</w:t>
      </w:r>
      <w:r>
        <w:t xml:space="preserve">”</w:t>
      </w:r>
      <w:r>
        <w:t xml:space="preserve"> </w:t>
      </w:r>
      <w:r>
        <w:t xml:space="preserve">fields are extracted columns that can be filtered; all others live in the document.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63"/>
        <w:gridCol w:w="1863"/>
        <w:gridCol w:w="1094"/>
        <w:gridCol w:w="1216"/>
        <w:gridCol w:w="1338"/>
        <w:gridCol w:w="6785"/>
      </w:tblGrid>
      <w:tr>
        <w:trPr>
          <w:cantSplit/>
          <w:tblHeader/>
        </w:trPr>
        <w:tc>
          <w:tcPr>
            <w:tcW w:w="1663" w:type="dxa"/>
            <w:shd w:val="clear" w:color="auto" w:fill="0F4761"/>
            <w:vAlign w:val="center"/>
          </w:tcPr>
          <w:p>
            <w:pPr>
              <w:pStyle w:val="TableHeading"/>
              <w:jc w:val="left"/>
            </w:pPr>
            <w:r>
              <w:rPr>
                <w:color w:val="FFFFFF"/>
              </w:rPr>
              <w:t xml:space="preserve">Field</w:t>
            </w:r>
          </w:p>
        </w:tc>
        <w:tc>
          <w:tcPr>
            <w:tcW w:w="1863" w:type="dxa"/>
            <w:shd w:val="clear" w:color="auto" w:fill="0F4761"/>
            <w:vAlign w:val="center"/>
          </w:tcPr>
          <w:p>
            <w:pPr>
              <w:pStyle w:val="TableHeading"/>
              <w:jc w:val="left"/>
            </w:pPr>
            <w:r>
              <w:rPr>
                <w:color w:val="FFFFFF"/>
              </w:rPr>
              <w:t xml:space="preserve">Column</w:t>
            </w:r>
          </w:p>
        </w:tc>
        <w:tc>
          <w:tcPr>
            <w:tcW w:w="1094" w:type="dxa"/>
            <w:shd w:val="clear" w:color="auto" w:fill="0F4761"/>
            <w:vAlign w:val="center"/>
          </w:tcPr>
          <w:p>
            <w:pPr>
              <w:pStyle w:val="TableHeading"/>
              <w:jc w:val="left"/>
            </w:pPr>
            <w:r>
              <w:rPr>
                <w:color w:val="FFFFFF"/>
              </w:rPr>
              <w:t xml:space="preserve">Indexed</w:t>
            </w:r>
          </w:p>
        </w:tc>
        <w:tc>
          <w:tcPr>
            <w:tcW w:w="1216" w:type="dxa"/>
            <w:shd w:val="clear" w:color="auto" w:fill="0F4761"/>
            <w:vAlign w:val="center"/>
          </w:tcPr>
          <w:p>
            <w:pPr>
              <w:pStyle w:val="TableHeading"/>
              <w:jc w:val="left"/>
            </w:pPr>
            <w:r>
              <w:rPr>
                <w:color w:val="FFFFFF"/>
              </w:rPr>
              <w:t xml:space="preserve">Personal</w:t>
            </w:r>
          </w:p>
        </w:tc>
        <w:tc>
          <w:tcPr>
            <w:tcW w:w="1338" w:type="dxa"/>
            <w:shd w:val="clear" w:color="auto" w:fill="0F4761"/>
            <w:vAlign w:val="center"/>
          </w:tcPr>
          <w:p>
            <w:pPr>
              <w:pStyle w:val="TableHeading"/>
              <w:jc w:val="left"/>
            </w:pPr>
            <w:r>
              <w:rPr>
                <w:color w:val="FFFFFF"/>
              </w:rPr>
              <w:t xml:space="preserve">Encrypted</w:t>
            </w:r>
          </w:p>
        </w:tc>
        <w:tc>
          <w:tcPr>
            <w:tcW w:w="6785" w:type="dxa"/>
            <w:shd w:val="clear" w:color="auto" w:fill="0F4761"/>
            <w:vAlign w:val="center"/>
          </w:tcPr>
          <w:p>
            <w:pPr>
              <w:pStyle w:val="TableHeading"/>
              <w:jc w:val="left"/>
            </w:pPr>
            <w:r>
              <w:rPr>
                <w:color w:val="FFFFFF"/>
              </w:rPr>
              <w:t xml:space="preserve">Description</w:t>
            </w:r>
          </w:p>
        </w:tc>
      </w:tr>
      <w:tr>
        <w:trPr>
          <w:cantSplit/>
        </w:trPr>
        <w:tc>
          <w:tcPr>
            <w:tcW w:w="1663" w:type="dxa"/>
            <w:vAlign w:val="top"/>
          </w:tcPr>
          <w:p>
            <w:pPr>
              <w:pStyle w:val="TableText"/>
              <w:jc w:val="left"/>
            </w:pPr>
            <w:r>
              <w:t xml:space="preserve">Id</w:t>
            </w:r>
          </w:p>
        </w:tc>
        <w:tc>
          <w:tcPr>
            <w:tcW w:w="1863" w:type="dxa"/>
            <w:vAlign w:val="top"/>
          </w:tcPr>
          <w:p>
            <w:pPr>
              <w:pStyle w:val="TableText"/>
              <w:jc w:val="left"/>
            </w:pPr>
            <w:r>
              <w:rPr>
                <w:rStyle w:val="CodeChar"/>
              </w:rPr>
              <w:t xml:space="preserve">id</w:t>
            </w:r>
          </w:p>
        </w:tc>
        <w:tc>
          <w:tcPr>
            <w:tcW w:w="1094" w:type="dxa"/>
            <w:vAlign w:val="top"/>
          </w:tcPr>
          <w:p>
            <w:pPr>
              <w:pStyle w:val="TableText"/>
              <w:jc w:val="left"/>
            </w:pPr>
            <w:r>
              <w:t xml:space="preserve">Key</w:t>
            </w:r>
          </w:p>
        </w:tc>
        <w:tc>
          <w:tcPr>
            <w:tcW w:w="1216" w:type="dxa"/>
            <w:vAlign w:val="top"/>
          </w:tcPr>
          <w:p>
            <w:pPr>
              <w:pStyle w:val="TableText"/>
              <w:jc w:val="left"/>
            </w:pPr>
            <w:r>
              <w:t xml:space="preserve">Linked</w:t>
            </w:r>
          </w:p>
        </w:tc>
        <w:tc>
          <w:tcPr>
            <w:tcW w:w="1338" w:type="dxa"/>
            <w:vAlign w:val="top"/>
          </w:tcPr>
          <w:p>
            <w:pPr>
              <w:pStyle w:val="TableText"/>
              <w:jc w:val="left"/>
            </w:pPr>
            <w:r>
              <w:t xml:space="preserve">No</w:t>
            </w:r>
          </w:p>
        </w:tc>
        <w:tc>
          <w:tcPr>
            <w:tcW w:w="6785" w:type="dxa"/>
            <w:vAlign w:val="top"/>
          </w:tcPr>
          <w:p>
            <w:pPr>
              <w:pStyle w:val="TableText"/>
              <w:jc w:val="left"/>
            </w:pPr>
            <w:r>
              <w:t xml:space="preserve">Normalised plate, for example</w:t>
            </w:r>
            <w:r>
              <w:t xml:space="preserve"> </w:t>
            </w:r>
            <w:r>
              <w:rPr>
                <w:rStyle w:val="CodeChar"/>
              </w:rPr>
              <w:t xml:space="preserve">30A12345</w:t>
            </w:r>
          </w:p>
        </w:tc>
      </w:tr>
      <w:tr>
        <w:trPr>
          <w:cantSplit/>
        </w:trPr>
        <w:tc>
          <w:tcPr>
            <w:tcW w:w="1663" w:type="dxa"/>
            <w:shd w:val="clear" w:color="auto" w:fill="F4F7FB"/>
            <w:vAlign w:val="top"/>
          </w:tcPr>
          <w:p>
            <w:pPr>
              <w:pStyle w:val="TableText"/>
              <w:jc w:val="left"/>
            </w:pPr>
            <w:r>
              <w:t xml:space="preserve">Plate</w:t>
            </w:r>
          </w:p>
        </w:tc>
        <w:tc>
          <w:tcPr>
            <w:tcW w:w="1863" w:type="dxa"/>
            <w:shd w:val="clear" w:color="auto" w:fill="F4F7FB"/>
            <w:vAlign w:val="top"/>
          </w:tcPr>
          <w:p>
            <w:pPr>
              <w:pStyle w:val="TableText"/>
              <w:jc w:val="left"/>
            </w:pPr>
            <w:r>
              <w:t xml:space="preserve">Document</w:t>
            </w:r>
          </w:p>
        </w:tc>
        <w:tc>
          <w:tcPr>
            <w:tcW w:w="1094"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Linked</w:t>
            </w:r>
          </w:p>
        </w:tc>
        <w:tc>
          <w:tcPr>
            <w:tcW w:w="1338" w:type="dxa"/>
            <w:shd w:val="clear" w:color="auto" w:fill="F4F7FB"/>
            <w:vAlign w:val="top"/>
          </w:tcPr>
          <w:p>
            <w:pPr>
              <w:pStyle w:val="TableText"/>
              <w:jc w:val="left"/>
            </w:pPr>
            <w:r>
              <w:t xml:space="preserve">No</w:t>
            </w:r>
          </w:p>
        </w:tc>
        <w:tc>
          <w:tcPr>
            <w:tcW w:w="6785" w:type="dxa"/>
            <w:shd w:val="clear" w:color="auto" w:fill="F4F7FB"/>
            <w:vAlign w:val="top"/>
          </w:tcPr>
          <w:p>
            <w:pPr>
              <w:pStyle w:val="TableText"/>
              <w:jc w:val="left"/>
            </w:pPr>
            <w:r>
              <w:t xml:space="preserve">Display plate, for example</w:t>
            </w:r>
            <w:r>
              <w:t xml:space="preserve"> </w:t>
            </w:r>
            <w:r>
              <w:rPr>
                <w:rStyle w:val="CodeChar"/>
              </w:rPr>
              <w:t xml:space="preserve">30A-123.45</w:t>
            </w:r>
          </w:p>
        </w:tc>
      </w:tr>
      <w:tr>
        <w:trPr>
          <w:cantSplit/>
        </w:trPr>
        <w:tc>
          <w:tcPr>
            <w:tcW w:w="1663" w:type="dxa"/>
            <w:vAlign w:val="top"/>
          </w:tcPr>
          <w:p>
            <w:pPr>
              <w:pStyle w:val="TableText"/>
              <w:jc w:val="left"/>
            </w:pPr>
            <w:r>
              <w:t xml:space="preserve">Province</w:t>
            </w:r>
          </w:p>
        </w:tc>
        <w:tc>
          <w:tcPr>
            <w:tcW w:w="1863" w:type="dxa"/>
            <w:vAlign w:val="top"/>
          </w:tcPr>
          <w:p>
            <w:pPr>
              <w:pStyle w:val="TableText"/>
              <w:jc w:val="left"/>
            </w:pPr>
            <w:r>
              <w:rPr>
                <w:rStyle w:val="CodeChar"/>
              </w:rPr>
              <w:t xml:space="preserve">region</w:t>
            </w:r>
          </w:p>
        </w:tc>
        <w:tc>
          <w:tcPr>
            <w:tcW w:w="1094" w:type="dxa"/>
            <w:vAlign w:val="top"/>
          </w:tcPr>
          <w:p>
            <w:pPr>
              <w:pStyle w:val="TableText"/>
              <w:jc w:val="left"/>
            </w:pPr>
            <w:r>
              <w:t xml:space="preserve">Yes</w:t>
            </w:r>
          </w:p>
        </w:tc>
        <w:tc>
          <w:tcPr>
            <w:tcW w:w="1216" w:type="dxa"/>
            <w:vAlign w:val="top"/>
          </w:tcPr>
          <w:p>
            <w:pPr>
              <w:pStyle w:val="TableText"/>
              <w:jc w:val="left"/>
            </w:pPr>
            <w:r>
              <w:t xml:space="preserve">No</w:t>
            </w:r>
          </w:p>
        </w:tc>
        <w:tc>
          <w:tcPr>
            <w:tcW w:w="1338" w:type="dxa"/>
            <w:vAlign w:val="top"/>
          </w:tcPr>
          <w:p>
            <w:pPr>
              <w:pStyle w:val="TableText"/>
              <w:jc w:val="left"/>
            </w:pPr>
            <w:r>
              <w:t xml:space="preserve">No</w:t>
            </w:r>
          </w:p>
        </w:tc>
        <w:tc>
          <w:tcPr>
            <w:tcW w:w="6785" w:type="dxa"/>
            <w:vAlign w:val="top"/>
          </w:tcPr>
          <w:p>
            <w:pPr>
              <w:pStyle w:val="TableText"/>
              <w:jc w:val="left"/>
            </w:pPr>
            <w:r>
              <w:t xml:space="preserve">Province from the plate prefix</w:t>
            </w:r>
          </w:p>
        </w:tc>
      </w:tr>
      <w:tr>
        <w:trPr>
          <w:cantSplit/>
        </w:trPr>
        <w:tc>
          <w:tcPr>
            <w:tcW w:w="1663" w:type="dxa"/>
            <w:shd w:val="clear" w:color="auto" w:fill="F4F7FB"/>
            <w:vAlign w:val="top"/>
          </w:tcPr>
          <w:p>
            <w:pPr>
              <w:pStyle w:val="TableText"/>
              <w:jc w:val="left"/>
            </w:pPr>
            <w:r>
              <w:t xml:space="preserve">Name</w:t>
            </w:r>
          </w:p>
        </w:tc>
        <w:tc>
          <w:tcPr>
            <w:tcW w:w="1863" w:type="dxa"/>
            <w:shd w:val="clear" w:color="auto" w:fill="F4F7FB"/>
            <w:vAlign w:val="top"/>
          </w:tcPr>
          <w:p>
            <w:pPr>
              <w:pStyle w:val="TableText"/>
              <w:jc w:val="left"/>
            </w:pPr>
            <w:r>
              <w:t xml:space="preserve">Document</w:t>
            </w:r>
          </w:p>
        </w:tc>
        <w:tc>
          <w:tcPr>
            <w:tcW w:w="1094"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Yes</w:t>
            </w:r>
          </w:p>
        </w:tc>
        <w:tc>
          <w:tcPr>
            <w:tcW w:w="1338" w:type="dxa"/>
            <w:shd w:val="clear" w:color="auto" w:fill="F4F7FB"/>
            <w:vAlign w:val="top"/>
          </w:tcPr>
          <w:p>
            <w:pPr>
              <w:pStyle w:val="TableText"/>
              <w:jc w:val="left"/>
            </w:pPr>
            <w:r>
              <w:t xml:space="preserve">Yes</w:t>
            </w:r>
          </w:p>
        </w:tc>
        <w:tc>
          <w:tcPr>
            <w:tcW w:w="6785" w:type="dxa"/>
            <w:shd w:val="clear" w:color="auto" w:fill="F4F7FB"/>
            <w:vAlign w:val="top"/>
          </w:tcPr>
          <w:p>
            <w:pPr>
              <w:pStyle w:val="TableText"/>
              <w:jc w:val="left"/>
            </w:pPr>
            <w:r>
              <w:t xml:space="preserve">Survivor name from the most trusted source</w:t>
            </w:r>
          </w:p>
        </w:tc>
      </w:tr>
      <w:tr>
        <w:trPr>
          <w:cantSplit/>
        </w:trPr>
        <w:tc>
          <w:tcPr>
            <w:tcW w:w="1663" w:type="dxa"/>
            <w:vAlign w:val="top"/>
          </w:tcPr>
          <w:p>
            <w:pPr>
              <w:pStyle w:val="TableText"/>
              <w:jc w:val="left"/>
            </w:pPr>
            <w:r>
              <w:t xml:space="preserve">Phone</w:t>
            </w:r>
          </w:p>
        </w:tc>
        <w:tc>
          <w:tcPr>
            <w:tcW w:w="1863" w:type="dxa"/>
            <w:vAlign w:val="top"/>
          </w:tcPr>
          <w:p>
            <w:pPr>
              <w:pStyle w:val="TableText"/>
              <w:jc w:val="left"/>
            </w:pPr>
            <w:r>
              <w:t xml:space="preserve">Document and</w:t>
            </w:r>
            <w:r>
              <w:t xml:space="preserve"> </w:t>
            </w:r>
            <w:r>
              <w:rPr>
                <w:rStyle w:val="CodeChar"/>
              </w:rPr>
              <w:t xml:space="preserve">phone_bidx</w:t>
            </w:r>
          </w:p>
        </w:tc>
        <w:tc>
          <w:tcPr>
            <w:tcW w:w="1094" w:type="dxa"/>
            <w:vAlign w:val="top"/>
          </w:tcPr>
          <w:p>
            <w:pPr>
              <w:pStyle w:val="TableText"/>
              <w:jc w:val="left"/>
            </w:pPr>
            <w:r>
              <w:t xml:space="preserve">Blind index</w:t>
            </w:r>
          </w:p>
        </w:tc>
        <w:tc>
          <w:tcPr>
            <w:tcW w:w="1216" w:type="dxa"/>
            <w:vAlign w:val="top"/>
          </w:tcPr>
          <w:p>
            <w:pPr>
              <w:pStyle w:val="TableText"/>
              <w:jc w:val="left"/>
            </w:pPr>
            <w:r>
              <w:t xml:space="preserve">Yes</w:t>
            </w:r>
          </w:p>
        </w:tc>
        <w:tc>
          <w:tcPr>
            <w:tcW w:w="1338" w:type="dxa"/>
            <w:vAlign w:val="top"/>
          </w:tcPr>
          <w:p>
            <w:pPr>
              <w:pStyle w:val="TableText"/>
              <w:jc w:val="left"/>
            </w:pPr>
            <w:r>
              <w:t xml:space="preserve">Yes</w:t>
            </w:r>
          </w:p>
        </w:tc>
        <w:tc>
          <w:tcPr>
            <w:tcW w:w="6785" w:type="dxa"/>
            <w:vAlign w:val="top"/>
          </w:tcPr>
          <w:p>
            <w:pPr>
              <w:pStyle w:val="TableText"/>
              <w:jc w:val="left"/>
            </w:pPr>
            <w:r>
              <w:t xml:space="preserve">Survivor mobile number; blind index for exact search</w:t>
            </w:r>
          </w:p>
        </w:tc>
      </w:tr>
      <w:tr>
        <w:trPr>
          <w:cantSplit/>
        </w:trPr>
        <w:tc>
          <w:tcPr>
            <w:tcW w:w="1663" w:type="dxa"/>
            <w:shd w:val="clear" w:color="auto" w:fill="F4F7FB"/>
            <w:vAlign w:val="top"/>
          </w:tcPr>
          <w:p>
            <w:pPr>
              <w:pStyle w:val="TableText"/>
              <w:jc w:val="left"/>
            </w:pPr>
            <w:r>
              <w:t xml:space="preserve">Other phones</w:t>
            </w:r>
          </w:p>
        </w:tc>
        <w:tc>
          <w:tcPr>
            <w:tcW w:w="1863" w:type="dxa"/>
            <w:shd w:val="clear" w:color="auto" w:fill="F4F7FB"/>
            <w:vAlign w:val="top"/>
          </w:tcPr>
          <w:p>
            <w:pPr>
              <w:pStyle w:val="TableText"/>
              <w:jc w:val="left"/>
            </w:pPr>
            <w:r>
              <w:t xml:space="preserve">Document</w:t>
            </w:r>
          </w:p>
        </w:tc>
        <w:tc>
          <w:tcPr>
            <w:tcW w:w="1094"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Yes</w:t>
            </w:r>
          </w:p>
        </w:tc>
        <w:tc>
          <w:tcPr>
            <w:tcW w:w="1338" w:type="dxa"/>
            <w:shd w:val="clear" w:color="auto" w:fill="F4F7FB"/>
            <w:vAlign w:val="top"/>
          </w:tcPr>
          <w:p>
            <w:pPr>
              <w:pStyle w:val="TableText"/>
              <w:jc w:val="left"/>
            </w:pPr>
            <w:r>
              <w:t xml:space="preserve">Yes</w:t>
            </w:r>
          </w:p>
        </w:tc>
        <w:tc>
          <w:tcPr>
            <w:tcW w:w="6785" w:type="dxa"/>
            <w:shd w:val="clear" w:color="auto" w:fill="F4F7FB"/>
            <w:vAlign w:val="top"/>
          </w:tcPr>
          <w:p>
            <w:pPr>
              <w:pStyle w:val="TableText"/>
              <w:jc w:val="left"/>
            </w:pPr>
            <w:r>
              <w:t xml:space="preserve">Other valid numbers; more than one raises a data quality issue</w:t>
            </w:r>
          </w:p>
        </w:tc>
      </w:tr>
      <w:tr>
        <w:trPr>
          <w:cantSplit/>
        </w:trPr>
        <w:tc>
          <w:tcPr>
            <w:tcW w:w="1663" w:type="dxa"/>
            <w:vAlign w:val="top"/>
          </w:tcPr>
          <w:p>
            <w:pPr>
              <w:pStyle w:val="TableText"/>
              <w:jc w:val="left"/>
            </w:pPr>
            <w:r>
              <w:t xml:space="preserve">Owner type</w:t>
            </w:r>
          </w:p>
        </w:tc>
        <w:tc>
          <w:tcPr>
            <w:tcW w:w="1863" w:type="dxa"/>
            <w:vAlign w:val="top"/>
          </w:tcPr>
          <w:p>
            <w:pPr>
              <w:pStyle w:val="TableText"/>
              <w:jc w:val="left"/>
            </w:pPr>
            <w:r>
              <w:rPr>
                <w:rStyle w:val="CodeChar"/>
              </w:rPr>
              <w:t xml:space="preserve">owner_type</w:t>
            </w:r>
          </w:p>
        </w:tc>
        <w:tc>
          <w:tcPr>
            <w:tcW w:w="1094" w:type="dxa"/>
            <w:vAlign w:val="top"/>
          </w:tcPr>
          <w:p>
            <w:pPr>
              <w:pStyle w:val="TableText"/>
              <w:jc w:val="left"/>
            </w:pPr>
            <w:r>
              <w:t xml:space="preserve">Yes</w:t>
            </w:r>
          </w:p>
        </w:tc>
        <w:tc>
          <w:tcPr>
            <w:tcW w:w="1216" w:type="dxa"/>
            <w:vAlign w:val="top"/>
          </w:tcPr>
          <w:p>
            <w:pPr>
              <w:pStyle w:val="TableText"/>
              <w:jc w:val="left"/>
            </w:pPr>
            <w:r>
              <w:t xml:space="preserve">No</w:t>
            </w:r>
          </w:p>
        </w:tc>
        <w:tc>
          <w:tcPr>
            <w:tcW w:w="1338" w:type="dxa"/>
            <w:vAlign w:val="top"/>
          </w:tcPr>
          <w:p>
            <w:pPr>
              <w:pStyle w:val="TableText"/>
              <w:jc w:val="left"/>
            </w:pPr>
            <w:r>
              <w:t xml:space="preserve">No</w:t>
            </w:r>
          </w:p>
        </w:tc>
        <w:tc>
          <w:tcPr>
            <w:tcW w:w="6785" w:type="dxa"/>
            <w:vAlign w:val="top"/>
          </w:tcPr>
          <w:p>
            <w:pPr>
              <w:pStyle w:val="TableText"/>
              <w:jc w:val="left"/>
            </w:pPr>
            <w:r>
              <w:t xml:space="preserve">Individual or company; company vehicles are routed to B2B</w:t>
            </w:r>
          </w:p>
        </w:tc>
      </w:tr>
      <w:tr>
        <w:trPr>
          <w:cantSplit/>
        </w:trPr>
        <w:tc>
          <w:tcPr>
            <w:tcW w:w="1663" w:type="dxa"/>
            <w:shd w:val="clear" w:color="auto" w:fill="F4F7FB"/>
            <w:vAlign w:val="top"/>
          </w:tcPr>
          <w:p>
            <w:pPr>
              <w:pStyle w:val="TableText"/>
              <w:jc w:val="left"/>
            </w:pPr>
            <w:r>
              <w:t xml:space="preserve">Vehicle</w:t>
            </w:r>
          </w:p>
        </w:tc>
        <w:tc>
          <w:tcPr>
            <w:tcW w:w="1863" w:type="dxa"/>
            <w:shd w:val="clear" w:color="auto" w:fill="F4F7FB"/>
            <w:vAlign w:val="top"/>
          </w:tcPr>
          <w:p>
            <w:pPr>
              <w:pStyle w:val="TableText"/>
              <w:jc w:val="left"/>
            </w:pPr>
            <w:r>
              <w:t xml:space="preserve">Document</w:t>
            </w:r>
          </w:p>
        </w:tc>
        <w:tc>
          <w:tcPr>
            <w:tcW w:w="1094"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No</w:t>
            </w:r>
          </w:p>
        </w:tc>
        <w:tc>
          <w:tcPr>
            <w:tcW w:w="1338" w:type="dxa"/>
            <w:shd w:val="clear" w:color="auto" w:fill="F4F7FB"/>
            <w:vAlign w:val="top"/>
          </w:tcPr>
          <w:p>
            <w:pPr>
              <w:pStyle w:val="TableText"/>
              <w:jc w:val="left"/>
            </w:pPr>
            <w:r>
              <w:t xml:space="preserve">No</w:t>
            </w:r>
          </w:p>
        </w:tc>
        <w:tc>
          <w:tcPr>
            <w:tcW w:w="6785" w:type="dxa"/>
            <w:shd w:val="clear" w:color="auto" w:fill="F4F7FB"/>
            <w:vAlign w:val="top"/>
          </w:tcPr>
          <w:p>
            <w:pPr>
              <w:pStyle w:val="TableText"/>
              <w:jc w:val="left"/>
            </w:pPr>
            <w:r>
              <w:t xml:space="preserve">Toll class, seats, usage, category with confidence and basis, first registration year</w:t>
            </w:r>
          </w:p>
        </w:tc>
      </w:tr>
      <w:tr>
        <w:trPr>
          <w:cantSplit/>
        </w:trPr>
        <w:tc>
          <w:tcPr>
            <w:tcW w:w="1663" w:type="dxa"/>
            <w:vAlign w:val="top"/>
          </w:tcPr>
          <w:p>
            <w:pPr>
              <w:pStyle w:val="TableText"/>
              <w:jc w:val="left"/>
            </w:pPr>
            <w:r>
              <w:t xml:space="preserve">Policy expiry</w:t>
            </w:r>
          </w:p>
        </w:tc>
        <w:tc>
          <w:tcPr>
            <w:tcW w:w="1863" w:type="dxa"/>
            <w:vAlign w:val="top"/>
          </w:tcPr>
          <w:p>
            <w:pPr>
              <w:pStyle w:val="TableText"/>
              <w:jc w:val="left"/>
            </w:pPr>
            <w:r>
              <w:rPr>
                <w:rStyle w:val="CodeChar"/>
              </w:rPr>
              <w:t xml:space="preserve">expiry_date</w:t>
            </w:r>
          </w:p>
        </w:tc>
        <w:tc>
          <w:tcPr>
            <w:tcW w:w="1094" w:type="dxa"/>
            <w:vAlign w:val="top"/>
          </w:tcPr>
          <w:p>
            <w:pPr>
              <w:pStyle w:val="TableText"/>
              <w:jc w:val="left"/>
            </w:pPr>
            <w:r>
              <w:t xml:space="preserve">Yes</w:t>
            </w:r>
          </w:p>
        </w:tc>
        <w:tc>
          <w:tcPr>
            <w:tcW w:w="1216" w:type="dxa"/>
            <w:vAlign w:val="top"/>
          </w:tcPr>
          <w:p>
            <w:pPr>
              <w:pStyle w:val="TableText"/>
              <w:jc w:val="left"/>
            </w:pPr>
            <w:r>
              <w:t xml:space="preserve">Linked</w:t>
            </w:r>
          </w:p>
        </w:tc>
        <w:tc>
          <w:tcPr>
            <w:tcW w:w="1338" w:type="dxa"/>
            <w:vAlign w:val="top"/>
          </w:tcPr>
          <w:p>
            <w:pPr>
              <w:pStyle w:val="TableText"/>
              <w:jc w:val="left"/>
            </w:pPr>
            <w:r>
              <w:t xml:space="preserve">No</w:t>
            </w:r>
          </w:p>
        </w:tc>
        <w:tc>
          <w:tcPr>
            <w:tcW w:w="6785" w:type="dxa"/>
            <w:vAlign w:val="top"/>
          </w:tcPr>
          <w:p>
            <w:pPr>
              <w:pStyle w:val="TableText"/>
              <w:jc w:val="left"/>
            </w:pPr>
            <w:r>
              <w:t xml:space="preserve">Best expiry estimate with method, confidence and candidates</w:t>
            </w:r>
          </w:p>
        </w:tc>
      </w:tr>
      <w:tr>
        <w:trPr>
          <w:cantSplit/>
        </w:trPr>
        <w:tc>
          <w:tcPr>
            <w:tcW w:w="1663" w:type="dxa"/>
            <w:shd w:val="clear" w:color="auto" w:fill="F4F7FB"/>
            <w:vAlign w:val="top"/>
          </w:tcPr>
          <w:p>
            <w:pPr>
              <w:pStyle w:val="TableText"/>
              <w:jc w:val="left"/>
            </w:pPr>
            <w:r>
              <w:t xml:space="preserve">Insurer</w:t>
            </w:r>
          </w:p>
        </w:tc>
        <w:tc>
          <w:tcPr>
            <w:tcW w:w="1863" w:type="dxa"/>
            <w:shd w:val="clear" w:color="auto" w:fill="F4F7FB"/>
            <w:vAlign w:val="top"/>
          </w:tcPr>
          <w:p>
            <w:pPr>
              <w:pStyle w:val="TableText"/>
              <w:jc w:val="left"/>
            </w:pPr>
            <w:r>
              <w:rPr>
                <w:rStyle w:val="CodeChar"/>
              </w:rPr>
              <w:t xml:space="preserve">insurer</w:t>
            </w:r>
          </w:p>
        </w:tc>
        <w:tc>
          <w:tcPr>
            <w:tcW w:w="1094" w:type="dxa"/>
            <w:shd w:val="clear" w:color="auto" w:fill="F4F7FB"/>
            <w:vAlign w:val="top"/>
          </w:tcPr>
          <w:p>
            <w:pPr>
              <w:pStyle w:val="TableText"/>
              <w:jc w:val="left"/>
            </w:pPr>
            <w:r>
              <w:t xml:space="preserve">Yes</w:t>
            </w:r>
          </w:p>
        </w:tc>
        <w:tc>
          <w:tcPr>
            <w:tcW w:w="1216" w:type="dxa"/>
            <w:shd w:val="clear" w:color="auto" w:fill="F4F7FB"/>
            <w:vAlign w:val="top"/>
          </w:tcPr>
          <w:p>
            <w:pPr>
              <w:pStyle w:val="TableText"/>
              <w:jc w:val="left"/>
            </w:pPr>
            <w:r>
              <w:t xml:space="preserve">No</w:t>
            </w:r>
          </w:p>
        </w:tc>
        <w:tc>
          <w:tcPr>
            <w:tcW w:w="1338" w:type="dxa"/>
            <w:shd w:val="clear" w:color="auto" w:fill="F4F7FB"/>
            <w:vAlign w:val="top"/>
          </w:tcPr>
          <w:p>
            <w:pPr>
              <w:pStyle w:val="TableText"/>
              <w:jc w:val="left"/>
            </w:pPr>
            <w:r>
              <w:t xml:space="preserve">No</w:t>
            </w:r>
          </w:p>
        </w:tc>
        <w:tc>
          <w:tcPr>
            <w:tcW w:w="6785" w:type="dxa"/>
            <w:shd w:val="clear" w:color="auto" w:fill="F4F7FB"/>
            <w:vAlign w:val="top"/>
          </w:tcPr>
          <w:p>
            <w:pPr>
              <w:pStyle w:val="TableText"/>
              <w:jc w:val="left"/>
            </w:pPr>
            <w:r>
              <w:t xml:space="preserve">TASCO, another named insurer, other, or unknown</w:t>
            </w:r>
          </w:p>
        </w:tc>
      </w:tr>
      <w:tr>
        <w:trPr>
          <w:cantSplit/>
        </w:trPr>
        <w:tc>
          <w:tcPr>
            <w:tcW w:w="1663" w:type="dxa"/>
            <w:vAlign w:val="top"/>
          </w:tcPr>
          <w:p>
            <w:pPr>
              <w:pStyle w:val="TableText"/>
              <w:jc w:val="left"/>
            </w:pPr>
            <w:r>
              <w:t xml:space="preserve">Competitor note</w:t>
            </w:r>
          </w:p>
        </w:tc>
        <w:tc>
          <w:tcPr>
            <w:tcW w:w="1863" w:type="dxa"/>
            <w:vAlign w:val="top"/>
          </w:tcPr>
          <w:p>
            <w:pPr>
              <w:pStyle w:val="TableText"/>
              <w:jc w:val="left"/>
            </w:pPr>
            <w:r>
              <w:t xml:space="preserve">Document</w:t>
            </w:r>
          </w:p>
        </w:tc>
        <w:tc>
          <w:tcPr>
            <w:tcW w:w="1094" w:type="dxa"/>
            <w:vAlign w:val="top"/>
          </w:tcPr>
          <w:p>
            <w:pPr>
              <w:pStyle w:val="TableText"/>
              <w:jc w:val="left"/>
            </w:pPr>
            <w:r>
              <w:t xml:space="preserve">No</w:t>
            </w:r>
          </w:p>
        </w:tc>
        <w:tc>
          <w:tcPr>
            <w:tcW w:w="1216" w:type="dxa"/>
            <w:vAlign w:val="top"/>
          </w:tcPr>
          <w:p>
            <w:pPr>
              <w:pStyle w:val="TableText"/>
              <w:jc w:val="left"/>
            </w:pPr>
            <w:r>
              <w:t xml:space="preserve">Yes</w:t>
            </w:r>
          </w:p>
        </w:tc>
        <w:tc>
          <w:tcPr>
            <w:tcW w:w="1338" w:type="dxa"/>
            <w:vAlign w:val="top"/>
          </w:tcPr>
          <w:p>
            <w:pPr>
              <w:pStyle w:val="TableText"/>
              <w:jc w:val="left"/>
            </w:pPr>
            <w:r>
              <w:t xml:space="preserve">No</w:t>
            </w:r>
          </w:p>
        </w:tc>
        <w:tc>
          <w:tcPr>
            <w:tcW w:w="6785" w:type="dxa"/>
            <w:vAlign w:val="top"/>
          </w:tcPr>
          <w:p>
            <w:pPr>
              <w:pStyle w:val="TableText"/>
              <w:jc w:val="left"/>
            </w:pPr>
            <w:r>
              <w:t xml:space="preserve">Customer’s words about another insurer from a call; cleared on erasure</w:t>
            </w:r>
          </w:p>
        </w:tc>
      </w:tr>
      <w:tr>
        <w:trPr>
          <w:cantSplit/>
        </w:trPr>
        <w:tc>
          <w:tcPr>
            <w:tcW w:w="1663" w:type="dxa"/>
            <w:shd w:val="clear" w:color="auto" w:fill="F4F7FB"/>
            <w:vAlign w:val="top"/>
          </w:tcPr>
          <w:p>
            <w:pPr>
              <w:pStyle w:val="TableText"/>
              <w:jc w:val="left"/>
            </w:pPr>
            <w:r>
              <w:t xml:space="preserve">Engagement</w:t>
            </w:r>
          </w:p>
        </w:tc>
        <w:tc>
          <w:tcPr>
            <w:tcW w:w="1863" w:type="dxa"/>
            <w:shd w:val="clear" w:color="auto" w:fill="F4F7FB"/>
            <w:vAlign w:val="top"/>
          </w:tcPr>
          <w:p>
            <w:pPr>
              <w:pStyle w:val="TableText"/>
              <w:jc w:val="left"/>
            </w:pPr>
            <w:r>
              <w:t xml:space="preserve">Document</w:t>
            </w:r>
          </w:p>
        </w:tc>
        <w:tc>
          <w:tcPr>
            <w:tcW w:w="1094"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Linked</w:t>
            </w:r>
          </w:p>
        </w:tc>
        <w:tc>
          <w:tcPr>
            <w:tcW w:w="1338" w:type="dxa"/>
            <w:shd w:val="clear" w:color="auto" w:fill="F4F7FB"/>
            <w:vAlign w:val="top"/>
          </w:tcPr>
          <w:p>
            <w:pPr>
              <w:pStyle w:val="TableText"/>
              <w:jc w:val="left"/>
            </w:pPr>
            <w:r>
              <w:t xml:space="preserve">No</w:t>
            </w:r>
          </w:p>
        </w:tc>
        <w:tc>
          <w:tcPr>
            <w:tcW w:w="6785" w:type="dxa"/>
            <w:shd w:val="clear" w:color="auto" w:fill="F4F7FB"/>
            <w:vAlign w:val="top"/>
          </w:tcPr>
          <w:p>
            <w:pPr>
              <w:pStyle w:val="TableText"/>
              <w:jc w:val="left"/>
            </w:pPr>
            <w:r>
              <w:t xml:space="preserve">App sessions, toll trips, long trips, wallet balance, auto top-up, prior purchase, complaints</w:t>
            </w:r>
          </w:p>
        </w:tc>
      </w:tr>
      <w:tr>
        <w:trPr>
          <w:cantSplit/>
        </w:trPr>
        <w:tc>
          <w:tcPr>
            <w:tcW w:w="1663" w:type="dxa"/>
            <w:vAlign w:val="top"/>
          </w:tcPr>
          <w:p>
            <w:pPr>
              <w:pStyle w:val="TableText"/>
              <w:jc w:val="left"/>
            </w:pPr>
            <w:r>
              <w:t xml:space="preserve">Channels</w:t>
            </w:r>
          </w:p>
        </w:tc>
        <w:tc>
          <w:tcPr>
            <w:tcW w:w="1863" w:type="dxa"/>
            <w:vAlign w:val="top"/>
          </w:tcPr>
          <w:p>
            <w:pPr>
              <w:pStyle w:val="TableText"/>
              <w:jc w:val="left"/>
            </w:pPr>
            <w:r>
              <w:t xml:space="preserve">Document</w:t>
            </w:r>
          </w:p>
        </w:tc>
        <w:tc>
          <w:tcPr>
            <w:tcW w:w="1094" w:type="dxa"/>
            <w:vAlign w:val="top"/>
          </w:tcPr>
          <w:p>
            <w:pPr>
              <w:pStyle w:val="TableText"/>
              <w:jc w:val="left"/>
            </w:pPr>
            <w:r>
              <w:t xml:space="preserve">No</w:t>
            </w:r>
          </w:p>
        </w:tc>
        <w:tc>
          <w:tcPr>
            <w:tcW w:w="1216" w:type="dxa"/>
            <w:vAlign w:val="top"/>
          </w:tcPr>
          <w:p>
            <w:pPr>
              <w:pStyle w:val="TableText"/>
              <w:jc w:val="left"/>
            </w:pPr>
            <w:r>
              <w:t xml:space="preserve">No</w:t>
            </w:r>
          </w:p>
        </w:tc>
        <w:tc>
          <w:tcPr>
            <w:tcW w:w="1338" w:type="dxa"/>
            <w:vAlign w:val="top"/>
          </w:tcPr>
          <w:p>
            <w:pPr>
              <w:pStyle w:val="TableText"/>
              <w:jc w:val="left"/>
            </w:pPr>
            <w:r>
              <w:t xml:space="preserve">No</w:t>
            </w:r>
          </w:p>
        </w:tc>
        <w:tc>
          <w:tcPr>
            <w:tcW w:w="6785" w:type="dxa"/>
            <w:vAlign w:val="top"/>
          </w:tcPr>
          <w:p>
            <w:pPr>
              <w:pStyle w:val="TableText"/>
              <w:jc w:val="left"/>
            </w:pPr>
            <w:r>
              <w:t xml:space="preserve">Reachability by push, Zalo, SMS, voice and telesales</w:t>
            </w:r>
          </w:p>
        </w:tc>
      </w:tr>
      <w:tr>
        <w:trPr>
          <w:cantSplit/>
        </w:trPr>
        <w:tc>
          <w:tcPr>
            <w:tcW w:w="1663" w:type="dxa"/>
            <w:shd w:val="clear" w:color="auto" w:fill="F4F7FB"/>
            <w:vAlign w:val="top"/>
          </w:tcPr>
          <w:p>
            <w:pPr>
              <w:pStyle w:val="TableText"/>
              <w:jc w:val="left"/>
            </w:pPr>
            <w:r>
              <w:t xml:space="preserve">Consent</w:t>
            </w:r>
          </w:p>
        </w:tc>
        <w:tc>
          <w:tcPr>
            <w:tcW w:w="1863" w:type="dxa"/>
            <w:shd w:val="clear" w:color="auto" w:fill="F4F7FB"/>
            <w:vAlign w:val="top"/>
          </w:tcPr>
          <w:p>
            <w:pPr>
              <w:pStyle w:val="TableText"/>
              <w:jc w:val="left"/>
            </w:pPr>
            <w:r>
              <w:t xml:space="preserve">Document</w:t>
            </w:r>
          </w:p>
        </w:tc>
        <w:tc>
          <w:tcPr>
            <w:tcW w:w="1094"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Yes</w:t>
            </w:r>
          </w:p>
        </w:tc>
        <w:tc>
          <w:tcPr>
            <w:tcW w:w="1338" w:type="dxa"/>
            <w:shd w:val="clear" w:color="auto" w:fill="F4F7FB"/>
            <w:vAlign w:val="top"/>
          </w:tcPr>
          <w:p>
            <w:pPr>
              <w:pStyle w:val="TableText"/>
              <w:jc w:val="left"/>
            </w:pPr>
            <w:r>
              <w:t xml:space="preserve">No</w:t>
            </w:r>
          </w:p>
        </w:tc>
        <w:tc>
          <w:tcPr>
            <w:tcW w:w="6785" w:type="dxa"/>
            <w:shd w:val="clear" w:color="auto" w:fill="F4F7FB"/>
            <w:vAlign w:val="top"/>
          </w:tcPr>
          <w:p>
            <w:pPr>
              <w:pStyle w:val="TableText"/>
              <w:jc w:val="left"/>
            </w:pPr>
            <w:r>
              <w:t xml:space="preserve">Marketing, call and do-not-contact flags, with platform overrides that survive rebuilds</w:t>
            </w:r>
          </w:p>
        </w:tc>
      </w:tr>
      <w:tr>
        <w:trPr>
          <w:cantSplit/>
        </w:trPr>
        <w:tc>
          <w:tcPr>
            <w:tcW w:w="1663" w:type="dxa"/>
            <w:vAlign w:val="top"/>
          </w:tcPr>
          <w:p>
            <w:pPr>
              <w:pStyle w:val="TableText"/>
              <w:jc w:val="left"/>
            </w:pPr>
            <w:r>
              <w:t xml:space="preserve">Data quality score</w:t>
            </w:r>
          </w:p>
        </w:tc>
        <w:tc>
          <w:tcPr>
            <w:tcW w:w="1863" w:type="dxa"/>
            <w:vAlign w:val="top"/>
          </w:tcPr>
          <w:p>
            <w:pPr>
              <w:pStyle w:val="TableText"/>
              <w:jc w:val="left"/>
            </w:pPr>
            <w:r>
              <w:rPr>
                <w:rStyle w:val="CodeChar"/>
              </w:rPr>
              <w:t xml:space="preserve">dq_score</w:t>
            </w:r>
          </w:p>
        </w:tc>
        <w:tc>
          <w:tcPr>
            <w:tcW w:w="1094" w:type="dxa"/>
            <w:vAlign w:val="top"/>
          </w:tcPr>
          <w:p>
            <w:pPr>
              <w:pStyle w:val="TableText"/>
              <w:jc w:val="left"/>
            </w:pPr>
            <w:r>
              <w:t xml:space="preserve">Yes</w:t>
            </w:r>
          </w:p>
        </w:tc>
        <w:tc>
          <w:tcPr>
            <w:tcW w:w="1216" w:type="dxa"/>
            <w:vAlign w:val="top"/>
          </w:tcPr>
          <w:p>
            <w:pPr>
              <w:pStyle w:val="TableText"/>
              <w:jc w:val="left"/>
            </w:pPr>
            <w:r>
              <w:t xml:space="preserve">No</w:t>
            </w:r>
          </w:p>
        </w:tc>
        <w:tc>
          <w:tcPr>
            <w:tcW w:w="1338" w:type="dxa"/>
            <w:vAlign w:val="top"/>
          </w:tcPr>
          <w:p>
            <w:pPr>
              <w:pStyle w:val="TableText"/>
              <w:jc w:val="left"/>
            </w:pPr>
            <w:r>
              <w:t xml:space="preserve">No</w:t>
            </w:r>
          </w:p>
        </w:tc>
        <w:tc>
          <w:tcPr>
            <w:tcW w:w="6785" w:type="dxa"/>
            <w:vAlign w:val="top"/>
          </w:tcPr>
          <w:p>
            <w:pPr>
              <w:pStyle w:val="TableText"/>
              <w:jc w:val="left"/>
            </w:pPr>
            <w:r>
              <w:t xml:space="preserve">0 to 100, with the list of missing facets</w:t>
            </w:r>
          </w:p>
        </w:tc>
      </w:tr>
      <w:tr>
        <w:trPr>
          <w:cantSplit/>
        </w:trPr>
        <w:tc>
          <w:tcPr>
            <w:tcW w:w="1663" w:type="dxa"/>
            <w:shd w:val="clear" w:color="auto" w:fill="F4F7FB"/>
            <w:vAlign w:val="top"/>
          </w:tcPr>
          <w:p>
            <w:pPr>
              <w:pStyle w:val="TableText"/>
              <w:jc w:val="left"/>
            </w:pPr>
            <w:r>
              <w:t xml:space="preserve">Lineage</w:t>
            </w:r>
          </w:p>
        </w:tc>
        <w:tc>
          <w:tcPr>
            <w:tcW w:w="1863" w:type="dxa"/>
            <w:shd w:val="clear" w:color="auto" w:fill="F4F7FB"/>
            <w:vAlign w:val="top"/>
          </w:tcPr>
          <w:p>
            <w:pPr>
              <w:pStyle w:val="TableText"/>
              <w:jc w:val="left"/>
            </w:pPr>
            <w:r>
              <w:t xml:space="preserve">Document</w:t>
            </w:r>
          </w:p>
        </w:tc>
        <w:tc>
          <w:tcPr>
            <w:tcW w:w="1094" w:type="dxa"/>
            <w:shd w:val="clear" w:color="auto" w:fill="F4F7FB"/>
            <w:vAlign w:val="top"/>
          </w:tcPr>
          <w:p>
            <w:pPr>
              <w:pStyle w:val="TableText"/>
              <w:jc w:val="left"/>
            </w:pPr>
            <w:r>
              <w:t xml:space="preserve">No</w:t>
            </w:r>
          </w:p>
        </w:tc>
        <w:tc>
          <w:tcPr>
            <w:tcW w:w="1216" w:type="dxa"/>
            <w:shd w:val="clear" w:color="auto" w:fill="F4F7FB"/>
            <w:vAlign w:val="top"/>
          </w:tcPr>
          <w:p>
            <w:pPr>
              <w:pStyle w:val="TableText"/>
              <w:jc w:val="left"/>
            </w:pPr>
            <w:r>
              <w:t xml:space="preserve">No</w:t>
            </w:r>
          </w:p>
        </w:tc>
        <w:tc>
          <w:tcPr>
            <w:tcW w:w="1338" w:type="dxa"/>
            <w:shd w:val="clear" w:color="auto" w:fill="F4F7FB"/>
            <w:vAlign w:val="top"/>
          </w:tcPr>
          <w:p>
            <w:pPr>
              <w:pStyle w:val="TableText"/>
              <w:jc w:val="left"/>
            </w:pPr>
            <w:r>
              <w:t xml:space="preserve">No</w:t>
            </w:r>
          </w:p>
        </w:tc>
        <w:tc>
          <w:tcPr>
            <w:tcW w:w="6785" w:type="dxa"/>
            <w:shd w:val="clear" w:color="auto" w:fill="F4F7FB"/>
            <w:vAlign w:val="top"/>
          </w:tcPr>
          <w:p>
            <w:pPr>
              <w:pStyle w:val="TableText"/>
              <w:jc w:val="left"/>
            </w:pPr>
            <w:r>
              <w:t xml:space="preserve">Field, source, confidence, rule and time for each derived value</w:t>
            </w:r>
          </w:p>
        </w:tc>
      </w:tr>
      <w:tr>
        <w:trPr>
          <w:cantSplit/>
        </w:trPr>
        <w:tc>
          <w:tcPr>
            <w:tcW w:w="1663" w:type="dxa"/>
            <w:vAlign w:val="top"/>
          </w:tcPr>
          <w:p>
            <w:pPr>
              <w:pStyle w:val="TableText"/>
              <w:jc w:val="left"/>
            </w:pPr>
            <w:r>
              <w:t xml:space="preserve">Anonymised</w:t>
            </w:r>
          </w:p>
        </w:tc>
        <w:tc>
          <w:tcPr>
            <w:tcW w:w="1863" w:type="dxa"/>
            <w:vAlign w:val="top"/>
          </w:tcPr>
          <w:p>
            <w:pPr>
              <w:pStyle w:val="TableText"/>
              <w:jc w:val="left"/>
            </w:pPr>
            <w:r>
              <w:t xml:space="preserve">Document</w:t>
            </w:r>
          </w:p>
        </w:tc>
        <w:tc>
          <w:tcPr>
            <w:tcW w:w="1094" w:type="dxa"/>
            <w:vAlign w:val="top"/>
          </w:tcPr>
          <w:p>
            <w:pPr>
              <w:pStyle w:val="TableText"/>
              <w:jc w:val="left"/>
            </w:pPr>
            <w:r>
              <w:t xml:space="preserve">No</w:t>
            </w:r>
          </w:p>
        </w:tc>
        <w:tc>
          <w:tcPr>
            <w:tcW w:w="1216" w:type="dxa"/>
            <w:vAlign w:val="top"/>
          </w:tcPr>
          <w:p>
            <w:pPr>
              <w:pStyle w:val="TableText"/>
              <w:jc w:val="left"/>
            </w:pPr>
            <w:r>
              <w:t xml:space="preserve">No</w:t>
            </w:r>
          </w:p>
        </w:tc>
        <w:tc>
          <w:tcPr>
            <w:tcW w:w="1338" w:type="dxa"/>
            <w:vAlign w:val="top"/>
          </w:tcPr>
          <w:p>
            <w:pPr>
              <w:pStyle w:val="TableText"/>
              <w:jc w:val="left"/>
            </w:pPr>
            <w:r>
              <w:t xml:space="preserve">No</w:t>
            </w:r>
          </w:p>
        </w:tc>
        <w:tc>
          <w:tcPr>
            <w:tcW w:w="6785" w:type="dxa"/>
            <w:vAlign w:val="top"/>
          </w:tcPr>
          <w:p>
            <w:pPr>
              <w:pStyle w:val="TableText"/>
              <w:jc w:val="left"/>
            </w:pPr>
            <w:r>
              <w:t xml:space="preserve">Erasure marker; a rebuild never re-identifies an anonymised profile</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Heading2"/>
      </w:pPr>
      <w:bookmarkStart w:id="23" w:name="_Toc300000019"/>
      <w:r>
        <w:t xml:space="preserve">Other collections</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1683"/>
        <w:gridCol w:w="1837"/>
        <w:gridCol w:w="3615"/>
      </w:tblGrid>
      <w:tr>
        <w:trPr>
          <w:cantSplit/>
          <w:tblHeader/>
        </w:trPr>
        <w:tc>
          <w:tcPr>
            <w:tcW w:w="1892" w:type="dxa"/>
            <w:shd w:val="clear" w:color="auto" w:fill="0F4761"/>
            <w:vAlign w:val="center"/>
          </w:tcPr>
          <w:p>
            <w:pPr>
              <w:pStyle w:val="TableHeading"/>
              <w:jc w:val="left"/>
            </w:pPr>
            <w:r>
              <w:rPr>
                <w:color w:val="FFFFFF"/>
              </w:rPr>
              <w:t xml:space="preserve">Collection</w:t>
            </w:r>
          </w:p>
        </w:tc>
        <w:tc>
          <w:tcPr>
            <w:tcW w:w="1683" w:type="dxa"/>
            <w:shd w:val="clear" w:color="auto" w:fill="0F4761"/>
            <w:vAlign w:val="center"/>
          </w:tcPr>
          <w:p>
            <w:pPr>
              <w:pStyle w:val="TableHeading"/>
              <w:jc w:val="left"/>
            </w:pPr>
            <w:r>
              <w:rPr>
                <w:color w:val="FFFFFF"/>
              </w:rPr>
              <w:t xml:space="preserve">Indexed columns</w:t>
            </w:r>
          </w:p>
        </w:tc>
        <w:tc>
          <w:tcPr>
            <w:tcW w:w="1837" w:type="dxa"/>
            <w:shd w:val="clear" w:color="auto" w:fill="0F4761"/>
            <w:vAlign w:val="center"/>
          </w:tcPr>
          <w:p>
            <w:pPr>
              <w:pStyle w:val="TableHeading"/>
              <w:jc w:val="left"/>
            </w:pPr>
            <w:r>
              <w:rPr>
                <w:color w:val="FFFFFF"/>
              </w:rPr>
              <w:t xml:space="preserve">Encrypted fields</w:t>
            </w:r>
          </w:p>
        </w:tc>
        <w:tc>
          <w:tcPr>
            <w:tcW w:w="3615" w:type="dxa"/>
            <w:shd w:val="clear" w:color="auto" w:fill="0F4761"/>
            <w:vAlign w:val="center"/>
          </w:tcPr>
          <w:p>
            <w:pPr>
              <w:pStyle w:val="TableHeading"/>
              <w:jc w:val="left"/>
            </w:pPr>
            <w:r>
              <w:rPr>
                <w:color w:val="FFFFFF"/>
              </w:rPr>
              <w:t xml:space="preserve">Notes</w:t>
            </w:r>
          </w:p>
        </w:tc>
      </w:tr>
      <w:tr>
        <w:trPr>
          <w:cantSplit/>
        </w:trPr>
        <w:tc>
          <w:tcPr>
            <w:tcW w:w="1892" w:type="dxa"/>
            <w:vAlign w:val="top"/>
          </w:tcPr>
          <w:p>
            <w:pPr>
              <w:pStyle w:val="TableText"/>
              <w:jc w:val="left"/>
            </w:pPr>
            <w:r>
              <w:rPr>
                <w:rStyle w:val="CodeChar"/>
              </w:rPr>
              <w:t xml:space="preserve">source_records</w:t>
            </w:r>
          </w:p>
        </w:tc>
        <w:tc>
          <w:tcPr>
            <w:tcW w:w="1683" w:type="dxa"/>
            <w:vAlign w:val="top"/>
          </w:tcPr>
          <w:p>
            <w:pPr>
              <w:pStyle w:val="TableText"/>
              <w:jc w:val="left"/>
            </w:pPr>
            <w:r>
              <w:t xml:space="preserve">Source, plate key, batch id</w:t>
            </w:r>
          </w:p>
        </w:tc>
        <w:tc>
          <w:tcPr>
            <w:tcW w:w="1837" w:type="dxa"/>
            <w:vAlign w:val="top"/>
          </w:tcPr>
          <w:p>
            <w:pPr>
              <w:pStyle w:val="TableText"/>
              <w:jc w:val="left"/>
            </w:pPr>
            <w:r>
              <w:t xml:space="preserve">Raw phone, full name</w:t>
            </w:r>
          </w:p>
        </w:tc>
        <w:tc>
          <w:tcPr>
            <w:tcW w:w="3615" w:type="dxa"/>
            <w:vAlign w:val="top"/>
          </w:tcPr>
          <w:p>
            <w:pPr>
              <w:pStyle w:val="TableText"/>
              <w:jc w:val="left"/>
            </w:pPr>
            <w:r>
              <w:t xml:space="preserve">Upserted by record id. Synthetic test data carries a hidden ground-truth block that must never appear in production feeds and is stripped from DSAR export.</w:t>
            </w:r>
          </w:p>
        </w:tc>
      </w:tr>
      <w:tr>
        <w:trPr>
          <w:cantSplit/>
        </w:trPr>
        <w:tc>
          <w:tcPr>
            <w:tcW w:w="1892" w:type="dxa"/>
            <w:shd w:val="clear" w:color="auto" w:fill="F4F7FB"/>
            <w:vAlign w:val="top"/>
          </w:tcPr>
          <w:p>
            <w:pPr>
              <w:pStyle w:val="TableText"/>
              <w:jc w:val="left"/>
            </w:pPr>
            <w:r>
              <w:rPr>
                <w:rStyle w:val="CodeChar"/>
              </w:rPr>
              <w:t xml:space="preserve">leads</w:t>
            </w:r>
          </w:p>
        </w:tc>
        <w:tc>
          <w:tcPr>
            <w:tcW w:w="1683" w:type="dxa"/>
            <w:shd w:val="clear" w:color="auto" w:fill="F4F7FB"/>
            <w:vAlign w:val="top"/>
          </w:tcPr>
          <w:p>
            <w:pPr>
              <w:pStyle w:val="TableText"/>
              <w:jc w:val="left"/>
            </w:pPr>
            <w:r>
              <w:t xml:space="preserve">Tier, score, journey, action, days to expiry, region</w:t>
            </w:r>
          </w:p>
        </w:tc>
        <w:tc>
          <w:tcPr>
            <w:tcW w:w="1837" w:type="dxa"/>
            <w:shd w:val="clear" w:color="auto" w:fill="F4F7FB"/>
            <w:vAlign w:val="top"/>
          </w:tcPr>
          <w:p>
            <w:pPr>
              <w:pStyle w:val="TableText"/>
              <w:jc w:val="left"/>
            </w:pPr>
            <w:r>
              <w:t xml:space="preserve">None</w:t>
            </w:r>
          </w:p>
        </w:tc>
        <w:tc>
          <w:tcPr>
            <w:tcW w:w="3615" w:type="dxa"/>
            <w:shd w:val="clear" w:color="auto" w:fill="F4F7FB"/>
            <w:vAlign w:val="top"/>
          </w:tcPr>
          <w:p>
            <w:pPr>
              <w:pStyle w:val="TableText"/>
              <w:jc w:val="left"/>
            </w:pPr>
            <w:r>
              <w:t xml:space="preserve">One per profile. Stores factor reasons, the next-best action with its rule id, benefits and the TNDS premium. Tiers: hot from 70, warm from 45.</w:t>
            </w:r>
          </w:p>
        </w:tc>
      </w:tr>
      <w:tr>
        <w:trPr>
          <w:cantSplit/>
        </w:trPr>
        <w:tc>
          <w:tcPr>
            <w:tcW w:w="1892" w:type="dxa"/>
            <w:vAlign w:val="top"/>
          </w:tcPr>
          <w:p>
            <w:pPr>
              <w:pStyle w:val="TableText"/>
              <w:jc w:val="left"/>
            </w:pPr>
            <w:r>
              <w:rPr>
                <w:rStyle w:val="CodeChar"/>
              </w:rPr>
              <w:t xml:space="preserve">touchpoints</w:t>
            </w:r>
          </w:p>
        </w:tc>
        <w:tc>
          <w:tcPr>
            <w:tcW w:w="1683" w:type="dxa"/>
            <w:vAlign w:val="top"/>
          </w:tcPr>
          <w:p>
            <w:pPr>
              <w:pStyle w:val="TableText"/>
              <w:jc w:val="left"/>
            </w:pPr>
            <w:r>
              <w:t xml:space="preserve">Profile, due date, status, journey, channel</w:t>
            </w:r>
          </w:p>
        </w:tc>
        <w:tc>
          <w:tcPr>
            <w:tcW w:w="1837" w:type="dxa"/>
            <w:vAlign w:val="top"/>
          </w:tcPr>
          <w:p>
            <w:pPr>
              <w:pStyle w:val="TableText"/>
              <w:jc w:val="left"/>
            </w:pPr>
            <w:r>
              <w:t xml:space="preserve">None</w:t>
            </w:r>
          </w:p>
        </w:tc>
        <w:tc>
          <w:tcPr>
            <w:tcW w:w="3615" w:type="dxa"/>
            <w:vAlign w:val="top"/>
          </w:tcPr>
          <w:p>
            <w:pPr>
              <w:pStyle w:val="TableText"/>
              <w:jc w:val="left"/>
            </w:pPr>
            <w:r>
              <w:t xml:space="preserve">Deterministic id makes planning idempotent. A step blocked only by the contact window stays scheduled.</w:t>
            </w:r>
          </w:p>
        </w:tc>
      </w:tr>
      <w:tr>
        <w:trPr>
          <w:cantSplit/>
        </w:trPr>
        <w:tc>
          <w:tcPr>
            <w:tcW w:w="1892" w:type="dxa"/>
            <w:shd w:val="clear" w:color="auto" w:fill="F4F7FB"/>
            <w:vAlign w:val="top"/>
          </w:tcPr>
          <w:p>
            <w:pPr>
              <w:pStyle w:val="TableText"/>
              <w:jc w:val="left"/>
            </w:pPr>
            <w:r>
              <w:rPr>
                <w:rStyle w:val="CodeChar"/>
              </w:rPr>
              <w:t xml:space="preserve">messages</w:t>
            </w:r>
          </w:p>
        </w:tc>
        <w:tc>
          <w:tcPr>
            <w:tcW w:w="1683" w:type="dxa"/>
            <w:shd w:val="clear" w:color="auto" w:fill="F4F7FB"/>
            <w:vAlign w:val="top"/>
          </w:tcPr>
          <w:p>
            <w:pPr>
              <w:pStyle w:val="TableText"/>
              <w:jc w:val="left"/>
            </w:pPr>
            <w:r>
              <w:t xml:space="preserve">Profile, channel, status, sent at</w:t>
            </w:r>
          </w:p>
        </w:tc>
        <w:tc>
          <w:tcPr>
            <w:tcW w:w="1837" w:type="dxa"/>
            <w:shd w:val="clear" w:color="auto" w:fill="F4F7FB"/>
            <w:vAlign w:val="top"/>
          </w:tcPr>
          <w:p>
            <w:pPr>
              <w:pStyle w:val="TableText"/>
              <w:jc w:val="left"/>
            </w:pPr>
            <w:r>
              <w:t xml:space="preserve">Recipient</w:t>
            </w:r>
          </w:p>
        </w:tc>
        <w:tc>
          <w:tcPr>
            <w:tcW w:w="3615" w:type="dxa"/>
            <w:shd w:val="clear" w:color="auto" w:fill="F4F7FB"/>
            <w:vAlign w:val="top"/>
          </w:tcPr>
          <w:p>
            <w:pPr>
              <w:pStyle w:val="TableText"/>
              <w:jc w:val="left"/>
            </w:pPr>
            <w:r>
              <w:t xml:space="preserve">Status sent, failed or blocked; contact history for frequency caps. Text holds the plate and a renewal link.</w:t>
            </w:r>
          </w:p>
        </w:tc>
      </w:tr>
      <w:tr>
        <w:trPr>
          <w:cantSplit/>
        </w:trPr>
        <w:tc>
          <w:tcPr>
            <w:tcW w:w="1892" w:type="dxa"/>
            <w:vAlign w:val="top"/>
          </w:tcPr>
          <w:p>
            <w:pPr>
              <w:pStyle w:val="TableText"/>
              <w:jc w:val="left"/>
            </w:pPr>
            <w:r>
              <w:rPr>
                <w:rStyle w:val="CodeChar"/>
              </w:rPr>
              <w:t xml:space="preserve">voice_sessions</w:t>
            </w:r>
          </w:p>
        </w:tc>
        <w:tc>
          <w:tcPr>
            <w:tcW w:w="1683" w:type="dxa"/>
            <w:vAlign w:val="top"/>
          </w:tcPr>
          <w:p>
            <w:pPr>
              <w:pStyle w:val="TableText"/>
              <w:jc w:val="left"/>
            </w:pPr>
            <w:r>
              <w:t xml:space="preserve">Profile, outcome, state</w:t>
            </w:r>
          </w:p>
        </w:tc>
        <w:tc>
          <w:tcPr>
            <w:tcW w:w="1837" w:type="dxa"/>
            <w:vAlign w:val="top"/>
          </w:tcPr>
          <w:p>
            <w:pPr>
              <w:pStyle w:val="TableText"/>
              <w:jc w:val="left"/>
            </w:pPr>
            <w:r>
              <w:t xml:space="preserve">Transcript</w:t>
            </w:r>
          </w:p>
        </w:tc>
        <w:tc>
          <w:tcPr>
            <w:tcW w:w="3615" w:type="dxa"/>
            <w:vAlign w:val="top"/>
          </w:tcPr>
          <w:p>
            <w:pPr>
              <w:pStyle w:val="TableText"/>
              <w:jc w:val="left"/>
            </w:pPr>
            <w:r>
              <w:t xml:space="preserve">Free-text signals (competitor information, expiry statement) are stored in clear and cleared on erasure. Retained 180 days.</w:t>
            </w:r>
          </w:p>
        </w:tc>
      </w:tr>
      <w:tr>
        <w:trPr>
          <w:cantSplit/>
        </w:trPr>
        <w:tc>
          <w:tcPr>
            <w:tcW w:w="1892" w:type="dxa"/>
            <w:shd w:val="clear" w:color="auto" w:fill="F4F7FB"/>
            <w:vAlign w:val="top"/>
          </w:tcPr>
          <w:p>
            <w:pPr>
              <w:pStyle w:val="TableText"/>
              <w:jc w:val="left"/>
            </w:pPr>
            <w:r>
              <w:rPr>
                <w:rStyle w:val="CodeChar"/>
              </w:rPr>
              <w:t xml:space="preserve">handoffs</w:t>
            </w:r>
          </w:p>
        </w:tc>
        <w:tc>
          <w:tcPr>
            <w:tcW w:w="1683" w:type="dxa"/>
            <w:shd w:val="clear" w:color="auto" w:fill="F4F7FB"/>
            <w:vAlign w:val="top"/>
          </w:tcPr>
          <w:p>
            <w:pPr>
              <w:pStyle w:val="TableText"/>
              <w:jc w:val="left"/>
            </w:pPr>
            <w:r>
              <w:t xml:space="preserve">Status, assigned user, region, profile</w:t>
            </w:r>
          </w:p>
        </w:tc>
        <w:tc>
          <w:tcPr>
            <w:tcW w:w="1837" w:type="dxa"/>
            <w:shd w:val="clear" w:color="auto" w:fill="F4F7FB"/>
            <w:vAlign w:val="top"/>
          </w:tcPr>
          <w:p>
            <w:pPr>
              <w:pStyle w:val="TableText"/>
              <w:jc w:val="left"/>
            </w:pPr>
            <w:r>
              <w:t xml:space="preserve">Name</w:t>
            </w:r>
          </w:p>
        </w:tc>
        <w:tc>
          <w:tcPr>
            <w:tcW w:w="3615" w:type="dxa"/>
            <w:shd w:val="clear" w:color="auto" w:fill="F4F7FB"/>
            <w:vAlign w:val="top"/>
          </w:tcPr>
          <w:p>
            <w:pPr>
              <w:pStyle w:val="TableText"/>
              <w:jc w:val="left"/>
            </w:pPr>
            <w:r>
              <w:t xml:space="preserve">Minimal data for telesales: masked phone, confirmed plate, expiry, premium, talking points.</w:t>
            </w:r>
          </w:p>
        </w:tc>
      </w:tr>
      <w:tr>
        <w:trPr>
          <w:cantSplit/>
        </w:trPr>
        <w:tc>
          <w:tcPr>
            <w:tcW w:w="1892" w:type="dxa"/>
            <w:vAlign w:val="top"/>
          </w:tcPr>
          <w:p>
            <w:pPr>
              <w:pStyle w:val="TableText"/>
              <w:jc w:val="left"/>
            </w:pPr>
            <w:r>
              <w:rPr>
                <w:rStyle w:val="CodeChar"/>
              </w:rPr>
              <w:t xml:space="preserve">quotes</w:t>
            </w:r>
          </w:p>
        </w:tc>
        <w:tc>
          <w:tcPr>
            <w:tcW w:w="1683" w:type="dxa"/>
            <w:vAlign w:val="top"/>
          </w:tcPr>
          <w:p>
            <w:pPr>
              <w:pStyle w:val="TableText"/>
              <w:jc w:val="left"/>
            </w:pPr>
            <w:r>
              <w:t xml:space="preserve">Profile, status</w:t>
            </w:r>
          </w:p>
        </w:tc>
        <w:tc>
          <w:tcPr>
            <w:tcW w:w="1837" w:type="dxa"/>
            <w:vAlign w:val="top"/>
          </w:tcPr>
          <w:p>
            <w:pPr>
              <w:pStyle w:val="TableText"/>
              <w:jc w:val="left"/>
            </w:pPr>
            <w:r>
              <w:t xml:space="preserve">None</w:t>
            </w:r>
          </w:p>
        </w:tc>
        <w:tc>
          <w:tcPr>
            <w:tcW w:w="3615" w:type="dxa"/>
            <w:vAlign w:val="top"/>
          </w:tcPr>
          <w:p>
            <w:pPr>
              <w:pStyle w:val="TableText"/>
              <w:jc w:val="left"/>
            </w:pPr>
            <w:r>
              <w:t xml:space="preserve">Lines with premium and VAT, rating source, rating version, core quote reference, indicative flag, inspection result, expiry. Status open, paying, converted.</w:t>
            </w:r>
          </w:p>
        </w:tc>
      </w:tr>
      <w:tr>
        <w:trPr>
          <w:cantSplit/>
        </w:trPr>
        <w:tc>
          <w:tcPr>
            <w:tcW w:w="1892" w:type="dxa"/>
            <w:shd w:val="clear" w:color="auto" w:fill="F4F7FB"/>
            <w:vAlign w:val="top"/>
          </w:tcPr>
          <w:p>
            <w:pPr>
              <w:pStyle w:val="TableText"/>
              <w:jc w:val="left"/>
            </w:pPr>
            <w:r>
              <w:rPr>
                <w:rStyle w:val="CodeChar"/>
              </w:rPr>
              <w:t xml:space="preserve">orders</w:t>
            </w:r>
          </w:p>
        </w:tc>
        <w:tc>
          <w:tcPr>
            <w:tcW w:w="1683" w:type="dxa"/>
            <w:shd w:val="clear" w:color="auto" w:fill="F4F7FB"/>
            <w:vAlign w:val="top"/>
          </w:tcPr>
          <w:p>
            <w:pPr>
              <w:pStyle w:val="TableText"/>
              <w:jc w:val="left"/>
            </w:pPr>
            <w:r>
              <w:t xml:space="preserve">Profile, status, channel, partner, journey, created date</w:t>
            </w:r>
          </w:p>
        </w:tc>
        <w:tc>
          <w:tcPr>
            <w:tcW w:w="1837" w:type="dxa"/>
            <w:shd w:val="clear" w:color="auto" w:fill="F4F7FB"/>
            <w:vAlign w:val="top"/>
          </w:tcPr>
          <w:p>
            <w:pPr>
              <w:pStyle w:val="TableText"/>
              <w:jc w:val="left"/>
            </w:pPr>
            <w:r>
              <w:t xml:space="preserve">None</w:t>
            </w:r>
          </w:p>
        </w:tc>
        <w:tc>
          <w:tcPr>
            <w:tcW w:w="3615" w:type="dxa"/>
            <w:shd w:val="clear" w:color="auto" w:fill="F4F7FB"/>
            <w:vAlign w:val="top"/>
          </w:tcPr>
          <w:p>
            <w:pPr>
              <w:pStyle w:val="TableText"/>
              <w:jc w:val="left"/>
            </w:pPr>
            <w:r>
              <w:t xml:space="preserve">Payment reference, policies, commission lines, refund and cancellation results, core quote reference.</w:t>
            </w:r>
          </w:p>
        </w:tc>
      </w:tr>
      <w:tr>
        <w:trPr>
          <w:cantSplit/>
        </w:trPr>
        <w:tc>
          <w:tcPr>
            <w:tcW w:w="1892" w:type="dxa"/>
            <w:vAlign w:val="top"/>
          </w:tcPr>
          <w:p>
            <w:pPr>
              <w:pStyle w:val="TableText"/>
              <w:jc w:val="left"/>
            </w:pPr>
            <w:r>
              <w:rPr>
                <w:rStyle w:val="CodeChar"/>
              </w:rPr>
              <w:t xml:space="preserve">policies</w:t>
            </w:r>
          </w:p>
        </w:tc>
        <w:tc>
          <w:tcPr>
            <w:tcW w:w="1683" w:type="dxa"/>
            <w:vAlign w:val="top"/>
          </w:tcPr>
          <w:p>
            <w:pPr>
              <w:pStyle w:val="TableText"/>
              <w:jc w:val="left"/>
            </w:pPr>
            <w:r>
              <w:t xml:space="preserve">Profile, product, status, end date, partner</w:t>
            </w:r>
          </w:p>
        </w:tc>
        <w:tc>
          <w:tcPr>
            <w:tcW w:w="1837" w:type="dxa"/>
            <w:vAlign w:val="top"/>
          </w:tcPr>
          <w:p>
            <w:pPr>
              <w:pStyle w:val="TableText"/>
              <w:jc w:val="left"/>
            </w:pPr>
            <w:r>
              <w:t xml:space="preserve">None</w:t>
            </w:r>
          </w:p>
        </w:tc>
        <w:tc>
          <w:tcPr>
            <w:tcW w:w="3615" w:type="dxa"/>
            <w:vAlign w:val="top"/>
          </w:tcPr>
          <w:p>
            <w:pPr>
              <w:pStyle w:val="TableText"/>
              <w:jc w:val="left"/>
            </w:pPr>
            <w:r>
              <w:t xml:space="preserve">Keyed by certificate number. Financial and legal record, archived for 10 years.</w:t>
            </w:r>
          </w:p>
        </w:tc>
      </w:tr>
      <w:tr>
        <w:trPr>
          <w:cantSplit/>
        </w:trPr>
        <w:tc>
          <w:tcPr>
            <w:tcW w:w="1892" w:type="dxa"/>
            <w:shd w:val="clear" w:color="auto" w:fill="F4F7FB"/>
            <w:vAlign w:val="top"/>
          </w:tcPr>
          <w:p>
            <w:pPr>
              <w:pStyle w:val="TableText"/>
              <w:jc w:val="left"/>
            </w:pPr>
            <w:r>
              <w:rPr>
                <w:rStyle w:val="CodeChar"/>
              </w:rPr>
              <w:t xml:space="preserve">claims</w:t>
            </w:r>
          </w:p>
        </w:tc>
        <w:tc>
          <w:tcPr>
            <w:tcW w:w="1683" w:type="dxa"/>
            <w:shd w:val="clear" w:color="auto" w:fill="F4F7FB"/>
            <w:vAlign w:val="top"/>
          </w:tcPr>
          <w:p>
            <w:pPr>
              <w:pStyle w:val="TableText"/>
              <w:jc w:val="left"/>
            </w:pPr>
            <w:r>
              <w:t xml:space="preserve">Profile, status, policy</w:t>
            </w:r>
          </w:p>
        </w:tc>
        <w:tc>
          <w:tcPr>
            <w:tcW w:w="1837" w:type="dxa"/>
            <w:shd w:val="clear" w:color="auto" w:fill="F4F7FB"/>
            <w:vAlign w:val="top"/>
          </w:tcPr>
          <w:p>
            <w:pPr>
              <w:pStyle w:val="TableText"/>
              <w:jc w:val="left"/>
            </w:pPr>
            <w:r>
              <w:t xml:space="preserve">Description, location</w:t>
            </w:r>
          </w:p>
        </w:tc>
        <w:tc>
          <w:tcPr>
            <w:tcW w:w="3615" w:type="dxa"/>
            <w:shd w:val="clear" w:color="auto" w:fill="F4F7FB"/>
            <w:vAlign w:val="top"/>
          </w:tcPr>
          <w:p>
            <w:pPr>
              <w:pStyle w:val="TableText"/>
              <w:jc w:val="left"/>
            </w:pPr>
            <w:r>
              <w:t xml:space="preserve">First notice of loss with acknowledgement deadline. Adjudication happens in TASCO’s claims system.</w:t>
            </w:r>
          </w:p>
        </w:tc>
      </w:tr>
      <w:tr>
        <w:trPr>
          <w:cantSplit/>
        </w:trPr>
        <w:tc>
          <w:tcPr>
            <w:tcW w:w="1892" w:type="dxa"/>
            <w:vAlign w:val="top"/>
          </w:tcPr>
          <w:p>
            <w:pPr>
              <w:pStyle w:val="TableText"/>
              <w:jc w:val="left"/>
            </w:pPr>
            <w:r>
              <w:rPr>
                <w:rStyle w:val="CodeChar"/>
              </w:rPr>
              <w:t xml:space="preserve">partners</w:t>
            </w:r>
          </w:p>
        </w:tc>
        <w:tc>
          <w:tcPr>
            <w:tcW w:w="1683" w:type="dxa"/>
            <w:vAlign w:val="top"/>
          </w:tcPr>
          <w:p>
            <w:pPr>
              <w:pStyle w:val="TableText"/>
              <w:jc w:val="left"/>
            </w:pPr>
            <w:r>
              <w:t xml:space="preserve">Type, status</w:t>
            </w:r>
          </w:p>
        </w:tc>
        <w:tc>
          <w:tcPr>
            <w:tcW w:w="1837" w:type="dxa"/>
            <w:vAlign w:val="top"/>
          </w:tcPr>
          <w:p>
            <w:pPr>
              <w:pStyle w:val="TableText"/>
              <w:jc w:val="left"/>
            </w:pPr>
            <w:r>
              <w:t xml:space="preserve">None</w:t>
            </w:r>
          </w:p>
        </w:tc>
        <w:tc>
          <w:tcPr>
            <w:tcW w:w="3615" w:type="dxa"/>
            <w:vAlign w:val="top"/>
          </w:tcPr>
          <w:p>
            <w:pPr>
              <w:pStyle w:val="TableText"/>
              <w:jc w:val="left"/>
            </w:pPr>
            <w:r>
              <w:t xml:space="preserve">Bank, showroom, agent, fleet or inspection centre</w:t>
            </w:r>
          </w:p>
        </w:tc>
      </w:tr>
      <w:tr>
        <w:trPr>
          <w:cantSplit/>
        </w:trPr>
        <w:tc>
          <w:tcPr>
            <w:tcW w:w="1892" w:type="dxa"/>
            <w:shd w:val="clear" w:color="auto" w:fill="F4F7FB"/>
            <w:vAlign w:val="top"/>
          </w:tcPr>
          <w:p>
            <w:pPr>
              <w:pStyle w:val="TableText"/>
              <w:jc w:val="left"/>
            </w:pPr>
            <w:r>
              <w:rPr>
                <w:rStyle w:val="CodeChar"/>
              </w:rPr>
              <w:t xml:space="preserve">api_keys</w:t>
            </w:r>
          </w:p>
        </w:tc>
        <w:tc>
          <w:tcPr>
            <w:tcW w:w="1683" w:type="dxa"/>
            <w:shd w:val="clear" w:color="auto" w:fill="F4F7FB"/>
            <w:vAlign w:val="top"/>
          </w:tcPr>
          <w:p>
            <w:pPr>
              <w:pStyle w:val="TableText"/>
              <w:jc w:val="left"/>
            </w:pPr>
            <w:r>
              <w:t xml:space="preserve">Partner, key hash (unique), status</w:t>
            </w:r>
          </w:p>
        </w:tc>
        <w:tc>
          <w:tcPr>
            <w:tcW w:w="1837" w:type="dxa"/>
            <w:shd w:val="clear" w:color="auto" w:fill="F4F7FB"/>
            <w:vAlign w:val="top"/>
          </w:tcPr>
          <w:p>
            <w:pPr>
              <w:pStyle w:val="TableText"/>
              <w:jc w:val="left"/>
            </w:pPr>
            <w:r>
              <w:t xml:space="preserve">None (hash only)</w:t>
            </w:r>
          </w:p>
        </w:tc>
        <w:tc>
          <w:tcPr>
            <w:tcW w:w="3615" w:type="dxa"/>
            <w:shd w:val="clear" w:color="auto" w:fill="F4F7FB"/>
            <w:vAlign w:val="top"/>
          </w:tcPr>
          <w:p>
            <w:pPr>
              <w:pStyle w:val="TableText"/>
              <w:jc w:val="left"/>
            </w:pPr>
            <w:r>
              <w:t xml:space="preserve">Plain key returned once at issue; scopes stored with the key</w:t>
            </w:r>
          </w:p>
        </w:tc>
      </w:tr>
      <w:tr>
        <w:trPr>
          <w:cantSplit/>
        </w:trPr>
        <w:tc>
          <w:tcPr>
            <w:tcW w:w="1892" w:type="dxa"/>
            <w:vAlign w:val="top"/>
          </w:tcPr>
          <w:p>
            <w:pPr>
              <w:pStyle w:val="TableText"/>
              <w:jc w:val="left"/>
            </w:pPr>
            <w:r>
              <w:rPr>
                <w:rStyle w:val="CodeChar"/>
              </w:rPr>
              <w:t xml:space="preserve">users</w:t>
            </w:r>
          </w:p>
        </w:tc>
        <w:tc>
          <w:tcPr>
            <w:tcW w:w="1683" w:type="dxa"/>
            <w:vAlign w:val="top"/>
          </w:tcPr>
          <w:p>
            <w:pPr>
              <w:pStyle w:val="TableText"/>
              <w:jc w:val="left"/>
            </w:pPr>
            <w:r>
              <w:t xml:space="preserve">Username (unique), status</w:t>
            </w:r>
          </w:p>
        </w:tc>
        <w:tc>
          <w:tcPr>
            <w:tcW w:w="1837" w:type="dxa"/>
            <w:vAlign w:val="top"/>
          </w:tcPr>
          <w:p>
            <w:pPr>
              <w:pStyle w:val="TableText"/>
              <w:jc w:val="left"/>
            </w:pPr>
            <w:r>
              <w:t xml:space="preserve">Display name, authenticator seed</w:t>
            </w:r>
          </w:p>
        </w:tc>
        <w:tc>
          <w:tcPr>
            <w:tcW w:w="3615" w:type="dxa"/>
            <w:vAlign w:val="top"/>
          </w:tcPr>
          <w:p>
            <w:pPr>
              <w:pStyle w:val="TableText"/>
              <w:jc w:val="left"/>
            </w:pPr>
            <w:r>
              <w:t xml:space="preserve">Password hash, lockout counters, last accepted code step, token revocation time, forced password change flag</w:t>
            </w:r>
          </w:p>
        </w:tc>
      </w:tr>
      <w:tr>
        <w:trPr>
          <w:cantSplit/>
        </w:trPr>
        <w:tc>
          <w:tcPr>
            <w:tcW w:w="1892" w:type="dxa"/>
            <w:shd w:val="clear" w:color="auto" w:fill="F4F7FB"/>
            <w:vAlign w:val="top"/>
          </w:tcPr>
          <w:p>
            <w:pPr>
              <w:pStyle w:val="TableText"/>
              <w:jc w:val="left"/>
            </w:pPr>
            <w:r>
              <w:rPr>
                <w:rStyle w:val="CodeChar"/>
              </w:rPr>
              <w:t xml:space="preserve">rulesets</w:t>
            </w:r>
          </w:p>
        </w:tc>
        <w:tc>
          <w:tcPr>
            <w:tcW w:w="1683" w:type="dxa"/>
            <w:shd w:val="clear" w:color="auto" w:fill="F4F7FB"/>
            <w:vAlign w:val="top"/>
          </w:tcPr>
          <w:p>
            <w:pPr>
              <w:pStyle w:val="TableText"/>
              <w:jc w:val="left"/>
            </w:pPr>
            <w:r>
              <w:t xml:space="preserve">Kind, status, version number</w:t>
            </w:r>
          </w:p>
        </w:tc>
        <w:tc>
          <w:tcPr>
            <w:tcW w:w="1837" w:type="dxa"/>
            <w:shd w:val="clear" w:color="auto" w:fill="F4F7FB"/>
            <w:vAlign w:val="top"/>
          </w:tcPr>
          <w:p>
            <w:pPr>
              <w:pStyle w:val="TableText"/>
              <w:jc w:val="left"/>
            </w:pPr>
            <w:r>
              <w:t xml:space="preserve">None</w:t>
            </w:r>
          </w:p>
        </w:tc>
        <w:tc>
          <w:tcPr>
            <w:tcW w:w="3615" w:type="dxa"/>
            <w:shd w:val="clear" w:color="auto" w:fill="F4F7FB"/>
            <w:vAlign w:val="top"/>
          </w:tcPr>
          <w:p>
            <w:pPr>
              <w:pStyle w:val="TableText"/>
              <w:jc w:val="left"/>
            </w:pPr>
            <w:r>
              <w:t xml:space="preserve">Payload, checksum, author, approver, comments, activation and retirement. One active version per kind, enforced by a unique index.</w:t>
            </w:r>
          </w:p>
        </w:tc>
      </w:tr>
      <w:tr>
        <w:trPr>
          <w:cantSplit/>
        </w:trPr>
        <w:tc>
          <w:tcPr>
            <w:tcW w:w="1892" w:type="dxa"/>
            <w:vAlign w:val="top"/>
          </w:tcPr>
          <w:p>
            <w:pPr>
              <w:pStyle w:val="TableText"/>
              <w:jc w:val="left"/>
            </w:pPr>
            <w:r>
              <w:rPr>
                <w:rStyle w:val="CodeChar"/>
              </w:rPr>
              <w:t xml:space="preserve">domain_events</w:t>
            </w:r>
          </w:p>
        </w:tc>
        <w:tc>
          <w:tcPr>
            <w:tcW w:w="1683" w:type="dxa"/>
            <w:vAlign w:val="top"/>
          </w:tcPr>
          <w:p>
            <w:pPr>
              <w:pStyle w:val="TableText"/>
              <w:jc w:val="left"/>
            </w:pPr>
            <w:r>
              <w:t xml:space="preserve">Type, status, occurred at</w:t>
            </w:r>
          </w:p>
        </w:tc>
        <w:tc>
          <w:tcPr>
            <w:tcW w:w="1837" w:type="dxa"/>
            <w:vAlign w:val="top"/>
          </w:tcPr>
          <w:p>
            <w:pPr>
              <w:pStyle w:val="TableText"/>
              <w:jc w:val="left"/>
            </w:pPr>
            <w:r>
              <w:t xml:space="preserve">None</w:t>
            </w:r>
          </w:p>
        </w:tc>
        <w:tc>
          <w:tcPr>
            <w:tcW w:w="3615" w:type="dxa"/>
            <w:vAlign w:val="top"/>
          </w:tcPr>
          <w:p>
            <w:pPr>
              <w:pStyle w:val="TableText"/>
              <w:jc w:val="left"/>
            </w:pPr>
            <w:r>
              <w:t xml:space="preserve">Outbox; payloads carry profile ids only</w:t>
            </w:r>
          </w:p>
        </w:tc>
      </w:tr>
      <w:tr>
        <w:trPr>
          <w:cantSplit/>
        </w:trPr>
        <w:tc>
          <w:tcPr>
            <w:tcW w:w="1892" w:type="dxa"/>
            <w:shd w:val="clear" w:color="auto" w:fill="F4F7FB"/>
            <w:vAlign w:val="top"/>
          </w:tcPr>
          <w:p>
            <w:pPr>
              <w:pStyle w:val="TableText"/>
              <w:jc w:val="left"/>
            </w:pPr>
            <w:r>
              <w:rPr>
                <w:rStyle w:val="CodeChar"/>
              </w:rPr>
              <w:t xml:space="preserve">dq_issues</w:t>
            </w:r>
          </w:p>
        </w:tc>
        <w:tc>
          <w:tcPr>
            <w:tcW w:w="1683" w:type="dxa"/>
            <w:shd w:val="clear" w:color="auto" w:fill="F4F7FB"/>
            <w:vAlign w:val="top"/>
          </w:tcPr>
          <w:p>
            <w:pPr>
              <w:pStyle w:val="TableText"/>
              <w:jc w:val="left"/>
            </w:pPr>
            <w:r>
              <w:t xml:space="preserve">Profile, type, status</w:t>
            </w:r>
          </w:p>
        </w:tc>
        <w:tc>
          <w:tcPr>
            <w:tcW w:w="1837" w:type="dxa"/>
            <w:shd w:val="clear" w:color="auto" w:fill="F4F7FB"/>
            <w:vAlign w:val="top"/>
          </w:tcPr>
          <w:p>
            <w:pPr>
              <w:pStyle w:val="TableText"/>
              <w:jc w:val="left"/>
            </w:pPr>
            <w:r>
              <w:t xml:space="preserve">None</w:t>
            </w:r>
          </w:p>
        </w:tc>
        <w:tc>
          <w:tcPr>
            <w:tcW w:w="3615" w:type="dxa"/>
            <w:shd w:val="clear" w:color="auto" w:fill="F4F7FB"/>
            <w:vAlign w:val="top"/>
          </w:tcPr>
          <w:p>
            <w:pPr>
              <w:pStyle w:val="TableText"/>
              <w:jc w:val="left"/>
            </w:pPr>
            <w:r>
              <w:t xml:space="preserve">Raised by ingestion, profile build and calls; resolved by stewards</w:t>
            </w:r>
          </w:p>
        </w:tc>
      </w:tr>
      <w:tr>
        <w:trPr>
          <w:cantSplit/>
        </w:trPr>
        <w:tc>
          <w:tcPr>
            <w:tcW w:w="1892" w:type="dxa"/>
            <w:vAlign w:val="top"/>
          </w:tcPr>
          <w:p>
            <w:pPr>
              <w:pStyle w:val="TableText"/>
              <w:jc w:val="left"/>
            </w:pPr>
            <w:r>
              <w:rPr>
                <w:rStyle w:val="CodeChar"/>
              </w:rPr>
              <w:t xml:space="preserve">lineage</w:t>
            </w:r>
          </w:p>
        </w:tc>
        <w:tc>
          <w:tcPr>
            <w:tcW w:w="1683" w:type="dxa"/>
            <w:vAlign w:val="top"/>
          </w:tcPr>
          <w:p>
            <w:pPr>
              <w:pStyle w:val="TableText"/>
              <w:jc w:val="left"/>
            </w:pPr>
            <w:r>
              <w:t xml:space="preserve">Entity id, entity type</w:t>
            </w:r>
          </w:p>
        </w:tc>
        <w:tc>
          <w:tcPr>
            <w:tcW w:w="1837" w:type="dxa"/>
            <w:vAlign w:val="top"/>
          </w:tcPr>
          <w:p>
            <w:pPr>
              <w:pStyle w:val="TableText"/>
              <w:jc w:val="left"/>
            </w:pPr>
            <w:r>
              <w:t xml:space="preserve">None</w:t>
            </w:r>
          </w:p>
        </w:tc>
        <w:tc>
          <w:tcPr>
            <w:tcW w:w="3615" w:type="dxa"/>
            <w:vAlign w:val="top"/>
          </w:tcPr>
          <w:p>
            <w:pPr>
              <w:pStyle w:val="TableText"/>
              <w:jc w:val="left"/>
            </w:pPr>
            <w:r>
              <w:t xml:space="preserve">Batch lineage: source, record count, rejected count, time</w:t>
            </w:r>
          </w:p>
        </w:tc>
      </w:tr>
      <w:tr>
        <w:trPr>
          <w:cantSplit/>
        </w:trPr>
        <w:tc>
          <w:tcPr>
            <w:tcW w:w="1892" w:type="dxa"/>
            <w:shd w:val="clear" w:color="auto" w:fill="F4F7FB"/>
            <w:vAlign w:val="top"/>
          </w:tcPr>
          <w:p>
            <w:pPr>
              <w:pStyle w:val="TableText"/>
              <w:jc w:val="left"/>
            </w:pPr>
            <w:r>
              <w:rPr>
                <w:rStyle w:val="CodeChar"/>
              </w:rPr>
              <w:t xml:space="preserve">job_runs</w:t>
            </w:r>
          </w:p>
        </w:tc>
        <w:tc>
          <w:tcPr>
            <w:tcW w:w="1683" w:type="dxa"/>
            <w:shd w:val="clear" w:color="auto" w:fill="F4F7FB"/>
            <w:vAlign w:val="top"/>
          </w:tcPr>
          <w:p>
            <w:pPr>
              <w:pStyle w:val="TableText"/>
              <w:jc w:val="left"/>
            </w:pPr>
            <w:r>
              <w:t xml:space="preserve">Kind, started at</w:t>
            </w:r>
          </w:p>
        </w:tc>
        <w:tc>
          <w:tcPr>
            <w:tcW w:w="1837" w:type="dxa"/>
            <w:shd w:val="clear" w:color="auto" w:fill="F4F7FB"/>
            <w:vAlign w:val="top"/>
          </w:tcPr>
          <w:p>
            <w:pPr>
              <w:pStyle w:val="TableText"/>
              <w:jc w:val="left"/>
            </w:pPr>
            <w:r>
              <w:t xml:space="preserve">None</w:t>
            </w:r>
          </w:p>
        </w:tc>
        <w:tc>
          <w:tcPr>
            <w:tcW w:w="3615" w:type="dxa"/>
            <w:shd w:val="clear" w:color="auto" w:fill="F4F7FB"/>
            <w:vAlign w:val="top"/>
          </w:tcPr>
          <w:p>
            <w:pPr>
              <w:pStyle w:val="TableText"/>
              <w:jc w:val="left"/>
            </w:pPr>
            <w:r>
              <w:t xml:space="preserve">Job history and results, including catalogue sync outcomes</w:t>
            </w:r>
          </w:p>
        </w:tc>
      </w:tr>
      <w:tr>
        <w:trPr>
          <w:cantSplit/>
        </w:trPr>
        <w:tc>
          <w:tcPr>
            <w:tcW w:w="1892" w:type="dxa"/>
            <w:vAlign w:val="top"/>
          </w:tcPr>
          <w:p>
            <w:pPr>
              <w:pStyle w:val="TableText"/>
              <w:jc w:val="left"/>
            </w:pPr>
            <w:r>
              <w:rPr>
                <w:rStyle w:val="CodeChar"/>
              </w:rPr>
              <w:t xml:space="preserve">audit_log</w:t>
            </w:r>
          </w:p>
        </w:tc>
        <w:tc>
          <w:tcPr>
            <w:tcW w:w="1683" w:type="dxa"/>
            <w:vAlign w:val="top"/>
          </w:tcPr>
          <w:p>
            <w:pPr>
              <w:pStyle w:val="TableText"/>
              <w:jc w:val="left"/>
            </w:pPr>
            <w:r>
              <w:t xml:space="preserve">Sequence, actor, action, entity</w:t>
            </w:r>
          </w:p>
        </w:tc>
        <w:tc>
          <w:tcPr>
            <w:tcW w:w="1837" w:type="dxa"/>
            <w:vAlign w:val="top"/>
          </w:tcPr>
          <w:p>
            <w:pPr>
              <w:pStyle w:val="TableText"/>
              <w:jc w:val="left"/>
            </w:pPr>
            <w:r>
              <w:t xml:space="preserve">None</w:t>
            </w:r>
          </w:p>
        </w:tc>
        <w:tc>
          <w:tcPr>
            <w:tcW w:w="3615" w:type="dxa"/>
            <w:vAlign w:val="top"/>
          </w:tcPr>
          <w:p>
            <w:pPr>
              <w:pStyle w:val="TableText"/>
              <w:jc w:val="left"/>
            </w:pPr>
            <w:r>
              <w:t xml:space="preserve">Details hold ids, reasons and IP addresses, never names or phones</w:t>
            </w:r>
          </w:p>
        </w:tc>
      </w:tr>
      <w:tr>
        <w:trPr>
          <w:cantSplit/>
        </w:trPr>
        <w:tc>
          <w:tcPr>
            <w:tcW w:w="1892" w:type="dxa"/>
            <w:shd w:val="clear" w:color="auto" w:fill="F4F7FB"/>
            <w:vAlign w:val="top"/>
          </w:tcPr>
          <w:p>
            <w:pPr>
              <w:pStyle w:val="TableText"/>
              <w:jc w:val="left"/>
            </w:pPr>
            <w:r>
              <w:rPr>
                <w:rStyle w:val="CodeChar"/>
              </w:rPr>
              <w:t xml:space="preserve">dsar_requests</w:t>
            </w:r>
          </w:p>
        </w:tc>
        <w:tc>
          <w:tcPr>
            <w:tcW w:w="1683" w:type="dxa"/>
            <w:shd w:val="clear" w:color="auto" w:fill="F4F7FB"/>
            <w:vAlign w:val="top"/>
          </w:tcPr>
          <w:p>
            <w:pPr>
              <w:pStyle w:val="TableText"/>
              <w:jc w:val="left"/>
            </w:pPr>
            <w:r>
              <w:t xml:space="preserve">Profile, type, status, received at, due at</w:t>
            </w:r>
          </w:p>
        </w:tc>
        <w:tc>
          <w:tcPr>
            <w:tcW w:w="1837" w:type="dxa"/>
            <w:shd w:val="clear" w:color="auto" w:fill="F4F7FB"/>
            <w:vAlign w:val="top"/>
          </w:tcPr>
          <w:p>
            <w:pPr>
              <w:pStyle w:val="TableText"/>
              <w:jc w:val="left"/>
            </w:pPr>
            <w:r>
              <w:t xml:space="preserve">Note</w:t>
            </w:r>
          </w:p>
        </w:tc>
        <w:tc>
          <w:tcPr>
            <w:tcW w:w="3615" w:type="dxa"/>
            <w:shd w:val="clear" w:color="auto" w:fill="F4F7FB"/>
            <w:vAlign w:val="top"/>
          </w:tcPr>
          <w:p>
            <w:pPr>
              <w:pStyle w:val="TableText"/>
              <w:jc w:val="left"/>
            </w:pPr>
            <w:r>
              <w:t xml:space="preserve">Register of access and erasure requests: channel, due time, identity verification, timeline of status changes, outcome or refusal reason. Holds a masked name and the plate only; the name is removed once the person is erased.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Golden record</w:t>
      </w:r>
      <w:bookmarkEnd w:id="24"/>
    </w:p>
    <w:p>
      <w:pPr>
        <w:pStyle w:val="Heading2"/>
      </w:pPr>
      <w:bookmarkStart w:id="25" w:name="_Toc300000021"/>
      <w:r>
        <w:t xml:space="preserve">Building the profile</w:t>
      </w:r>
      <w:bookmarkEnd w:id="25"/>
    </w:p>
    <w:p>
      <w:pPr>
        <w:pStyle w:val="FirstParagraph"/>
      </w:pPr>
      <w:r>
        <w:t xml:space="preserve">Every ingestion batch rebuilds the profiles of the plates it touched. The diagram shows the steps.</w:t>
      </w:r>
    </w:p>
    <w:p xmlns:a="http://schemas.openxmlformats.org/drawingml/2006/main" xmlns:pic="http://schemas.openxmlformats.org/drawingml/2006/picture">
      <w:pPr>
        <w:pStyle w:val="Figure"/>
      </w:pPr>
      <w:r>
        <w:drawing>
          <wp:inline>
            <wp:extent cx="4647599" cy="6479999"/>
            <wp:effectExtent b="0" l="0" r="0" t="0"/>
            <wp:docPr descr="Building the golden profile from raw source records" title="" id="5012" name="Picture"/>
            <a:graphic>
              <a:graphicData uri="http://schemas.openxmlformats.org/drawingml/2006/picture">
                <pic:pic>
                  <pic:nvPicPr>
                    <pic:cNvPr descr="/home/user/TASCO/tools/docs-source/gen/.cache/mermaid/57c6d453ec41e167.png" id="69" name="Picture"/>
                    <pic:cNvPicPr>
                      <a:picLocks noChangeArrowheads="1" noChangeAspect="1"/>
                    </pic:cNvPicPr>
                  </pic:nvPicPr>
                  <pic:blipFill>
                    <a:blip r:embed="rIdG11"/>
                    <a:stretch>
                      <a:fillRect/>
                    </a:stretch>
                  </pic:blipFill>
                  <pic:spPr bwMode="auto">
                    <a:xfrm>
                      <a:off x="0" y="0"/>
                      <a:ext cx="4647599" cy="6479999"/>
                    </a:xfrm>
                    <a:prstGeom prst="rect">
                      <a:avLst/>
                    </a:prstGeom>
                    <a:noFill/>
                    <a:ln w="9525">
                      <a:noFill/>
                      <a:headEnd/>
                      <a:tailEnd/>
                    </a:ln>
                  </pic:spPr>
                </pic:pic>
              </a:graphicData>
            </a:graphic>
          </wp:inline>
        </w:drawing>
      </w:r>
    </w:p>
    <w:p>
      <w:pPr>
        <w:pStyle w:val="Caption"/>
      </w:pPr>
      <w:r>
        <w:t xml:space="preserve">Figure 11 – Building the golden profile from raw source records</w:t>
      </w:r>
    </w:p>
    <w:p>
      <w:pPr>
        <w:pStyle w:val="BodyText"/>
      </w:pPr>
      <w:r>
        <w:t xml:space="preserve">The match key is the normalised plate: two digits, one or two letters and four or five digits with a valid province code. The normaliser accepts common forms such as</w:t>
      </w:r>
      <w:r>
        <w:t xml:space="preserve"> </w:t>
      </w:r>
      <w:r>
        <w:rPr>
          <w:rStyle w:val="CodeChar"/>
        </w:rPr>
        <w:t xml:space="preserve">30a-123.45</w:t>
      </w:r>
      <w:r>
        <w:t xml:space="preserve">,</w:t>
      </w:r>
      <w:r>
        <w:t xml:space="preserve"> </w:t>
      </w:r>
      <w:r>
        <w:rPr>
          <w:rStyle w:val="CodeChar"/>
        </w:rPr>
        <w:t xml:space="preserve">30A 12345</w:t>
      </w:r>
      <w:r>
        <w:t xml:space="preserve"> </w:t>
      </w:r>
      <w:r>
        <w:t xml:space="preserve">and</w:t>
      </w:r>
      <w:r>
        <w:t xml:space="preserve"> </w:t>
      </w:r>
      <w:r>
        <w:rPr>
          <w:rStyle w:val="CodeChar"/>
        </w:rPr>
        <w:t xml:space="preserve">30A.123.45</w:t>
      </w:r>
      <w:r>
        <w:t xml:space="preserve">, and the legacy four-digit form. Matching is exact on the key, with no fuzzy matching, because a plate is a legal identifier. Wrong-person and plate-mismatch outcomes from calls are fed back as data quality issues.</w:t>
      </w:r>
    </w:p>
    <w:p>
      <w:pPr>
        <w:pStyle w:val="Heading2"/>
      </w:pPr>
      <w:bookmarkStart w:id="26" w:name="_Toc300000022"/>
      <w:r>
        <w:t xml:space="preserve">Survivorship</w:t>
      </w:r>
      <w:bookmarkEnd w:id="26"/>
    </w:p>
    <w:p>
      <w:pPr>
        <w:pStyle w:val="FirstParagraph"/>
      </w:pPr>
      <w:r>
        <w:t xml:space="preserve">The most trusted non-empty value wins for each field. Source trust is set in the enrichment rule set.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709"/>
        <w:gridCol w:w="1318"/>
      </w:tblGrid>
      <w:tr>
        <w:trPr>
          <w:cantSplit/>
          <w:tblHeader/>
        </w:trPr>
        <w:tc>
          <w:tcPr>
            <w:tcW w:w="7709" w:type="dxa"/>
            <w:shd w:val="clear" w:color="auto" w:fill="0F4761"/>
            <w:vAlign w:val="center"/>
          </w:tcPr>
          <w:p>
            <w:pPr>
              <w:pStyle w:val="TableHeading"/>
              <w:jc w:val="left"/>
            </w:pPr>
            <w:r>
              <w:rPr>
                <w:color w:val="FFFFFF"/>
              </w:rPr>
              <w:t xml:space="preserve">Source</w:t>
            </w:r>
          </w:p>
        </w:tc>
        <w:tc>
          <w:tcPr>
            <w:tcW w:w="1318" w:type="dxa"/>
            <w:shd w:val="clear" w:color="auto" w:fill="0F4761"/>
            <w:vAlign w:val="center"/>
          </w:tcPr>
          <w:p>
            <w:pPr>
              <w:pStyle w:val="TableHeading"/>
              <w:jc w:val="left"/>
            </w:pPr>
            <w:r>
              <w:rPr>
                <w:color w:val="FFFFFF"/>
              </w:rPr>
              <w:t xml:space="preserve">Trust</w:t>
            </w:r>
          </w:p>
        </w:tc>
      </w:tr>
      <w:tr>
        <w:trPr>
          <w:cantSplit/>
        </w:trPr>
        <w:tc>
          <w:tcPr>
            <w:tcW w:w="7709" w:type="dxa"/>
            <w:vAlign w:val="top"/>
          </w:tcPr>
          <w:p>
            <w:pPr>
              <w:pStyle w:val="TableText"/>
              <w:jc w:val="left"/>
            </w:pPr>
            <w:r>
              <w:t xml:space="preserve">TASCO core</w:t>
            </w:r>
          </w:p>
        </w:tc>
        <w:tc>
          <w:tcPr>
            <w:tcW w:w="1318" w:type="dxa"/>
            <w:vAlign w:val="top"/>
          </w:tcPr>
          <w:p>
            <w:pPr>
              <w:pStyle w:val="TableText"/>
              <w:jc w:val="left"/>
            </w:pPr>
            <w:r>
              <w:t xml:space="preserve">1.00</w:t>
            </w:r>
          </w:p>
        </w:tc>
      </w:tr>
      <w:tr>
        <w:trPr>
          <w:cantSplit/>
        </w:trPr>
        <w:tc>
          <w:tcPr>
            <w:tcW w:w="7709" w:type="dxa"/>
            <w:shd w:val="clear" w:color="auto" w:fill="F4F7FB"/>
            <w:vAlign w:val="top"/>
          </w:tcPr>
          <w:p>
            <w:pPr>
              <w:pStyle w:val="TableText"/>
              <w:jc w:val="left"/>
            </w:pPr>
            <w:r>
              <w:t xml:space="preserve">VETC app purchase</w:t>
            </w:r>
          </w:p>
        </w:tc>
        <w:tc>
          <w:tcPr>
            <w:tcW w:w="1318" w:type="dxa"/>
            <w:shd w:val="clear" w:color="auto" w:fill="F4F7FB"/>
            <w:vAlign w:val="top"/>
          </w:tcPr>
          <w:p>
            <w:pPr>
              <w:pStyle w:val="TableText"/>
              <w:jc w:val="left"/>
            </w:pPr>
            <w:r>
              <w:t xml:space="preserve">0.95</w:t>
            </w:r>
          </w:p>
        </w:tc>
      </w:tr>
      <w:tr>
        <w:trPr>
          <w:cantSplit/>
        </w:trPr>
        <w:tc>
          <w:tcPr>
            <w:tcW w:w="7709" w:type="dxa"/>
            <w:vAlign w:val="top"/>
          </w:tcPr>
          <w:p>
            <w:pPr>
              <w:pStyle w:val="TableText"/>
              <w:jc w:val="left"/>
            </w:pPr>
            <w:r>
              <w:t xml:space="preserve">Customer vehicle confirmation (use and seats, in the app)</w:t>
            </w:r>
          </w:p>
        </w:tc>
        <w:tc>
          <w:tcPr>
            <w:tcW w:w="1318" w:type="dxa"/>
            <w:vAlign w:val="top"/>
          </w:tcPr>
          <w:p>
            <w:pPr>
              <w:pStyle w:val="TableText"/>
              <w:jc w:val="left"/>
            </w:pPr>
            <w:r>
              <w:t xml:space="preserve">0.90</w:t>
            </w:r>
          </w:p>
        </w:tc>
      </w:tr>
      <w:tr>
        <w:trPr>
          <w:cantSplit/>
        </w:trPr>
        <w:tc>
          <w:tcPr>
            <w:tcW w:w="7709" w:type="dxa"/>
            <w:shd w:val="clear" w:color="auto" w:fill="F4F7FB"/>
            <w:vAlign w:val="top"/>
          </w:tcPr>
          <w:p>
            <w:pPr>
              <w:pStyle w:val="TableText"/>
              <w:jc w:val="left"/>
            </w:pPr>
            <w:r>
              <w:t xml:space="preserve">VETC account</w:t>
            </w:r>
          </w:p>
        </w:tc>
        <w:tc>
          <w:tcPr>
            <w:tcW w:w="1318" w:type="dxa"/>
            <w:shd w:val="clear" w:color="auto" w:fill="F4F7FB"/>
            <w:vAlign w:val="top"/>
          </w:tcPr>
          <w:p>
            <w:pPr>
              <w:pStyle w:val="TableText"/>
              <w:jc w:val="left"/>
            </w:pPr>
            <w:r>
              <w:t xml:space="preserve">0.85</w:t>
            </w:r>
          </w:p>
        </w:tc>
      </w:tr>
      <w:tr>
        <w:trPr>
          <w:cantSplit/>
        </w:trPr>
        <w:tc>
          <w:tcPr>
            <w:tcW w:w="7709" w:type="dxa"/>
            <w:vAlign w:val="top"/>
          </w:tcPr>
          <w:p>
            <w:pPr>
              <w:pStyle w:val="TableText"/>
              <w:jc w:val="left"/>
            </w:pPr>
            <w:r>
              <w:t xml:space="preserve">Customer declared</w:t>
            </w:r>
          </w:p>
        </w:tc>
        <w:tc>
          <w:tcPr>
            <w:tcW w:w="1318" w:type="dxa"/>
            <w:vAlign w:val="top"/>
          </w:tcPr>
          <w:p>
            <w:pPr>
              <w:pStyle w:val="TableText"/>
              <w:jc w:val="left"/>
            </w:pPr>
            <w:r>
              <w:t xml:space="preserve">0.75</w:t>
            </w:r>
          </w:p>
        </w:tc>
      </w:tr>
      <w:tr>
        <w:trPr>
          <w:cantSplit/>
        </w:trPr>
        <w:tc>
          <w:tcPr>
            <w:tcW w:w="7709" w:type="dxa"/>
            <w:shd w:val="clear" w:color="auto" w:fill="F4F7FB"/>
            <w:vAlign w:val="top"/>
          </w:tcPr>
          <w:p>
            <w:pPr>
              <w:pStyle w:val="TableText"/>
              <w:jc w:val="left"/>
            </w:pPr>
            <w:r>
              <w:t xml:space="preserve">Partner inspection centre</w:t>
            </w:r>
          </w:p>
        </w:tc>
        <w:tc>
          <w:tcPr>
            <w:tcW w:w="1318" w:type="dxa"/>
            <w:shd w:val="clear" w:color="auto" w:fill="F4F7FB"/>
            <w:vAlign w:val="top"/>
          </w:tcPr>
          <w:p>
            <w:pPr>
              <w:pStyle w:val="TableText"/>
              <w:jc w:val="left"/>
            </w:pPr>
            <w:r>
              <w:t xml:space="preserve">0.65</w:t>
            </w:r>
          </w:p>
        </w:tc>
      </w:tr>
      <w:tr>
        <w:trPr>
          <w:cantSplit/>
        </w:trPr>
        <w:tc>
          <w:tcPr>
            <w:tcW w:w="7709" w:type="dxa"/>
            <w:vAlign w:val="top"/>
          </w:tcPr>
          <w:p>
            <w:pPr>
              <w:pStyle w:val="TableText"/>
              <w:jc w:val="left"/>
            </w:pPr>
            <w:r>
              <w:t xml:space="preserve">Partner bank, showroom or fleet</w:t>
            </w:r>
          </w:p>
        </w:tc>
        <w:tc>
          <w:tcPr>
            <w:tcW w:w="1318" w:type="dxa"/>
            <w:vAlign w:val="top"/>
          </w:tcPr>
          <w:p>
            <w:pPr>
              <w:pStyle w:val="TableText"/>
              <w:jc w:val="left"/>
            </w:pPr>
            <w:r>
              <w:t xml:space="preserve">0.60</w:t>
            </w:r>
          </w:p>
        </w:tc>
      </w:tr>
      <w:tr>
        <w:trPr>
          <w:cantSplit/>
        </w:trPr>
        <w:tc>
          <w:tcPr>
            <w:tcW w:w="7709" w:type="dxa"/>
            <w:shd w:val="clear" w:color="auto" w:fill="F4F7FB"/>
            <w:vAlign w:val="top"/>
          </w:tcPr>
          <w:p>
            <w:pPr>
              <w:pStyle w:val="TableText"/>
              <w:jc w:val="left"/>
            </w:pPr>
            <w:r>
              <w:t xml:space="preserve">Partner agent</w:t>
            </w:r>
          </w:p>
        </w:tc>
        <w:tc>
          <w:tcPr>
            <w:tcW w:w="1318" w:type="dxa"/>
            <w:shd w:val="clear" w:color="auto" w:fill="F4F7FB"/>
            <w:vAlign w:val="top"/>
          </w:tcPr>
          <w:p>
            <w:pPr>
              <w:pStyle w:val="TableText"/>
              <w:jc w:val="left"/>
            </w:pPr>
            <w:r>
              <w:t xml:space="preserve">0.50</w:t>
            </w:r>
          </w:p>
        </w:tc>
      </w:tr>
      <w:tr>
        <w:trPr>
          <w:cantSplit/>
        </w:trPr>
        <w:tc>
          <w:tcPr>
            <w:tcW w:w="7709" w:type="dxa"/>
            <w:vAlign w:val="top"/>
          </w:tcPr>
          <w:p>
            <w:pPr>
              <w:pStyle w:val="TableText"/>
              <w:jc w:val="left"/>
            </w:pPr>
            <w:r>
              <w:t xml:space="preserve">Telesales list and unknown sources</w:t>
            </w:r>
          </w:p>
        </w:tc>
        <w:tc>
          <w:tcPr>
            <w:tcW w:w="1318" w:type="dxa"/>
            <w:vAlign w:val="top"/>
          </w:tcPr>
          <w:p>
            <w:pPr>
              <w:pStyle w:val="TableText"/>
              <w:jc w:val="left"/>
            </w:pPr>
            <w:r>
              <w:t xml:space="preserve">0.40</w:t>
            </w:r>
          </w:p>
        </w:tc>
      </w:tr>
    </w:tbl>
    <w:p>
      <w:pPr>
        <w:pStyle w:val="BodyText"/>
        <w:spacing w:before="160"/>
      </w:pPr>
      <w:r>
        <w:t xml:space="preserve">Ownership type, tag activation, engagement, channels and consent come from the VETC account record, which is the system of record for the account. The vehicle category comes from a decision table over seats, toll class and commercial use, with a confidence and a basis. When a customer confirms use and seats in the app, the answer lands as a source record of its own and wins over VETC data; quick renewal accepts such a confirmation for 365 days.</w:t>
      </w:r>
    </w:p>
    <w:p>
      <w:pPr>
        <w:pStyle w:val="Heading2"/>
      </w:pPr>
      <w:bookmarkStart w:id="27" w:name="_Toc300000023"/>
      <w:r>
        <w:t xml:space="preserve">Expiry inference</w:t>
      </w:r>
      <w:bookmarkEnd w:id="27"/>
    </w:p>
    <w:p>
      <w:pPr>
        <w:pStyle w:val="FirstParagraph"/>
      </w:pPr>
      <w:r>
        <w:t xml:space="preserve">The expiry date is the most important fact on the profile, because it decides when to contact a customer. It is inferred from the best available evidence.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764"/>
        <w:gridCol w:w="3263"/>
      </w:tblGrid>
      <w:tr>
        <w:trPr>
          <w:cantSplit/>
          <w:tblHeader/>
        </w:trPr>
        <w:tc>
          <w:tcPr>
            <w:tcW w:w="5764" w:type="dxa"/>
            <w:shd w:val="clear" w:color="auto" w:fill="0F4761"/>
            <w:vAlign w:val="center"/>
          </w:tcPr>
          <w:p>
            <w:pPr>
              <w:pStyle w:val="TableHeading"/>
              <w:jc w:val="left"/>
            </w:pPr>
            <w:r>
              <w:rPr>
                <w:color w:val="FFFFFF"/>
              </w:rPr>
              <w:t xml:space="preserve">Evidence</w:t>
            </w:r>
          </w:p>
        </w:tc>
        <w:tc>
          <w:tcPr>
            <w:tcW w:w="3263" w:type="dxa"/>
            <w:shd w:val="clear" w:color="auto" w:fill="0F4761"/>
            <w:vAlign w:val="center"/>
          </w:tcPr>
          <w:p>
            <w:pPr>
              <w:pStyle w:val="TableHeading"/>
              <w:jc w:val="left"/>
            </w:pPr>
            <w:r>
              <w:rPr>
                <w:color w:val="FFFFFF"/>
              </w:rPr>
              <w:t xml:space="preserve">Confidence</w:t>
            </w:r>
          </w:p>
        </w:tc>
      </w:tr>
      <w:tr>
        <w:trPr>
          <w:cantSplit/>
        </w:trPr>
        <w:tc>
          <w:tcPr>
            <w:tcW w:w="5764" w:type="dxa"/>
            <w:vAlign w:val="top"/>
          </w:tcPr>
          <w:p>
            <w:pPr>
              <w:pStyle w:val="TableText"/>
              <w:jc w:val="left"/>
            </w:pPr>
            <w:r>
              <w:t xml:space="preserve">Verified certificate</w:t>
            </w:r>
          </w:p>
        </w:tc>
        <w:tc>
          <w:tcPr>
            <w:tcW w:w="3263" w:type="dxa"/>
            <w:vAlign w:val="top"/>
          </w:tcPr>
          <w:p>
            <w:pPr>
              <w:pStyle w:val="TableText"/>
              <w:jc w:val="left"/>
            </w:pPr>
            <w:r>
              <w:t xml:space="preserve">1.0</w:t>
            </w:r>
          </w:p>
        </w:tc>
      </w:tr>
      <w:tr>
        <w:trPr>
          <w:cantSplit/>
        </w:trPr>
        <w:tc>
          <w:tcPr>
            <w:tcW w:w="5764" w:type="dxa"/>
            <w:shd w:val="clear" w:color="auto" w:fill="F4F7FB"/>
            <w:vAlign w:val="top"/>
          </w:tcPr>
          <w:p>
            <w:pPr>
              <w:pStyle w:val="TableText"/>
              <w:jc w:val="left"/>
            </w:pPr>
            <w:r>
              <w:t xml:space="preserve">Customer declared</w:t>
            </w:r>
          </w:p>
        </w:tc>
        <w:tc>
          <w:tcPr>
            <w:tcW w:w="3263" w:type="dxa"/>
            <w:shd w:val="clear" w:color="auto" w:fill="F4F7FB"/>
            <w:vAlign w:val="top"/>
          </w:tcPr>
          <w:p>
            <w:pPr>
              <w:pStyle w:val="TableText"/>
              <w:jc w:val="left"/>
            </w:pPr>
            <w:r>
              <w:t xml:space="preserve">0.75</w:t>
            </w:r>
          </w:p>
        </w:tc>
      </w:tr>
      <w:tr>
        <w:trPr>
          <w:cantSplit/>
        </w:trPr>
        <w:tc>
          <w:tcPr>
            <w:tcW w:w="5764" w:type="dxa"/>
            <w:vAlign w:val="top"/>
          </w:tcPr>
          <w:p>
            <w:pPr>
              <w:pStyle w:val="TableText"/>
              <w:jc w:val="left"/>
            </w:pPr>
            <w:r>
              <w:t xml:space="preserve">Partner policy record</w:t>
            </w:r>
          </w:p>
        </w:tc>
        <w:tc>
          <w:tcPr>
            <w:tcW w:w="3263" w:type="dxa"/>
            <w:vAlign w:val="top"/>
          </w:tcPr>
          <w:p>
            <w:pPr>
              <w:pStyle w:val="TableText"/>
              <w:jc w:val="left"/>
            </w:pPr>
            <w:r>
              <w:t xml:space="preserve">Up to 0.7, scaled by partner trust</w:t>
            </w:r>
          </w:p>
        </w:tc>
      </w:tr>
      <w:tr>
        <w:trPr>
          <w:cantSplit/>
        </w:trPr>
        <w:tc>
          <w:tcPr>
            <w:tcW w:w="5764" w:type="dxa"/>
            <w:shd w:val="clear" w:color="auto" w:fill="F4F7FB"/>
            <w:vAlign w:val="top"/>
          </w:tcPr>
          <w:p>
            <w:pPr>
              <w:pStyle w:val="TableText"/>
              <w:jc w:val="left"/>
            </w:pPr>
            <w:r>
              <w:t xml:space="preserve">Inspection cycle (last inspection plus one year)</w:t>
            </w:r>
          </w:p>
        </w:tc>
        <w:tc>
          <w:tcPr>
            <w:tcW w:w="3263" w:type="dxa"/>
            <w:shd w:val="clear" w:color="auto" w:fill="F4F7FB"/>
            <w:vAlign w:val="top"/>
          </w:tcPr>
          <w:p>
            <w:pPr>
              <w:pStyle w:val="TableText"/>
              <w:jc w:val="left"/>
            </w:pPr>
            <w:r>
              <w:t xml:space="preserve">0.5</w:t>
            </w:r>
          </w:p>
        </w:tc>
      </w:tr>
      <w:tr>
        <w:trPr>
          <w:cantSplit/>
        </w:trPr>
        <w:tc>
          <w:tcPr>
            <w:tcW w:w="5764" w:type="dxa"/>
            <w:vAlign w:val="top"/>
          </w:tcPr>
          <w:p>
            <w:pPr>
              <w:pStyle w:val="TableText"/>
              <w:jc w:val="left"/>
            </w:pPr>
            <w:r>
              <w:t xml:space="preserve">Tag activation anniversary</w:t>
            </w:r>
          </w:p>
        </w:tc>
        <w:tc>
          <w:tcPr>
            <w:tcW w:w="3263" w:type="dxa"/>
            <w:vAlign w:val="top"/>
          </w:tcPr>
          <w:p>
            <w:pPr>
              <w:pStyle w:val="TableText"/>
              <w:jc w:val="left"/>
            </w:pPr>
            <w:r>
              <w:t xml:space="preserve">0.25</w:t>
            </w:r>
          </w:p>
        </w:tc>
      </w:tr>
    </w:tbl>
    <w:p>
      <w:pPr>
        <w:pStyle w:val="BodyText"/>
        <w:spacing w:before="160"/>
      </w:pPr>
      <w:r>
        <w:t xml:space="preserve">Each different method that agrees within 21 days adds 0.15, up to 0.95. An expiry is usable for journeys from a confidence of 0.5. Facts captured on the platform carry confidences governed in the service levels rule set: customer 0.75, data steward 0.9, voice assistant (renewed elsewhere) 0.6. A TASCO-issued policy sets confidence 1.0. On rebuild, a platform-captured expiry with higher confidence is kept, so a steward’s correction survives the next feed.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8" w:name="_Toc300000024"/>
      <w:r>
        <w:rPr>
          <w:rStyle w:val="BookTitle"/>
          <w:bCs w:val="0"/>
          <w:i w:val="0"/>
          <w:iCs w:val="0"/>
          <w:spacing w:val="0"/>
        </w:rPr>
        <w:t xml:space="preserve">Data quality</w:t>
      </w:r>
      <w:bookmarkEnd w:id="28"/>
    </w:p>
    <w:p>
      <w:pPr>
        <w:pStyle w:val="FirstParagraph"/>
      </w:pPr>
      <w:r>
        <w:t xml:space="preserve">Each profile has a score from 0 to 100: half for completeness of phone, name, reliable expiry, vehicle category and current insurer, 35% for expiry confidence and 15% for category confidence. The weights are part of the enrichment rule set.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56"/>
        <w:gridCol w:w="3035"/>
        <w:gridCol w:w="2735"/>
        <w:gridCol w:w="1601"/>
      </w:tblGrid>
      <w:tr>
        <w:trPr>
          <w:cantSplit/>
          <w:tblHeader/>
        </w:trPr>
        <w:tc>
          <w:tcPr>
            <w:tcW w:w="1656" w:type="dxa"/>
            <w:shd w:val="clear" w:color="auto" w:fill="0F4761"/>
            <w:vAlign w:val="center"/>
          </w:tcPr>
          <w:p>
            <w:pPr>
              <w:pStyle w:val="TableHeading"/>
              <w:jc w:val="left"/>
            </w:pPr>
            <w:r>
              <w:rPr>
                <w:color w:val="FFFFFF"/>
              </w:rPr>
              <w:t xml:space="preserve">Dimension</w:t>
            </w:r>
          </w:p>
        </w:tc>
        <w:tc>
          <w:tcPr>
            <w:tcW w:w="3035" w:type="dxa"/>
            <w:shd w:val="clear" w:color="auto" w:fill="0F4761"/>
            <w:vAlign w:val="center"/>
          </w:tcPr>
          <w:p>
            <w:pPr>
              <w:pStyle w:val="TableHeading"/>
              <w:jc w:val="left"/>
            </w:pPr>
            <w:r>
              <w:rPr>
                <w:color w:val="FFFFFF"/>
              </w:rPr>
              <w:t xml:space="preserve">Measure</w:t>
            </w:r>
          </w:p>
        </w:tc>
        <w:tc>
          <w:tcPr>
            <w:tcW w:w="2735" w:type="dxa"/>
            <w:shd w:val="clear" w:color="auto" w:fill="0F4761"/>
            <w:vAlign w:val="center"/>
          </w:tcPr>
          <w:p>
            <w:pPr>
              <w:pStyle w:val="TableHeading"/>
              <w:jc w:val="left"/>
            </w:pPr>
            <w:r>
              <w:rPr>
                <w:color w:val="FFFFFF"/>
              </w:rPr>
              <w:t xml:space="preserve">Issue types</w:t>
            </w:r>
          </w:p>
        </w:tc>
        <w:tc>
          <w:tcPr>
            <w:tcW w:w="1601" w:type="dxa"/>
            <w:shd w:val="clear" w:color="auto" w:fill="0F4761"/>
            <w:vAlign w:val="center"/>
          </w:tcPr>
          <w:p>
            <w:pPr>
              <w:pStyle w:val="TableHeading"/>
              <w:jc w:val="left"/>
            </w:pPr>
            <w:r>
              <w:rPr>
                <w:color w:val="FFFFFF"/>
              </w:rPr>
              <w:t xml:space="preserve">Raised by</w:t>
            </w:r>
          </w:p>
        </w:tc>
      </w:tr>
      <w:tr>
        <w:trPr>
          <w:cantSplit/>
        </w:trPr>
        <w:tc>
          <w:tcPr>
            <w:tcW w:w="1656" w:type="dxa"/>
            <w:vAlign w:val="top"/>
          </w:tcPr>
          <w:p>
            <w:pPr>
              <w:pStyle w:val="TableText"/>
              <w:jc w:val="left"/>
            </w:pPr>
            <w:r>
              <w:t xml:space="preserve">Validity</w:t>
            </w:r>
          </w:p>
        </w:tc>
        <w:tc>
          <w:tcPr>
            <w:tcW w:w="3035" w:type="dxa"/>
            <w:vAlign w:val="top"/>
          </w:tcPr>
          <w:p>
            <w:pPr>
              <w:pStyle w:val="TableText"/>
              <w:jc w:val="left"/>
            </w:pPr>
            <w:r>
              <w:t xml:space="preserve">Plate and phone format, province</w:t>
            </w:r>
          </w:p>
        </w:tc>
        <w:tc>
          <w:tcPr>
            <w:tcW w:w="2735" w:type="dxa"/>
            <w:vAlign w:val="top"/>
          </w:tcPr>
          <w:p>
            <w:pPr>
              <w:pStyle w:val="TableText"/>
              <w:jc w:val="left"/>
            </w:pPr>
            <w:r>
              <w:t xml:space="preserve">Invalid plate</w:t>
            </w:r>
          </w:p>
        </w:tc>
        <w:tc>
          <w:tcPr>
            <w:tcW w:w="1601" w:type="dxa"/>
            <w:vAlign w:val="top"/>
          </w:tcPr>
          <w:p>
            <w:pPr>
              <w:pStyle w:val="TableText"/>
              <w:jc w:val="left"/>
            </w:pPr>
            <w:r>
              <w:t xml:space="preserve">Ingestion</w:t>
            </w:r>
          </w:p>
        </w:tc>
      </w:tr>
      <w:tr>
        <w:trPr>
          <w:cantSplit/>
        </w:trPr>
        <w:tc>
          <w:tcPr>
            <w:tcW w:w="1656" w:type="dxa"/>
            <w:shd w:val="clear" w:color="auto" w:fill="F4F7FB"/>
            <w:vAlign w:val="top"/>
          </w:tcPr>
          <w:p>
            <w:pPr>
              <w:pStyle w:val="TableText"/>
              <w:jc w:val="left"/>
            </w:pPr>
            <w:r>
              <w:t xml:space="preserve">Completeness</w:t>
            </w:r>
          </w:p>
        </w:tc>
        <w:tc>
          <w:tcPr>
            <w:tcW w:w="3035" w:type="dxa"/>
            <w:shd w:val="clear" w:color="auto" w:fill="F4F7FB"/>
            <w:vAlign w:val="top"/>
          </w:tcPr>
          <w:p>
            <w:pPr>
              <w:pStyle w:val="TableText"/>
              <w:jc w:val="left"/>
            </w:pPr>
            <w:r>
              <w:t xml:space="preserve">Mandatory facets present</w:t>
            </w:r>
          </w:p>
        </w:tc>
        <w:tc>
          <w:tcPr>
            <w:tcW w:w="2735" w:type="dxa"/>
            <w:shd w:val="clear" w:color="auto" w:fill="F4F7FB"/>
            <w:vAlign w:val="top"/>
          </w:tcPr>
          <w:p>
            <w:pPr>
              <w:pStyle w:val="TableText"/>
              <w:jc w:val="left"/>
            </w:pPr>
            <w:r>
              <w:t xml:space="preserve">Missing phone, name or insurer</w:t>
            </w:r>
          </w:p>
        </w:tc>
        <w:tc>
          <w:tcPr>
            <w:tcW w:w="1601" w:type="dxa"/>
            <w:shd w:val="clear" w:color="auto" w:fill="F4F7FB"/>
            <w:vAlign w:val="top"/>
          </w:tcPr>
          <w:p>
            <w:pPr>
              <w:pStyle w:val="TableText"/>
              <w:jc w:val="left"/>
            </w:pPr>
            <w:r>
              <w:t xml:space="preserve">Profile build</w:t>
            </w:r>
          </w:p>
        </w:tc>
      </w:tr>
      <w:tr>
        <w:trPr>
          <w:cantSplit/>
        </w:trPr>
        <w:tc>
          <w:tcPr>
            <w:tcW w:w="1656" w:type="dxa"/>
            <w:vAlign w:val="top"/>
          </w:tcPr>
          <w:p>
            <w:pPr>
              <w:pStyle w:val="TableText"/>
              <w:jc w:val="left"/>
            </w:pPr>
            <w:r>
              <w:t xml:space="preserve">Reliability</w:t>
            </w:r>
          </w:p>
        </w:tc>
        <w:tc>
          <w:tcPr>
            <w:tcW w:w="3035" w:type="dxa"/>
            <w:vAlign w:val="top"/>
          </w:tcPr>
          <w:p>
            <w:pPr>
              <w:pStyle w:val="TableText"/>
              <w:jc w:val="left"/>
            </w:pPr>
            <w:r>
              <w:t xml:space="preserve">Expiry confidence at least 0.5, category confidence at least 0.6</w:t>
            </w:r>
          </w:p>
        </w:tc>
        <w:tc>
          <w:tcPr>
            <w:tcW w:w="2735" w:type="dxa"/>
            <w:vAlign w:val="top"/>
          </w:tcPr>
          <w:p>
            <w:pPr>
              <w:pStyle w:val="TableText"/>
              <w:jc w:val="left"/>
            </w:pPr>
            <w:r>
              <w:t xml:space="preserve">Unreliable expiry, uncertain category</w:t>
            </w:r>
          </w:p>
        </w:tc>
        <w:tc>
          <w:tcPr>
            <w:tcW w:w="1601" w:type="dxa"/>
            <w:vAlign w:val="top"/>
          </w:tcPr>
          <w:p>
            <w:pPr>
              <w:pStyle w:val="TableText"/>
              <w:jc w:val="left"/>
            </w:pPr>
            <w:r>
              <w:t xml:space="preserve">Profile build</w:t>
            </w:r>
          </w:p>
        </w:tc>
      </w:tr>
      <w:tr>
        <w:trPr>
          <w:cantSplit/>
        </w:trPr>
        <w:tc>
          <w:tcPr>
            <w:tcW w:w="1656" w:type="dxa"/>
            <w:shd w:val="clear" w:color="auto" w:fill="F4F7FB"/>
            <w:vAlign w:val="top"/>
          </w:tcPr>
          <w:p>
            <w:pPr>
              <w:pStyle w:val="TableText"/>
              <w:jc w:val="left"/>
            </w:pPr>
            <w:r>
              <w:t xml:space="preserve">Consistency</w:t>
            </w:r>
          </w:p>
        </w:tc>
        <w:tc>
          <w:tcPr>
            <w:tcW w:w="3035" w:type="dxa"/>
            <w:shd w:val="clear" w:color="auto" w:fill="F4F7FB"/>
            <w:vAlign w:val="top"/>
          </w:tcPr>
          <w:p>
            <w:pPr>
              <w:pStyle w:val="TableText"/>
              <w:jc w:val="left"/>
            </w:pPr>
            <w:r>
              <w:t xml:space="preserve">One phone per vehicle</w:t>
            </w:r>
          </w:p>
        </w:tc>
        <w:tc>
          <w:tcPr>
            <w:tcW w:w="2735" w:type="dxa"/>
            <w:shd w:val="clear" w:color="auto" w:fill="F4F7FB"/>
            <w:vAlign w:val="top"/>
          </w:tcPr>
          <w:p>
            <w:pPr>
              <w:pStyle w:val="TableText"/>
              <w:jc w:val="left"/>
            </w:pPr>
            <w:r>
              <w:t xml:space="preserve">Conflicting phone</w:t>
            </w:r>
          </w:p>
        </w:tc>
        <w:tc>
          <w:tcPr>
            <w:tcW w:w="1601" w:type="dxa"/>
            <w:shd w:val="clear" w:color="auto" w:fill="F4F7FB"/>
            <w:vAlign w:val="top"/>
          </w:tcPr>
          <w:p>
            <w:pPr>
              <w:pStyle w:val="TableText"/>
              <w:jc w:val="left"/>
            </w:pPr>
            <w:r>
              <w:t xml:space="preserve">Profile build</w:t>
            </w:r>
          </w:p>
        </w:tc>
      </w:tr>
      <w:tr>
        <w:trPr>
          <w:cantSplit/>
        </w:trPr>
        <w:tc>
          <w:tcPr>
            <w:tcW w:w="1656" w:type="dxa"/>
            <w:vAlign w:val="top"/>
          </w:tcPr>
          <w:p>
            <w:pPr>
              <w:pStyle w:val="TableText"/>
              <w:jc w:val="left"/>
            </w:pPr>
            <w:r>
              <w:t xml:space="preserve">Accuracy</w:t>
            </w:r>
          </w:p>
        </w:tc>
        <w:tc>
          <w:tcPr>
            <w:tcW w:w="3035" w:type="dxa"/>
            <w:vAlign w:val="top"/>
          </w:tcPr>
          <w:p>
            <w:pPr>
              <w:pStyle w:val="TableText"/>
              <w:jc w:val="left"/>
            </w:pPr>
            <w:r>
              <w:t xml:space="preserve">Customer contradicts the data on a call</w:t>
            </w:r>
          </w:p>
        </w:tc>
        <w:tc>
          <w:tcPr>
            <w:tcW w:w="2735" w:type="dxa"/>
            <w:vAlign w:val="top"/>
          </w:tcPr>
          <w:p>
            <w:pPr>
              <w:pStyle w:val="TableText"/>
              <w:jc w:val="left"/>
            </w:pPr>
            <w:r>
              <w:t xml:space="preserve">Wrong person, plate mismatch, unverified renewal claim</w:t>
            </w:r>
          </w:p>
        </w:tc>
        <w:tc>
          <w:tcPr>
            <w:tcW w:w="1601" w:type="dxa"/>
            <w:vAlign w:val="top"/>
          </w:tcPr>
          <w:p>
            <w:pPr>
              <w:pStyle w:val="TableText"/>
              <w:jc w:val="left"/>
            </w:pPr>
            <w:r>
              <w:t xml:space="preserve">Voice service</w:t>
            </w:r>
          </w:p>
        </w:tc>
      </w:tr>
      <w:tr>
        <w:trPr>
          <w:cantSplit/>
        </w:trPr>
        <w:tc>
          <w:tcPr>
            <w:tcW w:w="1656" w:type="dxa"/>
            <w:shd w:val="clear" w:color="auto" w:fill="F4F7FB"/>
            <w:vAlign w:val="top"/>
          </w:tcPr>
          <w:p>
            <w:pPr>
              <w:pStyle w:val="TableText"/>
              <w:jc w:val="left"/>
            </w:pPr>
            <w:r>
              <w:t xml:space="preserve">Uniqueness</w:t>
            </w:r>
          </w:p>
        </w:tc>
        <w:tc>
          <w:tcPr>
            <w:tcW w:w="3035" w:type="dxa"/>
            <w:shd w:val="clear" w:color="auto" w:fill="F4F7FB"/>
            <w:vAlign w:val="top"/>
          </w:tcPr>
          <w:p>
            <w:pPr>
              <w:pStyle w:val="TableText"/>
              <w:jc w:val="left"/>
            </w:pPr>
            <w:r>
              <w:t xml:space="preserve">Duplicates merged per plate</w:t>
            </w:r>
          </w:p>
        </w:tc>
        <w:tc>
          <w:tcPr>
            <w:tcW w:w="2735" w:type="dxa"/>
            <w:shd w:val="clear" w:color="auto" w:fill="F4F7FB"/>
            <w:vAlign w:val="top"/>
          </w:tcPr>
          <w:p>
            <w:pPr>
              <w:pStyle w:val="TableText"/>
              <w:jc w:val="left"/>
            </w:pPr>
            <w:r>
              <w:t xml:space="preserve">Count of merged duplicates</w:t>
            </w:r>
          </w:p>
        </w:tc>
        <w:tc>
          <w:tcPr>
            <w:tcW w:w="1601" w:type="dxa"/>
            <w:shd w:val="clear" w:color="auto" w:fill="F4F7FB"/>
            <w:vAlign w:val="top"/>
          </w:tcPr>
          <w:p>
            <w:pPr>
              <w:pStyle w:val="TableText"/>
              <w:jc w:val="left"/>
            </w:pPr>
            <w:r>
              <w:t xml:space="preserve">Profile build</w:t>
            </w:r>
          </w:p>
        </w:tc>
      </w:tr>
      <w:tr>
        <w:trPr>
          <w:cantSplit/>
        </w:trPr>
        <w:tc>
          <w:tcPr>
            <w:tcW w:w="1656" w:type="dxa"/>
            <w:vAlign w:val="top"/>
          </w:tcPr>
          <w:p>
            <w:pPr>
              <w:pStyle w:val="TableText"/>
              <w:jc w:val="left"/>
            </w:pPr>
            <w:r>
              <w:t xml:space="preserve">Timeliness</w:t>
            </w:r>
          </w:p>
        </w:tc>
        <w:tc>
          <w:tcPr>
            <w:tcW w:w="3035" w:type="dxa"/>
            <w:vAlign w:val="top"/>
          </w:tcPr>
          <w:p>
            <w:pPr>
              <w:pStyle w:val="TableText"/>
              <w:jc w:val="left"/>
            </w:pPr>
            <w:r>
              <w:t xml:space="preserve">Freshness of the source feed</w:t>
            </w:r>
          </w:p>
        </w:tc>
        <w:tc>
          <w:tcPr>
            <w:tcW w:w="2735" w:type="dxa"/>
            <w:vAlign w:val="top"/>
          </w:tcPr>
          <w:p>
            <w:pPr>
              <w:pStyle w:val="TableText"/>
              <w:jc w:val="left"/>
            </w:pPr>
            <w:r>
              <w:t xml:space="preserve">Stale source (planned)</w:t>
            </w:r>
          </w:p>
        </w:tc>
        <w:tc>
          <w:tcPr>
            <w:tcW w:w="1601" w:type="dxa"/>
            <w:vAlign w:val="top"/>
          </w:tcPr>
          <w:p>
            <w:pPr>
              <w:pStyle w:val="TableText"/>
              <w:jc w:val="left"/>
            </w:pPr>
            <w:r>
              <w:t xml:space="preserve">Feed monitoring</w:t>
            </w:r>
          </w:p>
        </w:tc>
      </w:tr>
    </w:tbl>
    <w:p>
      <w:pPr>
        <w:pStyle w:val="BodyText"/>
        <w:spacing w:before="160"/>
      </w:pPr>
      <w:r>
        <w:t xml:space="preserve">Data stewards work open issues in the staff console and resolve them or correct the expiry with evidence; every correction is audited. Customers correct their own expiry in the app, and calls correct data too. A resolved issue reopens if the next rebuild detects it again. The dashboard shows open issues by type and the number of profiles with usable data.</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Lineage, metadata and reconciliation</w:t>
      </w:r>
      <w:bookmarkEnd w:id="29"/>
    </w:p>
    <w:p>
      <w:pPr>
        <w:pStyle w:val="FirstParagraph"/>
      </w:pPr>
      <w:r>
        <w:t xml:space="preserve">Lineage is recorded at four levels, so any value or decision can be traced back to its source.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94"/>
        <w:gridCol w:w="5673"/>
        <w:gridCol w:w="1960"/>
      </w:tblGrid>
      <w:tr>
        <w:trPr>
          <w:cantSplit/>
          <w:tblHeader/>
        </w:trPr>
        <w:tc>
          <w:tcPr>
            <w:tcW w:w="1394" w:type="dxa"/>
            <w:shd w:val="clear" w:color="auto" w:fill="0F4761"/>
            <w:vAlign w:val="center"/>
          </w:tcPr>
          <w:p>
            <w:pPr>
              <w:pStyle w:val="TableHeading"/>
              <w:jc w:val="left"/>
            </w:pPr>
            <w:r>
              <w:rPr>
                <w:color w:val="FFFFFF"/>
              </w:rPr>
              <w:t xml:space="preserve">Level</w:t>
            </w:r>
          </w:p>
        </w:tc>
        <w:tc>
          <w:tcPr>
            <w:tcW w:w="5673" w:type="dxa"/>
            <w:shd w:val="clear" w:color="auto" w:fill="0F4761"/>
            <w:vAlign w:val="center"/>
          </w:tcPr>
          <w:p>
            <w:pPr>
              <w:pStyle w:val="TableHeading"/>
              <w:jc w:val="left"/>
            </w:pPr>
            <w:r>
              <w:rPr>
                <w:color w:val="FFFFFF"/>
              </w:rPr>
              <w:t xml:space="preserve">Where it is held</w:t>
            </w:r>
          </w:p>
        </w:tc>
        <w:tc>
          <w:tcPr>
            <w:tcW w:w="1960" w:type="dxa"/>
            <w:shd w:val="clear" w:color="auto" w:fill="0F4761"/>
            <w:vAlign w:val="center"/>
          </w:tcPr>
          <w:p>
            <w:pPr>
              <w:pStyle w:val="TableHeading"/>
              <w:jc w:val="left"/>
            </w:pPr>
            <w:r>
              <w:rPr>
                <w:color w:val="FFFFFF"/>
              </w:rPr>
              <w:t xml:space="preserve">How it is viewed</w:t>
            </w:r>
          </w:p>
        </w:tc>
      </w:tr>
      <w:tr>
        <w:trPr>
          <w:cantSplit/>
        </w:trPr>
        <w:tc>
          <w:tcPr>
            <w:tcW w:w="1394" w:type="dxa"/>
            <w:vAlign w:val="top"/>
          </w:tcPr>
          <w:p>
            <w:pPr>
              <w:pStyle w:val="TableText"/>
              <w:jc w:val="left"/>
            </w:pPr>
            <w:r>
              <w:t xml:space="preserve">Batch</w:t>
            </w:r>
          </w:p>
        </w:tc>
        <w:tc>
          <w:tcPr>
            <w:tcW w:w="5673" w:type="dxa"/>
            <w:vAlign w:val="top"/>
          </w:tcPr>
          <w:p>
            <w:pPr>
              <w:pStyle w:val="TableText"/>
              <w:jc w:val="left"/>
            </w:pPr>
            <w:r>
              <w:t xml:space="preserve">Lineage collection; batch id on each source record</w:t>
            </w:r>
          </w:p>
        </w:tc>
        <w:tc>
          <w:tcPr>
            <w:tcW w:w="1960" w:type="dxa"/>
            <w:vAlign w:val="top"/>
          </w:tcPr>
          <w:p>
            <w:pPr>
              <w:pStyle w:val="TableText"/>
              <w:jc w:val="left"/>
            </w:pPr>
            <w:r>
              <w:t xml:space="preserve">Customer lineage view</w:t>
            </w:r>
          </w:p>
        </w:tc>
      </w:tr>
      <w:tr>
        <w:trPr>
          <w:cantSplit/>
        </w:trPr>
        <w:tc>
          <w:tcPr>
            <w:tcW w:w="1394" w:type="dxa"/>
            <w:shd w:val="clear" w:color="auto" w:fill="F4F7FB"/>
            <w:vAlign w:val="top"/>
          </w:tcPr>
          <w:p>
            <w:pPr>
              <w:pStyle w:val="TableText"/>
              <w:jc w:val="left"/>
            </w:pPr>
            <w:r>
              <w:t xml:space="preserve">Record to profile</w:t>
            </w:r>
          </w:p>
        </w:tc>
        <w:tc>
          <w:tcPr>
            <w:tcW w:w="5673" w:type="dxa"/>
            <w:shd w:val="clear" w:color="auto" w:fill="F4F7FB"/>
            <w:vAlign w:val="top"/>
          </w:tcPr>
          <w:p>
            <w:pPr>
              <w:pStyle w:val="TableText"/>
              <w:jc w:val="left"/>
            </w:pPr>
            <w:r>
              <w:t xml:space="preserve">Record ids and sources on the profile</w:t>
            </w:r>
          </w:p>
        </w:tc>
        <w:tc>
          <w:tcPr>
            <w:tcW w:w="1960" w:type="dxa"/>
            <w:shd w:val="clear" w:color="auto" w:fill="F4F7FB"/>
            <w:vAlign w:val="top"/>
          </w:tcPr>
          <w:p>
            <w:pPr>
              <w:pStyle w:val="TableText"/>
              <w:jc w:val="left"/>
            </w:pPr>
            <w:r>
              <w:t xml:space="preserve">Customer lineage view</w:t>
            </w:r>
          </w:p>
        </w:tc>
      </w:tr>
      <w:tr>
        <w:trPr>
          <w:cantSplit/>
        </w:trPr>
        <w:tc>
          <w:tcPr>
            <w:tcW w:w="1394" w:type="dxa"/>
            <w:vAlign w:val="top"/>
          </w:tcPr>
          <w:p>
            <w:pPr>
              <w:pStyle w:val="TableText"/>
              <w:jc w:val="left"/>
            </w:pPr>
            <w:r>
              <w:t xml:space="preserve">Field</w:t>
            </w:r>
          </w:p>
        </w:tc>
        <w:tc>
          <w:tcPr>
            <w:tcW w:w="5673" w:type="dxa"/>
            <w:vAlign w:val="top"/>
          </w:tcPr>
          <w:p>
            <w:pPr>
              <w:pStyle w:val="TableText"/>
              <w:jc w:val="left"/>
            </w:pPr>
            <w:r>
              <w:t xml:space="preserve">Lineage entries on the profile: field, source, confidence, rule, time</w:t>
            </w:r>
          </w:p>
        </w:tc>
        <w:tc>
          <w:tcPr>
            <w:tcW w:w="1960" w:type="dxa"/>
            <w:vAlign w:val="top"/>
          </w:tcPr>
          <w:p>
            <w:pPr>
              <w:pStyle w:val="TableText"/>
              <w:jc w:val="left"/>
            </w:pPr>
            <w:r>
              <w:t xml:space="preserve">Customer lineage view</w:t>
            </w:r>
          </w:p>
        </w:tc>
      </w:tr>
      <w:tr>
        <w:trPr>
          <w:cantSplit/>
        </w:trPr>
        <w:tc>
          <w:tcPr>
            <w:tcW w:w="1394" w:type="dxa"/>
            <w:shd w:val="clear" w:color="auto" w:fill="F4F7FB"/>
            <w:vAlign w:val="top"/>
          </w:tcPr>
          <w:p>
            <w:pPr>
              <w:pStyle w:val="TableText"/>
              <w:jc w:val="left"/>
            </w:pPr>
            <w:r>
              <w:t xml:space="preserve">Decision</w:t>
            </w:r>
          </w:p>
        </w:tc>
        <w:tc>
          <w:tcPr>
            <w:tcW w:w="5673" w:type="dxa"/>
            <w:shd w:val="clear" w:color="auto" w:fill="F4F7FB"/>
            <w:vAlign w:val="top"/>
          </w:tcPr>
          <w:p>
            <w:pPr>
              <w:pStyle w:val="TableText"/>
              <w:jc w:val="left"/>
            </w:pPr>
            <w:r>
              <w:t xml:space="preserve">Lead factor reasons and next-action rule id; quote rate rules; order commission rule ids; quote rating source and core quote reference</w:t>
            </w:r>
          </w:p>
        </w:tc>
        <w:tc>
          <w:tcPr>
            <w:tcW w:w="1960" w:type="dxa"/>
            <w:shd w:val="clear" w:color="auto" w:fill="F4F7FB"/>
            <w:vAlign w:val="top"/>
          </w:tcPr>
          <w:p>
            <w:pPr>
              <w:pStyle w:val="TableText"/>
              <w:jc w:val="left"/>
            </w:pPr>
            <w:r>
              <w:t xml:space="preserve">Customer 360 and lead list</w:t>
            </w:r>
          </w:p>
        </w:tc>
      </w:tr>
    </w:tbl>
    <w:p>
      <w:pPr>
        <w:pStyle w:val="BodyText"/>
        <w:spacing w:before="160"/>
      </w:pPr>
      <w:r>
        <w:t xml:space="preserve">Technical metadata is machine-readable in the collection registry (collections, indexed columns, encrypted and blind-index fields) and can be exported to a data catalogue with the classification above. Each rule set version carries its kind, description, checksum, author, approver and activation time; the rule descriptions seed the business glossary.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686"/>
        <w:gridCol w:w="2341"/>
      </w:tblGrid>
      <w:tr>
        <w:trPr>
          <w:cantSplit/>
          <w:tblHeader/>
        </w:trPr>
        <w:tc>
          <w:tcPr>
            <w:tcW w:w="6686" w:type="dxa"/>
            <w:shd w:val="clear" w:color="auto" w:fill="0F4761"/>
            <w:vAlign w:val="center"/>
          </w:tcPr>
          <w:p>
            <w:pPr>
              <w:pStyle w:val="TableHeading"/>
              <w:jc w:val="left"/>
            </w:pPr>
            <w:r>
              <w:rPr>
                <w:color w:val="FFFFFF"/>
              </w:rPr>
              <w:t xml:space="preserve">Reconciliation check</w:t>
            </w:r>
          </w:p>
        </w:tc>
        <w:tc>
          <w:tcPr>
            <w:tcW w:w="2341" w:type="dxa"/>
            <w:shd w:val="clear" w:color="auto" w:fill="0F4761"/>
            <w:vAlign w:val="center"/>
          </w:tcPr>
          <w:p>
            <w:pPr>
              <w:pStyle w:val="TableHeading"/>
              <w:jc w:val="left"/>
            </w:pPr>
            <w:r>
              <w:rPr>
                <w:color w:val="FFFFFF"/>
              </w:rPr>
              <w:t xml:space="preserve">Status</w:t>
            </w:r>
          </w:p>
        </w:tc>
      </w:tr>
      <w:tr>
        <w:trPr>
          <w:cantSplit/>
        </w:trPr>
        <w:tc>
          <w:tcPr>
            <w:tcW w:w="6686" w:type="dxa"/>
            <w:vAlign w:val="top"/>
          </w:tcPr>
          <w:p>
            <w:pPr>
              <w:pStyle w:val="TableText"/>
              <w:jc w:val="left"/>
            </w:pPr>
            <w:r>
              <w:t xml:space="preserve">Ingestion: records in equal records landed plus rejected; profiles equal distinct valid plates</w:t>
            </w:r>
          </w:p>
        </w:tc>
        <w:tc>
          <w:tcPr>
            <w:tcW w:w="2341" w:type="dxa"/>
            <w:vAlign w:val="top"/>
          </w:tcPr>
          <w:p>
            <w:pPr>
              <w:pStyle w:val="TableText"/>
              <w:jc w:val="left"/>
            </w:pPr>
            <w:r>
              <w:t xml:space="preserve">Built, per batch</w:t>
            </w:r>
          </w:p>
        </w:tc>
      </w:tr>
      <w:tr>
        <w:trPr>
          <w:cantSplit/>
        </w:trPr>
        <w:tc>
          <w:tcPr>
            <w:tcW w:w="6686" w:type="dxa"/>
            <w:shd w:val="clear" w:color="auto" w:fill="F4F7FB"/>
            <w:vAlign w:val="top"/>
          </w:tcPr>
          <w:p>
            <w:pPr>
              <w:pStyle w:val="TableText"/>
              <w:jc w:val="left"/>
            </w:pPr>
            <w:r>
              <w:t xml:space="preserve">Orders: completed orders have a payment reference and every policy exists; stuck, failed and uncompensated orders flagged</w:t>
            </w:r>
          </w:p>
        </w:tc>
        <w:tc>
          <w:tcPr>
            <w:tcW w:w="2341" w:type="dxa"/>
            <w:shd w:val="clear" w:color="auto" w:fill="F4F7FB"/>
            <w:vAlign w:val="top"/>
          </w:tcPr>
          <w:p>
            <w:pPr>
              <w:pStyle w:val="TableText"/>
              <w:jc w:val="left"/>
            </w:pPr>
            <w:r>
              <w:t xml:space="preserve">Built, nightly</w:t>
            </w:r>
          </w:p>
        </w:tc>
      </w:tr>
      <w:tr>
        <w:trPr>
          <w:cantSplit/>
        </w:trPr>
        <w:tc>
          <w:tcPr>
            <w:tcW w:w="6686" w:type="dxa"/>
            <w:vAlign w:val="top"/>
          </w:tcPr>
          <w:p>
            <w:pPr>
              <w:pStyle w:val="TableText"/>
              <w:jc w:val="left"/>
            </w:pPr>
            <w:r>
              <w:t xml:space="preserve">Event backlog and dead letters</w:t>
            </w:r>
          </w:p>
        </w:tc>
        <w:tc>
          <w:tcPr>
            <w:tcW w:w="2341" w:type="dxa"/>
            <w:vAlign w:val="top"/>
          </w:tcPr>
          <w:p>
            <w:pPr>
              <w:pStyle w:val="TableText"/>
              <w:jc w:val="left"/>
            </w:pPr>
            <w:r>
              <w:t xml:space="preserve">Built, operations status view</w:t>
            </w:r>
          </w:p>
        </w:tc>
      </w:tr>
      <w:tr>
        <w:trPr>
          <w:cantSplit/>
        </w:trPr>
        <w:tc>
          <w:tcPr>
            <w:tcW w:w="6686" w:type="dxa"/>
            <w:shd w:val="clear" w:color="auto" w:fill="F4F7FB"/>
            <w:vAlign w:val="top"/>
          </w:tcPr>
          <w:p>
            <w:pPr>
              <w:pStyle w:val="TableText"/>
              <w:jc w:val="left"/>
            </w:pPr>
            <w:r>
              <w:t xml:space="preserve">Audit chain integrity</w:t>
            </w:r>
          </w:p>
        </w:tc>
        <w:tc>
          <w:tcPr>
            <w:tcW w:w="2341" w:type="dxa"/>
            <w:shd w:val="clear" w:color="auto" w:fill="F4F7FB"/>
            <w:vAlign w:val="top"/>
          </w:tcPr>
          <w:p>
            <w:pPr>
              <w:pStyle w:val="TableText"/>
              <w:jc w:val="left"/>
            </w:pPr>
            <w:r>
              <w:t xml:space="preserve">Built, on demand and hourly probe</w:t>
            </w:r>
          </w:p>
        </w:tc>
      </w:tr>
      <w:tr>
        <w:trPr>
          <w:cantSplit/>
        </w:trPr>
        <w:tc>
          <w:tcPr>
            <w:tcW w:w="6686" w:type="dxa"/>
            <w:vAlign w:val="top"/>
          </w:tcPr>
          <w:p>
            <w:pPr>
              <w:pStyle w:val="TableText"/>
              <w:jc w:val="left"/>
            </w:pPr>
            <w:r>
              <w:t xml:space="preserve">Wallet settlement against orders; TASCO core policy register against policies; partner commission against finance</w:t>
            </w:r>
          </w:p>
        </w:tc>
        <w:tc>
          <w:tcPr>
            <w:tcW w:w="2341" w:type="dxa"/>
            <w:vAlign w:val="top"/>
          </w:tcPr>
          <w:p>
            <w:pPr>
              <w:pStyle w:val="TableText"/>
              <w:jc w:val="left"/>
            </w:pPr>
            <w:r>
              <w:t xml:space="preserve">Planned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Retention, erasure and backup</w:t>
      </w:r>
      <w:bookmarkEnd w:id="30"/>
    </w:p>
    <w:p>
      <w:pPr>
        <w:pStyle w:val="Heading2"/>
      </w:pPr>
      <w:bookmarkStart w:id="31" w:name="_Toc300000027"/>
      <w:r>
        <w:t xml:space="preserve">Retention</w:t>
      </w:r>
      <w:bookmarkEnd w:id="31"/>
    </w:p>
    <w:p>
      <w:pPr>
        <w:pStyle w:val="FirstParagraph"/>
      </w:pPr>
      <w:r>
        <w:t xml:space="preserve">Retention is a rule set under maker-checker, approved only by a compliance officer. The periods below are the current defaults, to be confirmed by TASCO legal.</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29"/>
        <w:gridCol w:w="2274"/>
        <w:gridCol w:w="2331"/>
        <w:gridCol w:w="2393"/>
      </w:tblGrid>
      <w:tr>
        <w:trPr>
          <w:cantSplit/>
          <w:tblHeader/>
        </w:trPr>
        <w:tc>
          <w:tcPr>
            <w:tcW w:w="2029" w:type="dxa"/>
            <w:shd w:val="clear" w:color="auto" w:fill="0F4761"/>
            <w:vAlign w:val="center"/>
          </w:tcPr>
          <w:p>
            <w:pPr>
              <w:pStyle w:val="TableHeading"/>
              <w:jc w:val="left"/>
            </w:pPr>
            <w:r>
              <w:rPr>
                <w:color w:val="FFFFFF"/>
              </w:rPr>
              <w:t xml:space="preserve">Entity</w:t>
            </w:r>
          </w:p>
        </w:tc>
        <w:tc>
          <w:tcPr>
            <w:tcW w:w="2274" w:type="dxa"/>
            <w:shd w:val="clear" w:color="auto" w:fill="0F4761"/>
            <w:vAlign w:val="center"/>
          </w:tcPr>
          <w:p>
            <w:pPr>
              <w:pStyle w:val="TableHeading"/>
              <w:jc w:val="left"/>
            </w:pPr>
            <w:r>
              <w:rPr>
                <w:color w:val="FFFFFF"/>
              </w:rPr>
              <w:t xml:space="preserve">Retain</w:t>
            </w:r>
          </w:p>
        </w:tc>
        <w:tc>
          <w:tcPr>
            <w:tcW w:w="2331" w:type="dxa"/>
            <w:shd w:val="clear" w:color="auto" w:fill="0F4761"/>
            <w:vAlign w:val="center"/>
          </w:tcPr>
          <w:p>
            <w:pPr>
              <w:pStyle w:val="TableHeading"/>
              <w:jc w:val="left"/>
            </w:pPr>
            <w:r>
              <w:rPr>
                <w:color w:val="FFFFFF"/>
              </w:rPr>
              <w:t xml:space="preserve">Action</w:t>
            </w:r>
          </w:p>
        </w:tc>
        <w:tc>
          <w:tcPr>
            <w:tcW w:w="2393" w:type="dxa"/>
            <w:shd w:val="clear" w:color="auto" w:fill="0F4761"/>
            <w:vAlign w:val="center"/>
          </w:tcPr>
          <w:p>
            <w:pPr>
              <w:pStyle w:val="TableHeading"/>
              <w:jc w:val="left"/>
            </w:pPr>
            <w:r>
              <w:rPr>
                <w:color w:val="FFFFFF"/>
              </w:rPr>
              <w:t xml:space="preserve">Executed by</w:t>
            </w:r>
          </w:p>
        </w:tc>
      </w:tr>
      <w:tr>
        <w:trPr>
          <w:cantSplit/>
        </w:trPr>
        <w:tc>
          <w:tcPr>
            <w:tcW w:w="2029" w:type="dxa"/>
            <w:vAlign w:val="top"/>
          </w:tcPr>
          <w:p>
            <w:pPr>
              <w:pStyle w:val="TableText"/>
              <w:jc w:val="left"/>
            </w:pPr>
            <w:r>
              <w:t xml:space="preserve">Source records</w:t>
            </w:r>
          </w:p>
        </w:tc>
        <w:tc>
          <w:tcPr>
            <w:tcW w:w="2274" w:type="dxa"/>
            <w:vAlign w:val="top"/>
          </w:tcPr>
          <w:p>
            <w:pPr>
              <w:pStyle w:val="TableText"/>
              <w:jc w:val="left"/>
            </w:pPr>
            <w:r>
              <w:t xml:space="preserve">365 days</w:t>
            </w:r>
          </w:p>
        </w:tc>
        <w:tc>
          <w:tcPr>
            <w:tcW w:w="2331" w:type="dxa"/>
            <w:vAlign w:val="top"/>
          </w:tcPr>
          <w:p>
            <w:pPr>
              <w:pStyle w:val="TableText"/>
              <w:jc w:val="left"/>
            </w:pPr>
            <w:r>
              <w:t xml:space="preserve">Delete</w:t>
            </w:r>
          </w:p>
        </w:tc>
        <w:tc>
          <w:tcPr>
            <w:tcW w:w="2393" w:type="dxa"/>
            <w:vAlign w:val="top"/>
          </w:tcPr>
          <w:p>
            <w:pPr>
              <w:pStyle w:val="TableText"/>
              <w:jc w:val="left"/>
            </w:pPr>
            <w:r>
              <w:t xml:space="preserve">Nightly retention job</w:t>
            </w:r>
          </w:p>
        </w:tc>
      </w:tr>
      <w:tr>
        <w:trPr>
          <w:cantSplit/>
        </w:trPr>
        <w:tc>
          <w:tcPr>
            <w:tcW w:w="2029" w:type="dxa"/>
            <w:shd w:val="clear" w:color="auto" w:fill="F4F7FB"/>
            <w:vAlign w:val="top"/>
          </w:tcPr>
          <w:p>
            <w:pPr>
              <w:pStyle w:val="TableText"/>
              <w:jc w:val="left"/>
            </w:pPr>
            <w:r>
              <w:t xml:space="preserve">Voice sessions</w:t>
            </w:r>
          </w:p>
        </w:tc>
        <w:tc>
          <w:tcPr>
            <w:tcW w:w="2274" w:type="dxa"/>
            <w:shd w:val="clear" w:color="auto" w:fill="F4F7FB"/>
            <w:vAlign w:val="top"/>
          </w:tcPr>
          <w:p>
            <w:pPr>
              <w:pStyle w:val="TableText"/>
              <w:jc w:val="left"/>
            </w:pPr>
            <w:r>
              <w:t xml:space="preserve">180 days</w:t>
            </w:r>
          </w:p>
        </w:tc>
        <w:tc>
          <w:tcPr>
            <w:tcW w:w="2331" w:type="dxa"/>
            <w:shd w:val="clear" w:color="auto" w:fill="F4F7FB"/>
            <w:vAlign w:val="top"/>
          </w:tcPr>
          <w:p>
            <w:pPr>
              <w:pStyle w:val="TableText"/>
              <w:jc w:val="left"/>
            </w:pPr>
            <w:r>
              <w:t xml:space="preserve">Delete recordings and transcripts</w:t>
            </w:r>
          </w:p>
        </w:tc>
        <w:tc>
          <w:tcPr>
            <w:tcW w:w="2393" w:type="dxa"/>
            <w:shd w:val="clear" w:color="auto" w:fill="F4F7FB"/>
            <w:vAlign w:val="top"/>
          </w:tcPr>
          <w:p>
            <w:pPr>
              <w:pStyle w:val="TableText"/>
              <w:jc w:val="left"/>
            </w:pPr>
            <w:r>
              <w:t xml:space="preserve">Nightly retention job</w:t>
            </w:r>
          </w:p>
        </w:tc>
      </w:tr>
      <w:tr>
        <w:trPr>
          <w:cantSplit/>
        </w:trPr>
        <w:tc>
          <w:tcPr>
            <w:tcW w:w="2029" w:type="dxa"/>
            <w:vAlign w:val="top"/>
          </w:tcPr>
          <w:p>
            <w:pPr>
              <w:pStyle w:val="TableText"/>
              <w:jc w:val="left"/>
            </w:pPr>
            <w:r>
              <w:t xml:space="preserve">Profiles</w:t>
            </w:r>
          </w:p>
        </w:tc>
        <w:tc>
          <w:tcPr>
            <w:tcW w:w="2274" w:type="dxa"/>
            <w:vAlign w:val="top"/>
          </w:tcPr>
          <w:p>
            <w:pPr>
              <w:pStyle w:val="TableText"/>
              <w:jc w:val="left"/>
            </w:pPr>
            <w:r>
              <w:t xml:space="preserve">5 years without an active policy or activity</w:t>
            </w:r>
          </w:p>
        </w:tc>
        <w:tc>
          <w:tcPr>
            <w:tcW w:w="2331" w:type="dxa"/>
            <w:vAlign w:val="top"/>
          </w:tcPr>
          <w:p>
            <w:pPr>
              <w:pStyle w:val="TableText"/>
              <w:jc w:val="left"/>
            </w:pPr>
            <w:r>
              <w:t xml:space="preserve">Anonymise</w:t>
            </w:r>
          </w:p>
        </w:tc>
        <w:tc>
          <w:tcPr>
            <w:tcW w:w="2393" w:type="dxa"/>
            <w:vAlign w:val="top"/>
          </w:tcPr>
          <w:p>
            <w:pPr>
              <w:pStyle w:val="TableText"/>
              <w:jc w:val="left"/>
            </w:pPr>
            <w:r>
              <w:t xml:space="preserve">Archival pipeline (planned)</w:t>
            </w:r>
          </w:p>
        </w:tc>
      </w:tr>
      <w:tr>
        <w:trPr>
          <w:cantSplit/>
        </w:trPr>
        <w:tc>
          <w:tcPr>
            <w:tcW w:w="2029" w:type="dxa"/>
            <w:shd w:val="clear" w:color="auto" w:fill="F4F7FB"/>
            <w:vAlign w:val="top"/>
          </w:tcPr>
          <w:p>
            <w:pPr>
              <w:pStyle w:val="TableText"/>
              <w:jc w:val="left"/>
            </w:pPr>
            <w:r>
              <w:t xml:space="preserve">Messages</w:t>
            </w:r>
          </w:p>
        </w:tc>
        <w:tc>
          <w:tcPr>
            <w:tcW w:w="2274" w:type="dxa"/>
            <w:shd w:val="clear" w:color="auto" w:fill="F4F7FB"/>
            <w:vAlign w:val="top"/>
          </w:tcPr>
          <w:p>
            <w:pPr>
              <w:pStyle w:val="TableText"/>
              <w:jc w:val="left"/>
            </w:pPr>
            <w:r>
              <w:t xml:space="preserve">365 days</w:t>
            </w:r>
          </w:p>
        </w:tc>
        <w:tc>
          <w:tcPr>
            <w:tcW w:w="2331" w:type="dxa"/>
            <w:shd w:val="clear" w:color="auto" w:fill="F4F7FB"/>
            <w:vAlign w:val="top"/>
          </w:tcPr>
          <w:p>
            <w:pPr>
              <w:pStyle w:val="TableText"/>
              <w:jc w:val="left"/>
            </w:pPr>
            <w:r>
              <w:t xml:space="preserve">Archive</w:t>
            </w:r>
          </w:p>
        </w:tc>
        <w:tc>
          <w:tcPr>
            <w:tcW w:w="2393" w:type="dxa"/>
            <w:shd w:val="clear" w:color="auto" w:fill="F4F7FB"/>
            <w:vAlign w:val="top"/>
          </w:tcPr>
          <w:p>
            <w:pPr>
              <w:pStyle w:val="TableText"/>
              <w:jc w:val="left"/>
            </w:pPr>
            <w:r>
              <w:t xml:space="preserve">Archival pipeline (planned)</w:t>
            </w:r>
          </w:p>
        </w:tc>
      </w:tr>
      <w:tr>
        <w:trPr>
          <w:cantSplit/>
        </w:trPr>
        <w:tc>
          <w:tcPr>
            <w:tcW w:w="2029" w:type="dxa"/>
            <w:vAlign w:val="top"/>
          </w:tcPr>
          <w:p>
            <w:pPr>
              <w:pStyle w:val="TableText"/>
              <w:jc w:val="left"/>
            </w:pPr>
            <w:r>
              <w:t xml:space="preserve">Orders</w:t>
            </w:r>
          </w:p>
        </w:tc>
        <w:tc>
          <w:tcPr>
            <w:tcW w:w="2274" w:type="dxa"/>
            <w:vAlign w:val="top"/>
          </w:tcPr>
          <w:p>
            <w:pPr>
              <w:pStyle w:val="TableText"/>
              <w:jc w:val="left"/>
            </w:pPr>
            <w:r>
              <w:t xml:space="preserve">10 years</w:t>
            </w:r>
          </w:p>
        </w:tc>
        <w:tc>
          <w:tcPr>
            <w:tcW w:w="2331" w:type="dxa"/>
            <w:vAlign w:val="top"/>
          </w:tcPr>
          <w:p>
            <w:pPr>
              <w:pStyle w:val="TableText"/>
              <w:jc w:val="left"/>
            </w:pPr>
            <w:r>
              <w:t xml:space="preserve">Archive (financial records)</w:t>
            </w:r>
          </w:p>
        </w:tc>
        <w:tc>
          <w:tcPr>
            <w:tcW w:w="2393" w:type="dxa"/>
            <w:vAlign w:val="top"/>
          </w:tcPr>
          <w:p>
            <w:pPr>
              <w:pStyle w:val="TableText"/>
              <w:jc w:val="left"/>
            </w:pPr>
            <w:r>
              <w:t xml:space="preserve">Archival pipeline (planned)</w:t>
            </w:r>
          </w:p>
        </w:tc>
      </w:tr>
      <w:tr>
        <w:trPr>
          <w:cantSplit/>
        </w:trPr>
        <w:tc>
          <w:tcPr>
            <w:tcW w:w="2029" w:type="dxa"/>
            <w:shd w:val="clear" w:color="auto" w:fill="F4F7FB"/>
            <w:vAlign w:val="top"/>
          </w:tcPr>
          <w:p>
            <w:pPr>
              <w:pStyle w:val="TableText"/>
              <w:jc w:val="left"/>
            </w:pPr>
            <w:r>
              <w:t xml:space="preserve">Policies and certificates</w:t>
            </w:r>
          </w:p>
        </w:tc>
        <w:tc>
          <w:tcPr>
            <w:tcW w:w="2274" w:type="dxa"/>
            <w:shd w:val="clear" w:color="auto" w:fill="F4F7FB"/>
            <w:vAlign w:val="top"/>
          </w:tcPr>
          <w:p>
            <w:pPr>
              <w:pStyle w:val="TableText"/>
              <w:jc w:val="left"/>
            </w:pPr>
            <w:r>
              <w:t xml:space="preserve">10 years</w:t>
            </w:r>
          </w:p>
        </w:tc>
        <w:tc>
          <w:tcPr>
            <w:tcW w:w="2331" w:type="dxa"/>
            <w:shd w:val="clear" w:color="auto" w:fill="F4F7FB"/>
            <w:vAlign w:val="top"/>
          </w:tcPr>
          <w:p>
            <w:pPr>
              <w:pStyle w:val="TableText"/>
              <w:jc w:val="left"/>
            </w:pPr>
            <w:r>
              <w:t xml:space="preserve">Archive</w:t>
            </w:r>
          </w:p>
        </w:tc>
        <w:tc>
          <w:tcPr>
            <w:tcW w:w="2393" w:type="dxa"/>
            <w:shd w:val="clear" w:color="auto" w:fill="F4F7FB"/>
            <w:vAlign w:val="top"/>
          </w:tcPr>
          <w:p>
            <w:pPr>
              <w:pStyle w:val="TableText"/>
              <w:jc w:val="left"/>
            </w:pPr>
            <w:r>
              <w:t xml:space="preserve">Archival pipeline (planned)</w:t>
            </w:r>
          </w:p>
        </w:tc>
      </w:tr>
      <w:tr>
        <w:trPr>
          <w:cantSplit/>
        </w:trPr>
        <w:tc>
          <w:tcPr>
            <w:tcW w:w="2029" w:type="dxa"/>
            <w:vAlign w:val="top"/>
          </w:tcPr>
          <w:p>
            <w:pPr>
              <w:pStyle w:val="TableText"/>
              <w:jc w:val="left"/>
            </w:pPr>
            <w:r>
              <w:t xml:space="preserve">Audit trail</w:t>
            </w:r>
          </w:p>
        </w:tc>
        <w:tc>
          <w:tcPr>
            <w:tcW w:w="2274" w:type="dxa"/>
            <w:vAlign w:val="top"/>
          </w:tcPr>
          <w:p>
            <w:pPr>
              <w:pStyle w:val="TableText"/>
              <w:jc w:val="left"/>
            </w:pPr>
            <w:r>
              <w:t xml:space="preserve">10 years</w:t>
            </w:r>
          </w:p>
        </w:tc>
        <w:tc>
          <w:tcPr>
            <w:tcW w:w="2331" w:type="dxa"/>
            <w:vAlign w:val="top"/>
          </w:tcPr>
          <w:p>
            <w:pPr>
              <w:pStyle w:val="TableText"/>
              <w:jc w:val="left"/>
            </w:pPr>
            <w:r>
              <w:t xml:space="preserve">Archive, never deleted early</w:t>
            </w:r>
          </w:p>
        </w:tc>
        <w:tc>
          <w:tcPr>
            <w:tcW w:w="2393" w:type="dxa"/>
            <w:vAlign w:val="top"/>
          </w:tcPr>
          <w:p>
            <w:pPr>
              <w:pStyle w:val="TableText"/>
              <w:jc w:val="left"/>
            </w:pPr>
            <w:r>
              <w:t xml:space="preserve">Archival pipeline (planned)</w:t>
            </w:r>
          </w:p>
        </w:tc>
      </w:tr>
    </w:tbl>
    <w:p>
      <w:pPr>
        <w:pStyle w:val="Heading2"/>
      </w:pPr>
      <w:bookmarkStart w:id="32" w:name="_Toc300000028"/>
      <w:r>
        <w:t xml:space="preserve">Erasure and export</w:t>
      </w:r>
      <w:bookmarkEnd w:id="32"/>
    </w:p>
    <w:p>
      <w:pPr>
        <w:pStyle w:val="FirstParagraph"/>
      </w:pPr>
      <w:r>
        <w:t xml:space="preserve">Every access or erasure request is logged in the data-subject request register (</w:t>
      </w:r>
      <w:r>
        <w:rPr>
          <w:rStyle w:val="CodeChar"/>
        </w:rPr>
        <w:t xml:space="preserve">dsar_requests</w:t>
      </w:r>
      <w:r>
        <w:t xml:space="preserve">) with its channel, due time and outcome; TGP-ARC-04 Security Architecture describes the handling process. A customer can also download their own data in the app, which is recorded in the register as a completed access request on the app channel. Erasure is refused while an active policy exists, because the policy must be retained by law; the request is then closed as refused with the reason. Otherwise erasure:</w:t>
      </w:r>
    </w:p>
    <w:p>
      <w:pPr>
        <w:pStyle w:val="Compact"/>
        <w:numPr>
          <w:ilvl w:val="0"/>
          <w:numId w:val="1001"/>
        </w:numPr>
      </w:pPr>
      <w:r>
        <w:t xml:space="preserve">removes the profile’s name, phones and competitor note, marks it anonymised and sets do-not-contact with no consent;</w:t>
      </w:r>
    </w:p>
    <w:p>
      <w:pPr>
        <w:pStyle w:val="Compact"/>
        <w:numPr>
          <w:ilvl w:val="0"/>
          <w:numId w:val="1001"/>
        </w:numPr>
      </w:pPr>
      <w:r>
        <w:t xml:space="preserve">deletes the lead;</w:t>
      </w:r>
    </w:p>
    <w:p>
      <w:pPr>
        <w:pStyle w:val="Compact"/>
        <w:numPr>
          <w:ilvl w:val="0"/>
          <w:numId w:val="1001"/>
        </w:numPr>
      </w:pPr>
      <w:r>
        <w:t xml:space="preserve">removes personal data from the source records;</w:t>
      </w:r>
    </w:p>
    <w:p>
      <w:pPr>
        <w:pStyle w:val="Compact"/>
        <w:numPr>
          <w:ilvl w:val="0"/>
          <w:numId w:val="1001"/>
        </w:numPr>
      </w:pPr>
      <w:r>
        <w:t xml:space="preserve">removes message recipients and text;</w:t>
      </w:r>
    </w:p>
    <w:p>
      <w:pPr>
        <w:pStyle w:val="Compact"/>
        <w:numPr>
          <w:ilvl w:val="0"/>
          <w:numId w:val="1001"/>
        </w:numPr>
      </w:pPr>
      <w:r>
        <w:t xml:space="preserve">empties call transcripts and free-text call signals;</w:t>
      </w:r>
    </w:p>
    <w:p>
      <w:pPr>
        <w:pStyle w:val="Compact"/>
        <w:numPr>
          <w:ilvl w:val="0"/>
          <w:numId w:val="1001"/>
        </w:numPr>
      </w:pPr>
      <w:r>
        <w:t xml:space="preserve">clears handoff names, masked phones and notes;</w:t>
      </w:r>
    </w:p>
    <w:p>
      <w:pPr>
        <w:pStyle w:val="Compact"/>
        <w:numPr>
          <w:ilvl w:val="0"/>
          <w:numId w:val="1001"/>
        </w:numPr>
      </w:pPr>
      <w:r>
        <w:t xml:space="preserve">replaces claim descriptions and locations;</w:t>
      </w:r>
    </w:p>
    <w:p>
      <w:pPr>
        <w:pStyle w:val="Compact"/>
        <w:numPr>
          <w:ilvl w:val="0"/>
          <w:numId w:val="1001"/>
        </w:numPr>
      </w:pPr>
      <w:r>
        <w:t xml:space="preserve">ends the customer’s sessions and invalidates renewal links;</w:t>
      </w:r>
    </w:p>
    <w:p>
      <w:pPr>
        <w:pStyle w:val="Compact"/>
        <w:numPr>
          <w:ilvl w:val="0"/>
          <w:numId w:val="1001"/>
        </w:numPr>
      </w:pPr>
      <w:r>
        <w:t xml:space="preserve">removes the name from every register entry about the person;</w:t>
      </w:r>
    </w:p>
    <w:p>
      <w:pPr>
        <w:pStyle w:val="Compact"/>
        <w:numPr>
          <w:ilvl w:val="0"/>
          <w:numId w:val="1001"/>
        </w:numPr>
      </w:pPr>
      <w:r>
        <w:t xml:space="preserve">writes an audit entry.</w:t>
      </w:r>
    </w:p>
    <w:p>
      <w:pPr>
        <w:pStyle w:val="FirstParagraph"/>
      </w:pPr>
      <w:r>
        <w:t xml:space="preserve">Export includes the profile, lead, policies, messages, source records, call sessions, quotes, orders, claims, telesales handoffs and the person’s own data-subject requests (without staff notes). It is downloaded as a JSON file named</w:t>
      </w:r>
      <w:r>
        <w:t xml:space="preserve"> </w:t>
      </w:r>
      <w:r>
        <w:rPr>
          <w:rStyle w:val="CodeChar"/>
        </w:rPr>
        <w:t xml:space="preserve">TASCO-data-&lt;plate&gt;-&lt;date&gt;.json</w:t>
      </w:r>
      <w:r>
        <w:t xml:space="preserve">. VETC must also be told of an erasure through a suppression list, or the next feed lands the contact data again; the profile itself stays anonymised because a rebuild skips anonymised profiles. Claim records follow claims retention, to be confirmed by TASCO legal.</w:t>
      </w:r>
    </w:p>
    <w:p>
      <w:pPr>
        <w:pStyle w:val="Heading2"/>
      </w:pPr>
      <w:bookmarkStart w:id="33" w:name="_Toc300000029"/>
      <w:r>
        <w:t xml:space="preserve">Backup</w:t>
      </w:r>
      <w:bookmarkEnd w:id="33"/>
    </w:p>
    <w:p>
      <w:pPr>
        <w:pStyle w:val="FirstParagraph"/>
      </w:pPr>
      <w:r>
        <w:t xml:space="preserve">Production uses managed point-in-time recovery for 35 days, monthly snapshots kept for 12 months and yearly snapshots kept for 10 years, encrypted with the key management service and stored in Vietnam with a cross-region copy (TGP-OPS-03 Disaster Recovery and Business Continuity Plan). Personal fields stay encrypted inside backups, so data keys are retained for as long as any backup needs them. A restored backup re-applies erasures recorded in the audit trail before it is used.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Data migration</w:t>
      </w:r>
      <w:bookmarkEnd w:id="34"/>
    </w:p>
    <w:p>
      <w:pPr>
        <w:pStyle w:val="Heading2"/>
      </w:pPr>
      <w:bookmarkStart w:id="35" w:name="_Toc300000031"/>
      <w:r>
        <w:t xml:space="preserve">Schema migrations</w:t>
      </w:r>
      <w:bookmarkEnd w:id="35"/>
    </w:p>
    <w:p>
      <w:pPr>
        <w:pStyle w:val="FirstParagraph"/>
      </w:pPr>
      <w:r>
        <w:t xml:space="preserve">Schema changes are numbered SQL files applied in order, each in its own transaction, under a database advisory lock so that two runners cannot race. An applied file is never edited. In Kubernetes a single migration job runs before each release; replicas do not migrate on start. Changes inside the document need no migration: readers tolerate missing fields, additive changes are preferred, and breaking changes use a backfill job with keyset paging. Releases follow expand and contract, so old and new code can run side by side.</w:t>
      </w:r>
    </w:p>
    <w:p>
      <w:pPr>
        <w:pStyle w:val="Heading2"/>
      </w:pPr>
      <w:bookmarkStart w:id="36" w:name="_Toc300000032"/>
      <w:r>
        <w:t xml:space="preserve">Initial data load</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907"/>
        <w:gridCol w:w="4683"/>
        <w:gridCol w:w="1437"/>
      </w:tblGrid>
      <w:tr>
        <w:trPr>
          <w:cantSplit/>
          <w:tblHeader/>
        </w:trPr>
        <w:tc>
          <w:tcPr>
            <w:tcW w:w="2907" w:type="dxa"/>
            <w:shd w:val="clear" w:color="auto" w:fill="0F4761"/>
            <w:vAlign w:val="center"/>
          </w:tcPr>
          <w:p>
            <w:pPr>
              <w:pStyle w:val="TableHeading"/>
              <w:jc w:val="left"/>
            </w:pPr>
            <w:r>
              <w:rPr>
                <w:color w:val="FFFFFF"/>
              </w:rPr>
              <w:t xml:space="preserve">Source</w:t>
            </w:r>
          </w:p>
        </w:tc>
        <w:tc>
          <w:tcPr>
            <w:tcW w:w="4683" w:type="dxa"/>
            <w:shd w:val="clear" w:color="auto" w:fill="0F4761"/>
            <w:vAlign w:val="center"/>
          </w:tcPr>
          <w:p>
            <w:pPr>
              <w:pStyle w:val="TableHeading"/>
              <w:jc w:val="left"/>
            </w:pPr>
            <w:r>
              <w:rPr>
                <w:color w:val="FFFFFF"/>
              </w:rPr>
              <w:t xml:space="preserve">Approach</w:t>
            </w:r>
          </w:p>
        </w:tc>
        <w:tc>
          <w:tcPr>
            <w:tcW w:w="1437" w:type="dxa"/>
            <w:shd w:val="clear" w:color="auto" w:fill="0F4761"/>
            <w:vAlign w:val="center"/>
          </w:tcPr>
          <w:p>
            <w:pPr>
              <w:pStyle w:val="TableHeading"/>
              <w:jc w:val="left"/>
            </w:pPr>
            <w:r>
              <w:rPr>
                <w:color w:val="FFFFFF"/>
              </w:rPr>
              <w:t xml:space="preserve">Trust</w:t>
            </w:r>
          </w:p>
        </w:tc>
      </w:tr>
      <w:tr>
        <w:trPr>
          <w:cantSplit/>
        </w:trPr>
        <w:tc>
          <w:tcPr>
            <w:tcW w:w="2907" w:type="dxa"/>
            <w:vAlign w:val="top"/>
          </w:tcPr>
          <w:p>
            <w:pPr>
              <w:pStyle w:val="TableText"/>
              <w:jc w:val="left"/>
            </w:pPr>
            <w:r>
              <w:t xml:space="preserve">VETC account base (about 6 million)</w:t>
            </w:r>
          </w:p>
        </w:tc>
        <w:tc>
          <w:tcPr>
            <w:tcW w:w="4683" w:type="dxa"/>
            <w:vAlign w:val="top"/>
          </w:tcPr>
          <w:p>
            <w:pPr>
              <w:pStyle w:val="TableText"/>
              <w:jc w:val="left"/>
            </w:pPr>
            <w:r>
              <w:t xml:space="preserve">Bulk file load to staging, then parallel rebuild (TGP-ARC-02 Integration Architecture)</w:t>
            </w:r>
          </w:p>
        </w:tc>
        <w:tc>
          <w:tcPr>
            <w:tcW w:w="1437" w:type="dxa"/>
            <w:vAlign w:val="top"/>
          </w:tcPr>
          <w:p>
            <w:pPr>
              <w:pStyle w:val="TableText"/>
              <w:jc w:val="left"/>
            </w:pPr>
            <w:r>
              <w:t xml:space="preserve">0.85</w:t>
            </w:r>
          </w:p>
        </w:tc>
      </w:tr>
      <w:tr>
        <w:trPr>
          <w:cantSplit/>
        </w:trPr>
        <w:tc>
          <w:tcPr>
            <w:tcW w:w="2907" w:type="dxa"/>
            <w:shd w:val="clear" w:color="auto" w:fill="F4F7FB"/>
            <w:vAlign w:val="top"/>
          </w:tcPr>
          <w:p>
            <w:pPr>
              <w:pStyle w:val="TableText"/>
              <w:jc w:val="left"/>
            </w:pPr>
            <w:r>
              <w:t xml:space="preserve">TASCO core in-force and expired TNDS policies</w:t>
            </w:r>
          </w:p>
        </w:tc>
        <w:tc>
          <w:tcPr>
            <w:tcW w:w="4683" w:type="dxa"/>
            <w:shd w:val="clear" w:color="auto" w:fill="F4F7FB"/>
            <w:vAlign w:val="top"/>
          </w:tcPr>
          <w:p>
            <w:pPr>
              <w:pStyle w:val="TableText"/>
              <w:jc w:val="left"/>
            </w:pPr>
            <w:r>
              <w:t xml:space="preserve">Policy register as source TASCO core with verified certificates, so renewal journeys are accurate from day one</w:t>
            </w:r>
          </w:p>
        </w:tc>
        <w:tc>
          <w:tcPr>
            <w:tcW w:w="1437" w:type="dxa"/>
            <w:shd w:val="clear" w:color="auto" w:fill="F4F7FB"/>
            <w:vAlign w:val="top"/>
          </w:tcPr>
          <w:p>
            <w:pPr>
              <w:pStyle w:val="TableText"/>
              <w:jc w:val="left"/>
            </w:pPr>
            <w:r>
              <w:t xml:space="preserve">1.0</w:t>
            </w:r>
          </w:p>
        </w:tc>
      </w:tr>
      <w:tr>
        <w:trPr>
          <w:cantSplit/>
        </w:trPr>
        <w:tc>
          <w:tcPr>
            <w:tcW w:w="2907" w:type="dxa"/>
            <w:vAlign w:val="top"/>
          </w:tcPr>
          <w:p>
            <w:pPr>
              <w:pStyle w:val="TableText"/>
              <w:jc w:val="left"/>
            </w:pPr>
            <w:r>
              <w:t xml:space="preserve">VETC app past insurance purchases</w:t>
            </w:r>
          </w:p>
        </w:tc>
        <w:tc>
          <w:tcPr>
            <w:tcW w:w="4683" w:type="dxa"/>
            <w:vAlign w:val="top"/>
          </w:tcPr>
          <w:p>
            <w:pPr>
              <w:pStyle w:val="TableText"/>
              <w:jc w:val="left"/>
            </w:pPr>
            <w:r>
              <w:t xml:space="preserve">Source VETC app purchase</w:t>
            </w:r>
          </w:p>
        </w:tc>
        <w:tc>
          <w:tcPr>
            <w:tcW w:w="1437" w:type="dxa"/>
            <w:vAlign w:val="top"/>
          </w:tcPr>
          <w:p>
            <w:pPr>
              <w:pStyle w:val="TableText"/>
              <w:jc w:val="left"/>
            </w:pPr>
            <w:r>
              <w:t xml:space="preserve">0.95</w:t>
            </w:r>
          </w:p>
        </w:tc>
      </w:tr>
      <w:tr>
        <w:trPr>
          <w:cantSplit/>
        </w:trPr>
        <w:tc>
          <w:tcPr>
            <w:tcW w:w="2907" w:type="dxa"/>
            <w:shd w:val="clear" w:color="auto" w:fill="F4F7FB"/>
            <w:vAlign w:val="top"/>
          </w:tcPr>
          <w:p>
            <w:pPr>
              <w:pStyle w:val="TableText"/>
              <w:jc w:val="left"/>
            </w:pPr>
            <w:r>
              <w:t xml:space="preserve">Partner and telesales lists</w:t>
            </w:r>
          </w:p>
        </w:tc>
        <w:tc>
          <w:tcPr>
            <w:tcW w:w="4683" w:type="dxa"/>
            <w:shd w:val="clear" w:color="auto" w:fill="F4F7FB"/>
            <w:vAlign w:val="top"/>
          </w:tcPr>
          <w:p>
            <w:pPr>
              <w:pStyle w:val="TableText"/>
              <w:jc w:val="left"/>
            </w:pPr>
            <w:r>
              <w:t xml:space="preserve">Only with a documented lawful basis, to be confirmed by TASCO legal</w:t>
            </w:r>
          </w:p>
        </w:tc>
        <w:tc>
          <w:tcPr>
            <w:tcW w:w="1437" w:type="dxa"/>
            <w:shd w:val="clear" w:color="auto" w:fill="F4F7FB"/>
            <w:vAlign w:val="top"/>
          </w:tcPr>
          <w:p>
            <w:pPr>
              <w:pStyle w:val="TableText"/>
              <w:jc w:val="left"/>
            </w:pPr>
            <w:r>
              <w:t xml:space="preserve">0.4 to 0.65</w:t>
            </w:r>
          </w:p>
        </w:tc>
      </w:tr>
      <w:tr>
        <w:trPr>
          <w:cantSplit/>
        </w:trPr>
        <w:tc>
          <w:tcPr>
            <w:tcW w:w="2907" w:type="dxa"/>
            <w:vAlign w:val="top"/>
          </w:tcPr>
          <w:p>
            <w:pPr>
              <w:pStyle w:val="TableText"/>
              <w:jc w:val="left"/>
            </w:pPr>
            <w:r>
              <w:t xml:space="preserve">Consent and do-not-contact registers</w:t>
            </w:r>
          </w:p>
        </w:tc>
        <w:tc>
          <w:tcPr>
            <w:tcW w:w="4683" w:type="dxa"/>
            <w:vAlign w:val="top"/>
          </w:tcPr>
          <w:p>
            <w:pPr>
              <w:pStyle w:val="TableText"/>
              <w:jc w:val="left"/>
            </w:pPr>
            <w:r>
              <w:t xml:space="preserve">Loaded before any journey is enabled; platform overrides take precedence</w:t>
            </w:r>
          </w:p>
        </w:tc>
        <w:tc>
          <w:tcPr>
            <w:tcW w:w="1437" w:type="dxa"/>
            <w:vAlign w:val="top"/>
          </w:tcPr>
          <w:p>
            <w:pPr>
              <w:pStyle w:val="TableText"/>
              <w:jc w:val="left"/>
            </w:pPr>
            <w:r>
              <w:t xml:space="preserve">Not applicable</w:t>
            </w:r>
          </w:p>
        </w:tc>
      </w:tr>
    </w:tbl>
    <w:p>
      <w:pPr>
        <w:pStyle w:val="BodyText"/>
        <w:spacing w:before="160"/>
      </w:pPr>
      <w:r>
        <w:t xml:space="preserve">The migration runs in eight steps: profile the source data, agree the mapping with data owners, run trial loads in SIT with masked data, reconcile counts and samples with the business, rehearse in the performance environment, load production in a freeze window, run the post-load data quality report, and enable journeys region by region.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Analytics and data warehouse feed</w:t>
      </w:r>
      <w:bookmarkEnd w:id="37"/>
    </w:p>
    <w:p>
      <w:pPr>
        <w:pStyle w:val="FirstParagraph"/>
      </w:pPr>
      <w:r>
        <w:t xml:space="preserve">Reporting and model development use a pseudonymised copy of the data, never the operational tables. The diagram shows the path.</w:t>
      </w:r>
    </w:p>
    <w:p xmlns:a="http://schemas.openxmlformats.org/drawingml/2006/main" xmlns:pic="http://schemas.openxmlformats.org/drawingml/2006/picture">
      <w:pPr>
        <w:pStyle w:val="Figure"/>
      </w:pPr>
      <w:r>
        <w:drawing>
          <wp:inline>
            <wp:extent cx="4906799" cy="5705999"/>
            <wp:effectExtent b="0" l="0" r="0" t="0"/>
            <wp:docPr descr="Path of pseudonymised data from the operational database to analytics" title="" id="5013" name="Picture"/>
            <a:graphic>
              <a:graphicData uri="http://schemas.openxmlformats.org/drawingml/2006/picture">
                <pic:pic>
                  <pic:nvPicPr>
                    <pic:cNvPr descr="/home/user/TASCO/tools/docs-source/gen/.cache/mermaid/f3f4c34ac1b1df32.png" id="85" name="Picture"/>
                    <pic:cNvPicPr>
                      <a:picLocks noChangeArrowheads="1" noChangeAspect="1"/>
                    </pic:cNvPicPr>
                  </pic:nvPicPr>
                  <pic:blipFill>
                    <a:blip r:embed="rIdG12"/>
                    <a:stretch>
                      <a:fillRect/>
                    </a:stretch>
                  </pic:blipFill>
                  <pic:spPr bwMode="auto">
                    <a:xfrm>
                      <a:off x="0" y="0"/>
                      <a:ext cx="4906799" cy="5705999"/>
                    </a:xfrm>
                    <a:prstGeom prst="rect">
                      <a:avLst/>
                    </a:prstGeom>
                    <a:noFill/>
                    <a:ln w="9525">
                      <a:noFill/>
                      <a:headEnd/>
                      <a:tailEnd/>
                    </a:ln>
                  </pic:spPr>
                </pic:pic>
              </a:graphicData>
            </a:graphic>
          </wp:inline>
        </w:drawing>
      </w:r>
    </w:p>
    <w:p>
      <w:pPr>
        <w:pStyle w:val="Caption"/>
      </w:pPr>
      <w:r>
        <w:t xml:space="preserve">Figure 12 – Path of pseudonymised data from the operational database to analytics</w:t>
      </w:r>
    </w:p>
    <w:p>
      <w:pPr>
        <w:pStyle w:val="BodyText"/>
      </w:pPr>
      <w:r>
        <w:t xml:space="preserve">No decrypted personal data leaves the platform for analytics. The plate is replaced by a keyed pseudonym that uses its own key (never the blind-index key), names and phones are dropped, and wallet balances are banded. Join keys are stable pseudonyms. Reports shared outside the data office suppress cells with fewer than 10 records. Event-level facts (messages, touchpoints, call outcomes, orders) support attribution from journey to order. The in-product dashboards cover operational figures; heavier analysis belongs in the marts.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8" w:name="_Toc300000034"/>
      <w:r>
        <w:rPr>
          <w:rStyle w:val="BookTitle"/>
          <w:bCs w:val="0"/>
          <w:i w:val="0"/>
          <w:iCs w:val="0"/>
          <w:spacing w:val="0"/>
        </w:rPr>
        <w:t xml:space="preserve">Appendix</w:t>
      </w:r>
      <w:bookmarkEnd w:id="38"/>
    </w:p>
    <w:p>
      <w:pPr>
        <w:pStyle w:val="Heading2"/>
      </w:pPr>
      <w:bookmarkStart w:id="39" w:name="_Toc300000035"/>
      <w:r>
        <w:t xml:space="preserve">Known data gaps and planned treatment</w:t>
      </w:r>
      <w:bookmarkEnd w:id="3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90"/>
        <w:gridCol w:w="2272"/>
        <w:gridCol w:w="3078"/>
        <w:gridCol w:w="1187"/>
      </w:tblGrid>
      <w:tr>
        <w:trPr>
          <w:cantSplit/>
          <w:tblHeader/>
        </w:trPr>
        <w:tc>
          <w:tcPr>
            <w:tcW w:w="2490" w:type="dxa"/>
            <w:shd w:val="clear" w:color="auto" w:fill="0F4761"/>
            <w:vAlign w:val="center"/>
          </w:tcPr>
          <w:p>
            <w:pPr>
              <w:pStyle w:val="TableHeading"/>
              <w:jc w:val="left"/>
            </w:pPr>
            <w:r>
              <w:rPr>
                <w:color w:val="FFFFFF"/>
              </w:rPr>
              <w:t xml:space="preserve">Gap</w:t>
            </w:r>
          </w:p>
        </w:tc>
        <w:tc>
          <w:tcPr>
            <w:tcW w:w="2272" w:type="dxa"/>
            <w:shd w:val="clear" w:color="auto" w:fill="0F4761"/>
            <w:vAlign w:val="center"/>
          </w:tcPr>
          <w:p>
            <w:pPr>
              <w:pStyle w:val="TableHeading"/>
              <w:jc w:val="left"/>
            </w:pPr>
            <w:r>
              <w:rPr>
                <w:color w:val="FFFFFF"/>
              </w:rPr>
              <w:t xml:space="preserve">Effect</w:t>
            </w:r>
          </w:p>
        </w:tc>
        <w:tc>
          <w:tcPr>
            <w:tcW w:w="3078" w:type="dxa"/>
            <w:shd w:val="clear" w:color="auto" w:fill="0F4761"/>
            <w:vAlign w:val="center"/>
          </w:tcPr>
          <w:p>
            <w:pPr>
              <w:pStyle w:val="TableHeading"/>
              <w:jc w:val="left"/>
            </w:pPr>
            <w:r>
              <w:rPr>
                <w:color w:val="FFFFFF"/>
              </w:rPr>
              <w:t xml:space="preserve">Treatment</w:t>
            </w:r>
          </w:p>
        </w:tc>
        <w:tc>
          <w:tcPr>
            <w:tcW w:w="1187" w:type="dxa"/>
            <w:shd w:val="clear" w:color="auto" w:fill="0F4761"/>
            <w:vAlign w:val="center"/>
          </w:tcPr>
          <w:p>
            <w:pPr>
              <w:pStyle w:val="TableHeading"/>
              <w:jc w:val="left"/>
            </w:pPr>
            <w:r>
              <w:rPr>
                <w:color w:val="FFFFFF"/>
              </w:rPr>
              <w:t xml:space="preserve">Phase</w:t>
            </w:r>
          </w:p>
        </w:tc>
      </w:tr>
      <w:tr>
        <w:trPr>
          <w:cantSplit/>
        </w:trPr>
        <w:tc>
          <w:tcPr>
            <w:tcW w:w="2490" w:type="dxa"/>
            <w:vAlign w:val="top"/>
          </w:tcPr>
          <w:p>
            <w:pPr>
              <w:pStyle w:val="TableText"/>
              <w:jc w:val="left"/>
            </w:pPr>
            <w:r>
              <w:t xml:space="preserve">Leads and quotes do not record the rule set versions that produced them</w:t>
            </w:r>
          </w:p>
        </w:tc>
        <w:tc>
          <w:tcPr>
            <w:tcW w:w="2272" w:type="dxa"/>
            <w:vAlign w:val="top"/>
          </w:tcPr>
          <w:p>
            <w:pPr>
              <w:pStyle w:val="TableText"/>
              <w:jc w:val="left"/>
            </w:pPr>
            <w:r>
              <w:t xml:space="preserve">A past decision cannot be replayed exactly</w:t>
            </w:r>
          </w:p>
        </w:tc>
        <w:tc>
          <w:tcPr>
            <w:tcW w:w="3078" w:type="dxa"/>
            <w:vAlign w:val="top"/>
          </w:tcPr>
          <w:p>
            <w:pPr>
              <w:pStyle w:val="TableText"/>
              <w:jc w:val="left"/>
            </w:pPr>
            <w:r>
              <w:t xml:space="preserve">Store a rules snapshot (kind, version, checksum) on leads, quotes and orders</w:t>
            </w:r>
          </w:p>
        </w:tc>
        <w:tc>
          <w:tcPr>
            <w:tcW w:w="1187" w:type="dxa"/>
            <w:vAlign w:val="top"/>
          </w:tcPr>
          <w:p>
            <w:pPr>
              <w:pStyle w:val="TableText"/>
              <w:jc w:val="left"/>
            </w:pPr>
            <w:r>
              <w:t xml:space="preserve">Before go-live</w:t>
            </w:r>
          </w:p>
        </w:tc>
      </w:tr>
      <w:tr>
        <w:trPr>
          <w:cantSplit/>
        </w:trPr>
        <w:tc>
          <w:tcPr>
            <w:tcW w:w="2490" w:type="dxa"/>
            <w:shd w:val="clear" w:color="auto" w:fill="F4F7FB"/>
            <w:vAlign w:val="top"/>
          </w:tcPr>
          <w:p>
            <w:pPr>
              <w:pStyle w:val="TableText"/>
              <w:jc w:val="left"/>
            </w:pPr>
            <w:r>
              <w:t xml:space="preserve">No legal hold flag</w:t>
            </w:r>
          </w:p>
        </w:tc>
        <w:tc>
          <w:tcPr>
            <w:tcW w:w="2272" w:type="dxa"/>
            <w:shd w:val="clear" w:color="auto" w:fill="F4F7FB"/>
            <w:vAlign w:val="top"/>
          </w:tcPr>
          <w:p>
            <w:pPr>
              <w:pStyle w:val="TableText"/>
              <w:jc w:val="left"/>
            </w:pPr>
            <w:r>
              <w:t xml:space="preserve">A held record could be deleted by retention</w:t>
            </w:r>
          </w:p>
        </w:tc>
        <w:tc>
          <w:tcPr>
            <w:tcW w:w="3078" w:type="dxa"/>
            <w:shd w:val="clear" w:color="auto" w:fill="F4F7FB"/>
            <w:vAlign w:val="top"/>
          </w:tcPr>
          <w:p>
            <w:pPr>
              <w:pStyle w:val="TableText"/>
              <w:jc w:val="left"/>
            </w:pPr>
            <w:r>
              <w:t xml:space="preserve">Add a legal hold flag to profiles, claims and orders; retention skips held records</w:t>
            </w:r>
          </w:p>
        </w:tc>
        <w:tc>
          <w:tcPr>
            <w:tcW w:w="1187" w:type="dxa"/>
            <w:shd w:val="clear" w:color="auto" w:fill="F4F7FB"/>
            <w:vAlign w:val="top"/>
          </w:tcPr>
          <w:p>
            <w:pPr>
              <w:pStyle w:val="TableText"/>
              <w:jc w:val="left"/>
            </w:pPr>
            <w:r>
              <w:t xml:space="preserve">Before go-live</w:t>
            </w:r>
          </w:p>
        </w:tc>
      </w:tr>
      <w:tr>
        <w:trPr>
          <w:cantSplit/>
        </w:trPr>
        <w:tc>
          <w:tcPr>
            <w:tcW w:w="2490" w:type="dxa"/>
            <w:vAlign w:val="top"/>
          </w:tcPr>
          <w:p>
            <w:pPr>
              <w:pStyle w:val="TableText"/>
              <w:jc w:val="left"/>
            </w:pPr>
            <w:r>
              <w:t xml:space="preserve">Events, touchpoints, data quality issues and job runs have no retention rule</w:t>
            </w:r>
          </w:p>
        </w:tc>
        <w:tc>
          <w:tcPr>
            <w:tcW w:w="2272" w:type="dxa"/>
            <w:vAlign w:val="top"/>
          </w:tcPr>
          <w:p>
            <w:pPr>
              <w:pStyle w:val="TableText"/>
              <w:jc w:val="left"/>
            </w:pPr>
            <w:r>
              <w:t xml:space="preserve">Unbounded table growth</w:t>
            </w:r>
          </w:p>
        </w:tc>
        <w:tc>
          <w:tcPr>
            <w:tcW w:w="3078" w:type="dxa"/>
            <w:vAlign w:val="top"/>
          </w:tcPr>
          <w:p>
            <w:pPr>
              <w:pStyle w:val="TableText"/>
              <w:jc w:val="left"/>
            </w:pPr>
            <w:r>
              <w:t xml:space="preserve">Add rules: 30 days for completed events, 90 days for executed touchpoints, 365 days for resolved issues and job runs</w:t>
            </w:r>
          </w:p>
        </w:tc>
        <w:tc>
          <w:tcPr>
            <w:tcW w:w="1187" w:type="dxa"/>
            <w:vAlign w:val="top"/>
          </w:tcPr>
          <w:p>
            <w:pPr>
              <w:pStyle w:val="TableText"/>
              <w:jc w:val="left"/>
            </w:pPr>
            <w:r>
              <w:t xml:space="preserve">Scale phase</w:t>
            </w:r>
          </w:p>
        </w:tc>
      </w:tr>
      <w:tr>
        <w:trPr>
          <w:cantSplit/>
        </w:trPr>
        <w:tc>
          <w:tcPr>
            <w:tcW w:w="2490" w:type="dxa"/>
            <w:shd w:val="clear" w:color="auto" w:fill="F4F7FB"/>
            <w:vAlign w:val="top"/>
          </w:tcPr>
          <w:p>
            <w:pPr>
              <w:pStyle w:val="TableText"/>
              <w:jc w:val="left"/>
            </w:pPr>
            <w:r>
              <w:t xml:space="preserve">Source record age counts from first landing</w:t>
            </w:r>
          </w:p>
        </w:tc>
        <w:tc>
          <w:tcPr>
            <w:tcW w:w="2272" w:type="dxa"/>
            <w:shd w:val="clear" w:color="auto" w:fill="F4F7FB"/>
            <w:vAlign w:val="top"/>
          </w:tcPr>
          <w:p>
            <w:pPr>
              <w:pStyle w:val="TableText"/>
              <w:jc w:val="left"/>
            </w:pPr>
            <w:r>
              <w:t xml:space="preserve">A record refreshed daily is still deleted after 365 days</w:t>
            </w:r>
          </w:p>
        </w:tc>
        <w:tc>
          <w:tcPr>
            <w:tcW w:w="3078" w:type="dxa"/>
            <w:shd w:val="clear" w:color="auto" w:fill="F4F7FB"/>
            <w:vAlign w:val="top"/>
          </w:tcPr>
          <w:p>
            <w:pPr>
              <w:pStyle w:val="TableText"/>
              <w:jc w:val="left"/>
            </w:pPr>
            <w:r>
              <w:t xml:space="preserve">Base retention on last update, or keep the latest version per source</w:t>
            </w:r>
          </w:p>
        </w:tc>
        <w:tc>
          <w:tcPr>
            <w:tcW w:w="1187" w:type="dxa"/>
            <w:shd w:val="clear" w:color="auto" w:fill="F4F7FB"/>
            <w:vAlign w:val="top"/>
          </w:tcPr>
          <w:p>
            <w:pPr>
              <w:pStyle w:val="TableText"/>
              <w:jc w:val="left"/>
            </w:pPr>
            <w:r>
              <w:t xml:space="preserve">Before go-live</w:t>
            </w:r>
          </w:p>
        </w:tc>
      </w:tr>
      <w:tr>
        <w:trPr>
          <w:cantSplit/>
        </w:trPr>
        <w:tc>
          <w:tcPr>
            <w:tcW w:w="2490" w:type="dxa"/>
            <w:vAlign w:val="top"/>
          </w:tcPr>
          <w:p>
            <w:pPr>
              <w:pStyle w:val="TableText"/>
              <w:jc w:val="left"/>
            </w:pPr>
            <w:r>
              <w:t xml:space="preserve">Free-text call signals stored in clear</w:t>
            </w:r>
          </w:p>
        </w:tc>
        <w:tc>
          <w:tcPr>
            <w:tcW w:w="2272" w:type="dxa"/>
            <w:vAlign w:val="top"/>
          </w:tcPr>
          <w:p>
            <w:pPr>
              <w:pStyle w:val="TableText"/>
              <w:jc w:val="left"/>
            </w:pPr>
            <w:r>
              <w:t xml:space="preserve">Personal data outside field encryption</w:t>
            </w:r>
          </w:p>
        </w:tc>
        <w:tc>
          <w:tcPr>
            <w:tcW w:w="3078" w:type="dxa"/>
            <w:vAlign w:val="top"/>
          </w:tcPr>
          <w:p>
            <w:pPr>
              <w:pStyle w:val="TableText"/>
              <w:jc w:val="left"/>
            </w:pPr>
            <w:r>
              <w:t xml:space="preserve">Encrypt the signals or keep structured values only</w:t>
            </w:r>
          </w:p>
        </w:tc>
        <w:tc>
          <w:tcPr>
            <w:tcW w:w="1187" w:type="dxa"/>
            <w:vAlign w:val="top"/>
          </w:tcPr>
          <w:p>
            <w:pPr>
              <w:pStyle w:val="TableText"/>
              <w:jc w:val="left"/>
            </w:pPr>
            <w:r>
              <w:t xml:space="preserve">Before go-live</w:t>
            </w:r>
          </w:p>
        </w:tc>
      </w:tr>
      <w:tr>
        <w:trPr>
          <w:cantSplit/>
        </w:trPr>
        <w:tc>
          <w:tcPr>
            <w:tcW w:w="2490" w:type="dxa"/>
            <w:shd w:val="clear" w:color="auto" w:fill="F4F7FB"/>
            <w:vAlign w:val="top"/>
          </w:tcPr>
          <w:p>
            <w:pPr>
              <w:pStyle w:val="TableText"/>
              <w:jc w:val="left"/>
            </w:pPr>
            <w:r>
              <w:t xml:space="preserve">Archival pipeline not built</w:t>
            </w:r>
          </w:p>
        </w:tc>
        <w:tc>
          <w:tcPr>
            <w:tcW w:w="2272" w:type="dxa"/>
            <w:shd w:val="clear" w:color="auto" w:fill="F4F7FB"/>
            <w:vAlign w:val="top"/>
          </w:tcPr>
          <w:p>
            <w:pPr>
              <w:pStyle w:val="TableText"/>
              <w:jc w:val="left"/>
            </w:pPr>
            <w:r>
              <w:t xml:space="preserve">Archive actions are recorded but not executed</w:t>
            </w:r>
          </w:p>
        </w:tc>
        <w:tc>
          <w:tcPr>
            <w:tcW w:w="3078" w:type="dxa"/>
            <w:shd w:val="clear" w:color="auto" w:fill="F4F7FB"/>
            <w:vAlign w:val="top"/>
          </w:tcPr>
          <w:p>
            <w:pPr>
              <w:pStyle w:val="TableText"/>
              <w:jc w:val="left"/>
            </w:pPr>
            <w:r>
              <w:t xml:space="preserve">Build the archival pipeline to write-once storage in Vietnam</w:t>
            </w:r>
          </w:p>
        </w:tc>
        <w:tc>
          <w:tcPr>
            <w:tcW w:w="1187" w:type="dxa"/>
            <w:shd w:val="clear" w:color="auto" w:fill="F4F7FB"/>
            <w:vAlign w:val="top"/>
          </w:tcPr>
          <w:p>
            <w:pPr>
              <w:pStyle w:val="TableText"/>
              <w:jc w:val="left"/>
            </w:pPr>
            <w:r>
              <w:t xml:space="preserve">Scale phase</w:t>
            </w:r>
          </w:p>
        </w:tc>
      </w:tr>
      <w:tr>
        <w:trPr>
          <w:cantSplit/>
        </w:trPr>
        <w:tc>
          <w:tcPr>
            <w:tcW w:w="2490" w:type="dxa"/>
            <w:vAlign w:val="top"/>
          </w:tcPr>
          <w:p>
            <w:pPr>
              <w:pStyle w:val="TableText"/>
              <w:jc w:val="left"/>
            </w:pPr>
            <w:r>
              <w:t xml:space="preserve">The data-subject request register has no retention rule</w:t>
            </w:r>
          </w:p>
        </w:tc>
        <w:tc>
          <w:tcPr>
            <w:tcW w:w="2272" w:type="dxa"/>
            <w:vAlign w:val="top"/>
          </w:tcPr>
          <w:p>
            <w:pPr>
              <w:pStyle w:val="TableText"/>
              <w:jc w:val="left"/>
            </w:pPr>
            <w:r>
              <w:t xml:space="preserve">Requests are kept indefinitely</w:t>
            </w:r>
          </w:p>
        </w:tc>
        <w:tc>
          <w:tcPr>
            <w:tcW w:w="3078" w:type="dxa"/>
            <w:vAlign w:val="top"/>
          </w:tcPr>
          <w:p>
            <w:pPr>
              <w:pStyle w:val="TableText"/>
              <w:jc w:val="left"/>
            </w:pPr>
            <w:r>
              <w:t xml:space="preserve">Add a retention rule for closed requests once TASCO legal confirms the period</w:t>
            </w:r>
          </w:p>
        </w:tc>
        <w:tc>
          <w:tcPr>
            <w:tcW w:w="1187" w:type="dxa"/>
            <w:vAlign w:val="top"/>
          </w:tcPr>
          <w:p>
            <w:pPr>
              <w:pStyle w:val="TableText"/>
              <w:jc w:val="left"/>
            </w:pPr>
            <w:r>
              <w:t xml:space="preserve">Before go-live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40" w:name="_Toc300000036"/>
      <w:r>
        <w:rPr>
          <w:rStyle w:val="BookTitle"/>
          <w:bCs w:val="0"/>
          <w:i w:val="0"/>
          <w:iCs w:val="0"/>
          <w:spacing w:val="0"/>
        </w:rPr>
        <w:t xml:space="preserve">Sign-Off</w:t>
      </w:r>
      <w:bookmarkEnd w:id="4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497"/>
        <w:gridCol w:w="2586"/>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497"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586"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49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Retention periods per entity, including closed data-subject requests</w:t>
            </w:r>
          </w:p>
        </w:tc>
        <w:tc>
          <w:tcPr>
            <w:tcW w:w="258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49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Treatment of licence plates as personal data</w:t>
            </w:r>
          </w:p>
        </w:tc>
        <w:tc>
          <w:tcPr>
            <w:tcW w:w="258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 and DPO</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49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Lawful basis for partner and telesales lists before migration</w:t>
            </w:r>
          </w:p>
        </w:tc>
        <w:tc>
          <w:tcPr>
            <w:tcW w:w="258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49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Policy book extract format from TASCO core</w:t>
            </w:r>
          </w:p>
        </w:tc>
        <w:tc>
          <w:tcPr>
            <w:tcW w:w="258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73"/>
        <w:gridCol w:w="1690"/>
        <w:gridCol w:w="2648"/>
        <w:gridCol w:w="3616"/>
      </w:tblGrid>
      <w:tr w:rsidR="002B183A" w14:paraId="731A77C7" w14:textId="77777777" w:rsidTr="002923F3">
        <w:trPr>
          <w:cantSplit/>
          <w:trHeight w:val="440"/>
          <w:tblHeader/>
        </w:trPr>
        <w:tc>
          <w:tcPr>
            <w:tcW w:w="107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90"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4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16"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Architecture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 Id="rIdG7" Type="http://schemas.openxmlformats.org/officeDocument/2006/relationships/image" Target="media/body_007.png"/><Relationship Id="rIdG8" Type="http://schemas.openxmlformats.org/officeDocument/2006/relationships/image" Target="media/body_008.png"/><Relationship Id="rIdG9" Type="http://schemas.openxmlformats.org/officeDocument/2006/relationships/image" Target="media/body_009.png"/><Relationship Id="rIdG10" Type="http://schemas.openxmlformats.org/officeDocument/2006/relationships/image" Target="media/body_010.png"/><Relationship Id="rIdG11" Type="http://schemas.openxmlformats.org/officeDocument/2006/relationships/image" Target="media/body_011.png"/><Relationship Id="rIdG12" Type="http://schemas.openxmlformats.org/officeDocument/2006/relationships/image" Target="media/body_01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Architecture</dc:title>
  <dc:subject>TGP-ARC-03</dc:subject>
  <dc:creator>iorta TechNXT</dc:creator>
  <cp:keywords>TGP-ARC-03; TASCO Insurance; iorta TechNXT</cp:keywords>
  <dc:description>TASCO Motor Insurance Growth Platform</dc:description>
  <cp:lastModifiedBy>iorta TechNXT</cp:lastModifiedBy>
  <cp:revision>1</cp:revision>
  <dcterms:created xsi:type="dcterms:W3CDTF">2026-10-08T03:54:27Z</dcterms:created>
  <dcterms:modified xsi:type="dcterms:W3CDTF">2026-10-08T03:54:27Z</dcterms:modified>
</cp:coreProperties>
</file>