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footer3.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D2CD8" w14:textId="0D544CAB" w:rsidR="00DD7430" w:rsidRDefault="004E4690" w:rsidP="3B384731">
      <w:r>
        <w:rPr>
          <w:noProof/>
        </w:rPr>
        <w:drawing>
          <wp:anchor distT="0" distB="0" distL="114300" distR="114300" simplePos="0" relativeHeight="251658241" behindDoc="1" locked="0" layoutInCell="1" allowOverlap="1" wp14:anchorId="7FDD2D24" wp14:editId="42CB1C55">
            <wp:simplePos x="0" y="0"/>
            <wp:positionH relativeFrom="margin">
              <wp:posOffset>-914400</wp:posOffset>
            </wp:positionH>
            <wp:positionV relativeFrom="margin">
              <wp:posOffset>-914426</wp:posOffset>
            </wp:positionV>
            <wp:extent cx="7553960" cy="10685198"/>
            <wp:effectExtent l="0" t="0" r="8890" b="1905"/>
            <wp:wrapNone/>
            <wp:docPr id="2053156881" name="Picture 2">
              <a:extLst xmlns:a="http://schemas.openxmlformats.org/drawingml/2006/main">
                <a:ext uri="{FF2B5EF4-FFF2-40B4-BE49-F238E27FC236}">
                  <a16:creationId xmlns:a16="http://schemas.microsoft.com/office/drawing/2014/main" id="{C3E1FE75-9233-4911-9AF8-8DA8FB5453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6881"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53960" cy="10685198"/>
                    </a:xfrm>
                    <a:prstGeom prst="rect">
                      <a:avLst/>
                    </a:prstGeom>
                  </pic:spPr>
                </pic:pic>
              </a:graphicData>
            </a:graphic>
            <wp14:sizeRelH relativeFrom="margin">
              <wp14:pctWidth>0</wp14:pctWidth>
            </wp14:sizeRelH>
            <wp14:sizeRelV relativeFrom="margin">
              <wp14:pctHeight>0</wp14:pctHeight>
            </wp14:sizeRelV>
          </wp:anchor>
        </w:drawing>
      </w:r>
      <w:r w:rsidR="004647A1">
        <w:rPr>
          <w:noProof/>
        </w:rPr>
        <w:drawing>
          <wp:anchor distT="0" distB="0" distL="114300" distR="114300" simplePos="0" relativeHeight="251658247" behindDoc="1" locked="0" layoutInCell="1" allowOverlap="1" wp14:anchorId="68FBBCEA" wp14:editId="760DF883">
            <wp:simplePos x="0" y="0"/>
            <wp:positionH relativeFrom="margin">
              <wp:align>center</wp:align>
            </wp:positionH>
            <wp:positionV relativeFrom="margin">
              <wp:posOffset>244432</wp:posOffset>
            </wp:positionV>
            <wp:extent cx="2000250" cy="568367"/>
            <wp:effectExtent l="0" t="0" r="0" b="3175"/>
            <wp:wrapNone/>
            <wp:docPr id="940639279" name="Picture 4">
              <a:extLst xmlns:a="http://schemas.openxmlformats.org/drawingml/2006/main">
                <a:ext uri="{FF2B5EF4-FFF2-40B4-BE49-F238E27FC236}">
                  <a16:creationId xmlns:a16="http://schemas.microsoft.com/office/drawing/2014/main" id="{E3627AEF-EF2A-408D-AEDD-9163B590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39279" name="Picture 9406392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00250" cy="568367"/>
                    </a:xfrm>
                    <a:prstGeom prst="rect">
                      <a:avLst/>
                    </a:prstGeom>
                  </pic:spPr>
                </pic:pic>
              </a:graphicData>
            </a:graphic>
            <wp14:sizeRelH relativeFrom="margin">
              <wp14:pctWidth>0</wp14:pctWidth>
            </wp14:sizeRelH>
            <wp14:sizeRelV relativeFrom="margin">
              <wp14:pctHeight>0</wp14:pctHeight>
            </wp14:sizeRelV>
          </wp:anchor>
        </w:drawing>
      </w:r>
    </w:p>
    <w:p w14:paraId="4EBFD2E5" w14:textId="7C6911E0" w:rsidR="00DD7430" w:rsidRDefault="003F0D95">
      <w:r w:rsidRPr="004A1359">
        <w:rPr>
          <w:noProof/>
          <w:color w:val="1D74BA"/>
        </w:rPr>
        <mc:AlternateContent>
          <mc:Choice Requires="wps">
            <w:drawing>
              <wp:anchor distT="45720" distB="45720" distL="114300" distR="114300" simplePos="0" relativeHeight="251658246" behindDoc="0" locked="0" layoutInCell="1" allowOverlap="1" wp14:anchorId="204C02CC" wp14:editId="65DFA600">
                <wp:simplePos x="0" y="0"/>
                <wp:positionH relativeFrom="margin">
                  <wp:align>center</wp:align>
                </wp:positionH>
                <wp:positionV relativeFrom="paragraph">
                  <wp:posOffset>1979157</wp:posOffset>
                </wp:positionV>
                <wp:extent cx="5760000" cy="337820"/>
                <wp:effectExtent l="0" t="0" r="0" b="5080"/>
                <wp:wrapSquare wrapText="bothSides"/>
                <wp:docPr id="1294513242" name="Text Box 2">
                  <a:extLst xmlns:a="http://schemas.openxmlformats.org/drawingml/2006/main">
                    <a:ext uri="{FF2B5EF4-FFF2-40B4-BE49-F238E27FC236}">
                      <a16:creationId xmlns:a16="http://schemas.microsoft.com/office/drawing/2014/main" id="{7523173A-31B4-4C1A-9AA6-993E5CA1A44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337820"/>
                        </a:xfrm>
                        <a:prstGeom prst="rect">
                          <a:avLst/>
                        </a:prstGeom>
                        <a:noFill/>
                        <a:ln w="9525">
                          <a:noFill/>
                          <a:miter lim="800000"/>
                          <a:headEnd/>
                          <a:tailEnd/>
                        </a:ln>
                      </wps:spPr>
                      <wps:txbx>
                        <w:txbxContent>
                          <w:p w14:paraId="54FA1EBF" w14:textId="6A6CA9D8" w:rsidR="00913938" w:rsidRPr="00851AA2" w:rsidRDefault="002D24EB" w:rsidP="00913938">
                            <w:pPr>
                              <w:jc w:val="center"/>
                              <w:rPr>
                                <w:b/>
                                <w:bCs/>
                                <w:color w:val="071B2C"/>
                                <w:sz w:val="28"/>
                                <w:szCs w:val="28"/>
                              </w:rPr>
                            </w:pPr>
                            <w:r>
                              <w:rPr>
                                <w:b/>
                                <w:bCs/>
                                <w:color w:val="071B2C"/>
                                <w:sz w:val="28"/>
                                <w:szCs w:val="28"/>
                              </w:rPr>
                              <w:t xml:space="preserve">TASCO Motor Insurance Growth Platform · TGP-ARC-04</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Pr="004A1359">
        <w:rPr>
          <w:noProof/>
          <w:color w:val="1D74BA"/>
        </w:rPr>
        <mc:AlternateContent>
          <mc:Choice Requires="wps">
            <w:drawing>
              <wp:anchor distT="45720" distB="45720" distL="114300" distR="114300" simplePos="0" relativeHeight="251658245" behindDoc="0" locked="0" layoutInCell="1" allowOverlap="1" wp14:anchorId="01DE2BF4" wp14:editId="07BA52AE">
                <wp:simplePos x="0" y="0"/>
                <wp:positionH relativeFrom="margin">
                  <wp:align>center</wp:align>
                </wp:positionH>
                <wp:positionV relativeFrom="paragraph">
                  <wp:posOffset>1291590</wp:posOffset>
                </wp:positionV>
                <wp:extent cx="5760000" cy="476885"/>
                <wp:effectExtent l="0" t="0" r="0" b="0"/>
                <wp:wrapSquare wrapText="bothSides"/>
                <wp:docPr id="578771272" name="Text Box 2">
                  <a:extLst xmlns:a="http://schemas.openxmlformats.org/drawingml/2006/main">
                    <a:ext uri="{FF2B5EF4-FFF2-40B4-BE49-F238E27FC236}">
                      <a16:creationId xmlns:a16="http://schemas.microsoft.com/office/drawing/2014/main" id="{667603B8-5035-4623-849E-672EC358E0B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476885"/>
                        </a:xfrm>
                        <a:prstGeom prst="rect">
                          <a:avLst/>
                        </a:prstGeom>
                        <a:noFill/>
                        <a:ln w="9525">
                          <a:noFill/>
                          <a:miter lim="800000"/>
                          <a:headEnd/>
                          <a:tailEnd/>
                        </a:ln>
                      </wps:spPr>
                      <wps:txbx>
                        <w:txbxContent>
                          <w:p w14:paraId="539063F1" w14:textId="4B04DDEF" w:rsidR="003F0D95" w:rsidRPr="00E75E19" w:rsidRDefault="003F0D95" w:rsidP="003F0D95">
                            <w:pPr>
                              <w:jc w:val="center"/>
                              <w:rPr>
                                <w:b/>
                                <w:bCs/>
                                <w:color w:val="1D74BA"/>
                                <w:sz w:val="44"/>
                                <w:szCs w:val="44"/>
                                <w:lang w:val="en-MY"/>
                              </w:rPr>
                            </w:pPr>
                            <w:r>
                              <w:rPr>
                                <w:b/>
                                <w:bCs/>
                                <w:color w:val="1D74BA"/>
                                <w:sz w:val="44"/>
                                <w:szCs w:val="44"/>
                                <w:lang w:val="en-MY"/>
                              </w:rPr>
                              <w:t xml:space="preserve">Security Architecture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3C3BF4" w:rsidRPr="004A1359">
        <w:rPr>
          <w:noProof/>
          <w:color w:val="1D74BA"/>
        </w:rPr>
        <mc:AlternateContent>
          <mc:Choice Requires="wps">
            <w:drawing>
              <wp:anchor distT="45720" distB="45720" distL="114300" distR="114300" simplePos="0" relativeHeight="251658244" behindDoc="0" locked="0" layoutInCell="1" allowOverlap="1" wp14:anchorId="1BF25123" wp14:editId="646212E8">
                <wp:simplePos x="0" y="0"/>
                <wp:positionH relativeFrom="page">
                  <wp:posOffset>4791400</wp:posOffset>
                </wp:positionH>
                <wp:positionV relativeFrom="paragraph">
                  <wp:posOffset>4124960</wp:posOffset>
                </wp:positionV>
                <wp:extent cx="2600000" cy="266700"/>
                <wp:effectExtent l="0" t="0" r="0" b="0"/>
                <wp:wrapSquare wrapText="bothSides"/>
                <wp:docPr id="2121288187" name="Text Box 2">
                  <a:extLst xmlns:a="http://schemas.openxmlformats.org/drawingml/2006/main">
                    <a:ext uri="{FF2B5EF4-FFF2-40B4-BE49-F238E27FC236}">
                      <a16:creationId xmlns:a16="http://schemas.microsoft.com/office/drawing/2014/main" id="{37CA37AE-CBDC-4F83-9202-1C48F3B8FDC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00000" cy="266700"/>
                        </a:xfrm>
                        <a:prstGeom prst="rect">
                          <a:avLst/>
                        </a:prstGeom>
                        <a:noFill/>
                        <a:ln w="9525">
                          <a:noFill/>
                          <a:miter lim="800000"/>
                          <a:headEnd/>
                          <a:tailEnd/>
                        </a:ln>
                      </wps:spPr>
                      <wps:txbx>
                        <w:txbxContent>
                          <w:p w14:paraId="3064779C" w14:textId="169D6E01" w:rsidR="003C3BF4" w:rsidRPr="002F15FD" w:rsidRDefault="0064254C" w:rsidP="003C3BF4">
                            <w:pPr>
                              <w:jc w:val="right"/>
                              <w:rPr>
                                <w:b/>
                                <w:bCs/>
                                <w:color w:val="1D74BA"/>
                              </w:rPr>
                            </w:pPr>
                            <w:r>
                              <w:rPr>
                                <w:color w:val="1D74BA"/>
                              </w:rPr>
                              <w:t xml:space="preserve">Date – </w:t>
                            </w:r>
                            <w:r>
                              <w:rPr>
                                <w:b/>
                                <w:bCs/>
                                <w:color w:val="1D74BA"/>
                              </w:rPr>
                              <w:t xml:space="preserve">08 October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3C3BF4" w:rsidRPr="004A1359">
        <w:rPr>
          <w:noProof/>
          <w:color w:val="1D74BA"/>
        </w:rPr>
        <mc:AlternateContent>
          <mc:Choice Requires="wps">
            <w:drawing>
              <wp:anchor distT="45720" distB="45720" distL="114300" distR="114300" simplePos="0" relativeHeight="251658243" behindDoc="0" locked="0" layoutInCell="1" allowOverlap="1" wp14:anchorId="58C23128" wp14:editId="498091B1">
                <wp:simplePos x="0" y="0"/>
                <wp:positionH relativeFrom="page">
                  <wp:posOffset>2930472</wp:posOffset>
                </wp:positionH>
                <wp:positionV relativeFrom="paragraph">
                  <wp:posOffset>4124960</wp:posOffset>
                </wp:positionV>
                <wp:extent cx="1700000" cy="266700"/>
                <wp:effectExtent l="0" t="0" r="0" b="0"/>
                <wp:wrapSquare wrapText="bothSides"/>
                <wp:docPr id="728187958" name="Text Box 2">
                  <a:extLst xmlns:a="http://schemas.openxmlformats.org/drawingml/2006/main">
                    <a:ext uri="{FF2B5EF4-FFF2-40B4-BE49-F238E27FC236}">
                      <a16:creationId xmlns:a16="http://schemas.microsoft.com/office/drawing/2014/main" id="{F924D743-A85E-4208-9BF2-3E490CC7E55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00000" cy="266700"/>
                        </a:xfrm>
                        <a:prstGeom prst="rect">
                          <a:avLst/>
                        </a:prstGeom>
                        <a:noFill/>
                        <a:ln w="9525">
                          <a:noFill/>
                          <a:miter lim="800000"/>
                          <a:headEnd/>
                          <a:tailEnd/>
                        </a:ln>
                      </wps:spPr>
                      <wps:txbx>
                        <w:txbxContent>
                          <w:p w14:paraId="1A3BCAB9" w14:textId="1233059B" w:rsidR="003C3BF4" w:rsidRPr="002F15FD" w:rsidRDefault="003C3BF4" w:rsidP="003C3BF4">
                            <w:pPr>
                              <w:jc w:val="center"/>
                              <w:rPr>
                                <w:b/>
                                <w:bCs/>
                                <w:color w:val="1D74BA"/>
                              </w:rPr>
                            </w:pPr>
                            <w:r>
                              <w:rPr>
                                <w:color w:val="1D74BA"/>
                              </w:rPr>
                              <w:t xml:space="preserve">Version – </w:t>
                            </w:r>
                            <w:r>
                              <w:rPr>
                                <w:b/>
                                <w:bCs/>
                                <w:color w:val="1D74BA"/>
                              </w:rPr>
                              <w:t xml:space="preserve">1.0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EC0DBF" w:rsidRPr="004A1359">
        <w:rPr>
          <w:noProof/>
          <w:color w:val="1D74BA"/>
        </w:rPr>
        <mc:AlternateContent>
          <mc:Choice Requires="wps">
            <w:drawing>
              <wp:anchor distT="45720" distB="45720" distL="114300" distR="114300" simplePos="0" relativeHeight="251658242" behindDoc="0" locked="0" layoutInCell="1" allowOverlap="1" wp14:anchorId="3D43415C" wp14:editId="2B893344">
                <wp:simplePos x="0" y="0"/>
                <wp:positionH relativeFrom="page">
                  <wp:posOffset>194310</wp:posOffset>
                </wp:positionH>
                <wp:positionV relativeFrom="paragraph">
                  <wp:posOffset>4124960</wp:posOffset>
                </wp:positionV>
                <wp:extent cx="3000000" cy="266700"/>
                <wp:effectExtent l="0" t="0" r="0" b="0"/>
                <wp:wrapSquare wrapText="bothSides"/>
                <wp:docPr id="5001" name="Text Box 2">
                  <a:extLst xmlns:a="http://schemas.openxmlformats.org/drawingml/2006/main">
                    <a:ext uri="{FF2B5EF4-FFF2-40B4-BE49-F238E27FC236}">
                      <a16:creationId xmlns:a16="http://schemas.microsoft.com/office/drawing/2014/main" id="{214E5FFD-7012-4F5C-89A4-E2F28B264C9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00000" cy="266700"/>
                        </a:xfrm>
                        <a:prstGeom prst="rect">
                          <a:avLst/>
                        </a:prstGeom>
                        <a:noFill/>
                        <a:ln w="9525">
                          <a:noFill/>
                          <a:miter lim="800000"/>
                          <a:headEnd/>
                          <a:tailEnd/>
                        </a:ln>
                      </wps:spPr>
                      <wps:txbx>
                        <w:txbxContent>
                          <w:p w14:paraId="5ABF8422" w14:textId="69B19D89" w:rsidR="00EC0DBF" w:rsidRPr="002F15FD" w:rsidRDefault="00EC0DBF" w:rsidP="00EC0DBF">
                            <w:pPr>
                              <w:rPr>
                                <w:b/>
                                <w:bCs/>
                                <w:color w:val="1D74BA"/>
                              </w:rPr>
                            </w:pPr>
                            <w:r>
                              <w:rPr>
                                <w:color w:val="1D74BA"/>
                              </w:rPr>
                              <w:t xml:space="preserve">Prepared by – </w:t>
                            </w:r>
                            <w:r>
                              <w:rPr>
                                <w:b/>
                                <w:bCs/>
                                <w:color w:val="1D74BA"/>
                              </w:rPr>
                              <w:t xml:space="preserve">iorta TechNXT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DD7430">
        <w:br w:type="page"/>
      </w:r>
    </w:p>
    <w:p w14:paraId="11016166" w14:textId="77777777" w:rsidR="002B183A" w:rsidRPr="00F52543" w:rsidRDefault="002B183A" w:rsidP="002B183A">
      <w:pPr>
        <w:pStyle w:val="TOCHeading"/>
        <w:tabs>
          <w:tab w:val="left" w:pos="1991"/>
          <w:tab w:val="center" w:pos="4725"/>
          <w:tab w:val="right" w:pos="9450"/>
        </w:tabs>
        <w:rPr>
          <w:rFonts w:ascii="Segoe UI" w:hAnsi="Segoe UI" w:cs="Segoe UI"/>
          <w:b/>
          <w:color w:val="003399"/>
        </w:rPr>
      </w:pPr>
      <w:r w:rsidRPr="00F52543">
        <w:rPr>
          <w:rFonts w:ascii="Segoe UI" w:eastAsia="Arial" w:hAnsi="Segoe UI" w:cs="Segoe UI"/>
          <w:b/>
          <w:color w:val="003399"/>
        </w:rPr>
        <w:lastRenderedPageBreak/>
        <w:t>TABLE OF CONTENTS</w:t>
      </w:r>
    </w:p>
    <w:p>
      <w:pPr>
        <w:pStyle w:val="TOC1"/>
      </w:pPr>
      <w:r>
        <w:rPr>
          <w:noProof/>
        </w:rPr>
        <w:fldChar w:fldCharType="begin"/>
      </w:r>
      <w:r>
        <w:rPr>
          <w:noProof/>
        </w:rPr>
        <w:instrText xml:space="preserve"> TOC \o "1-3" \h \z \u </w:instrText>
      </w:r>
      <w:r>
        <w:rPr>
          <w:noProof/>
        </w:rPr>
        <w:fldChar w:fldCharType="separate"/>
      </w:r>
      <w:hyperlink w:anchor="_Toc300000001" w:history="1">
        <w:r>
          <w:rPr>
            <w:noProof/>
          </w:rPr>
          <w:t>1.</w:t>
        </w:r>
        <w:r>
          <w:rPr>
            <w:noProof/>
          </w:rPr>
          <w:tab/>
        </w:r>
        <w:r>
          <w:rPr>
            <w:noProof/>
          </w:rPr>
          <w:t xml:space="preserve">Document Control</w:t>
        </w:r>
        <w:r>
          <w:rPr>
            <w:noProof/>
            <w:webHidden/>
          </w:rPr>
          <w:tab/>
        </w:r>
        <w:r>
          <w:rPr>
            <w:noProof/>
            <w:webHidden/>
          </w:rPr>
          <w:fldChar w:fldCharType="begin"/>
        </w:r>
        <w:r>
          <w:rPr>
            <w:noProof/>
            <w:webHidden/>
          </w:rPr>
          <w:instrText xml:space="preserve"> PAGEREF _Toc300000001 \h </w:instrText>
        </w:r>
        <w:r>
          <w:rPr>
            <w:noProof/>
            <w:webHidden/>
          </w:rPr>
          <w:fldChar w:fldCharType="separate"/>
        </w:r>
        <w:r>
          <w:rPr>
            <w:noProof/>
            <w:webHidden/>
          </w:rPr>
          <w:t>3</w:t>
        </w:r>
        <w:r>
          <w:rPr>
            <w:noProof/>
            <w:webHidden/>
          </w:rPr>
          <w:fldChar w:fldCharType="end"/>
        </w:r>
      </w:hyperlink>
    </w:p>
    <w:p>
      <w:pPr>
        <w:pStyle w:val="TOC1"/>
      </w:pPr>
      <w:hyperlink w:anchor="_Toc300000002" w:history="1">
        <w:r>
          <w:rPr>
            <w:noProof/>
          </w:rPr>
          <w:t>2.</w:t>
        </w:r>
        <w:r>
          <w:rPr>
            <w:noProof/>
          </w:rPr>
          <w:tab/>
        </w:r>
        <w:r>
          <w:rPr>
            <w:noProof/>
          </w:rPr>
          <w:t xml:space="preserve">Acronyms</w:t>
        </w:r>
        <w:r>
          <w:rPr>
            <w:noProof/>
            <w:webHidden/>
          </w:rPr>
          <w:tab/>
        </w:r>
        <w:r>
          <w:rPr>
            <w:noProof/>
            <w:webHidden/>
          </w:rPr>
          <w:fldChar w:fldCharType="begin"/>
        </w:r>
        <w:r>
          <w:rPr>
            <w:noProof/>
            <w:webHidden/>
          </w:rPr>
          <w:instrText xml:space="preserve"> PAGEREF _Toc300000002 \h </w:instrText>
        </w:r>
        <w:r>
          <w:rPr>
            <w:noProof/>
            <w:webHidden/>
          </w:rPr>
          <w:fldChar w:fldCharType="separate"/>
        </w:r>
        <w:r>
          <w:rPr>
            <w:noProof/>
            <w:webHidden/>
          </w:rPr>
          <w:t>3</w:t>
        </w:r>
        <w:r>
          <w:rPr>
            <w:noProof/>
            <w:webHidden/>
          </w:rPr>
          <w:fldChar w:fldCharType="end"/>
        </w:r>
      </w:hyperlink>
    </w:p>
    <w:p>
      <w:pPr>
        <w:pStyle w:val="TOC1"/>
      </w:pPr>
      <w:hyperlink w:anchor="_Toc300000003" w:history="1">
        <w:r>
          <w:rPr>
            <w:noProof/>
          </w:rPr>
          <w:t>3.</w:t>
        </w:r>
        <w:r>
          <w:rPr>
            <w:noProof/>
          </w:rPr>
          <w:tab/>
        </w:r>
        <w:r>
          <w:rPr>
            <w:noProof/>
          </w:rPr>
          <w:t xml:space="preserve">Introduction</w:t>
        </w:r>
        <w:r>
          <w:rPr>
            <w:noProof/>
            <w:webHidden/>
          </w:rPr>
          <w:tab/>
        </w:r>
        <w:r>
          <w:rPr>
            <w:noProof/>
            <w:webHidden/>
          </w:rPr>
          <w:fldChar w:fldCharType="begin"/>
        </w:r>
        <w:r>
          <w:rPr>
            <w:noProof/>
            <w:webHidden/>
          </w:rPr>
          <w:instrText xml:space="preserve"> PAGEREF _Toc300000003 \h </w:instrText>
        </w:r>
        <w:r>
          <w:rPr>
            <w:noProof/>
            <w:webHidden/>
          </w:rPr>
          <w:fldChar w:fldCharType="separate"/>
        </w:r>
        <w:r>
          <w:rPr>
            <w:noProof/>
            <w:webHidden/>
          </w:rPr>
          <w:t>5</w:t>
        </w:r>
        <w:r>
          <w:rPr>
            <w:noProof/>
            <w:webHidden/>
          </w:rPr>
          <w:fldChar w:fldCharType="end"/>
        </w:r>
      </w:hyperlink>
    </w:p>
    <w:p>
      <w:pPr>
        <w:pStyle w:val="TOC2"/>
      </w:pPr>
      <w:hyperlink w:anchor="_Toc300000004" w:history="1">
        <w:r>
          <w:rPr>
            <w:noProof/>
          </w:rPr>
          <w:t>3.1.</w:t>
        </w:r>
        <w:r>
          <w:rPr>
            <w:noProof/>
          </w:rPr>
          <w:tab/>
        </w:r>
        <w:r>
          <w:rPr>
            <w:noProof/>
          </w:rPr>
          <w:t xml:space="preserve">Purpose</w:t>
        </w:r>
        <w:r>
          <w:rPr>
            <w:noProof/>
            <w:webHidden/>
          </w:rPr>
          <w:tab/>
        </w:r>
        <w:r>
          <w:rPr>
            <w:noProof/>
            <w:webHidden/>
          </w:rPr>
          <w:fldChar w:fldCharType="begin"/>
        </w:r>
        <w:r>
          <w:rPr>
            <w:noProof/>
            <w:webHidden/>
          </w:rPr>
          <w:instrText xml:space="preserve"> PAGEREF _Toc300000004 \h </w:instrText>
        </w:r>
        <w:r>
          <w:rPr>
            <w:noProof/>
            <w:webHidden/>
          </w:rPr>
          <w:fldChar w:fldCharType="separate"/>
        </w:r>
        <w:r>
          <w:rPr>
            <w:noProof/>
            <w:webHidden/>
          </w:rPr>
          <w:t>5</w:t>
        </w:r>
        <w:r>
          <w:rPr>
            <w:noProof/>
            <w:webHidden/>
          </w:rPr>
          <w:fldChar w:fldCharType="end"/>
        </w:r>
      </w:hyperlink>
    </w:p>
    <w:p>
      <w:pPr>
        <w:pStyle w:val="TOC2"/>
      </w:pPr>
      <w:hyperlink w:anchor="_Toc300000005" w:history="1">
        <w:r>
          <w:rPr>
            <w:noProof/>
          </w:rPr>
          <w:t>3.2.</w:t>
        </w:r>
        <w:r>
          <w:rPr>
            <w:noProof/>
          </w:rPr>
          <w:tab/>
        </w:r>
        <w:r>
          <w:rPr>
            <w:noProof/>
          </w:rPr>
          <w:t xml:space="preserve">Scope</w:t>
        </w:r>
        <w:r>
          <w:rPr>
            <w:noProof/>
            <w:webHidden/>
          </w:rPr>
          <w:tab/>
        </w:r>
        <w:r>
          <w:rPr>
            <w:noProof/>
            <w:webHidden/>
          </w:rPr>
          <w:fldChar w:fldCharType="begin"/>
        </w:r>
        <w:r>
          <w:rPr>
            <w:noProof/>
            <w:webHidden/>
          </w:rPr>
          <w:instrText xml:space="preserve"> PAGEREF _Toc300000005 \h </w:instrText>
        </w:r>
        <w:r>
          <w:rPr>
            <w:noProof/>
            <w:webHidden/>
          </w:rPr>
          <w:fldChar w:fldCharType="separate"/>
        </w:r>
        <w:r>
          <w:rPr>
            <w:noProof/>
            <w:webHidden/>
          </w:rPr>
          <w:t>5</w:t>
        </w:r>
        <w:r>
          <w:rPr>
            <w:noProof/>
            <w:webHidden/>
          </w:rPr>
          <w:fldChar w:fldCharType="end"/>
        </w:r>
      </w:hyperlink>
    </w:p>
    <w:p>
      <w:pPr>
        <w:pStyle w:val="TOC2"/>
      </w:pPr>
      <w:hyperlink w:anchor="_Toc300000006" w:history="1">
        <w:r>
          <w:rPr>
            <w:noProof/>
          </w:rPr>
          <w:t>3.3.</w:t>
        </w:r>
        <w:r>
          <w:rPr>
            <w:noProof/>
          </w:rPr>
          <w:tab/>
        </w:r>
        <w:r>
          <w:rPr>
            <w:noProof/>
          </w:rPr>
          <w:t xml:space="preserve">Audience</w:t>
        </w:r>
        <w:r>
          <w:rPr>
            <w:noProof/>
            <w:webHidden/>
          </w:rPr>
          <w:tab/>
        </w:r>
        <w:r>
          <w:rPr>
            <w:noProof/>
            <w:webHidden/>
          </w:rPr>
          <w:fldChar w:fldCharType="begin"/>
        </w:r>
        <w:r>
          <w:rPr>
            <w:noProof/>
            <w:webHidden/>
          </w:rPr>
          <w:instrText xml:space="preserve"> PAGEREF _Toc300000006 \h </w:instrText>
        </w:r>
        <w:r>
          <w:rPr>
            <w:noProof/>
            <w:webHidden/>
          </w:rPr>
          <w:fldChar w:fldCharType="separate"/>
        </w:r>
        <w:r>
          <w:rPr>
            <w:noProof/>
            <w:webHidden/>
          </w:rPr>
          <w:t>5</w:t>
        </w:r>
        <w:r>
          <w:rPr>
            <w:noProof/>
            <w:webHidden/>
          </w:rPr>
          <w:fldChar w:fldCharType="end"/>
        </w:r>
      </w:hyperlink>
    </w:p>
    <w:p>
      <w:pPr>
        <w:pStyle w:val="TOC2"/>
      </w:pPr>
      <w:hyperlink w:anchor="_Toc300000007" w:history="1">
        <w:r>
          <w:rPr>
            <w:noProof/>
          </w:rPr>
          <w:t>3.4.</w:t>
        </w:r>
        <w:r>
          <w:rPr>
            <w:noProof/>
          </w:rPr>
          <w:tab/>
        </w:r>
        <w:r>
          <w:rPr>
            <w:noProof/>
          </w:rPr>
          <w:t xml:space="preserve">Related documents</w:t>
        </w:r>
        <w:r>
          <w:rPr>
            <w:noProof/>
            <w:webHidden/>
          </w:rPr>
          <w:tab/>
        </w:r>
        <w:r>
          <w:rPr>
            <w:noProof/>
            <w:webHidden/>
          </w:rPr>
          <w:fldChar w:fldCharType="begin"/>
        </w:r>
        <w:r>
          <w:rPr>
            <w:noProof/>
            <w:webHidden/>
          </w:rPr>
          <w:instrText xml:space="preserve"> PAGEREF _Toc300000007 \h </w:instrText>
        </w:r>
        <w:r>
          <w:rPr>
            <w:noProof/>
            <w:webHidden/>
          </w:rPr>
          <w:fldChar w:fldCharType="separate"/>
        </w:r>
        <w:r>
          <w:rPr>
            <w:noProof/>
            <w:webHidden/>
          </w:rPr>
          <w:t>5</w:t>
        </w:r>
        <w:r>
          <w:rPr>
            <w:noProof/>
            <w:webHidden/>
          </w:rPr>
          <w:fldChar w:fldCharType="end"/>
        </w:r>
      </w:hyperlink>
    </w:p>
    <w:p>
      <w:pPr>
        <w:pStyle w:val="TOC1"/>
      </w:pPr>
      <w:hyperlink w:anchor="_Toc300000008" w:history="1">
        <w:r>
          <w:rPr>
            <w:noProof/>
          </w:rPr>
          <w:t>4.</w:t>
        </w:r>
        <w:r>
          <w:rPr>
            <w:noProof/>
          </w:rPr>
          <w:tab/>
        </w:r>
        <w:r>
          <w:rPr>
            <w:noProof/>
          </w:rPr>
          <w:t xml:space="preserve">Assets and security objectives</w:t>
        </w:r>
        <w:r>
          <w:rPr>
            <w:noProof/>
            <w:webHidden/>
          </w:rPr>
          <w:tab/>
        </w:r>
        <w:r>
          <w:rPr>
            <w:noProof/>
            <w:webHidden/>
          </w:rPr>
          <w:fldChar w:fldCharType="begin"/>
        </w:r>
        <w:r>
          <w:rPr>
            <w:noProof/>
            <w:webHidden/>
          </w:rPr>
          <w:instrText xml:space="preserve"> PAGEREF _Toc300000008 \h </w:instrText>
        </w:r>
        <w:r>
          <w:rPr>
            <w:noProof/>
            <w:webHidden/>
          </w:rPr>
          <w:fldChar w:fldCharType="separate"/>
        </w:r>
        <w:r>
          <w:rPr>
            <w:noProof/>
            <w:webHidden/>
          </w:rPr>
          <w:t>5</w:t>
        </w:r>
        <w:r>
          <w:rPr>
            <w:noProof/>
            <w:webHidden/>
          </w:rPr>
          <w:fldChar w:fldCharType="end"/>
        </w:r>
      </w:hyperlink>
    </w:p>
    <w:p>
      <w:pPr>
        <w:pStyle w:val="TOC1"/>
      </w:pPr>
      <w:hyperlink w:anchor="_Toc300000009" w:history="1">
        <w:r>
          <w:rPr>
            <w:noProof/>
          </w:rPr>
          <w:t>5.</w:t>
        </w:r>
        <w:r>
          <w:rPr>
            <w:noProof/>
          </w:rPr>
          <w:tab/>
        </w:r>
        <w:r>
          <w:rPr>
            <w:noProof/>
          </w:rPr>
          <w:t xml:space="preserve">Trust boundaries and zero trust</w:t>
        </w:r>
        <w:r>
          <w:rPr>
            <w:noProof/>
            <w:webHidden/>
          </w:rPr>
          <w:tab/>
        </w:r>
        <w:r>
          <w:rPr>
            <w:noProof/>
            <w:webHidden/>
          </w:rPr>
          <w:fldChar w:fldCharType="begin"/>
        </w:r>
        <w:r>
          <w:rPr>
            <w:noProof/>
            <w:webHidden/>
          </w:rPr>
          <w:instrText xml:space="preserve"> PAGEREF _Toc300000009 \h </w:instrText>
        </w:r>
        <w:r>
          <w:rPr>
            <w:noProof/>
            <w:webHidden/>
          </w:rPr>
          <w:fldChar w:fldCharType="separate"/>
        </w:r>
        <w:r>
          <w:rPr>
            <w:noProof/>
            <w:webHidden/>
          </w:rPr>
          <w:t>6</w:t>
        </w:r>
        <w:r>
          <w:rPr>
            <w:noProof/>
            <w:webHidden/>
          </w:rPr>
          <w:fldChar w:fldCharType="end"/>
        </w:r>
      </w:hyperlink>
    </w:p>
    <w:p>
      <w:pPr>
        <w:pStyle w:val="TOC2"/>
      </w:pPr>
      <w:hyperlink w:anchor="_Toc300000010" w:history="1">
        <w:r>
          <w:rPr>
            <w:noProof/>
          </w:rPr>
          <w:t>5.1.</w:t>
        </w:r>
        <w:r>
          <w:rPr>
            <w:noProof/>
          </w:rPr>
          <w:tab/>
        </w:r>
        <w:r>
          <w:rPr>
            <w:noProof/>
          </w:rPr>
          <w:t xml:space="preserve">Trust boundaries</w:t>
        </w:r>
        <w:r>
          <w:rPr>
            <w:noProof/>
            <w:webHidden/>
          </w:rPr>
          <w:tab/>
        </w:r>
        <w:r>
          <w:rPr>
            <w:noProof/>
            <w:webHidden/>
          </w:rPr>
          <w:fldChar w:fldCharType="begin"/>
        </w:r>
        <w:r>
          <w:rPr>
            <w:noProof/>
            <w:webHidden/>
          </w:rPr>
          <w:instrText xml:space="preserve"> PAGEREF _Toc300000010 \h </w:instrText>
        </w:r>
        <w:r>
          <w:rPr>
            <w:noProof/>
            <w:webHidden/>
          </w:rPr>
          <w:fldChar w:fldCharType="separate"/>
        </w:r>
        <w:r>
          <w:rPr>
            <w:noProof/>
            <w:webHidden/>
          </w:rPr>
          <w:t>6</w:t>
        </w:r>
        <w:r>
          <w:rPr>
            <w:noProof/>
            <w:webHidden/>
          </w:rPr>
          <w:fldChar w:fldCharType="end"/>
        </w:r>
      </w:hyperlink>
    </w:p>
    <w:p>
      <w:pPr>
        <w:pStyle w:val="TOC2"/>
      </w:pPr>
      <w:hyperlink w:anchor="_Toc300000011" w:history="1">
        <w:r>
          <w:rPr>
            <w:noProof/>
          </w:rPr>
          <w:t>5.2.</w:t>
        </w:r>
        <w:r>
          <w:rPr>
            <w:noProof/>
          </w:rPr>
          <w:tab/>
        </w:r>
        <w:r>
          <w:rPr>
            <w:noProof/>
          </w:rPr>
          <w:t xml:space="preserve">Zero-trust controls</w:t>
        </w:r>
        <w:r>
          <w:rPr>
            <w:noProof/>
            <w:webHidden/>
          </w:rPr>
          <w:tab/>
        </w:r>
        <w:r>
          <w:rPr>
            <w:noProof/>
            <w:webHidden/>
          </w:rPr>
          <w:fldChar w:fldCharType="begin"/>
        </w:r>
        <w:r>
          <w:rPr>
            <w:noProof/>
            <w:webHidden/>
          </w:rPr>
          <w:instrText xml:space="preserve"> PAGEREF _Toc300000011 \h </w:instrText>
        </w:r>
        <w:r>
          <w:rPr>
            <w:noProof/>
            <w:webHidden/>
          </w:rPr>
          <w:fldChar w:fldCharType="separate"/>
        </w:r>
        <w:r>
          <w:rPr>
            <w:noProof/>
            <w:webHidden/>
          </w:rPr>
          <w:t>7</w:t>
        </w:r>
        <w:r>
          <w:rPr>
            <w:noProof/>
            <w:webHidden/>
          </w:rPr>
          <w:fldChar w:fldCharType="end"/>
        </w:r>
      </w:hyperlink>
    </w:p>
    <w:p>
      <w:pPr>
        <w:pStyle w:val="TOC1"/>
      </w:pPr>
      <w:hyperlink w:anchor="_Toc300000012" w:history="1">
        <w:r>
          <w:rPr>
            <w:noProof/>
          </w:rPr>
          <w:t>6.</w:t>
        </w:r>
        <w:r>
          <w:rPr>
            <w:noProof/>
          </w:rPr>
          <w:tab/>
        </w:r>
        <w:r>
          <w:rPr>
            <w:noProof/>
          </w:rPr>
          <w:t xml:space="preserve">Threat model</w:t>
        </w:r>
        <w:r>
          <w:rPr>
            <w:noProof/>
            <w:webHidden/>
          </w:rPr>
          <w:tab/>
        </w:r>
        <w:r>
          <w:rPr>
            <w:noProof/>
            <w:webHidden/>
          </w:rPr>
          <w:fldChar w:fldCharType="begin"/>
        </w:r>
        <w:r>
          <w:rPr>
            <w:noProof/>
            <w:webHidden/>
          </w:rPr>
          <w:instrText xml:space="preserve"> PAGEREF _Toc300000012 \h </w:instrText>
        </w:r>
        <w:r>
          <w:rPr>
            <w:noProof/>
            <w:webHidden/>
          </w:rPr>
          <w:fldChar w:fldCharType="separate"/>
        </w:r>
        <w:r>
          <w:rPr>
            <w:noProof/>
            <w:webHidden/>
          </w:rPr>
          <w:t>7</w:t>
        </w:r>
        <w:r>
          <w:rPr>
            <w:noProof/>
            <w:webHidden/>
          </w:rPr>
          <w:fldChar w:fldCharType="end"/>
        </w:r>
      </w:hyperlink>
    </w:p>
    <w:p>
      <w:pPr>
        <w:pStyle w:val="TOC1"/>
      </w:pPr>
      <w:hyperlink w:anchor="_Toc300000013" w:history="1">
        <w:r>
          <w:rPr>
            <w:noProof/>
          </w:rPr>
          <w:t>7.</w:t>
        </w:r>
        <w:r>
          <w:rPr>
            <w:noProof/>
          </w:rPr>
          <w:tab/>
        </w:r>
        <w:r>
          <w:rPr>
            <w:noProof/>
          </w:rPr>
          <w:t xml:space="preserve">Identity and authentication</w:t>
        </w:r>
        <w:r>
          <w:rPr>
            <w:noProof/>
            <w:webHidden/>
          </w:rPr>
          <w:tab/>
        </w:r>
        <w:r>
          <w:rPr>
            <w:noProof/>
            <w:webHidden/>
          </w:rPr>
          <w:fldChar w:fldCharType="begin"/>
        </w:r>
        <w:r>
          <w:rPr>
            <w:noProof/>
            <w:webHidden/>
          </w:rPr>
          <w:instrText xml:space="preserve"> PAGEREF _Toc300000013 \h </w:instrText>
        </w:r>
        <w:r>
          <w:rPr>
            <w:noProof/>
            <w:webHidden/>
          </w:rPr>
          <w:fldChar w:fldCharType="separate"/>
        </w:r>
        <w:r>
          <w:rPr>
            <w:noProof/>
            <w:webHidden/>
          </w:rPr>
          <w:t>9</w:t>
        </w:r>
        <w:r>
          <w:rPr>
            <w:noProof/>
            <w:webHidden/>
          </w:rPr>
          <w:fldChar w:fldCharType="end"/>
        </w:r>
      </w:hyperlink>
    </w:p>
    <w:p>
      <w:pPr>
        <w:pStyle w:val="TOC1"/>
      </w:pPr>
      <w:hyperlink w:anchor="_Toc300000014" w:history="1">
        <w:r>
          <w:rPr>
            <w:noProof/>
          </w:rPr>
          <w:t>8.</w:t>
        </w:r>
        <w:r>
          <w:rPr>
            <w:noProof/>
          </w:rPr>
          <w:tab/>
        </w:r>
        <w:r>
          <w:rPr>
            <w:noProof/>
          </w:rPr>
          <w:t xml:space="preserve">Authorisation</w:t>
        </w:r>
        <w:r>
          <w:rPr>
            <w:noProof/>
            <w:webHidden/>
          </w:rPr>
          <w:tab/>
        </w:r>
        <w:r>
          <w:rPr>
            <w:noProof/>
            <w:webHidden/>
          </w:rPr>
          <w:fldChar w:fldCharType="begin"/>
        </w:r>
        <w:r>
          <w:rPr>
            <w:noProof/>
            <w:webHidden/>
          </w:rPr>
          <w:instrText xml:space="preserve"> PAGEREF _Toc300000014 \h </w:instrText>
        </w:r>
        <w:r>
          <w:rPr>
            <w:noProof/>
            <w:webHidden/>
          </w:rPr>
          <w:fldChar w:fldCharType="separate"/>
        </w:r>
        <w:r>
          <w:rPr>
            <w:noProof/>
            <w:webHidden/>
          </w:rPr>
          <w:t>9</w:t>
        </w:r>
        <w:r>
          <w:rPr>
            <w:noProof/>
            <w:webHidden/>
          </w:rPr>
          <w:fldChar w:fldCharType="end"/>
        </w:r>
      </w:hyperlink>
    </w:p>
    <w:p>
      <w:pPr>
        <w:pStyle w:val="TOC2"/>
      </w:pPr>
      <w:hyperlink w:anchor="_Toc300000015" w:history="1">
        <w:r>
          <w:rPr>
            <w:noProof/>
          </w:rPr>
          <w:t>8.1.</w:t>
        </w:r>
        <w:r>
          <w:rPr>
            <w:noProof/>
          </w:rPr>
          <w:tab/>
        </w:r>
        <w:r>
          <w:rPr>
            <w:noProof/>
          </w:rPr>
          <w:t xml:space="preserve">Roles and capabilities</w:t>
        </w:r>
        <w:r>
          <w:rPr>
            <w:noProof/>
            <w:webHidden/>
          </w:rPr>
          <w:tab/>
        </w:r>
        <w:r>
          <w:rPr>
            <w:noProof/>
            <w:webHidden/>
          </w:rPr>
          <w:fldChar w:fldCharType="begin"/>
        </w:r>
        <w:r>
          <w:rPr>
            <w:noProof/>
            <w:webHidden/>
          </w:rPr>
          <w:instrText xml:space="preserve"> PAGEREF _Toc300000015 \h </w:instrText>
        </w:r>
        <w:r>
          <w:rPr>
            <w:noProof/>
            <w:webHidden/>
          </w:rPr>
          <w:fldChar w:fldCharType="separate"/>
        </w:r>
        <w:r>
          <w:rPr>
            <w:noProof/>
            <w:webHidden/>
          </w:rPr>
          <w:t>10</w:t>
        </w:r>
        <w:r>
          <w:rPr>
            <w:noProof/>
            <w:webHidden/>
          </w:rPr>
          <w:fldChar w:fldCharType="end"/>
        </w:r>
      </w:hyperlink>
    </w:p>
    <w:p>
      <w:pPr>
        <w:pStyle w:val="TOC2"/>
      </w:pPr>
      <w:hyperlink w:anchor="_Toc300000016" w:history="1">
        <w:r>
          <w:rPr>
            <w:noProof/>
          </w:rPr>
          <w:t>8.2.</w:t>
        </w:r>
        <w:r>
          <w:rPr>
            <w:noProof/>
          </w:rPr>
          <w:tab/>
        </w:r>
        <w:r>
          <w:rPr>
            <w:noProof/>
          </w:rPr>
          <w:t xml:space="preserve">Permissions</w:t>
        </w:r>
        <w:r>
          <w:rPr>
            <w:noProof/>
            <w:webHidden/>
          </w:rPr>
          <w:tab/>
        </w:r>
        <w:r>
          <w:rPr>
            <w:noProof/>
            <w:webHidden/>
          </w:rPr>
          <w:fldChar w:fldCharType="begin"/>
        </w:r>
        <w:r>
          <w:rPr>
            <w:noProof/>
            <w:webHidden/>
          </w:rPr>
          <w:instrText xml:space="preserve"> PAGEREF _Toc300000016 \h </w:instrText>
        </w:r>
        <w:r>
          <w:rPr>
            <w:noProof/>
            <w:webHidden/>
          </w:rPr>
          <w:fldChar w:fldCharType="separate"/>
        </w:r>
        <w:r>
          <w:rPr>
            <w:noProof/>
            <w:webHidden/>
          </w:rPr>
          <w:t>10</w:t>
        </w:r>
        <w:r>
          <w:rPr>
            <w:noProof/>
            <w:webHidden/>
          </w:rPr>
          <w:fldChar w:fldCharType="end"/>
        </w:r>
      </w:hyperlink>
    </w:p>
    <w:p>
      <w:pPr>
        <w:pStyle w:val="TOC2"/>
      </w:pPr>
      <w:hyperlink w:anchor="_Toc300000017" w:history="1">
        <w:r>
          <w:rPr>
            <w:noProof/>
          </w:rPr>
          <w:t>8.3.</w:t>
        </w:r>
        <w:r>
          <w:rPr>
            <w:noProof/>
          </w:rPr>
          <w:tab/>
        </w:r>
        <w:r>
          <w:rPr>
            <w:noProof/>
          </w:rPr>
          <w:t xml:space="preserve">Separation of duties</w:t>
        </w:r>
        <w:r>
          <w:rPr>
            <w:noProof/>
            <w:webHidden/>
          </w:rPr>
          <w:tab/>
        </w:r>
        <w:r>
          <w:rPr>
            <w:noProof/>
            <w:webHidden/>
          </w:rPr>
          <w:fldChar w:fldCharType="begin"/>
        </w:r>
        <w:r>
          <w:rPr>
            <w:noProof/>
            <w:webHidden/>
          </w:rPr>
          <w:instrText xml:space="preserve"> PAGEREF _Toc300000017 \h </w:instrText>
        </w:r>
        <w:r>
          <w:rPr>
            <w:noProof/>
            <w:webHidden/>
          </w:rPr>
          <w:fldChar w:fldCharType="separate"/>
        </w:r>
        <w:r>
          <w:rPr>
            <w:noProof/>
            <w:webHidden/>
          </w:rPr>
          <w:t>11</w:t>
        </w:r>
        <w:r>
          <w:rPr>
            <w:noProof/>
            <w:webHidden/>
          </w:rPr>
          <w:fldChar w:fldCharType="end"/>
        </w:r>
      </w:hyperlink>
    </w:p>
    <w:p>
      <w:pPr>
        <w:pStyle w:val="TOC2"/>
      </w:pPr>
      <w:hyperlink w:anchor="_Toc300000018" w:history="1">
        <w:r>
          <w:rPr>
            <w:noProof/>
          </w:rPr>
          <w:t>8.4.</w:t>
        </w:r>
        <w:r>
          <w:rPr>
            <w:noProof/>
          </w:rPr>
          <w:tab/>
        </w:r>
        <w:r>
          <w:rPr>
            <w:noProof/>
          </w:rPr>
          <w:t xml:space="preserve">Attribute-based policies</w:t>
        </w:r>
        <w:r>
          <w:rPr>
            <w:noProof/>
            <w:webHidden/>
          </w:rPr>
          <w:tab/>
        </w:r>
        <w:r>
          <w:rPr>
            <w:noProof/>
            <w:webHidden/>
          </w:rPr>
          <w:fldChar w:fldCharType="begin"/>
        </w:r>
        <w:r>
          <w:rPr>
            <w:noProof/>
            <w:webHidden/>
          </w:rPr>
          <w:instrText xml:space="preserve"> PAGEREF _Toc300000018 \h </w:instrText>
        </w:r>
        <w:r>
          <w:rPr>
            <w:noProof/>
            <w:webHidden/>
          </w:rPr>
          <w:fldChar w:fldCharType="separate"/>
        </w:r>
        <w:r>
          <w:rPr>
            <w:noProof/>
            <w:webHidden/>
          </w:rPr>
          <w:t>12</w:t>
        </w:r>
        <w:r>
          <w:rPr>
            <w:noProof/>
            <w:webHidden/>
          </w:rPr>
          <w:fldChar w:fldCharType="end"/>
        </w:r>
      </w:hyperlink>
    </w:p>
    <w:p>
      <w:pPr>
        <w:pStyle w:val="TOC2"/>
      </w:pPr>
      <w:hyperlink w:anchor="_Toc300000019" w:history="1">
        <w:r>
          <w:rPr>
            <w:noProof/>
          </w:rPr>
          <w:t>8.5.</w:t>
        </w:r>
        <w:r>
          <w:rPr>
            <w:noProof/>
          </w:rPr>
          <w:tab/>
        </w:r>
        <w:r>
          <w:rPr>
            <w:noProof/>
          </w:rPr>
          <w:t xml:space="preserve">Masking</w:t>
        </w:r>
        <w:r>
          <w:rPr>
            <w:noProof/>
            <w:webHidden/>
          </w:rPr>
          <w:tab/>
        </w:r>
        <w:r>
          <w:rPr>
            <w:noProof/>
            <w:webHidden/>
          </w:rPr>
          <w:fldChar w:fldCharType="begin"/>
        </w:r>
        <w:r>
          <w:rPr>
            <w:noProof/>
            <w:webHidden/>
          </w:rPr>
          <w:instrText xml:space="preserve"> PAGEREF _Toc300000019 \h </w:instrText>
        </w:r>
        <w:r>
          <w:rPr>
            <w:noProof/>
            <w:webHidden/>
          </w:rPr>
          <w:fldChar w:fldCharType="separate"/>
        </w:r>
        <w:r>
          <w:rPr>
            <w:noProof/>
            <w:webHidden/>
          </w:rPr>
          <w:t>12</w:t>
        </w:r>
        <w:r>
          <w:rPr>
            <w:noProof/>
            <w:webHidden/>
          </w:rPr>
          <w:fldChar w:fldCharType="end"/>
        </w:r>
      </w:hyperlink>
    </w:p>
    <w:p>
      <w:pPr>
        <w:pStyle w:val="TOC1"/>
      </w:pPr>
      <w:hyperlink w:anchor="_Toc300000020" w:history="1">
        <w:r>
          <w:rPr>
            <w:noProof/>
          </w:rPr>
          <w:t>9.</w:t>
        </w:r>
        <w:r>
          <w:rPr>
            <w:noProof/>
          </w:rPr>
          <w:tab/>
        </w:r>
        <w:r>
          <w:rPr>
            <w:noProof/>
          </w:rPr>
          <w:t xml:space="preserve">Data protection and cryptography</w:t>
        </w:r>
        <w:r>
          <w:rPr>
            <w:noProof/>
            <w:webHidden/>
          </w:rPr>
          <w:tab/>
        </w:r>
        <w:r>
          <w:rPr>
            <w:noProof/>
            <w:webHidden/>
          </w:rPr>
          <w:fldChar w:fldCharType="begin"/>
        </w:r>
        <w:r>
          <w:rPr>
            <w:noProof/>
            <w:webHidden/>
          </w:rPr>
          <w:instrText xml:space="preserve"> PAGEREF _Toc300000020 \h </w:instrText>
        </w:r>
        <w:r>
          <w:rPr>
            <w:noProof/>
            <w:webHidden/>
          </w:rPr>
          <w:fldChar w:fldCharType="separate"/>
        </w:r>
        <w:r>
          <w:rPr>
            <w:noProof/>
            <w:webHidden/>
          </w:rPr>
          <w:t>12</w:t>
        </w:r>
        <w:r>
          <w:rPr>
            <w:noProof/>
            <w:webHidden/>
          </w:rPr>
          <w:fldChar w:fldCharType="end"/>
        </w:r>
      </w:hyperlink>
    </w:p>
    <w:p>
      <w:pPr>
        <w:pStyle w:val="TOC1"/>
      </w:pPr>
      <w:hyperlink w:anchor="_Toc300000021" w:history="1">
        <w:r>
          <w:rPr>
            <w:noProof/>
          </w:rPr>
          <w:t>10.</w:t>
        </w:r>
        <w:r>
          <w:rPr>
            <w:noProof/>
          </w:rPr>
          <w:tab/>
        </w:r>
        <w:r>
          <w:rPr>
            <w:noProof/>
          </w:rPr>
          <w:t xml:space="preserve">Data-subject requests</w:t>
        </w:r>
        <w:r>
          <w:rPr>
            <w:noProof/>
            <w:webHidden/>
          </w:rPr>
          <w:tab/>
        </w:r>
        <w:r>
          <w:rPr>
            <w:noProof/>
            <w:webHidden/>
          </w:rPr>
          <w:fldChar w:fldCharType="begin"/>
        </w:r>
        <w:r>
          <w:rPr>
            <w:noProof/>
            <w:webHidden/>
          </w:rPr>
          <w:instrText xml:space="preserve"> PAGEREF _Toc300000021 \h </w:instrText>
        </w:r>
        <w:r>
          <w:rPr>
            <w:noProof/>
            <w:webHidden/>
          </w:rPr>
          <w:fldChar w:fldCharType="separate"/>
        </w:r>
        <w:r>
          <w:rPr>
            <w:noProof/>
            <w:webHidden/>
          </w:rPr>
          <w:t>13</w:t>
        </w:r>
        <w:r>
          <w:rPr>
            <w:noProof/>
            <w:webHidden/>
          </w:rPr>
          <w:fldChar w:fldCharType="end"/>
        </w:r>
      </w:hyperlink>
    </w:p>
    <w:p>
      <w:pPr>
        <w:pStyle w:val="TOC2"/>
      </w:pPr>
      <w:hyperlink w:anchor="_Toc300000022" w:history="1">
        <w:r>
          <w:rPr>
            <w:noProof/>
          </w:rPr>
          <w:t>10.1.</w:t>
        </w:r>
        <w:r>
          <w:rPr>
            <w:noProof/>
          </w:rPr>
          <w:tab/>
        </w:r>
        <w:r>
          <w:rPr>
            <w:noProof/>
          </w:rPr>
          <w:t xml:space="preserve">Process</w:t>
        </w:r>
        <w:r>
          <w:rPr>
            <w:noProof/>
            <w:webHidden/>
          </w:rPr>
          <w:tab/>
        </w:r>
        <w:r>
          <w:rPr>
            <w:noProof/>
            <w:webHidden/>
          </w:rPr>
          <w:fldChar w:fldCharType="begin"/>
        </w:r>
        <w:r>
          <w:rPr>
            <w:noProof/>
            <w:webHidden/>
          </w:rPr>
          <w:instrText xml:space="preserve"> PAGEREF _Toc300000022 \h </w:instrText>
        </w:r>
        <w:r>
          <w:rPr>
            <w:noProof/>
            <w:webHidden/>
          </w:rPr>
          <w:fldChar w:fldCharType="separate"/>
        </w:r>
        <w:r>
          <w:rPr>
            <w:noProof/>
            <w:webHidden/>
          </w:rPr>
          <w:t>13</w:t>
        </w:r>
        <w:r>
          <w:rPr>
            <w:noProof/>
            <w:webHidden/>
          </w:rPr>
          <w:fldChar w:fldCharType="end"/>
        </w:r>
      </w:hyperlink>
    </w:p>
    <w:p>
      <w:pPr>
        <w:pStyle w:val="TOC2"/>
      </w:pPr>
      <w:hyperlink w:anchor="_Toc300000023" w:history="1">
        <w:r>
          <w:rPr>
            <w:noProof/>
          </w:rPr>
          <w:t>10.2.</w:t>
        </w:r>
        <w:r>
          <w:rPr>
            <w:noProof/>
          </w:rPr>
          <w:tab/>
        </w:r>
        <w:r>
          <w:rPr>
            <w:noProof/>
          </w:rPr>
          <w:t xml:space="preserve">Monitoring and audit</w:t>
        </w:r>
        <w:r>
          <w:rPr>
            <w:noProof/>
            <w:webHidden/>
          </w:rPr>
          <w:tab/>
        </w:r>
        <w:r>
          <w:rPr>
            <w:noProof/>
            <w:webHidden/>
          </w:rPr>
          <w:fldChar w:fldCharType="begin"/>
        </w:r>
        <w:r>
          <w:rPr>
            <w:noProof/>
            <w:webHidden/>
          </w:rPr>
          <w:instrText xml:space="preserve"> PAGEREF _Toc300000023 \h </w:instrText>
        </w:r>
        <w:r>
          <w:rPr>
            <w:noProof/>
            <w:webHidden/>
          </w:rPr>
          <w:fldChar w:fldCharType="separate"/>
        </w:r>
        <w:r>
          <w:rPr>
            <w:noProof/>
            <w:webHidden/>
          </w:rPr>
          <w:t>14</w:t>
        </w:r>
        <w:r>
          <w:rPr>
            <w:noProof/>
            <w:webHidden/>
          </w:rPr>
          <w:fldChar w:fldCharType="end"/>
        </w:r>
      </w:hyperlink>
    </w:p>
    <w:p>
      <w:pPr>
        <w:pStyle w:val="TOC1"/>
      </w:pPr>
      <w:hyperlink w:anchor="_Toc300000024" w:history="1">
        <w:r>
          <w:rPr>
            <w:noProof/>
          </w:rPr>
          <w:t>11.</w:t>
        </w:r>
        <w:r>
          <w:rPr>
            <w:noProof/>
          </w:rPr>
          <w:tab/>
        </w:r>
        <w:r>
          <w:rPr>
            <w:noProof/>
          </w:rPr>
          <w:t xml:space="preserve">Application security</w:t>
        </w:r>
        <w:r>
          <w:rPr>
            <w:noProof/>
            <w:webHidden/>
          </w:rPr>
          <w:tab/>
        </w:r>
        <w:r>
          <w:rPr>
            <w:noProof/>
            <w:webHidden/>
          </w:rPr>
          <w:fldChar w:fldCharType="begin"/>
        </w:r>
        <w:r>
          <w:rPr>
            <w:noProof/>
            <w:webHidden/>
          </w:rPr>
          <w:instrText xml:space="preserve"> PAGEREF _Toc300000024 \h </w:instrText>
        </w:r>
        <w:r>
          <w:rPr>
            <w:noProof/>
            <w:webHidden/>
          </w:rPr>
          <w:fldChar w:fldCharType="separate"/>
        </w:r>
        <w:r>
          <w:rPr>
            <w:noProof/>
            <w:webHidden/>
          </w:rPr>
          <w:t>15</w:t>
        </w:r>
        <w:r>
          <w:rPr>
            <w:noProof/>
            <w:webHidden/>
          </w:rPr>
          <w:fldChar w:fldCharType="end"/>
        </w:r>
      </w:hyperlink>
    </w:p>
    <w:p>
      <w:pPr>
        <w:pStyle w:val="TOC2"/>
      </w:pPr>
      <w:hyperlink w:anchor="_Toc300000025" w:history="1">
        <w:r>
          <w:rPr>
            <w:noProof/>
          </w:rPr>
          <w:t>11.1.</w:t>
        </w:r>
        <w:r>
          <w:rPr>
            <w:noProof/>
          </w:rPr>
          <w:tab/>
        </w:r>
        <w:r>
          <w:rPr>
            <w:noProof/>
          </w:rPr>
          <w:t xml:space="preserve">Input, data access and output</w:t>
        </w:r>
        <w:r>
          <w:rPr>
            <w:noProof/>
            <w:webHidden/>
          </w:rPr>
          <w:tab/>
        </w:r>
        <w:r>
          <w:rPr>
            <w:noProof/>
            <w:webHidden/>
          </w:rPr>
          <w:fldChar w:fldCharType="begin"/>
        </w:r>
        <w:r>
          <w:rPr>
            <w:noProof/>
            <w:webHidden/>
          </w:rPr>
          <w:instrText xml:space="preserve"> PAGEREF _Toc300000025 \h </w:instrText>
        </w:r>
        <w:r>
          <w:rPr>
            <w:noProof/>
            <w:webHidden/>
          </w:rPr>
          <w:fldChar w:fldCharType="separate"/>
        </w:r>
        <w:r>
          <w:rPr>
            <w:noProof/>
            <w:webHidden/>
          </w:rPr>
          <w:t>15</w:t>
        </w:r>
        <w:r>
          <w:rPr>
            <w:noProof/>
            <w:webHidden/>
          </w:rPr>
          <w:fldChar w:fldCharType="end"/>
        </w:r>
      </w:hyperlink>
    </w:p>
    <w:p>
      <w:pPr>
        <w:pStyle w:val="TOC2"/>
      </w:pPr>
      <w:hyperlink w:anchor="_Toc300000026" w:history="1">
        <w:r>
          <w:rPr>
            <w:noProof/>
          </w:rPr>
          <w:t>11.2.</w:t>
        </w:r>
        <w:r>
          <w:rPr>
            <w:noProof/>
          </w:rPr>
          <w:tab/>
        </w:r>
        <w:r>
          <w:rPr>
            <w:noProof/>
          </w:rPr>
          <w:t xml:space="preserve">OWASP Top 10 (2021)</w:t>
        </w:r>
        <w:r>
          <w:rPr>
            <w:noProof/>
            <w:webHidden/>
          </w:rPr>
          <w:tab/>
        </w:r>
        <w:r>
          <w:rPr>
            <w:noProof/>
            <w:webHidden/>
          </w:rPr>
          <w:fldChar w:fldCharType="begin"/>
        </w:r>
        <w:r>
          <w:rPr>
            <w:noProof/>
            <w:webHidden/>
          </w:rPr>
          <w:instrText xml:space="preserve"> PAGEREF _Toc300000026 \h </w:instrText>
        </w:r>
        <w:r>
          <w:rPr>
            <w:noProof/>
            <w:webHidden/>
          </w:rPr>
          <w:fldChar w:fldCharType="separate"/>
        </w:r>
        <w:r>
          <w:rPr>
            <w:noProof/>
            <w:webHidden/>
          </w:rPr>
          <w:t>15</w:t>
        </w:r>
        <w:r>
          <w:rPr>
            <w:noProof/>
            <w:webHidden/>
          </w:rPr>
          <w:fldChar w:fldCharType="end"/>
        </w:r>
      </w:hyperlink>
    </w:p>
    <w:p>
      <w:pPr>
        <w:pStyle w:val="TOC2"/>
      </w:pPr>
      <w:hyperlink w:anchor="_Toc300000027" w:history="1">
        <w:r>
          <w:rPr>
            <w:noProof/>
          </w:rPr>
          <w:t>11.3.</w:t>
        </w:r>
        <w:r>
          <w:rPr>
            <w:noProof/>
          </w:rPr>
          <w:tab/>
        </w:r>
        <w:r>
          <w:rPr>
            <w:noProof/>
          </w:rPr>
          <w:t xml:space="preserve">OWASP ASVS Level 2 summary</w:t>
        </w:r>
        <w:r>
          <w:rPr>
            <w:noProof/>
            <w:webHidden/>
          </w:rPr>
          <w:tab/>
        </w:r>
        <w:r>
          <w:rPr>
            <w:noProof/>
            <w:webHidden/>
          </w:rPr>
          <w:fldChar w:fldCharType="begin"/>
        </w:r>
        <w:r>
          <w:rPr>
            <w:noProof/>
            <w:webHidden/>
          </w:rPr>
          <w:instrText xml:space="preserve"> PAGEREF _Toc300000027 \h </w:instrText>
        </w:r>
        <w:r>
          <w:rPr>
            <w:noProof/>
            <w:webHidden/>
          </w:rPr>
          <w:fldChar w:fldCharType="separate"/>
        </w:r>
        <w:r>
          <w:rPr>
            <w:noProof/>
            <w:webHidden/>
          </w:rPr>
          <w:t>16</w:t>
        </w:r>
        <w:r>
          <w:rPr>
            <w:noProof/>
            <w:webHidden/>
          </w:rPr>
          <w:fldChar w:fldCharType="end"/>
        </w:r>
      </w:hyperlink>
    </w:p>
    <w:p>
      <w:pPr>
        <w:pStyle w:val="TOC1"/>
      </w:pPr>
      <w:hyperlink w:anchor="_Toc300000028" w:history="1">
        <w:r>
          <w:rPr>
            <w:noProof/>
          </w:rPr>
          <w:t>12.</w:t>
        </w:r>
        <w:r>
          <w:rPr>
            <w:noProof/>
          </w:rPr>
          <w:tab/>
        </w:r>
        <w:r>
          <w:rPr>
            <w:noProof/>
          </w:rPr>
          <w:t xml:space="preserve">Security logging, monitoring and audit</w:t>
        </w:r>
        <w:r>
          <w:rPr>
            <w:noProof/>
            <w:webHidden/>
          </w:rPr>
          <w:tab/>
        </w:r>
        <w:r>
          <w:rPr>
            <w:noProof/>
            <w:webHidden/>
          </w:rPr>
          <w:fldChar w:fldCharType="begin"/>
        </w:r>
        <w:r>
          <w:rPr>
            <w:noProof/>
            <w:webHidden/>
          </w:rPr>
          <w:instrText xml:space="preserve"> PAGEREF _Toc300000028 \h </w:instrText>
        </w:r>
        <w:r>
          <w:rPr>
            <w:noProof/>
            <w:webHidden/>
          </w:rPr>
          <w:fldChar w:fldCharType="separate"/>
        </w:r>
        <w:r>
          <w:rPr>
            <w:noProof/>
            <w:webHidden/>
          </w:rPr>
          <w:t>17</w:t>
        </w:r>
        <w:r>
          <w:rPr>
            <w:noProof/>
            <w:webHidden/>
          </w:rPr>
          <w:fldChar w:fldCharType="end"/>
        </w:r>
      </w:hyperlink>
    </w:p>
    <w:p>
      <w:pPr>
        <w:pStyle w:val="TOC1"/>
      </w:pPr>
      <w:hyperlink w:anchor="_Toc300000029" w:history="1">
        <w:r>
          <w:rPr>
            <w:noProof/>
          </w:rPr>
          <w:t>13.</w:t>
        </w:r>
        <w:r>
          <w:rPr>
            <w:noProof/>
          </w:rPr>
          <w:tab/>
        </w:r>
        <w:r>
          <w:rPr>
            <w:noProof/>
          </w:rPr>
          <w:t xml:space="preserve">Secure delivery pipeline</w:t>
        </w:r>
        <w:r>
          <w:rPr>
            <w:noProof/>
            <w:webHidden/>
          </w:rPr>
          <w:tab/>
        </w:r>
        <w:r>
          <w:rPr>
            <w:noProof/>
            <w:webHidden/>
          </w:rPr>
          <w:fldChar w:fldCharType="begin"/>
        </w:r>
        <w:r>
          <w:rPr>
            <w:noProof/>
            <w:webHidden/>
          </w:rPr>
          <w:instrText xml:space="preserve"> PAGEREF _Toc300000029 \h </w:instrText>
        </w:r>
        <w:r>
          <w:rPr>
            <w:noProof/>
            <w:webHidden/>
          </w:rPr>
          <w:fldChar w:fldCharType="separate"/>
        </w:r>
        <w:r>
          <w:rPr>
            <w:noProof/>
            <w:webHidden/>
          </w:rPr>
          <w:t>17</w:t>
        </w:r>
        <w:r>
          <w:rPr>
            <w:noProof/>
            <w:webHidden/>
          </w:rPr>
          <w:fldChar w:fldCharType="end"/>
        </w:r>
      </w:hyperlink>
    </w:p>
    <w:p>
      <w:pPr>
        <w:pStyle w:val="TOC1"/>
      </w:pPr>
      <w:hyperlink w:anchor="_Toc300000030" w:history="1">
        <w:r>
          <w:rPr>
            <w:noProof/>
          </w:rPr>
          <w:t>14.</w:t>
        </w:r>
        <w:r>
          <w:rPr>
            <w:noProof/>
          </w:rPr>
          <w:tab/>
        </w:r>
        <w:r>
          <w:rPr>
            <w:noProof/>
          </w:rPr>
          <w:t xml:space="preserve">Security controls and residual risks</w:t>
        </w:r>
        <w:r>
          <w:rPr>
            <w:noProof/>
            <w:webHidden/>
          </w:rPr>
          <w:tab/>
        </w:r>
        <w:r>
          <w:rPr>
            <w:noProof/>
            <w:webHidden/>
          </w:rPr>
          <w:fldChar w:fldCharType="begin"/>
        </w:r>
        <w:r>
          <w:rPr>
            <w:noProof/>
            <w:webHidden/>
          </w:rPr>
          <w:instrText xml:space="preserve"> PAGEREF _Toc300000030 \h </w:instrText>
        </w:r>
        <w:r>
          <w:rPr>
            <w:noProof/>
            <w:webHidden/>
          </w:rPr>
          <w:fldChar w:fldCharType="separate"/>
        </w:r>
        <w:r>
          <w:rPr>
            <w:noProof/>
            <w:webHidden/>
          </w:rPr>
          <w:t>19</w:t>
        </w:r>
        <w:r>
          <w:rPr>
            <w:noProof/>
            <w:webHidden/>
          </w:rPr>
          <w:fldChar w:fldCharType="end"/>
        </w:r>
      </w:hyperlink>
    </w:p>
    <w:p>
      <w:pPr>
        <w:pStyle w:val="TOC1"/>
      </w:pPr>
      <w:hyperlink w:anchor="_Toc300000031" w:history="1">
        <w:r>
          <w:rPr>
            <w:noProof/>
          </w:rPr>
          <w:t>15.</w:t>
        </w:r>
        <w:r>
          <w:rPr>
            <w:noProof/>
          </w:rPr>
          <w:tab/>
        </w:r>
        <w:r>
          <w:rPr>
            <w:noProof/>
          </w:rPr>
          <w:t xml:space="preserve">Penetration test readiness</w:t>
        </w:r>
        <w:r>
          <w:rPr>
            <w:noProof/>
            <w:webHidden/>
          </w:rPr>
          <w:tab/>
        </w:r>
        <w:r>
          <w:rPr>
            <w:noProof/>
            <w:webHidden/>
          </w:rPr>
          <w:fldChar w:fldCharType="begin"/>
        </w:r>
        <w:r>
          <w:rPr>
            <w:noProof/>
            <w:webHidden/>
          </w:rPr>
          <w:instrText xml:space="preserve"> PAGEREF _Toc300000031 \h </w:instrText>
        </w:r>
        <w:r>
          <w:rPr>
            <w:noProof/>
            <w:webHidden/>
          </w:rPr>
          <w:fldChar w:fldCharType="separate"/>
        </w:r>
        <w:r>
          <w:rPr>
            <w:noProof/>
            <w:webHidden/>
          </w:rPr>
          <w:t>21</w:t>
        </w:r>
        <w:r>
          <w:rPr>
            <w:noProof/>
            <w:webHidden/>
          </w:rPr>
          <w:fldChar w:fldCharType="end"/>
        </w:r>
      </w:hyperlink>
    </w:p>
    <w:p>
      <w:pPr>
        <w:pStyle w:val="TOC1"/>
      </w:pPr>
      <w:hyperlink w:anchor="_Toc300000032" w:history="1">
        <w:r>
          <w:rPr>
            <w:noProof/>
          </w:rPr>
          <w:t>16.</w:t>
        </w:r>
        <w:r>
          <w:rPr>
            <w:noProof/>
          </w:rPr>
          <w:tab/>
        </w:r>
        <w:r>
          <w:rPr>
            <w:noProof/>
          </w:rPr>
          <w:t xml:space="preserve">Security incident response</w:t>
        </w:r>
        <w:r>
          <w:rPr>
            <w:noProof/>
            <w:webHidden/>
          </w:rPr>
          <w:tab/>
        </w:r>
        <w:r>
          <w:rPr>
            <w:noProof/>
            <w:webHidden/>
          </w:rPr>
          <w:fldChar w:fldCharType="begin"/>
        </w:r>
        <w:r>
          <w:rPr>
            <w:noProof/>
            <w:webHidden/>
          </w:rPr>
          <w:instrText xml:space="preserve"> PAGEREF _Toc300000032 \h </w:instrText>
        </w:r>
        <w:r>
          <w:rPr>
            <w:noProof/>
            <w:webHidden/>
          </w:rPr>
          <w:fldChar w:fldCharType="separate"/>
        </w:r>
        <w:r>
          <w:rPr>
            <w:noProof/>
            <w:webHidden/>
          </w:rPr>
          <w:t>21</w:t>
        </w:r>
        <w:r>
          <w:rPr>
            <w:noProof/>
            <w:webHidden/>
          </w:rPr>
          <w:fldChar w:fldCharType="end"/>
        </w:r>
      </w:hyperlink>
    </w:p>
    <w:p>
      <w:pPr>
        <w:pStyle w:val="TOC1"/>
      </w:pPr>
      <w:hyperlink w:anchor="_Toc300000033" w:history="1">
        <w:r>
          <w:rPr>
            <w:noProof/>
          </w:rPr>
          <w:t>17.</w:t>
        </w:r>
        <w:r>
          <w:rPr>
            <w:noProof/>
          </w:rPr>
          <w:tab/>
        </w:r>
        <w:r>
          <w:rPr>
            <w:noProof/>
          </w:rPr>
          <w:t xml:space="preserve">Appendix</w:t>
        </w:r>
        <w:r>
          <w:rPr>
            <w:noProof/>
            <w:webHidden/>
          </w:rPr>
          <w:tab/>
        </w:r>
        <w:r>
          <w:rPr>
            <w:noProof/>
            <w:webHidden/>
          </w:rPr>
          <w:fldChar w:fldCharType="begin"/>
        </w:r>
        <w:r>
          <w:rPr>
            <w:noProof/>
            <w:webHidden/>
          </w:rPr>
          <w:instrText xml:space="preserve"> PAGEREF _Toc300000033 \h </w:instrText>
        </w:r>
        <w:r>
          <w:rPr>
            <w:noProof/>
            <w:webHidden/>
          </w:rPr>
          <w:fldChar w:fldCharType="separate"/>
        </w:r>
        <w:r>
          <w:rPr>
            <w:noProof/>
            <w:webHidden/>
          </w:rPr>
          <w:t>22</w:t>
        </w:r>
        <w:r>
          <w:rPr>
            <w:noProof/>
            <w:webHidden/>
          </w:rPr>
          <w:fldChar w:fldCharType="end"/>
        </w:r>
      </w:hyperlink>
    </w:p>
    <w:p>
      <w:pPr>
        <w:pStyle w:val="TOC2"/>
      </w:pPr>
      <w:hyperlink w:anchor="_Toc300000034" w:history="1">
        <w:r>
          <w:rPr>
            <w:noProof/>
          </w:rPr>
          <w:t>17.1.</w:t>
        </w:r>
        <w:r>
          <w:rPr>
            <w:noProof/>
          </w:rPr>
          <w:tab/>
        </w:r>
        <w:r>
          <w:rPr>
            <w:noProof/>
          </w:rPr>
          <w:t xml:space="preserve">Regulatory references</w:t>
        </w:r>
        <w:r>
          <w:rPr>
            <w:noProof/>
            <w:webHidden/>
          </w:rPr>
          <w:tab/>
        </w:r>
        <w:r>
          <w:rPr>
            <w:noProof/>
            <w:webHidden/>
          </w:rPr>
          <w:fldChar w:fldCharType="begin"/>
        </w:r>
        <w:r>
          <w:rPr>
            <w:noProof/>
            <w:webHidden/>
          </w:rPr>
          <w:instrText xml:space="preserve"> PAGEREF _Toc300000034 \h </w:instrText>
        </w:r>
        <w:r>
          <w:rPr>
            <w:noProof/>
            <w:webHidden/>
          </w:rPr>
          <w:fldChar w:fldCharType="separate"/>
        </w:r>
        <w:r>
          <w:rPr>
            <w:noProof/>
            <w:webHidden/>
          </w:rPr>
          <w:t>22</w:t>
        </w:r>
        <w:r>
          <w:rPr>
            <w:noProof/>
            <w:webHidden/>
          </w:rPr>
          <w:fldChar w:fldCharType="end"/>
        </w:r>
      </w:hyperlink>
    </w:p>
    <w:p>
      <w:pPr>
        <w:pStyle w:val="TOC1"/>
      </w:pPr>
      <w:hyperlink w:anchor="_Toc300000035" w:history="1">
        <w:r>
          <w:rPr>
            <w:noProof/>
          </w:rPr>
          <w:t>18.</w:t>
        </w:r>
        <w:r>
          <w:rPr>
            <w:noProof/>
          </w:rPr>
          <w:tab/>
        </w:r>
        <w:r>
          <w:rPr>
            <w:noProof/>
          </w:rPr>
          <w:t xml:space="preserve">Sign-Off</w:t>
        </w:r>
        <w:r>
          <w:rPr>
            <w:noProof/>
            <w:webHidden/>
          </w:rPr>
          <w:tab/>
        </w:r>
        <w:r>
          <w:rPr>
            <w:noProof/>
            <w:webHidden/>
          </w:rPr>
          <w:fldChar w:fldCharType="begin"/>
        </w:r>
        <w:r>
          <w:rPr>
            <w:noProof/>
            <w:webHidden/>
          </w:rPr>
          <w:instrText xml:space="preserve"> PAGEREF _Toc300000035 \h </w:instrText>
        </w:r>
        <w:r>
          <w:rPr>
            <w:noProof/>
            <w:webHidden/>
          </w:rPr>
          <w:fldChar w:fldCharType="separate"/>
        </w:r>
        <w:r>
          <w:rPr>
            <w:noProof/>
            <w:webHidden/>
          </w:rPr>
          <w:t>23</w:t>
        </w:r>
        <w:r>
          <w:rPr>
            <w:noProof/>
            <w:webHidden/>
          </w:rPr>
          <w:fldChar w:fldCharType="end"/>
        </w:r>
      </w:hyperlink>
      <w:r>
        <w:rPr>
          <w:noProof/>
        </w:rPr>
        <w:fldChar w:fldCharType="end"/>
      </w:r>
    </w:p>
    <w:p w14:paraId="375D9C08" w14:textId="77777777" w:rsidR="002B183A" w:rsidRPr="00465CAB" w:rsidRDefault="002B183A" w:rsidP="002B183A">
      <w:pPr>
        <w:pStyle w:val="Heading1"/>
        <w:pageBreakBefore/>
        <w:numPr>
          <w:ilvl w:val="0"/>
          <w:numId w:val="1"/>
        </w:numPr>
        <w:tabs>
          <w:tab w:val="num" w:pos="600"/>
        </w:tabs>
        <w:spacing w:before="360" w:after="160"/>
        <w:ind w:left="0" w:firstLine="0"/>
        <w:rPr>
          <w:rStyle w:val="BookTitle"/>
          <w:b w:val="0"/>
          <w:bCs w:val="0"/>
          <w:i w:val="0"/>
          <w:iCs w:val="0"/>
          <w:spacing w:val="0"/>
        </w:rPr>
      </w:pPr>
      <w:bookmarkStart w:id="1" w:name="_Toc11824118"/>
      <w:bookmarkStart w:id="2" w:name="_Toc48319687"/>
      <w:bookmarkStart w:id="3" w:name="_Toc300000001"/>
      <w:r w:rsidRPr="00212D69">
        <w:rPr>
          <w:rStyle w:val="BookTitle"/>
          <w:b w:val="0"/>
        </w:rPr>
        <w:t xml:space="preserve"> </w:t>
      </w:r>
      <w:bookmarkStart w:id="4" w:name="_Toc233203387"/>
      <w:r w:rsidRPr="00465CAB">
        <w:rPr>
          <w:rStyle w:val="BookTitle"/>
          <w:bCs w:val="0"/>
          <w:i w:val="0"/>
          <w:iCs w:val="0"/>
          <w:spacing w:val="0"/>
        </w:rPr>
        <w:t>Document Control</w:t>
      </w:r>
      <w:bookmarkEnd w:id="1"/>
      <w:bookmarkEnd w:id="2"/>
      <w:bookmarkEnd w:id="4"/>
      <w:bookmarkEnd w:id="3"/>
    </w:p>
    <w:p w14:paraId="1D37A198" w14:textId="77777777" w:rsidR="002B183A" w:rsidRPr="00CF07C4" w:rsidRDefault="002B183A" w:rsidP="002B183A">
      <w:pPr>
        <w:ind w:right="-180"/>
        <w:rPr>
          <w:rFonts w:ascii="Segoe UI" w:eastAsia="Arial" w:hAnsi="Segoe UI" w:cs="Segoe UI"/>
          <w:color w:val="FF5100"/>
          <w:sz w:val="18"/>
          <w:szCs w:val="18"/>
        </w:rPr>
      </w:pP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1175"/>
        <w:gridCol w:w="905"/>
        <w:gridCol w:w="1663"/>
        <w:gridCol w:w="2152"/>
        <w:gridCol w:w="1956"/>
        <w:gridCol w:w="1176"/>
      </w:tblGrid>
      <w:tr w:rsidR="002B183A" w14:paraId="4E198CD6" w14:textId="77777777" w:rsidTr="002923F3">
        <w:trPr>
          <w:cantSplit/>
          <w:trHeight w:val="440"/>
          <w:tblHeader/>
        </w:trPr>
        <w:tc>
          <w:tcPr>
            <w:tcW w:w="1175" w:type="dxa"/>
            <w:shd w:val="clear" w:color="auto" w:fill="0F4761"/>
            <w:vAlign w:val="center"/>
          </w:tcPr>
          <w:p w14:paraId="7A3F1104"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Date</w:t>
            </w:r>
          </w:p>
        </w:tc>
        <w:tc>
          <w:tcPr>
            <w:tcW w:w="905" w:type="dxa"/>
            <w:shd w:val="clear" w:color="auto" w:fill="0F4761"/>
            <w:vAlign w:val="center"/>
          </w:tcPr>
          <w:p w14:paraId="607CCD9F"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Version</w:t>
            </w:r>
          </w:p>
        </w:tc>
        <w:tc>
          <w:tcPr>
            <w:tcW w:w="1663" w:type="dxa"/>
            <w:shd w:val="clear" w:color="auto" w:fill="0F4761"/>
            <w:vAlign w:val="center"/>
          </w:tcPr>
          <w:p w14:paraId="2EE940A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Author &amp; Business Unit Info</w:t>
            </w:r>
          </w:p>
        </w:tc>
        <w:tc>
          <w:tcPr>
            <w:tcW w:w="2152" w:type="dxa"/>
            <w:shd w:val="clear" w:color="auto" w:fill="0F4761"/>
            <w:vAlign w:val="center"/>
          </w:tcPr>
          <w:p w14:paraId="4563069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Reviewed By &amp; Business Unit Info</w:t>
            </w:r>
          </w:p>
        </w:tc>
        <w:tc>
          <w:tcPr>
            <w:tcW w:w="1956" w:type="dxa"/>
            <w:shd w:val="clear" w:color="auto" w:fill="0F4761"/>
            <w:vAlign w:val="center"/>
          </w:tcPr>
          <w:p w14:paraId="03017FBE"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Approved By &amp; Business Unit Info</w:t>
            </w:r>
          </w:p>
        </w:tc>
        <w:tc>
          <w:tcPr>
            <w:tcW w:w="1176" w:type="dxa"/>
            <w:shd w:val="clear" w:color="auto" w:fill="0F4761"/>
            <w:vAlign w:val="center"/>
          </w:tcPr>
          <w:p w14:paraId="6B8E532B"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Change History</w:t>
            </w:r>
          </w:p>
        </w:tc>
      </w:tr>
      <w:tr w:rsidR="002B183A" w:rsidRPr="00BB346A" w14:paraId="0CC92F71" w14:textId="77777777" w:rsidTr="002923F3">
        <w:trPr>
          <w:cantSplit/>
          <w:trHeight w:val="449"/>
        </w:trPr>
        <w:tc>
          <w:tcPr>
            <w:tcW w:w="1175" w:type="dxa"/>
            <w:vAlign w:val="top"/>
          </w:tcPr>
          <w:p w14:paraId="453CD405"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08/10/2026</w:t>
            </w:r>
          </w:p>
        </w:tc>
        <w:tc>
          <w:tcPr>
            <w:tcW w:w="905" w:type="dxa"/>
            <w:vAlign w:val="top"/>
          </w:tcPr>
          <w:p w14:paraId="499E9B55"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1.0</w:t>
            </w:r>
          </w:p>
        </w:tc>
        <w:tc>
          <w:tcPr>
            <w:tcW w:w="1663" w:type="dxa"/>
            <w:vAlign w:val="top"/>
          </w:tcPr>
          <w:p w14:paraId="64B9EBB6"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iorta TechNXT</w:t>
            </w:r>
            <w:r>
              <w:rPr>
                <w:rFonts w:ascii="Segoe UI" w:eastAsia="Arial" w:hAnsi="Segoe UI" w:cs="Segoe UI"/>
                <w:color w:val="101820"/>
                <w:sz w:val="16"/>
                <w:szCs w:val="16"/>
              </w:rPr>
              <w:br/>
              <w:t xml:space="preserve">Solution Architecture</w:t>
            </w:r>
          </w:p>
        </w:tc>
        <w:tc>
          <w:tcPr>
            <w:tcW w:w="2152" w:type="dxa"/>
            <w:vAlign w:val="top"/>
          </w:tcPr>
          <w:p w14:paraId="4B948B2B"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r>
              <w:rPr>
                <w:rFonts w:ascii="Segoe UI" w:eastAsia="Arial" w:hAnsi="Segoe UI" w:cs="Segoe UI"/>
                <w:color w:val="101820"/>
                <w:sz w:val="16"/>
                <w:szCs w:val="16"/>
              </w:rPr>
              <w:br/>
              <w:t xml:space="preserve">Information Security</w:t>
            </w:r>
          </w:p>
        </w:tc>
        <w:tc>
          <w:tcPr>
            <w:tcW w:w="1956" w:type="dxa"/>
            <w:vAlign w:val="top"/>
          </w:tcPr>
          <w:p w14:paraId="1CABD999"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r>
              <w:rPr>
                <w:rFonts w:ascii="Segoe UI" w:eastAsia="Arial" w:hAnsi="Segoe UI" w:cs="Segoe UI"/>
                <w:color w:val="101820"/>
                <w:sz w:val="16"/>
                <w:szCs w:val="16"/>
              </w:rPr>
              <w:br/>
              <w:t xml:space="preserve">Programme Sponsor</w:t>
            </w:r>
          </w:p>
        </w:tc>
        <w:tc>
          <w:tcPr>
            <w:tcW w:w="1176" w:type="dxa"/>
            <w:vAlign w:val="top"/>
          </w:tcPr>
          <w:p w14:paraId="07C7886B"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Initial issue for submission</w:t>
            </w:r>
          </w:p>
        </w:tc>
      </w:tr>
    </w:tbl>
    <w:p w14:paraId="1D2DA8DE" w14:textId="77777777" w:rsidR="002B183A" w:rsidRDefault="002B183A" w:rsidP="002B183A">
      <w:pPr>
        <w:rPr>
          <w:rFonts w:ascii="Segoe UI" w:hAnsi="Segoe UI" w:cs="Segoe UI"/>
          <w:sz w:val="18"/>
          <w:szCs w:val="16"/>
          <w:lang w:bidi="en-US"/>
        </w:rPr>
      </w:pP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5" w:name="_Toc233203388"/>
      <w:bookmarkStart w:id="6" w:name="_Toc300000002"/>
      <w:r>
        <w:rPr>
          <w:rStyle w:val="BookTitle"/>
          <w:bCs w:val="0"/>
          <w:i w:val="0"/>
          <w:iCs w:val="0"/>
          <w:spacing w:val="0"/>
        </w:rPr>
        <w:t>Acronyms</w:t>
      </w:r>
      <w:bookmarkEnd w:id="5"/>
      <w:bookmarkEnd w:id="6"/>
    </w:p>
    <w:p w14:paraId="4F3BFBCC" w14:textId="77777777" w:rsidR="002B183A" w:rsidRPr="00CF07C4" w:rsidRDefault="002B183A" w:rsidP="002B183A">
      <w:pPr>
        <w:ind w:right="-180"/>
        <w:rPr>
          <w:rFonts w:ascii="Segoe UI" w:eastAsia="Arial" w:hAnsi="Segoe UI" w:cs="Segoe UI"/>
          <w:color w:val="FF5100"/>
          <w:sz w:val="18"/>
          <w:szCs w:val="18"/>
        </w:rPr>
      </w:pPr>
    </w:p>
    <w:tbl>
      <w:tblPr>
        <w:tblStyle w:val="TableGrid"/>
        <w:tblW w:w="348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1311"/>
        <w:gridCol w:w="7716"/>
      </w:tblGrid>
      <w:tr w:rsidR="002B183A" w14:paraId="388F227F" w14:textId="77777777" w:rsidTr="002923F3">
        <w:trPr>
          <w:cantSplit/>
          <w:trHeight w:val="440"/>
          <w:tblHeader/>
        </w:trPr>
        <w:tc>
          <w:tcPr>
            <w:tcW w:w="1311" w:type="dxa"/>
            <w:shd w:val="clear" w:color="auto" w:fill="0F4761"/>
            <w:vAlign w:val="center"/>
          </w:tcPr>
          <w:p w14:paraId="4B379853"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FFFFFF"/>
                <w:sz w:val="16"/>
                <w:szCs w:val="16"/>
              </w:rPr>
              <w:t>Acronym / Symbol</w:t>
            </w:r>
          </w:p>
        </w:tc>
        <w:tc>
          <w:tcPr>
            <w:tcW w:w="7716" w:type="dxa"/>
            <w:shd w:val="clear" w:color="auto" w:fill="0F4761"/>
            <w:vAlign w:val="center"/>
          </w:tcPr>
          <w:p w14:paraId="2EDB927A"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FFFFFF"/>
                <w:sz w:val="16"/>
                <w:szCs w:val="16"/>
              </w:rPr>
              <w:t>Definition / Meaning</w:t>
            </w:r>
          </w:p>
        </w:tc>
      </w:tr>
      <w:tr w:rsidR="002B183A" w:rsidRPr="00BB346A" w14:paraId="73CFB63E" w14:textId="77777777" w:rsidTr="002923F3">
        <w:trPr>
          <w:cantSplit/>
          <w:trHeight w:val="449"/>
        </w:trPr>
        <w:tc>
          <w:tcPr>
            <w:tcW w:w="1311"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ADR</w:t>
            </w:r>
          </w:p>
        </w:tc>
        <w:tc>
          <w:tcPr>
            <w:tcW w:w="7716"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Architecture decision record</w:t>
            </w:r>
          </w:p>
        </w:tc>
      </w:tr>
      <w:tr w:rsidR="002B183A" w:rsidRPr="00BB346A" w14:paraId="73CFB63E" w14:textId="77777777" w:rsidTr="002923F3">
        <w:trPr>
          <w:cantSplit/>
          <w:trHeight w:val="449"/>
        </w:trPr>
        <w:tc>
          <w:tcPr>
            <w:tcW w:w="1311"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AES</w:t>
            </w:r>
          </w:p>
        </w:tc>
        <w:tc>
          <w:tcPr>
            <w:tcW w:w="7716"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Advanced Encryption Standard</w:t>
            </w:r>
          </w:p>
        </w:tc>
      </w:tr>
      <w:tr w:rsidR="002B183A" w:rsidRPr="00BB346A" w14:paraId="73CFB63E" w14:textId="77777777" w:rsidTr="002923F3">
        <w:trPr>
          <w:cantSplit/>
          <w:trHeight w:val="449"/>
        </w:trPr>
        <w:tc>
          <w:tcPr>
            <w:tcW w:w="1311"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AI</w:t>
            </w:r>
          </w:p>
        </w:tc>
        <w:tc>
          <w:tcPr>
            <w:tcW w:w="7716"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Artificial intelligence</w:t>
            </w:r>
          </w:p>
        </w:tc>
      </w:tr>
      <w:tr w:rsidR="002B183A" w:rsidRPr="00BB346A" w14:paraId="73CFB63E" w14:textId="77777777" w:rsidTr="002923F3">
        <w:trPr>
          <w:cantSplit/>
          <w:trHeight w:val="449"/>
        </w:trPr>
        <w:tc>
          <w:tcPr>
            <w:tcW w:w="1311"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API</w:t>
            </w:r>
          </w:p>
        </w:tc>
        <w:tc>
          <w:tcPr>
            <w:tcW w:w="7716"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Application programming interface</w:t>
            </w:r>
          </w:p>
        </w:tc>
      </w:tr>
      <w:tr w:rsidR="002B183A" w:rsidRPr="00BB346A" w14:paraId="73CFB63E" w14:textId="77777777" w:rsidTr="002923F3">
        <w:trPr>
          <w:cantSplit/>
          <w:trHeight w:val="449"/>
        </w:trPr>
        <w:tc>
          <w:tcPr>
            <w:tcW w:w="1311"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ASVS</w:t>
            </w:r>
          </w:p>
        </w:tc>
        <w:tc>
          <w:tcPr>
            <w:tcW w:w="7716"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OWASP Application Security Verification Standard</w:t>
            </w:r>
          </w:p>
        </w:tc>
      </w:tr>
      <w:tr w:rsidR="002B183A" w:rsidRPr="00BB346A" w14:paraId="73CFB63E" w14:textId="77777777" w:rsidTr="002923F3">
        <w:trPr>
          <w:cantSplit/>
          <w:trHeight w:val="449"/>
        </w:trPr>
        <w:tc>
          <w:tcPr>
            <w:tcW w:w="1311"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CA</w:t>
            </w:r>
          </w:p>
        </w:tc>
        <w:tc>
          <w:tcPr>
            <w:tcW w:w="7716"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Certificate authority</w:t>
            </w:r>
          </w:p>
        </w:tc>
      </w:tr>
      <w:tr w:rsidR="002B183A" w:rsidRPr="00BB346A" w14:paraId="73CFB63E" w14:textId="77777777" w:rsidTr="002923F3">
        <w:trPr>
          <w:cantSplit/>
          <w:trHeight w:val="449"/>
        </w:trPr>
        <w:tc>
          <w:tcPr>
            <w:tcW w:w="1311"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CI</w:t>
            </w:r>
          </w:p>
        </w:tc>
        <w:tc>
          <w:tcPr>
            <w:tcW w:w="7716"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Continuous integration</w:t>
            </w:r>
          </w:p>
        </w:tc>
      </w:tr>
      <w:tr w:rsidR="002B183A" w:rsidRPr="00BB346A" w14:paraId="73CFB63E" w14:textId="77777777" w:rsidTr="002923F3">
        <w:trPr>
          <w:cantSplit/>
          <w:trHeight w:val="449"/>
        </w:trPr>
        <w:tc>
          <w:tcPr>
            <w:tcW w:w="1311"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CI/CD</w:t>
            </w:r>
          </w:p>
        </w:tc>
        <w:tc>
          <w:tcPr>
            <w:tcW w:w="7716"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Continuous integration and continuous delivery</w:t>
            </w:r>
          </w:p>
        </w:tc>
      </w:tr>
      <w:tr w:rsidR="002B183A" w:rsidRPr="00BB346A" w14:paraId="73CFB63E" w14:textId="77777777" w:rsidTr="002923F3">
        <w:trPr>
          <w:cantSplit/>
          <w:trHeight w:val="449"/>
        </w:trPr>
        <w:tc>
          <w:tcPr>
            <w:tcW w:w="1311"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CSP</w:t>
            </w:r>
          </w:p>
        </w:tc>
        <w:tc>
          <w:tcPr>
            <w:tcW w:w="7716"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Content Security Policy</w:t>
            </w:r>
          </w:p>
        </w:tc>
      </w:tr>
      <w:tr w:rsidR="002B183A" w:rsidRPr="00BB346A" w14:paraId="73CFB63E" w14:textId="77777777" w:rsidTr="002923F3">
        <w:trPr>
          <w:cantSplit/>
          <w:trHeight w:val="449"/>
        </w:trPr>
        <w:tc>
          <w:tcPr>
            <w:tcW w:w="1311"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GCM</w:t>
            </w:r>
          </w:p>
        </w:tc>
        <w:tc>
          <w:tcPr>
            <w:tcW w:w="7716"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Galois/Counter Mode</w:t>
            </w:r>
          </w:p>
        </w:tc>
      </w:tr>
      <w:tr w:rsidR="002B183A" w:rsidRPr="00BB346A" w14:paraId="73CFB63E" w14:textId="77777777" w:rsidTr="002923F3">
        <w:trPr>
          <w:cantSplit/>
          <w:trHeight w:val="449"/>
        </w:trPr>
        <w:tc>
          <w:tcPr>
            <w:tcW w:w="1311"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HMAC</w:t>
            </w:r>
          </w:p>
        </w:tc>
        <w:tc>
          <w:tcPr>
            <w:tcW w:w="7716"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Hash-based message authentication code</w:t>
            </w:r>
          </w:p>
        </w:tc>
      </w:tr>
      <w:tr w:rsidR="002B183A" w:rsidRPr="00BB346A" w14:paraId="73CFB63E" w14:textId="77777777" w:rsidTr="002923F3">
        <w:trPr>
          <w:cantSplit/>
          <w:trHeight w:val="449"/>
        </w:trPr>
        <w:tc>
          <w:tcPr>
            <w:tcW w:w="1311"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HSTS</w:t>
            </w:r>
          </w:p>
        </w:tc>
        <w:tc>
          <w:tcPr>
            <w:tcW w:w="7716"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HTTP Strict Transport Security</w:t>
            </w:r>
          </w:p>
        </w:tc>
      </w:tr>
      <w:tr w:rsidR="002B183A" w:rsidRPr="00BB346A" w14:paraId="73CFB63E" w14:textId="77777777" w:rsidTr="002923F3">
        <w:trPr>
          <w:cantSplit/>
          <w:trHeight w:val="449"/>
        </w:trPr>
        <w:tc>
          <w:tcPr>
            <w:tcW w:w="1311"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HTTP</w:t>
            </w:r>
          </w:p>
        </w:tc>
        <w:tc>
          <w:tcPr>
            <w:tcW w:w="7716"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Hypertext Transfer Protocol</w:t>
            </w:r>
          </w:p>
        </w:tc>
      </w:tr>
      <w:tr w:rsidR="002B183A" w:rsidRPr="00BB346A" w14:paraId="73CFB63E" w14:textId="77777777" w:rsidTr="002923F3">
        <w:trPr>
          <w:cantSplit/>
          <w:trHeight w:val="449"/>
        </w:trPr>
        <w:tc>
          <w:tcPr>
            <w:tcW w:w="1311"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IP</w:t>
            </w:r>
          </w:p>
        </w:tc>
        <w:tc>
          <w:tcPr>
            <w:tcW w:w="7716"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Internet Protocol</w:t>
            </w:r>
          </w:p>
        </w:tc>
      </w:tr>
      <w:tr w:rsidR="002B183A" w:rsidRPr="00BB346A" w14:paraId="73CFB63E" w14:textId="77777777" w:rsidTr="002923F3">
        <w:trPr>
          <w:cantSplit/>
          <w:trHeight w:val="449"/>
        </w:trPr>
        <w:tc>
          <w:tcPr>
            <w:tcW w:w="1311"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IT</w:t>
            </w:r>
          </w:p>
        </w:tc>
        <w:tc>
          <w:tcPr>
            <w:tcW w:w="7716"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Information technology</w:t>
            </w:r>
          </w:p>
        </w:tc>
      </w:tr>
      <w:tr w:rsidR="002B183A" w:rsidRPr="00BB346A" w14:paraId="73CFB63E" w14:textId="77777777" w:rsidTr="002923F3">
        <w:trPr>
          <w:cantSplit/>
          <w:trHeight w:val="449"/>
        </w:trPr>
        <w:tc>
          <w:tcPr>
            <w:tcW w:w="1311"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IV</w:t>
            </w:r>
          </w:p>
        </w:tc>
        <w:tc>
          <w:tcPr>
            <w:tcW w:w="7716"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Initialisation vector</w:t>
            </w:r>
          </w:p>
        </w:tc>
      </w:tr>
      <w:tr w:rsidR="002B183A" w:rsidRPr="00BB346A" w14:paraId="73CFB63E" w14:textId="77777777" w:rsidTr="002923F3">
        <w:trPr>
          <w:cantSplit/>
          <w:trHeight w:val="449"/>
        </w:trPr>
        <w:tc>
          <w:tcPr>
            <w:tcW w:w="1311"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JSON</w:t>
            </w:r>
          </w:p>
        </w:tc>
        <w:tc>
          <w:tcPr>
            <w:tcW w:w="7716"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JavaScript Object Notation</w:t>
            </w:r>
          </w:p>
        </w:tc>
      </w:tr>
      <w:tr w:rsidR="002B183A" w:rsidRPr="00BB346A" w14:paraId="73CFB63E" w14:textId="77777777" w:rsidTr="002923F3">
        <w:trPr>
          <w:cantSplit/>
          <w:trHeight w:val="449"/>
        </w:trPr>
        <w:tc>
          <w:tcPr>
            <w:tcW w:w="1311"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KMS</w:t>
            </w:r>
          </w:p>
        </w:tc>
        <w:tc>
          <w:tcPr>
            <w:tcW w:w="7716"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Key management service</w:t>
            </w:r>
          </w:p>
        </w:tc>
      </w:tr>
      <w:tr w:rsidR="002B183A" w:rsidRPr="00BB346A" w14:paraId="73CFB63E" w14:textId="77777777" w:rsidTr="002923F3">
        <w:trPr>
          <w:cantSplit/>
          <w:trHeight w:val="449"/>
        </w:trPr>
        <w:tc>
          <w:tcPr>
            <w:tcW w:w="1311"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LTS</w:t>
            </w:r>
          </w:p>
        </w:tc>
        <w:tc>
          <w:tcPr>
            <w:tcW w:w="7716"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Long-term support</w:t>
            </w:r>
          </w:p>
        </w:tc>
      </w:tr>
      <w:tr w:rsidR="002B183A" w:rsidRPr="00BB346A" w14:paraId="73CFB63E" w14:textId="77777777" w:rsidTr="002923F3">
        <w:trPr>
          <w:cantSplit/>
          <w:trHeight w:val="449"/>
        </w:trPr>
        <w:tc>
          <w:tcPr>
            <w:tcW w:w="1311"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MFA</w:t>
            </w:r>
          </w:p>
        </w:tc>
        <w:tc>
          <w:tcPr>
            <w:tcW w:w="7716"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Multi-factor authentication</w:t>
            </w:r>
          </w:p>
        </w:tc>
      </w:tr>
      <w:tr w:rsidR="002B183A" w:rsidRPr="00BB346A" w14:paraId="73CFB63E" w14:textId="77777777" w:rsidTr="002923F3">
        <w:trPr>
          <w:cantSplit/>
          <w:trHeight w:val="449"/>
        </w:trPr>
        <w:tc>
          <w:tcPr>
            <w:tcW w:w="1311"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mTLS</w:t>
            </w:r>
          </w:p>
        </w:tc>
        <w:tc>
          <w:tcPr>
            <w:tcW w:w="7716"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Mutual Transport Layer Security</w:t>
            </w:r>
          </w:p>
        </w:tc>
      </w:tr>
      <w:tr w:rsidR="002B183A" w:rsidRPr="00BB346A" w14:paraId="73CFB63E" w14:textId="77777777" w:rsidTr="002923F3">
        <w:trPr>
          <w:cantSplit/>
          <w:trHeight w:val="449"/>
        </w:trPr>
        <w:tc>
          <w:tcPr>
            <w:tcW w:w="1311"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OIDC</w:t>
            </w:r>
          </w:p>
        </w:tc>
        <w:tc>
          <w:tcPr>
            <w:tcW w:w="7716"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OpenID Connect</w:t>
            </w:r>
          </w:p>
        </w:tc>
      </w:tr>
      <w:tr w:rsidR="002B183A" w:rsidRPr="00BB346A" w14:paraId="73CFB63E" w14:textId="77777777" w:rsidTr="002923F3">
        <w:trPr>
          <w:cantSplit/>
          <w:trHeight w:val="449"/>
        </w:trPr>
        <w:tc>
          <w:tcPr>
            <w:tcW w:w="1311"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OWASP</w:t>
            </w:r>
          </w:p>
        </w:tc>
        <w:tc>
          <w:tcPr>
            <w:tcW w:w="7716"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Open Worldwide Application Security Project</w:t>
            </w:r>
          </w:p>
        </w:tc>
      </w:tr>
      <w:tr w:rsidR="002B183A" w:rsidRPr="00BB346A" w14:paraId="73CFB63E" w14:textId="77777777" w:rsidTr="002923F3">
        <w:trPr>
          <w:cantSplit/>
          <w:trHeight w:val="449"/>
        </w:trPr>
        <w:tc>
          <w:tcPr>
            <w:tcW w:w="1311"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PKCE</w:t>
            </w:r>
          </w:p>
        </w:tc>
        <w:tc>
          <w:tcPr>
            <w:tcW w:w="7716"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Proof Key for Code Exchange</w:t>
            </w:r>
          </w:p>
        </w:tc>
      </w:tr>
      <w:tr w:rsidR="002B183A" w:rsidRPr="00BB346A" w14:paraId="73CFB63E" w14:textId="77777777" w:rsidTr="002923F3">
        <w:trPr>
          <w:cantSplit/>
          <w:trHeight w:val="449"/>
        </w:trPr>
        <w:tc>
          <w:tcPr>
            <w:tcW w:w="1311"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QR</w:t>
            </w:r>
          </w:p>
        </w:tc>
        <w:tc>
          <w:tcPr>
            <w:tcW w:w="7716"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Quick response (code)</w:t>
            </w:r>
          </w:p>
        </w:tc>
      </w:tr>
      <w:tr w:rsidR="002B183A" w:rsidRPr="00BB346A" w14:paraId="73CFB63E" w14:textId="77777777" w:rsidTr="002923F3">
        <w:trPr>
          <w:cantSplit/>
          <w:trHeight w:val="449"/>
        </w:trPr>
        <w:tc>
          <w:tcPr>
            <w:tcW w:w="1311"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RBAC</w:t>
            </w:r>
          </w:p>
        </w:tc>
        <w:tc>
          <w:tcPr>
            <w:tcW w:w="7716"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Role-based access control</w:t>
            </w:r>
          </w:p>
        </w:tc>
      </w:tr>
      <w:tr w:rsidR="002B183A" w:rsidRPr="00BB346A" w14:paraId="73CFB63E" w14:textId="77777777" w:rsidTr="002923F3">
        <w:trPr>
          <w:cantSplit/>
          <w:trHeight w:val="449"/>
        </w:trPr>
        <w:tc>
          <w:tcPr>
            <w:tcW w:w="1311"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RFC</w:t>
            </w:r>
          </w:p>
        </w:tc>
        <w:tc>
          <w:tcPr>
            <w:tcW w:w="7716"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Request for Comments (IETF standard)</w:t>
            </w:r>
          </w:p>
        </w:tc>
      </w:tr>
      <w:tr w:rsidR="002B183A" w:rsidRPr="00BB346A" w14:paraId="73CFB63E" w14:textId="77777777" w:rsidTr="002923F3">
        <w:trPr>
          <w:cantSplit/>
          <w:trHeight w:val="449"/>
        </w:trPr>
        <w:tc>
          <w:tcPr>
            <w:tcW w:w="1311"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SBOM</w:t>
            </w:r>
          </w:p>
        </w:tc>
        <w:tc>
          <w:tcPr>
            <w:tcW w:w="7716"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Software bill of materials</w:t>
            </w:r>
          </w:p>
        </w:tc>
      </w:tr>
      <w:tr w:rsidR="002B183A" w:rsidRPr="00BB346A" w14:paraId="73CFB63E" w14:textId="77777777" w:rsidTr="002923F3">
        <w:trPr>
          <w:cantSplit/>
          <w:trHeight w:val="449"/>
        </w:trPr>
        <w:tc>
          <w:tcPr>
            <w:tcW w:w="1311"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SHA</w:t>
            </w:r>
          </w:p>
        </w:tc>
        <w:tc>
          <w:tcPr>
            <w:tcW w:w="7716"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Secure Hash Algorithm</w:t>
            </w:r>
          </w:p>
        </w:tc>
      </w:tr>
      <w:tr w:rsidR="002B183A" w:rsidRPr="00BB346A" w14:paraId="73CFB63E" w14:textId="77777777" w:rsidTr="002923F3">
        <w:trPr>
          <w:cantSplit/>
          <w:trHeight w:val="449"/>
        </w:trPr>
        <w:tc>
          <w:tcPr>
            <w:tcW w:w="1311"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SIEM</w:t>
            </w:r>
          </w:p>
        </w:tc>
        <w:tc>
          <w:tcPr>
            <w:tcW w:w="7716"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Security information and event management</w:t>
            </w:r>
          </w:p>
        </w:tc>
      </w:tr>
      <w:tr w:rsidR="002B183A" w:rsidRPr="00BB346A" w14:paraId="73CFB63E" w14:textId="77777777" w:rsidTr="002923F3">
        <w:trPr>
          <w:cantSplit/>
          <w:trHeight w:val="449"/>
        </w:trPr>
        <w:tc>
          <w:tcPr>
            <w:tcW w:w="1311"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SIT</w:t>
            </w:r>
          </w:p>
        </w:tc>
        <w:tc>
          <w:tcPr>
            <w:tcW w:w="7716"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System integration testing</w:t>
            </w:r>
          </w:p>
        </w:tc>
      </w:tr>
      <w:tr w:rsidR="002B183A" w:rsidRPr="00BB346A" w14:paraId="73CFB63E" w14:textId="77777777" w:rsidTr="002923F3">
        <w:trPr>
          <w:cantSplit/>
          <w:trHeight w:val="449"/>
        </w:trPr>
        <w:tc>
          <w:tcPr>
            <w:tcW w:w="1311"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SQL</w:t>
            </w:r>
          </w:p>
        </w:tc>
        <w:tc>
          <w:tcPr>
            <w:tcW w:w="7716"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Structured Query Language</w:t>
            </w:r>
          </w:p>
        </w:tc>
      </w:tr>
      <w:tr w:rsidR="002B183A" w:rsidRPr="00BB346A" w14:paraId="73CFB63E" w14:textId="77777777" w:rsidTr="002923F3">
        <w:trPr>
          <w:cantSplit/>
          <w:trHeight w:val="449"/>
        </w:trPr>
        <w:tc>
          <w:tcPr>
            <w:tcW w:w="1311"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SSRF</w:t>
            </w:r>
          </w:p>
        </w:tc>
        <w:tc>
          <w:tcPr>
            <w:tcW w:w="7716"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Server-side request forgery</w:t>
            </w:r>
          </w:p>
        </w:tc>
      </w:tr>
      <w:tr w:rsidR="002B183A" w:rsidRPr="00BB346A" w14:paraId="73CFB63E" w14:textId="77777777" w:rsidTr="002923F3">
        <w:trPr>
          <w:cantSplit/>
          <w:trHeight w:val="449"/>
        </w:trPr>
        <w:tc>
          <w:tcPr>
            <w:tcW w:w="1311"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STRIDE</w:t>
            </w:r>
          </w:p>
        </w:tc>
        <w:tc>
          <w:tcPr>
            <w:tcW w:w="7716"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Spoofing, tampering, repudiation, information disclosure, denial of service, elevation of privilege</w:t>
            </w:r>
          </w:p>
        </w:tc>
      </w:tr>
      <w:tr w:rsidR="002B183A" w:rsidRPr="00BB346A" w14:paraId="73CFB63E" w14:textId="77777777" w:rsidTr="002923F3">
        <w:trPr>
          <w:cantSplit/>
          <w:trHeight w:val="449"/>
        </w:trPr>
        <w:tc>
          <w:tcPr>
            <w:tcW w:w="1311"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TLS</w:t>
            </w:r>
          </w:p>
        </w:tc>
        <w:tc>
          <w:tcPr>
            <w:tcW w:w="7716"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Transport Layer Security</w:t>
            </w:r>
          </w:p>
        </w:tc>
      </w:tr>
      <w:tr w:rsidR="002B183A" w:rsidRPr="00BB346A" w14:paraId="73CFB63E" w14:textId="77777777" w:rsidTr="002923F3">
        <w:trPr>
          <w:cantSplit/>
          <w:trHeight w:val="449"/>
        </w:trPr>
        <w:tc>
          <w:tcPr>
            <w:tcW w:w="1311"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TOTP</w:t>
            </w:r>
          </w:p>
        </w:tc>
        <w:tc>
          <w:tcPr>
            <w:tcW w:w="7716"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Time-based one-time password</w:t>
            </w:r>
          </w:p>
        </w:tc>
      </w:tr>
      <w:tr w:rsidR="002B183A" w:rsidRPr="00BB346A" w14:paraId="73CFB63E" w14:textId="77777777" w:rsidTr="002923F3">
        <w:trPr>
          <w:cantSplit/>
          <w:trHeight w:val="449"/>
        </w:trPr>
        <w:tc>
          <w:tcPr>
            <w:tcW w:w="1311"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UAT</w:t>
            </w:r>
          </w:p>
        </w:tc>
        <w:tc>
          <w:tcPr>
            <w:tcW w:w="7716"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User acceptance testing</w:t>
            </w:r>
          </w:p>
        </w:tc>
      </w:tr>
      <w:tr w:rsidR="002B183A" w:rsidRPr="00BB346A" w14:paraId="73CFB63E" w14:textId="77777777" w:rsidTr="002923F3">
        <w:trPr>
          <w:cantSplit/>
          <w:trHeight w:val="449"/>
        </w:trPr>
        <w:tc>
          <w:tcPr>
            <w:tcW w:w="1311"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URL</w:t>
            </w:r>
          </w:p>
        </w:tc>
        <w:tc>
          <w:tcPr>
            <w:tcW w:w="7716"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Uniform resource locator</w:t>
            </w:r>
          </w:p>
        </w:tc>
      </w:tr>
      <w:tr w:rsidR="002B183A" w:rsidRPr="00BB346A" w14:paraId="73CFB63E" w14:textId="77777777" w:rsidTr="002923F3">
        <w:trPr>
          <w:cantSplit/>
          <w:trHeight w:val="449"/>
        </w:trPr>
        <w:tc>
          <w:tcPr>
            <w:tcW w:w="1311"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VETC</w:t>
            </w:r>
          </w:p>
        </w:tc>
        <w:tc>
          <w:tcPr>
            <w:tcW w:w="7716"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Vietnam Electronic Toll Collection</w:t>
            </w:r>
          </w:p>
        </w:tc>
      </w:tr>
      <w:tr w:rsidR="002B183A" w:rsidRPr="00BB346A" w14:paraId="73CFB63E" w14:textId="77777777" w:rsidTr="002923F3">
        <w:trPr>
          <w:cantSplit/>
          <w:trHeight w:val="449"/>
        </w:trPr>
        <w:tc>
          <w:tcPr>
            <w:tcW w:w="1311"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WAF</w:t>
            </w:r>
          </w:p>
        </w:tc>
        <w:tc>
          <w:tcPr>
            <w:tcW w:w="7716"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Web application firewall</w:t>
            </w:r>
          </w:p>
        </w:tc>
      </w:tr>
    </w:tbl>
    <w:p w14:paraId="12E0A58E" w14:textId="77777777" w:rsidR="002B183A" w:rsidRPr="00465CAB" w:rsidRDefault="002B183A" w:rsidP="002B183A">
      <w:pPr>
        <w:pStyle w:val="Heading1"/>
        <w:pageBreakBefore/>
        <w:numPr>
          <w:ilvl w:val="0"/>
          <w:numId w:val="1"/>
        </w:numPr>
        <w:tabs>
          <w:tab w:val="num" w:pos="600"/>
        </w:tabs>
        <w:spacing w:before="360" w:after="160"/>
        <w:ind w:left="0" w:firstLine="0"/>
        <w:rPr>
          <w:rStyle w:val="BookTitle"/>
          <w:b w:val="0"/>
          <w:bCs w:val="0"/>
          <w:i w:val="0"/>
          <w:iCs w:val="0"/>
          <w:spacing w:val="0"/>
        </w:rPr>
      </w:pPr>
      <w:bookmarkStart w:id="7" w:name="_Toc300000003"/>
      <w:r>
        <w:rPr>
          <w:rStyle w:val="BookTitle"/>
          <w:bCs w:val="0"/>
          <w:i w:val="0"/>
          <w:iCs w:val="0"/>
          <w:spacing w:val="0"/>
        </w:rPr>
        <w:t xml:space="preserve">Introduction</w:t>
      </w:r>
      <w:bookmarkEnd w:id="7"/>
    </w:p>
    <w:p>
      <w:pPr>
        <w:pStyle w:val="Heading2"/>
      </w:pPr>
      <w:bookmarkStart w:id="8" w:name="_Toc300000004"/>
      <w:r>
        <w:t xml:space="preserve">Purpose</w:t>
      </w:r>
      <w:bookmarkEnd w:id="8"/>
    </w:p>
    <w:p>
      <w:pPr>
        <w:pStyle w:val="FirstParagraph"/>
      </w:pPr>
      <w:r>
        <w:t xml:space="preserve">This document describes how the TASCO Growth Platform protects personal data, money movement, regulated rules and the audit trail. It sets out the assets and threats, the trust boundaries and zero-trust controls, identity and access control, cryptography and secrets, the handling of data-subject requests, application security, monitoring, the secure delivery pipeline and the residual risks with their treatment.</w:t>
      </w:r>
    </w:p>
    <w:p>
      <w:pPr>
        <w:pStyle w:val="Heading2"/>
      </w:pPr>
      <w:bookmarkStart w:id="9" w:name="_Toc300000005"/>
      <w:r>
        <w:t xml:space="preserve">Scope</w:t>
      </w:r>
      <w:bookmarkEnd w:id="9"/>
    </w:p>
    <w:p>
      <w:pPr>
        <w:pStyle w:val="FirstParagraph"/>
      </w:pPr>
      <w:r>
        <w:t xml:space="preserve">The application, its data and its integrations, and the infrastructure controls it relies on in production. Controls delivered by Kubernetes, the WAF, managed PostgreSQL and the CI pipeline are marked as infrastructure controls. Regulatory references are to be confirmed by TASCO legal.</w:t>
      </w:r>
    </w:p>
    <w:p>
      <w:pPr>
        <w:pStyle w:val="Heading2"/>
      </w:pPr>
      <w:bookmarkStart w:id="10" w:name="_Toc300000006"/>
      <w:r>
        <w:t xml:space="preserve">Audience</w:t>
      </w:r>
      <w:bookmarkEnd w:id="10"/>
    </w:p>
    <w:p>
      <w:pPr>
        <w:pStyle w:val="FirstParagraph"/>
      </w:pPr>
      <w:r>
        <w:t xml:space="preserve">TASCO Insurance Chief Information Security Officer and information security team, VETC security, penetration testers and internal audit.</w:t>
      </w:r>
    </w:p>
    <w:p>
      <w:pPr>
        <w:pStyle w:val="Heading2"/>
      </w:pPr>
      <w:bookmarkStart w:id="11" w:name="_Toc300000007"/>
      <w:r>
        <w:t xml:space="preserve">Related documents</w:t>
      </w:r>
      <w:bookmarkEnd w:id="11"/>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467"/>
        <w:gridCol w:w="3256"/>
        <w:gridCol w:w="4304"/>
      </w:tblGrid>
      <w:tr>
        <w:trPr>
          <w:cantSplit/>
          <w:tblHeader/>
        </w:trPr>
        <w:tc>
          <w:tcPr>
            <w:tcW w:w="1467" w:type="dxa"/>
            <w:shd w:val="clear" w:color="auto" w:fill="0F4761"/>
            <w:vAlign w:val="center"/>
          </w:tcPr>
          <w:p>
            <w:pPr>
              <w:pStyle w:val="TableHeading"/>
              <w:jc w:val="left"/>
            </w:pPr>
            <w:r>
              <w:rPr>
                <w:color w:val="FFFFFF"/>
              </w:rPr>
              <w:t xml:space="preserve">ID</w:t>
            </w:r>
          </w:p>
        </w:tc>
        <w:tc>
          <w:tcPr>
            <w:tcW w:w="3256" w:type="dxa"/>
            <w:shd w:val="clear" w:color="auto" w:fill="0F4761"/>
            <w:vAlign w:val="center"/>
          </w:tcPr>
          <w:p>
            <w:pPr>
              <w:pStyle w:val="TableHeading"/>
              <w:jc w:val="left"/>
            </w:pPr>
            <w:r>
              <w:rPr>
                <w:color w:val="FFFFFF"/>
              </w:rPr>
              <w:t xml:space="preserve">Title</w:t>
            </w:r>
          </w:p>
        </w:tc>
        <w:tc>
          <w:tcPr>
            <w:tcW w:w="4304" w:type="dxa"/>
            <w:shd w:val="clear" w:color="auto" w:fill="0F4761"/>
            <w:vAlign w:val="center"/>
          </w:tcPr>
          <w:p>
            <w:pPr>
              <w:pStyle w:val="TableHeading"/>
              <w:jc w:val="left"/>
            </w:pPr>
            <w:r>
              <w:rPr>
                <w:color w:val="FFFFFF"/>
              </w:rPr>
              <w:t xml:space="preserve">Relationship</w:t>
            </w:r>
          </w:p>
        </w:tc>
      </w:tr>
      <w:tr>
        <w:trPr>
          <w:cantSplit/>
        </w:trPr>
        <w:tc>
          <w:tcPr>
            <w:tcW w:w="1467" w:type="dxa"/>
            <w:noWrap/>
            <w:vAlign w:val="top"/>
          </w:tcPr>
          <w:p>
            <w:pPr>
              <w:pStyle w:val="TableText"/>
              <w:jc w:val="left"/>
            </w:pPr>
            <w:r>
              <w:t xml:space="preserve">TGP-ARC-01</w:t>
            </w:r>
          </w:p>
        </w:tc>
        <w:tc>
          <w:tcPr>
            <w:tcW w:w="3256" w:type="dxa"/>
            <w:vAlign w:val="top"/>
          </w:tcPr>
          <w:p>
            <w:pPr>
              <w:pStyle w:val="TableText"/>
              <w:jc w:val="left"/>
            </w:pPr>
            <w:r>
              <w:t xml:space="preserve">Solution Architecture</w:t>
            </w:r>
          </w:p>
        </w:tc>
        <w:tc>
          <w:tcPr>
            <w:tcW w:w="4304" w:type="dxa"/>
            <w:vAlign w:val="top"/>
          </w:tcPr>
          <w:p>
            <w:pPr>
              <w:pStyle w:val="TableText"/>
              <w:jc w:val="left"/>
            </w:pPr>
            <w:r>
              <w:t xml:space="preserve">Structure and principles</w:t>
            </w:r>
          </w:p>
        </w:tc>
      </w:tr>
      <w:tr>
        <w:trPr>
          <w:cantSplit/>
        </w:trPr>
        <w:tc>
          <w:tcPr>
            <w:tcW w:w="1467" w:type="dxa"/>
            <w:shd w:val="clear" w:color="auto" w:fill="F4F7FB"/>
            <w:noWrap/>
            <w:vAlign w:val="top"/>
          </w:tcPr>
          <w:p>
            <w:pPr>
              <w:pStyle w:val="TableText"/>
              <w:jc w:val="left"/>
            </w:pPr>
            <w:r>
              <w:t xml:space="preserve">TGP-ARC-02</w:t>
            </w:r>
          </w:p>
        </w:tc>
        <w:tc>
          <w:tcPr>
            <w:tcW w:w="3256" w:type="dxa"/>
            <w:shd w:val="clear" w:color="auto" w:fill="F4F7FB"/>
            <w:vAlign w:val="top"/>
          </w:tcPr>
          <w:p>
            <w:pPr>
              <w:pStyle w:val="TableText"/>
              <w:jc w:val="left"/>
            </w:pPr>
            <w:r>
              <w:t xml:space="preserve">Integration Architecture</w:t>
            </w:r>
          </w:p>
        </w:tc>
        <w:tc>
          <w:tcPr>
            <w:tcW w:w="4304" w:type="dxa"/>
            <w:shd w:val="clear" w:color="auto" w:fill="F4F7FB"/>
            <w:vAlign w:val="top"/>
          </w:tcPr>
          <w:p>
            <w:pPr>
              <w:pStyle w:val="TableText"/>
              <w:jc w:val="left"/>
            </w:pPr>
            <w:r>
              <w:t xml:space="preserve">Integration security and data minimisation per provider</w:t>
            </w:r>
          </w:p>
        </w:tc>
      </w:tr>
      <w:tr>
        <w:trPr>
          <w:cantSplit/>
        </w:trPr>
        <w:tc>
          <w:tcPr>
            <w:tcW w:w="1467" w:type="dxa"/>
            <w:noWrap/>
            <w:vAlign w:val="top"/>
          </w:tcPr>
          <w:p>
            <w:pPr>
              <w:pStyle w:val="TableText"/>
              <w:jc w:val="left"/>
            </w:pPr>
            <w:r>
              <w:t xml:space="preserve">TGP-ARC-03</w:t>
            </w:r>
          </w:p>
        </w:tc>
        <w:tc>
          <w:tcPr>
            <w:tcW w:w="3256" w:type="dxa"/>
            <w:vAlign w:val="top"/>
          </w:tcPr>
          <w:p>
            <w:pPr>
              <w:pStyle w:val="TableText"/>
              <w:jc w:val="left"/>
            </w:pPr>
            <w:r>
              <w:t xml:space="preserve">Data Architecture</w:t>
            </w:r>
          </w:p>
        </w:tc>
        <w:tc>
          <w:tcPr>
            <w:tcW w:w="4304" w:type="dxa"/>
            <w:vAlign w:val="top"/>
          </w:tcPr>
          <w:p>
            <w:pPr>
              <w:pStyle w:val="TableText"/>
              <w:jc w:val="left"/>
            </w:pPr>
            <w:r>
              <w:t xml:space="preserve">Classification, encryption, retention, erasure</w:t>
            </w:r>
          </w:p>
        </w:tc>
      </w:tr>
      <w:tr>
        <w:trPr>
          <w:cantSplit/>
        </w:trPr>
        <w:tc>
          <w:tcPr>
            <w:tcW w:w="1467" w:type="dxa"/>
            <w:shd w:val="clear" w:color="auto" w:fill="F4F7FB"/>
            <w:noWrap/>
            <w:vAlign w:val="top"/>
          </w:tcPr>
          <w:p>
            <w:pPr>
              <w:pStyle w:val="TableText"/>
              <w:jc w:val="left"/>
            </w:pPr>
            <w:r>
              <w:t xml:space="preserve">TGP-ARC-05</w:t>
            </w:r>
          </w:p>
        </w:tc>
        <w:tc>
          <w:tcPr>
            <w:tcW w:w="3256" w:type="dxa"/>
            <w:shd w:val="clear" w:color="auto" w:fill="F4F7FB"/>
            <w:vAlign w:val="top"/>
          </w:tcPr>
          <w:p>
            <w:pPr>
              <w:pStyle w:val="TableText"/>
              <w:jc w:val="left"/>
            </w:pPr>
            <w:r>
              <w:t xml:space="preserve">Deployment and Infrastructure Architecture</w:t>
            </w:r>
          </w:p>
        </w:tc>
        <w:tc>
          <w:tcPr>
            <w:tcW w:w="4304" w:type="dxa"/>
            <w:shd w:val="clear" w:color="auto" w:fill="F4F7FB"/>
            <w:vAlign w:val="top"/>
          </w:tcPr>
          <w:p>
            <w:pPr>
              <w:pStyle w:val="TableText"/>
              <w:jc w:val="left"/>
            </w:pPr>
            <w:r>
              <w:t xml:space="preserve">Network policy, secrets delivery, CI/CD gates</w:t>
            </w:r>
          </w:p>
        </w:tc>
      </w:tr>
      <w:tr>
        <w:trPr>
          <w:cantSplit/>
        </w:trPr>
        <w:tc>
          <w:tcPr>
            <w:tcW w:w="1467" w:type="dxa"/>
            <w:noWrap/>
            <w:vAlign w:val="top"/>
          </w:tcPr>
          <w:p>
            <w:pPr>
              <w:pStyle w:val="TableText"/>
              <w:jc w:val="left"/>
            </w:pPr>
            <w:r>
              <w:t xml:space="preserve">TGP-ARC-07</w:t>
            </w:r>
          </w:p>
        </w:tc>
        <w:tc>
          <w:tcPr>
            <w:tcW w:w="3256" w:type="dxa"/>
            <w:vAlign w:val="top"/>
          </w:tcPr>
          <w:p>
            <w:pPr>
              <w:pStyle w:val="TableText"/>
              <w:jc w:val="left"/>
            </w:pPr>
            <w:r>
              <w:t xml:space="preserve">Architecture Decision Records</w:t>
            </w:r>
          </w:p>
        </w:tc>
        <w:tc>
          <w:tcPr>
            <w:tcW w:w="4304" w:type="dxa"/>
            <w:vAlign w:val="top"/>
          </w:tcPr>
          <w:p>
            <w:pPr>
              <w:pStyle w:val="TableText"/>
              <w:jc w:val="left"/>
            </w:pPr>
            <w:r>
              <w:t xml:space="preserve">ADR-006 encryption, ADR-007 identity, ADR-008 audit</w:t>
            </w:r>
          </w:p>
        </w:tc>
      </w:tr>
      <w:tr>
        <w:trPr>
          <w:cantSplit/>
        </w:trPr>
        <w:tc>
          <w:tcPr>
            <w:tcW w:w="1467" w:type="dxa"/>
            <w:shd w:val="clear" w:color="auto" w:fill="F4F7FB"/>
            <w:noWrap/>
            <w:vAlign w:val="top"/>
          </w:tcPr>
          <w:p>
            <w:pPr>
              <w:pStyle w:val="TableText"/>
              <w:jc w:val="left"/>
            </w:pPr>
            <w:r>
              <w:t xml:space="preserve">TGP-OPS-02</w:t>
            </w:r>
          </w:p>
        </w:tc>
        <w:tc>
          <w:tcPr>
            <w:tcW w:w="3256" w:type="dxa"/>
            <w:shd w:val="clear" w:color="auto" w:fill="F4F7FB"/>
            <w:vAlign w:val="top"/>
          </w:tcPr>
          <w:p>
            <w:pPr>
              <w:pStyle w:val="TableText"/>
              <w:jc w:val="left"/>
            </w:pPr>
            <w:r>
              <w:t xml:space="preserve">Monitoring and Alerting</w:t>
            </w:r>
          </w:p>
        </w:tc>
        <w:tc>
          <w:tcPr>
            <w:tcW w:w="4304" w:type="dxa"/>
            <w:shd w:val="clear" w:color="auto" w:fill="F4F7FB"/>
            <w:vAlign w:val="top"/>
          </w:tcPr>
          <w:p>
            <w:pPr>
              <w:pStyle w:val="TableText"/>
              <w:jc w:val="left"/>
            </w:pPr>
            <w:r>
              <w:t xml:space="preserve">Security alert rules</w:t>
            </w:r>
          </w:p>
        </w:tc>
      </w:tr>
      <w:tr>
        <w:trPr>
          <w:cantSplit/>
        </w:trPr>
        <w:tc>
          <w:tcPr>
            <w:tcW w:w="1467" w:type="dxa"/>
            <w:noWrap/>
            <w:vAlign w:val="top"/>
          </w:tcPr>
          <w:p>
            <w:pPr>
              <w:pStyle w:val="TableText"/>
              <w:jc w:val="left"/>
            </w:pPr>
            <w:r>
              <w:t xml:space="preserve">TGP-DEL-04</w:t>
            </w:r>
          </w:p>
        </w:tc>
        <w:tc>
          <w:tcPr>
            <w:tcW w:w="3256" w:type="dxa"/>
            <w:vAlign w:val="top"/>
          </w:tcPr>
          <w:p>
            <w:pPr>
              <w:pStyle w:val="TableText"/>
              <w:jc w:val="left"/>
            </w:pPr>
            <w:r>
              <w:t xml:space="preserve">Risk Register</w:t>
            </w:r>
          </w:p>
        </w:tc>
        <w:tc>
          <w:tcPr>
            <w:tcW w:w="4304" w:type="dxa"/>
            <w:vAlign w:val="top"/>
          </w:tcPr>
          <w:p>
            <w:pPr>
              <w:pStyle w:val="TableText"/>
              <w:jc w:val="left"/>
            </w:pPr>
            <w:r>
              <w:t xml:space="preserve">Programme-level risks</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12" w:name="_Toc300000008"/>
      <w:r>
        <w:rPr>
          <w:rStyle w:val="BookTitle"/>
          <w:bCs w:val="0"/>
          <w:i w:val="0"/>
          <w:iCs w:val="0"/>
          <w:spacing w:val="0"/>
        </w:rPr>
        <w:t xml:space="preserve">Assets and security objectives</w:t>
      </w:r>
      <w:bookmarkEnd w:id="12"/>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3319"/>
        <w:gridCol w:w="3204"/>
        <w:gridCol w:w="2504"/>
      </w:tblGrid>
      <w:tr>
        <w:trPr>
          <w:cantSplit/>
          <w:tblHeader/>
        </w:trPr>
        <w:tc>
          <w:tcPr>
            <w:tcW w:w="3319" w:type="dxa"/>
            <w:shd w:val="clear" w:color="auto" w:fill="0F4761"/>
            <w:vAlign w:val="center"/>
          </w:tcPr>
          <w:p>
            <w:pPr>
              <w:pStyle w:val="TableHeading"/>
              <w:jc w:val="left"/>
            </w:pPr>
            <w:r>
              <w:rPr>
                <w:color w:val="FFFFFF"/>
              </w:rPr>
              <w:t xml:space="preserve">Asset</w:t>
            </w:r>
          </w:p>
        </w:tc>
        <w:tc>
          <w:tcPr>
            <w:tcW w:w="3204" w:type="dxa"/>
            <w:shd w:val="clear" w:color="auto" w:fill="0F4761"/>
            <w:vAlign w:val="center"/>
          </w:tcPr>
          <w:p>
            <w:pPr>
              <w:pStyle w:val="TableHeading"/>
              <w:jc w:val="left"/>
            </w:pPr>
            <w:r>
              <w:rPr>
                <w:color w:val="FFFFFF"/>
              </w:rPr>
              <w:t xml:space="preserve">Why it matters</w:t>
            </w:r>
          </w:p>
        </w:tc>
        <w:tc>
          <w:tcPr>
            <w:tcW w:w="2504" w:type="dxa"/>
            <w:shd w:val="clear" w:color="auto" w:fill="0F4761"/>
            <w:vAlign w:val="center"/>
          </w:tcPr>
          <w:p>
            <w:pPr>
              <w:pStyle w:val="TableHeading"/>
              <w:jc w:val="left"/>
            </w:pPr>
            <w:r>
              <w:rPr>
                <w:color w:val="FFFFFF"/>
              </w:rPr>
              <w:t xml:space="preserve">Primary objective</w:t>
            </w:r>
          </w:p>
        </w:tc>
      </w:tr>
      <w:tr>
        <w:trPr>
          <w:cantSplit/>
        </w:trPr>
        <w:tc>
          <w:tcPr>
            <w:tcW w:w="3319" w:type="dxa"/>
            <w:vAlign w:val="top"/>
          </w:tcPr>
          <w:p>
            <w:pPr>
              <w:pStyle w:val="TableText"/>
              <w:jc w:val="left"/>
            </w:pPr>
            <w:r>
              <w:t xml:space="preserve">Personal data of about 6 million vehicle owners</w:t>
            </w:r>
          </w:p>
        </w:tc>
        <w:tc>
          <w:tcPr>
            <w:tcW w:w="3204" w:type="dxa"/>
            <w:vAlign w:val="top"/>
          </w:tcPr>
          <w:p>
            <w:pPr>
              <w:pStyle w:val="TableText"/>
              <w:jc w:val="left"/>
            </w:pPr>
            <w:r>
              <w:t xml:space="preserve">Personal data protection law and customer trust (to be confirmed by TASCO legal)</w:t>
            </w:r>
          </w:p>
        </w:tc>
        <w:tc>
          <w:tcPr>
            <w:tcW w:w="2504" w:type="dxa"/>
            <w:vAlign w:val="top"/>
          </w:tcPr>
          <w:p>
            <w:pPr>
              <w:pStyle w:val="TableText"/>
              <w:jc w:val="left"/>
            </w:pPr>
            <w:r>
              <w:t xml:space="preserve">Confidentiality, lawful processing</w:t>
            </w:r>
          </w:p>
        </w:tc>
      </w:tr>
      <w:tr>
        <w:trPr>
          <w:cantSplit/>
        </w:trPr>
        <w:tc>
          <w:tcPr>
            <w:tcW w:w="3319" w:type="dxa"/>
            <w:shd w:val="clear" w:color="auto" w:fill="F4F7FB"/>
            <w:vAlign w:val="top"/>
          </w:tcPr>
          <w:p>
            <w:pPr>
              <w:pStyle w:val="TableText"/>
              <w:jc w:val="left"/>
            </w:pPr>
            <w:r>
              <w:t xml:space="preserve">Money movement: VETC wallet and TASCO payment gateway debits, refunds, partner commission</w:t>
            </w:r>
          </w:p>
        </w:tc>
        <w:tc>
          <w:tcPr>
            <w:tcW w:w="3204" w:type="dxa"/>
            <w:shd w:val="clear" w:color="auto" w:fill="F4F7FB"/>
            <w:vAlign w:val="top"/>
          </w:tcPr>
          <w:p>
            <w:pPr>
              <w:pStyle w:val="TableText"/>
              <w:jc w:val="left"/>
            </w:pPr>
            <w:r>
              <w:t xml:space="preserve">Fraud and double charging</w:t>
            </w:r>
          </w:p>
        </w:tc>
        <w:tc>
          <w:tcPr>
            <w:tcW w:w="2504" w:type="dxa"/>
            <w:shd w:val="clear" w:color="auto" w:fill="F4F7FB"/>
            <w:vAlign w:val="top"/>
          </w:tcPr>
          <w:p>
            <w:pPr>
              <w:pStyle w:val="TableText"/>
              <w:jc w:val="left"/>
            </w:pPr>
            <w:r>
              <w:t xml:space="preserve">Integrity, non-repudiation</w:t>
            </w:r>
          </w:p>
        </w:tc>
      </w:tr>
      <w:tr>
        <w:trPr>
          <w:cantSplit/>
        </w:trPr>
        <w:tc>
          <w:tcPr>
            <w:tcW w:w="3319" w:type="dxa"/>
            <w:vAlign w:val="top"/>
          </w:tcPr>
          <w:p>
            <w:pPr>
              <w:pStyle w:val="TableText"/>
              <w:jc w:val="left"/>
            </w:pPr>
            <w:r>
              <w:t xml:space="preserve">Regulated rules: tariffs, copy guard, commission caps, consent policy</w:t>
            </w:r>
          </w:p>
        </w:tc>
        <w:tc>
          <w:tcPr>
            <w:tcW w:w="3204" w:type="dxa"/>
            <w:vAlign w:val="top"/>
          </w:tcPr>
          <w:p>
            <w:pPr>
              <w:pStyle w:val="TableText"/>
              <w:jc w:val="left"/>
            </w:pPr>
            <w:r>
              <w:t xml:space="preserve">Mis-selling and unlawful discounts on compulsory cover</w:t>
            </w:r>
          </w:p>
        </w:tc>
        <w:tc>
          <w:tcPr>
            <w:tcW w:w="2504" w:type="dxa"/>
            <w:vAlign w:val="top"/>
          </w:tcPr>
          <w:p>
            <w:pPr>
              <w:pStyle w:val="TableText"/>
              <w:jc w:val="left"/>
            </w:pPr>
            <w:r>
              <w:t xml:space="preserve">Integrity, four-eyes control</w:t>
            </w:r>
          </w:p>
        </w:tc>
      </w:tr>
      <w:tr>
        <w:trPr>
          <w:cantSplit/>
        </w:trPr>
        <w:tc>
          <w:tcPr>
            <w:tcW w:w="3319" w:type="dxa"/>
            <w:shd w:val="clear" w:color="auto" w:fill="F4F7FB"/>
            <w:vAlign w:val="top"/>
          </w:tcPr>
          <w:p>
            <w:pPr>
              <w:pStyle w:val="TableText"/>
              <w:jc w:val="left"/>
            </w:pPr>
            <w:r>
              <w:t xml:space="preserve">Policies and e-certificates</w:t>
            </w:r>
          </w:p>
        </w:tc>
        <w:tc>
          <w:tcPr>
            <w:tcW w:w="3204" w:type="dxa"/>
            <w:shd w:val="clear" w:color="auto" w:fill="F4F7FB"/>
            <w:vAlign w:val="top"/>
          </w:tcPr>
          <w:p>
            <w:pPr>
              <w:pStyle w:val="TableText"/>
              <w:jc w:val="left"/>
            </w:pPr>
            <w:r>
              <w:t xml:space="preserve">Legal proof of compulsory cover</w:t>
            </w:r>
          </w:p>
        </w:tc>
        <w:tc>
          <w:tcPr>
            <w:tcW w:w="2504" w:type="dxa"/>
            <w:shd w:val="clear" w:color="auto" w:fill="F4F7FB"/>
            <w:vAlign w:val="top"/>
          </w:tcPr>
          <w:p>
            <w:pPr>
              <w:pStyle w:val="TableText"/>
              <w:jc w:val="left"/>
            </w:pPr>
            <w:r>
              <w:t xml:space="preserve">Integrity, availability</w:t>
            </w:r>
          </w:p>
        </w:tc>
      </w:tr>
      <w:tr>
        <w:trPr>
          <w:cantSplit/>
        </w:trPr>
        <w:tc>
          <w:tcPr>
            <w:tcW w:w="3319" w:type="dxa"/>
            <w:vAlign w:val="top"/>
          </w:tcPr>
          <w:p>
            <w:pPr>
              <w:pStyle w:val="TableText"/>
              <w:jc w:val="left"/>
            </w:pPr>
            <w:r>
              <w:t xml:space="preserve">Audit trail</w:t>
            </w:r>
          </w:p>
        </w:tc>
        <w:tc>
          <w:tcPr>
            <w:tcW w:w="3204" w:type="dxa"/>
            <w:vAlign w:val="top"/>
          </w:tcPr>
          <w:p>
            <w:pPr>
              <w:pStyle w:val="TableText"/>
              <w:jc w:val="left"/>
            </w:pPr>
            <w:r>
              <w:t xml:space="preserve">Accountability to regulators and auditors</w:t>
            </w:r>
          </w:p>
        </w:tc>
        <w:tc>
          <w:tcPr>
            <w:tcW w:w="2504" w:type="dxa"/>
            <w:vAlign w:val="top"/>
          </w:tcPr>
          <w:p>
            <w:pPr>
              <w:pStyle w:val="TableText"/>
              <w:jc w:val="left"/>
            </w:pPr>
            <w:r>
              <w:t xml:space="preserve">Tamper evidence</w:t>
            </w:r>
          </w:p>
        </w:tc>
      </w:tr>
      <w:tr>
        <w:trPr>
          <w:cantSplit/>
        </w:trPr>
        <w:tc>
          <w:tcPr>
            <w:tcW w:w="3319" w:type="dxa"/>
            <w:shd w:val="clear" w:color="auto" w:fill="F4F7FB"/>
            <w:vAlign w:val="top"/>
          </w:tcPr>
          <w:p>
            <w:pPr>
              <w:pStyle w:val="TableText"/>
              <w:jc w:val="left"/>
            </w:pPr>
            <w:r>
              <w:t xml:space="preserve">Credentials and keys</w:t>
            </w:r>
          </w:p>
        </w:tc>
        <w:tc>
          <w:tcPr>
            <w:tcW w:w="3204" w:type="dxa"/>
            <w:shd w:val="clear" w:color="auto" w:fill="F4F7FB"/>
            <w:vAlign w:val="top"/>
          </w:tcPr>
          <w:p>
            <w:pPr>
              <w:pStyle w:val="TableText"/>
              <w:jc w:val="left"/>
            </w:pPr>
            <w:r>
              <w:t xml:space="preserve">Compromise means full breach</w:t>
            </w:r>
          </w:p>
        </w:tc>
        <w:tc>
          <w:tcPr>
            <w:tcW w:w="2504" w:type="dxa"/>
            <w:shd w:val="clear" w:color="auto" w:fill="F4F7FB"/>
            <w:vAlign w:val="top"/>
          </w:tcPr>
          <w:p>
            <w:pPr>
              <w:pStyle w:val="TableText"/>
              <w:jc w:val="left"/>
            </w:pPr>
            <w:r>
              <w:t xml:space="preserve">Confidentiality</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13" w:name="_Toc300000009"/>
      <w:r>
        <w:rPr>
          <w:rStyle w:val="BookTitle"/>
          <w:bCs w:val="0"/>
          <w:i w:val="0"/>
          <w:iCs w:val="0"/>
          <w:spacing w:val="0"/>
        </w:rPr>
        <w:t xml:space="preserve">Trust boundaries and zero trust</w:t>
      </w:r>
      <w:bookmarkEnd w:id="13"/>
    </w:p>
    <w:p>
      <w:pPr>
        <w:pStyle w:val="Heading2"/>
      </w:pPr>
      <w:bookmarkStart w:id="14" w:name="_Toc300000010"/>
      <w:r>
        <w:t xml:space="preserve">Trust boundaries</w:t>
      </w:r>
      <w:bookmarkEnd w:id="14"/>
    </w:p>
    <w:p>
      <w:pPr>
        <w:pStyle w:val="FirstParagraph"/>
      </w:pPr>
      <w:r>
        <w:t xml:space="preserve">Every request that crosses a trust boundary is authenticated, validated and minimised. The diagram shows the boundaries and the credential used at each crossing.</w:t>
      </w:r>
    </w:p>
    <w:p xmlns:a="http://schemas.openxmlformats.org/drawingml/2006/main" xmlns:pic="http://schemas.openxmlformats.org/drawingml/2006/picture">
      <w:pPr>
        <w:pStyle w:val="Figure"/>
      </w:pPr>
      <w:r>
        <w:drawing>
          <wp:inline>
            <wp:extent cx="5727700" cy="4922350"/>
            <wp:effectExtent b="0" l="0" r="0" t="0"/>
            <wp:docPr descr="Trust boundaries and the credential used at each crossing" title="" id="5002" name="Picture"/>
            <a:graphic>
              <a:graphicData uri="http://schemas.openxmlformats.org/drawingml/2006/picture">
                <pic:pic>
                  <pic:nvPicPr>
                    <pic:cNvPr descr="/home/user/TASCO/tools/docs-source/gen/.cache/mermaid/4b12daefd9b26e1e.png" id="28" name="Picture"/>
                    <pic:cNvPicPr>
                      <a:picLocks noChangeArrowheads="1" noChangeAspect="1"/>
                    </pic:cNvPicPr>
                  </pic:nvPicPr>
                  <pic:blipFill>
                    <a:blip r:embed="rIdG1"/>
                    <a:stretch>
                      <a:fillRect/>
                    </a:stretch>
                  </pic:blipFill>
                  <pic:spPr bwMode="auto">
                    <a:xfrm>
                      <a:off x="0" y="0"/>
                      <a:ext cx="5727700" cy="4922350"/>
                    </a:xfrm>
                    <a:prstGeom prst="rect">
                      <a:avLst/>
                    </a:prstGeom>
                    <a:noFill/>
                    <a:ln w="9525">
                      <a:noFill/>
                      <a:headEnd/>
                      <a:tailEnd/>
                    </a:ln>
                  </pic:spPr>
                </pic:pic>
              </a:graphicData>
            </a:graphic>
          </wp:inline>
        </w:drawing>
      </w:r>
    </w:p>
    <w:p>
      <w:pPr>
        <w:pStyle w:val="Caption"/>
      </w:pPr>
      <w:r>
        <w:t xml:space="preserve">Figure 1 – Trust boundaries and the credential used at each crossing</w:t>
      </w:r>
    </w:p>
    <w:p>
      <w:pPr>
        <w:pStyle w:val="BodyText"/>
      </w:pPr>
      <w:r>
        <w:t xml:space="preserve">Personal data crosses into third parties only where a provider needs it: phone numbers to the messaging and voice providers, plate and holder name to TASCO core at issuance, and inbound records from VETC. The public certificate check returns a masked plate and no personal data.</w:t>
      </w:r>
    </w:p>
    <w:p>
      <w:pPr>
        <w:pStyle w:val="Heading2"/>
      </w:pPr>
      <w:bookmarkStart w:id="15" w:name="_Toc300000011"/>
      <w:r>
        <w:t xml:space="preserve">Zero-trust controls</w:t>
      </w:r>
      <w:bookmarkEnd w:id="15"/>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688"/>
        <w:gridCol w:w="5113"/>
        <w:gridCol w:w="2226"/>
      </w:tblGrid>
      <w:tr>
        <w:trPr>
          <w:cantSplit/>
          <w:tblHeader/>
        </w:trPr>
        <w:tc>
          <w:tcPr>
            <w:tcW w:w="1688" w:type="dxa"/>
            <w:shd w:val="clear" w:color="auto" w:fill="0F4761"/>
            <w:vAlign w:val="center"/>
          </w:tcPr>
          <w:p>
            <w:pPr>
              <w:pStyle w:val="TableHeading"/>
              <w:jc w:val="left"/>
            </w:pPr>
            <w:r>
              <w:rPr>
                <w:color w:val="FFFFFF"/>
              </w:rPr>
              <w:t xml:space="preserve">Principle</w:t>
            </w:r>
          </w:p>
        </w:tc>
        <w:tc>
          <w:tcPr>
            <w:tcW w:w="5113" w:type="dxa"/>
            <w:shd w:val="clear" w:color="auto" w:fill="0F4761"/>
            <w:vAlign w:val="center"/>
          </w:tcPr>
          <w:p>
            <w:pPr>
              <w:pStyle w:val="TableHeading"/>
              <w:jc w:val="left"/>
            </w:pPr>
            <w:r>
              <w:rPr>
                <w:color w:val="FFFFFF"/>
              </w:rPr>
              <w:t xml:space="preserve">Control</w:t>
            </w:r>
          </w:p>
        </w:tc>
        <w:tc>
          <w:tcPr>
            <w:tcW w:w="2226" w:type="dxa"/>
            <w:shd w:val="clear" w:color="auto" w:fill="0F4761"/>
            <w:vAlign w:val="center"/>
          </w:tcPr>
          <w:p>
            <w:pPr>
              <w:pStyle w:val="TableHeading"/>
              <w:jc w:val="left"/>
            </w:pPr>
            <w:r>
              <w:rPr>
                <w:color w:val="FFFFFF"/>
              </w:rPr>
              <w:t xml:space="preserve">Status</w:t>
            </w:r>
          </w:p>
        </w:tc>
      </w:tr>
      <w:tr>
        <w:trPr>
          <w:cantSplit/>
        </w:trPr>
        <w:tc>
          <w:tcPr>
            <w:tcW w:w="1688" w:type="dxa"/>
            <w:vAlign w:val="top"/>
          </w:tcPr>
          <w:p>
            <w:pPr>
              <w:pStyle w:val="TableText"/>
              <w:jc w:val="left"/>
            </w:pPr>
            <w:r>
              <w:t xml:space="preserve">Verify explicitly</w:t>
            </w:r>
          </w:p>
        </w:tc>
        <w:tc>
          <w:tcPr>
            <w:tcW w:w="5113" w:type="dxa"/>
            <w:vAlign w:val="top"/>
          </w:tcPr>
          <w:p>
            <w:pPr>
              <w:pStyle w:val="TableText"/>
              <w:jc w:val="left"/>
            </w:pPr>
            <w:r>
              <w:t xml:space="preserve">Token verified on every request; the staff user is reloaded on every request, so a password, role, status or region change applies at once. Partner key and partner status are checked per request.</w:t>
            </w:r>
          </w:p>
        </w:tc>
        <w:tc>
          <w:tcPr>
            <w:tcW w:w="2226" w:type="dxa"/>
            <w:vAlign w:val="top"/>
          </w:tcPr>
          <w:p>
            <w:pPr>
              <w:pStyle w:val="TableText"/>
              <w:jc w:val="left"/>
            </w:pPr>
            <w:r>
              <w:t xml:space="preserve">Built</w:t>
            </w:r>
          </w:p>
        </w:tc>
      </w:tr>
      <w:tr>
        <w:trPr>
          <w:cantSplit/>
        </w:trPr>
        <w:tc>
          <w:tcPr>
            <w:tcW w:w="1688" w:type="dxa"/>
            <w:shd w:val="clear" w:color="auto" w:fill="F4F7FB"/>
            <w:vAlign w:val="top"/>
          </w:tcPr>
          <w:p>
            <w:pPr>
              <w:pStyle w:val="TableText"/>
              <w:jc w:val="left"/>
            </w:pPr>
            <w:r>
              <w:t xml:space="preserve">Least privilege</w:t>
            </w:r>
          </w:p>
        </w:tc>
        <w:tc>
          <w:tcPr>
            <w:tcW w:w="5113" w:type="dxa"/>
            <w:shd w:val="clear" w:color="auto" w:fill="F4F7FB"/>
            <w:vAlign w:val="top"/>
          </w:tcPr>
          <w:p>
            <w:pPr>
              <w:pStyle w:val="TableText"/>
              <w:jc w:val="left"/>
            </w:pPr>
            <w:r>
              <w:t xml:space="preserve">29 permissions across 15 roles; attribute-based checks on region and ownership; personal data masked without explicit permission; database application role without schema rights</w:t>
            </w:r>
          </w:p>
        </w:tc>
        <w:tc>
          <w:tcPr>
            <w:tcW w:w="2226" w:type="dxa"/>
            <w:shd w:val="clear" w:color="auto" w:fill="F4F7FB"/>
            <w:vAlign w:val="top"/>
          </w:tcPr>
          <w:p>
            <w:pPr>
              <w:pStyle w:val="TableText"/>
              <w:jc w:val="left"/>
            </w:pPr>
            <w:r>
              <w:t xml:space="preserve">Built and infrastructure</w:t>
            </w:r>
          </w:p>
        </w:tc>
      </w:tr>
      <w:tr>
        <w:trPr>
          <w:cantSplit/>
        </w:trPr>
        <w:tc>
          <w:tcPr>
            <w:tcW w:w="1688" w:type="dxa"/>
            <w:vAlign w:val="top"/>
          </w:tcPr>
          <w:p>
            <w:pPr>
              <w:pStyle w:val="TableText"/>
              <w:jc w:val="left"/>
            </w:pPr>
            <w:r>
              <w:t xml:space="preserve">Assume breach</w:t>
            </w:r>
          </w:p>
        </w:tc>
        <w:tc>
          <w:tcPr>
            <w:tcW w:w="5113" w:type="dxa"/>
            <w:vAlign w:val="top"/>
          </w:tcPr>
          <w:p>
            <w:pPr>
              <w:pStyle w:val="TableText"/>
              <w:jc w:val="left"/>
            </w:pPr>
            <w:r>
              <w:t xml:space="preserve">Field-level encryption, so a database or backup theft yields ciphertext; hash-chained audit trail; default-deny network policy; 30-minute staff tokens; separate keys for encryption and search</w:t>
            </w:r>
          </w:p>
        </w:tc>
        <w:tc>
          <w:tcPr>
            <w:tcW w:w="2226" w:type="dxa"/>
            <w:vAlign w:val="top"/>
          </w:tcPr>
          <w:p>
            <w:pPr>
              <w:pStyle w:val="TableText"/>
              <w:jc w:val="left"/>
            </w:pPr>
            <w:r>
              <w:t xml:space="preserve">Built and infrastructure</w:t>
            </w:r>
          </w:p>
        </w:tc>
      </w:tr>
      <w:tr>
        <w:trPr>
          <w:cantSplit/>
        </w:trPr>
        <w:tc>
          <w:tcPr>
            <w:tcW w:w="1688" w:type="dxa"/>
            <w:shd w:val="clear" w:color="auto" w:fill="F4F7FB"/>
            <w:vAlign w:val="top"/>
          </w:tcPr>
          <w:p>
            <w:pPr>
              <w:pStyle w:val="TableText"/>
              <w:jc w:val="left"/>
            </w:pPr>
            <w:r>
              <w:t xml:space="preserve">No implicit network trust</w:t>
            </w:r>
          </w:p>
        </w:tc>
        <w:tc>
          <w:tcPr>
            <w:tcW w:w="5113" w:type="dxa"/>
            <w:shd w:val="clear" w:color="auto" w:fill="F4F7FB"/>
            <w:vAlign w:val="top"/>
          </w:tcPr>
          <w:p>
            <w:pPr>
              <w:pStyle w:val="TableText"/>
              <w:jc w:val="left"/>
            </w:pPr>
            <w:r>
              <w:t xml:space="preserve">TLS to the database with certificate verification; mTLS to providers; metrics endpoint protected by a bearer token and network rules</w:t>
            </w:r>
          </w:p>
        </w:tc>
        <w:tc>
          <w:tcPr>
            <w:tcW w:w="2226" w:type="dxa"/>
            <w:shd w:val="clear" w:color="auto" w:fill="F4F7FB"/>
            <w:vAlign w:val="top"/>
          </w:tcPr>
          <w:p>
            <w:pPr>
              <w:pStyle w:val="TableText"/>
              <w:jc w:val="left"/>
            </w:pPr>
            <w:r>
              <w:t xml:space="preserve">Partly built; mTLS with real adapters</w:t>
            </w:r>
          </w:p>
        </w:tc>
      </w:tr>
      <w:tr>
        <w:trPr>
          <w:cantSplit/>
        </w:trPr>
        <w:tc>
          <w:tcPr>
            <w:tcW w:w="1688" w:type="dxa"/>
            <w:vAlign w:val="top"/>
          </w:tcPr>
          <w:p>
            <w:pPr>
              <w:pStyle w:val="TableText"/>
              <w:jc w:val="left"/>
            </w:pPr>
            <w:r>
              <w:t xml:space="preserve">Device and session posture</w:t>
            </w:r>
          </w:p>
        </w:tc>
        <w:tc>
          <w:tcPr>
            <w:tcW w:w="5113" w:type="dxa"/>
            <w:vAlign w:val="top"/>
          </w:tcPr>
          <w:p>
            <w:pPr>
              <w:pStyle w:val="TableText"/>
              <w:jc w:val="left"/>
            </w:pPr>
            <w:r>
              <w:t xml:space="preserve">Managed devices for roles that see personal data, through identity provider conditional access</w:t>
            </w:r>
          </w:p>
        </w:tc>
        <w:tc>
          <w:tcPr>
            <w:tcW w:w="2226" w:type="dxa"/>
            <w:vAlign w:val="top"/>
          </w:tcPr>
          <w:p>
            <w:pPr>
              <w:pStyle w:val="TableText"/>
              <w:jc w:val="left"/>
            </w:pPr>
            <w:r>
              <w:t xml:space="preserve">Planned with OIDC (ADR-007)</w:t>
            </w:r>
          </w:p>
        </w:tc>
      </w:tr>
      <w:tr>
        <w:trPr>
          <w:cantSplit/>
        </w:trPr>
        <w:tc>
          <w:tcPr>
            <w:tcW w:w="1688" w:type="dxa"/>
            <w:shd w:val="clear" w:color="auto" w:fill="F4F7FB"/>
            <w:vAlign w:val="top"/>
          </w:tcPr>
          <w:p>
            <w:pPr>
              <w:pStyle w:val="TableText"/>
              <w:jc w:val="left"/>
            </w:pPr>
            <w:r>
              <w:t xml:space="preserve">Continuous monitoring</w:t>
            </w:r>
          </w:p>
        </w:tc>
        <w:tc>
          <w:tcPr>
            <w:tcW w:w="5113" w:type="dxa"/>
            <w:shd w:val="clear" w:color="auto" w:fill="F4F7FB"/>
            <w:vAlign w:val="top"/>
          </w:tcPr>
          <w:p>
            <w:pPr>
              <w:pStyle w:val="TableText"/>
              <w:jc w:val="left"/>
            </w:pPr>
            <w:r>
              <w:t xml:space="preserve">Audit trail, metrics, security alerts</w:t>
            </w:r>
          </w:p>
        </w:tc>
        <w:tc>
          <w:tcPr>
            <w:tcW w:w="2226" w:type="dxa"/>
            <w:shd w:val="clear" w:color="auto" w:fill="F4F7FB"/>
            <w:vAlign w:val="top"/>
          </w:tcPr>
          <w:p>
            <w:pPr>
              <w:pStyle w:val="TableText"/>
              <w:jc w:val="left"/>
            </w:pPr>
            <w:r>
              <w:t xml:space="preserve">Built and infrastructure</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16" w:name="_Toc300000012"/>
      <w:r>
        <w:rPr>
          <w:rStyle w:val="BookTitle"/>
          <w:bCs w:val="0"/>
          <w:i w:val="0"/>
          <w:iCs w:val="0"/>
          <w:spacing w:val="0"/>
        </w:rPr>
        <w:t xml:space="preserve">Threat model</w:t>
      </w:r>
      <w:bookmarkEnd w:id="16"/>
    </w:p>
    <w:p>
      <w:pPr>
        <w:pStyle w:val="FirstParagraph"/>
      </w:pPr>
      <w:r>
        <w:t xml:space="preserve">The threat model follows STRIDE. The table lists the main threats per component, the key controls and the residual risk after those controls. Residual risks rated Medium are tracked in section 12.</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837"/>
        <w:gridCol w:w="2459"/>
        <w:gridCol w:w="3082"/>
        <w:gridCol w:w="1649"/>
      </w:tblGrid>
      <w:tr>
        <w:trPr>
          <w:cantSplit/>
          <w:tblHeader/>
        </w:trPr>
        <w:tc>
          <w:tcPr>
            <w:tcW w:w="1837" w:type="dxa"/>
            <w:shd w:val="clear" w:color="auto" w:fill="0F4761"/>
            <w:vAlign w:val="center"/>
          </w:tcPr>
          <w:p>
            <w:pPr>
              <w:pStyle w:val="TableHeading"/>
              <w:jc w:val="left"/>
            </w:pPr>
            <w:r>
              <w:rPr>
                <w:color w:val="FFFFFF"/>
              </w:rPr>
              <w:t xml:space="preserve">Component</w:t>
            </w:r>
          </w:p>
        </w:tc>
        <w:tc>
          <w:tcPr>
            <w:tcW w:w="2459" w:type="dxa"/>
            <w:shd w:val="clear" w:color="auto" w:fill="0F4761"/>
            <w:vAlign w:val="center"/>
          </w:tcPr>
          <w:p>
            <w:pPr>
              <w:pStyle w:val="TableHeading"/>
              <w:jc w:val="left"/>
            </w:pPr>
            <w:r>
              <w:rPr>
                <w:color w:val="FFFFFF"/>
              </w:rPr>
              <w:t xml:space="preserve">Main threats</w:t>
            </w:r>
          </w:p>
        </w:tc>
        <w:tc>
          <w:tcPr>
            <w:tcW w:w="3082" w:type="dxa"/>
            <w:shd w:val="clear" w:color="auto" w:fill="0F4761"/>
            <w:vAlign w:val="center"/>
          </w:tcPr>
          <w:p>
            <w:pPr>
              <w:pStyle w:val="TableHeading"/>
              <w:jc w:val="left"/>
            </w:pPr>
            <w:r>
              <w:rPr>
                <w:color w:val="FFFFFF"/>
              </w:rPr>
              <w:t xml:space="preserve">Key controls</w:t>
            </w:r>
          </w:p>
        </w:tc>
        <w:tc>
          <w:tcPr>
            <w:tcW w:w="1649" w:type="dxa"/>
            <w:shd w:val="clear" w:color="auto" w:fill="0F4761"/>
            <w:vAlign w:val="center"/>
          </w:tcPr>
          <w:p>
            <w:pPr>
              <w:pStyle w:val="TableHeading"/>
              <w:jc w:val="left"/>
            </w:pPr>
            <w:r>
              <w:rPr>
                <w:color w:val="FFFFFF"/>
              </w:rPr>
              <w:t xml:space="preserve">Residual risk</w:t>
            </w:r>
          </w:p>
        </w:tc>
      </w:tr>
      <w:tr>
        <w:trPr>
          <w:cantSplit/>
        </w:trPr>
        <w:tc>
          <w:tcPr>
            <w:tcW w:w="1837" w:type="dxa"/>
            <w:vAlign w:val="top"/>
          </w:tcPr>
          <w:p>
            <w:pPr>
              <w:pStyle w:val="TableText"/>
              <w:jc w:val="left"/>
            </w:pPr>
            <w:r>
              <w:t xml:space="preserve">Edge and HTTP pipeline</w:t>
            </w:r>
          </w:p>
        </w:tc>
        <w:tc>
          <w:tcPr>
            <w:tcW w:w="2459" w:type="dxa"/>
            <w:vAlign w:val="top"/>
          </w:tcPr>
          <w:p>
            <w:pPr>
              <w:pStyle w:val="TableText"/>
              <w:jc w:val="left"/>
            </w:pPr>
            <w:r>
              <w:t xml:space="preserve">IP spoofing against rate limits; oversized or malformed requests; error leakage</w:t>
            </w:r>
          </w:p>
        </w:tc>
        <w:tc>
          <w:tcPr>
            <w:tcW w:w="3082" w:type="dxa"/>
            <w:vAlign w:val="top"/>
          </w:tcPr>
          <w:p>
            <w:pPr>
              <w:pStyle w:val="TableText"/>
              <w:jc w:val="left"/>
            </w:pPr>
            <w:r>
              <w:t xml:space="preserve">Client IP from the right-most trusted proxy hop; JSON only, 1 MiB limit; malformed path parameters rejected; generic errors with a request id</w:t>
            </w:r>
          </w:p>
        </w:tc>
        <w:tc>
          <w:tcPr>
            <w:tcW w:w="1649" w:type="dxa"/>
            <w:vAlign w:val="top"/>
          </w:tcPr>
          <w:p>
            <w:pPr>
              <w:pStyle w:val="TableText"/>
              <w:jc w:val="left"/>
            </w:pPr>
            <w:r>
              <w:t xml:space="preserve">Low; per-replica limiter (SR-02)</w:t>
            </w:r>
          </w:p>
        </w:tc>
      </w:tr>
      <w:tr>
        <w:trPr>
          <w:cantSplit/>
        </w:trPr>
        <w:tc>
          <w:tcPr>
            <w:tcW w:w="1837" w:type="dxa"/>
            <w:shd w:val="clear" w:color="auto" w:fill="F4F7FB"/>
            <w:vAlign w:val="top"/>
          </w:tcPr>
          <w:p>
            <w:pPr>
              <w:pStyle w:val="TableText"/>
              <w:jc w:val="left"/>
            </w:pPr>
            <w:r>
              <w:t xml:space="preserve">Staff identity</w:t>
            </w:r>
          </w:p>
        </w:tc>
        <w:tc>
          <w:tcPr>
            <w:tcW w:w="2459" w:type="dxa"/>
            <w:shd w:val="clear" w:color="auto" w:fill="F4F7FB"/>
            <w:vAlign w:val="top"/>
          </w:tcPr>
          <w:p>
            <w:pPr>
              <w:pStyle w:val="TableText"/>
              <w:jc w:val="left"/>
            </w:pPr>
            <w:r>
              <w:t xml:space="preserve">Password guessing; code replay; privilege escalation</w:t>
            </w:r>
          </w:p>
        </w:tc>
        <w:tc>
          <w:tcPr>
            <w:tcW w:w="3082" w:type="dxa"/>
            <w:shd w:val="clear" w:color="auto" w:fill="F4F7FB"/>
            <w:vAlign w:val="top"/>
          </w:tcPr>
          <w:p>
            <w:pPr>
              <w:pStyle w:val="TableText"/>
              <w:jc w:val="left"/>
            </w:pPr>
            <w:r>
              <w:t xml:space="preserve">Password and TOTP for privileged roles; lockout covers both steps; codes cannot be reused; no self role or status change; separation of duties</w:t>
            </w:r>
          </w:p>
        </w:tc>
        <w:tc>
          <w:tcPr>
            <w:tcW w:w="1649" w:type="dxa"/>
            <w:shd w:val="clear" w:color="auto" w:fill="F4F7FB"/>
            <w:vAlign w:val="top"/>
          </w:tcPr>
          <w:p>
            <w:pPr>
              <w:pStyle w:val="TableText"/>
              <w:jc w:val="left"/>
            </w:pPr>
            <w:r>
              <w:t xml:space="preserve">Medium (SR-01)</w:t>
            </w:r>
          </w:p>
        </w:tc>
      </w:tr>
      <w:tr>
        <w:trPr>
          <w:cantSplit/>
        </w:trPr>
        <w:tc>
          <w:tcPr>
            <w:tcW w:w="1837" w:type="dxa"/>
            <w:vAlign w:val="top"/>
          </w:tcPr>
          <w:p>
            <w:pPr>
              <w:pStyle w:val="TableText"/>
              <w:jc w:val="left"/>
            </w:pPr>
            <w:r>
              <w:t xml:space="preserve">Customer session</w:t>
            </w:r>
          </w:p>
        </w:tc>
        <w:tc>
          <w:tcPr>
            <w:tcW w:w="2459" w:type="dxa"/>
            <w:vAlign w:val="top"/>
          </w:tcPr>
          <w:p>
            <w:pPr>
              <w:pStyle w:val="TableText"/>
              <w:jc w:val="left"/>
            </w:pPr>
            <w:r>
              <w:t xml:space="preserve">Link forgery; link reuse; session after erasure</w:t>
            </w:r>
          </w:p>
        </w:tc>
        <w:tc>
          <w:tcPr>
            <w:tcW w:w="3082" w:type="dxa"/>
            <w:vAlign w:val="top"/>
          </w:tcPr>
          <w:p>
            <w:pPr>
              <w:pStyle w:val="TableText"/>
              <w:jc w:val="left"/>
            </w:pPr>
            <w:r>
              <w:t xml:space="preserve">HMAC-signed links that expire after 30 days; customer tokens cannot reach staff routes; erased customers lose sessions</w:t>
            </w:r>
          </w:p>
        </w:tc>
        <w:tc>
          <w:tcPr>
            <w:tcW w:w="1649" w:type="dxa"/>
            <w:vAlign w:val="top"/>
          </w:tcPr>
          <w:p>
            <w:pPr>
              <w:pStyle w:val="TableText"/>
              <w:jc w:val="left"/>
            </w:pPr>
            <w:r>
              <w:t xml:space="preserve">Medium (SR-05)</w:t>
            </w:r>
          </w:p>
        </w:tc>
      </w:tr>
      <w:tr>
        <w:trPr>
          <w:cantSplit/>
        </w:trPr>
        <w:tc>
          <w:tcPr>
            <w:tcW w:w="1837" w:type="dxa"/>
            <w:shd w:val="clear" w:color="auto" w:fill="F4F7FB"/>
            <w:vAlign w:val="top"/>
          </w:tcPr>
          <w:p>
            <w:pPr>
              <w:pStyle w:val="TableText"/>
              <w:jc w:val="left"/>
            </w:pPr>
            <w:r>
              <w:t xml:space="preserve">Partner API</w:t>
            </w:r>
          </w:p>
        </w:tc>
        <w:tc>
          <w:tcPr>
            <w:tcW w:w="2459" w:type="dxa"/>
            <w:shd w:val="clear" w:color="auto" w:fill="F4F7FB"/>
            <w:vAlign w:val="top"/>
          </w:tcPr>
          <w:p>
            <w:pPr>
              <w:pStyle w:val="TableText"/>
              <w:jc w:val="left"/>
            </w:pPr>
            <w:r>
              <w:t xml:space="preserve">Stolen key; scope abuse; data exposure; data poisoning</w:t>
            </w:r>
          </w:p>
        </w:tc>
        <w:tc>
          <w:tcPr>
            <w:tcW w:w="3082" w:type="dxa"/>
            <w:shd w:val="clear" w:color="auto" w:fill="F4F7FB"/>
            <w:vAlign w:val="top"/>
          </w:tcPr>
          <w:p>
            <w:pPr>
              <w:pStyle w:val="TableText"/>
              <w:jc w:val="left"/>
            </w:pPr>
            <w:r>
              <w:t xml:space="preserve">Hashed keys, scopes per route, ownership checks, partner status check; partner data at lower trust</w:t>
            </w:r>
          </w:p>
        </w:tc>
        <w:tc>
          <w:tcPr>
            <w:tcW w:w="1649" w:type="dxa"/>
            <w:shd w:val="clear" w:color="auto" w:fill="F4F7FB"/>
            <w:vAlign w:val="top"/>
          </w:tcPr>
          <w:p>
            <w:pPr>
              <w:pStyle w:val="TableText"/>
              <w:jc w:val="left"/>
            </w:pPr>
            <w:r>
              <w:t xml:space="preserve">Medium (SR-03)</w:t>
            </w:r>
          </w:p>
        </w:tc>
      </w:tr>
      <w:tr>
        <w:trPr>
          <w:cantSplit/>
        </w:trPr>
        <w:tc>
          <w:tcPr>
            <w:tcW w:w="1837" w:type="dxa"/>
            <w:vAlign w:val="top"/>
          </w:tcPr>
          <w:p>
            <w:pPr>
              <w:pStyle w:val="TableText"/>
              <w:jc w:val="left"/>
            </w:pPr>
            <w:r>
              <w:t xml:space="preserve">Rules engine</w:t>
            </w:r>
          </w:p>
        </w:tc>
        <w:tc>
          <w:tcPr>
            <w:tcW w:w="2459" w:type="dxa"/>
            <w:vAlign w:val="top"/>
          </w:tcPr>
          <w:p>
            <w:pPr>
              <w:pStyle w:val="TableText"/>
              <w:jc w:val="left"/>
            </w:pPr>
            <w:r>
              <w:t xml:space="preserve">Code injection through rules; approving one’s own change</w:t>
            </w:r>
          </w:p>
        </w:tc>
        <w:tc>
          <w:tcPr>
            <w:tcW w:w="3082" w:type="dxa"/>
            <w:vAlign w:val="top"/>
          </w:tcPr>
          <w:p>
            <w:pPr>
              <w:pStyle w:val="TableText"/>
              <w:jc w:val="left"/>
            </w:pPr>
            <w:r>
              <w:t xml:space="preserve">No code evaluation, operator allow-list, prototype keys forbidden; four-eyes approval; restricted kinds need a compliance officer; transactional activation</w:t>
            </w:r>
          </w:p>
        </w:tc>
        <w:tc>
          <w:tcPr>
            <w:tcW w:w="1649" w:type="dxa"/>
            <w:vAlign w:val="top"/>
          </w:tcPr>
          <w:p>
            <w:pPr>
              <w:pStyle w:val="TableText"/>
              <w:jc w:val="left"/>
            </w:pPr>
            <w:r>
              <w:t xml:space="preserve">Low (SR-09)</w:t>
            </w:r>
          </w:p>
        </w:tc>
      </w:tr>
      <w:tr>
        <w:trPr>
          <w:cantSplit/>
        </w:trPr>
        <w:tc>
          <w:tcPr>
            <w:tcW w:w="1837" w:type="dxa"/>
            <w:shd w:val="clear" w:color="auto" w:fill="F4F7FB"/>
            <w:vAlign w:val="top"/>
          </w:tcPr>
          <w:p>
            <w:pPr>
              <w:pStyle w:val="TableText"/>
              <w:jc w:val="left"/>
            </w:pPr>
            <w:r>
              <w:t xml:space="preserve">Sales and payment</w:t>
            </w:r>
          </w:p>
        </w:tc>
        <w:tc>
          <w:tcPr>
            <w:tcW w:w="2459" w:type="dxa"/>
            <w:shd w:val="clear" w:color="auto" w:fill="F4F7FB"/>
            <w:vAlign w:val="top"/>
          </w:tcPr>
          <w:p>
            <w:pPr>
              <w:pStyle w:val="TableText"/>
              <w:jc w:val="left"/>
            </w:pPr>
            <w:r>
              <w:t xml:space="preserve">Staff taking a payment; double charging; paying an unconfirmed price</w:t>
            </w:r>
          </w:p>
        </w:tc>
        <w:tc>
          <w:tcPr>
            <w:tcW w:w="3082" w:type="dxa"/>
            <w:shd w:val="clear" w:color="auto" w:fill="F4F7FB"/>
            <w:vAlign w:val="top"/>
          </w:tcPr>
          <w:p>
            <w:pPr>
              <w:pStyle w:val="TableText"/>
              <w:jc w:val="left"/>
            </w:pPr>
            <w:r>
              <w:t xml:space="preserve">Only the customer can pay; atomic quote claim; idempotent orders; indicative quotes blocked; saga refund</w:t>
            </w:r>
          </w:p>
        </w:tc>
        <w:tc>
          <w:tcPr>
            <w:tcW w:w="1649" w:type="dxa"/>
            <w:shd w:val="clear" w:color="auto" w:fill="F4F7FB"/>
            <w:vAlign w:val="top"/>
          </w:tcPr>
          <w:p>
            <w:pPr>
              <w:pStyle w:val="TableText"/>
              <w:jc w:val="left"/>
            </w:pPr>
            <w:r>
              <w:t xml:space="preserve">Low (SR-11)</w:t>
            </w:r>
          </w:p>
        </w:tc>
      </w:tr>
      <w:tr>
        <w:trPr>
          <w:cantSplit/>
        </w:trPr>
        <w:tc>
          <w:tcPr>
            <w:tcW w:w="1837" w:type="dxa"/>
            <w:vAlign w:val="top"/>
          </w:tcPr>
          <w:p>
            <w:pPr>
              <w:pStyle w:val="TableText"/>
              <w:jc w:val="left"/>
            </w:pPr>
            <w:r>
              <w:t xml:space="preserve">Journeys and messaging</w:t>
            </w:r>
          </w:p>
        </w:tc>
        <w:tc>
          <w:tcPr>
            <w:tcW w:w="2459" w:type="dxa"/>
            <w:vAlign w:val="top"/>
          </w:tcPr>
          <w:p>
            <w:pPr>
              <w:pStyle w:val="TableText"/>
              <w:jc w:val="left"/>
            </w:pPr>
            <w:r>
              <w:t xml:space="preserve">Unlawful or misleading messages; double sends</w:t>
            </w:r>
          </w:p>
        </w:tc>
        <w:tc>
          <w:tcPr>
            <w:tcW w:w="3082" w:type="dxa"/>
            <w:vAlign w:val="top"/>
          </w:tcPr>
          <w:p>
            <w:pPr>
              <w:pStyle w:val="TableText"/>
              <w:jc w:val="left"/>
            </w:pPr>
            <w:r>
              <w:t xml:space="preserve">Contact policy, consent and caps; copy guard at approval and at send; overlapping runs prevented</w:t>
            </w:r>
          </w:p>
        </w:tc>
        <w:tc>
          <w:tcPr>
            <w:tcW w:w="1649" w:type="dxa"/>
            <w:vAlign w:val="top"/>
          </w:tcPr>
          <w:p>
            <w:pPr>
              <w:pStyle w:val="TableText"/>
              <w:jc w:val="left"/>
            </w:pPr>
            <w:r>
              <w:t xml:space="preserve">Low (SR-10)</w:t>
            </w:r>
          </w:p>
        </w:tc>
      </w:tr>
      <w:tr>
        <w:trPr>
          <w:cantSplit/>
        </w:trPr>
        <w:tc>
          <w:tcPr>
            <w:tcW w:w="1837" w:type="dxa"/>
            <w:shd w:val="clear" w:color="auto" w:fill="F4F7FB"/>
            <w:vAlign w:val="top"/>
          </w:tcPr>
          <w:p>
            <w:pPr>
              <w:pStyle w:val="TableText"/>
              <w:jc w:val="left"/>
            </w:pPr>
            <w:r>
              <w:t xml:space="preserve">Voice assistant</w:t>
            </w:r>
          </w:p>
        </w:tc>
        <w:tc>
          <w:tcPr>
            <w:tcW w:w="2459" w:type="dxa"/>
            <w:shd w:val="clear" w:color="auto" w:fill="F4F7FB"/>
            <w:vAlign w:val="top"/>
          </w:tcPr>
          <w:p>
            <w:pPr>
              <w:pStyle w:val="TableText"/>
              <w:jc w:val="left"/>
            </w:pPr>
            <w:r>
              <w:t xml:space="preserve">Vishing; disclosure of customer data on a call</w:t>
            </w:r>
          </w:p>
        </w:tc>
        <w:tc>
          <w:tcPr>
            <w:tcW w:w="3082" w:type="dxa"/>
            <w:shd w:val="clear" w:color="auto" w:fill="F4F7FB"/>
            <w:vAlign w:val="top"/>
          </w:tcPr>
          <w:p>
            <w:pPr>
              <w:pStyle w:val="TableText"/>
              <w:jc w:val="left"/>
            </w:pPr>
            <w:r>
              <w:t xml:space="preserve">Customer says the plate, bot never reads data; disclosure and trust line; transcript encrypted</w:t>
            </w:r>
          </w:p>
        </w:tc>
        <w:tc>
          <w:tcPr>
            <w:tcW w:w="1649" w:type="dxa"/>
            <w:shd w:val="clear" w:color="auto" w:fill="F4F7FB"/>
            <w:vAlign w:val="top"/>
          </w:tcPr>
          <w:p>
            <w:pPr>
              <w:pStyle w:val="TableText"/>
              <w:jc w:val="left"/>
            </w:pPr>
            <w:r>
              <w:t xml:space="preserve">Medium (SR-07)</w:t>
            </w:r>
          </w:p>
        </w:tc>
      </w:tr>
      <w:tr>
        <w:trPr>
          <w:cantSplit/>
        </w:trPr>
        <w:tc>
          <w:tcPr>
            <w:tcW w:w="1837" w:type="dxa"/>
            <w:vAlign w:val="top"/>
          </w:tcPr>
          <w:p>
            <w:pPr>
              <w:pStyle w:val="TableText"/>
              <w:jc w:val="left"/>
            </w:pPr>
            <w:r>
              <w:t xml:space="preserve">Persistence</w:t>
            </w:r>
          </w:p>
        </w:tc>
        <w:tc>
          <w:tcPr>
            <w:tcW w:w="2459" w:type="dxa"/>
            <w:vAlign w:val="top"/>
          </w:tcPr>
          <w:p>
            <w:pPr>
              <w:pStyle w:val="TableText"/>
              <w:jc w:val="left"/>
            </w:pPr>
            <w:r>
              <w:t xml:space="preserve">SQL injection; data theft from database or backups</w:t>
            </w:r>
          </w:p>
        </w:tc>
        <w:tc>
          <w:tcPr>
            <w:tcW w:w="3082" w:type="dxa"/>
            <w:vAlign w:val="top"/>
          </w:tcPr>
          <w:p>
            <w:pPr>
              <w:pStyle w:val="TableText"/>
              <w:jc w:val="left"/>
            </w:pPr>
            <w:r>
              <w:t xml:space="preserve">Parameterised SQL only, column allow-list, field encryption, TLS with certificate verification</w:t>
            </w:r>
          </w:p>
        </w:tc>
        <w:tc>
          <w:tcPr>
            <w:tcW w:w="1649" w:type="dxa"/>
            <w:vAlign w:val="top"/>
          </w:tcPr>
          <w:p>
            <w:pPr>
              <w:pStyle w:val="TableText"/>
              <w:jc w:val="left"/>
            </w:pPr>
            <w:r>
              <w:t xml:space="preserve">Low</w:t>
            </w:r>
          </w:p>
        </w:tc>
      </w:tr>
      <w:tr>
        <w:trPr>
          <w:cantSplit/>
        </w:trPr>
        <w:tc>
          <w:tcPr>
            <w:tcW w:w="1837" w:type="dxa"/>
            <w:shd w:val="clear" w:color="auto" w:fill="F4F7FB"/>
            <w:vAlign w:val="top"/>
          </w:tcPr>
          <w:p>
            <w:pPr>
              <w:pStyle w:val="TableText"/>
              <w:jc w:val="left"/>
            </w:pPr>
            <w:r>
              <w:t xml:space="preserve">Audit trail</w:t>
            </w:r>
          </w:p>
        </w:tc>
        <w:tc>
          <w:tcPr>
            <w:tcW w:w="2459" w:type="dxa"/>
            <w:shd w:val="clear" w:color="auto" w:fill="F4F7FB"/>
            <w:vAlign w:val="top"/>
          </w:tcPr>
          <w:p>
            <w:pPr>
              <w:pStyle w:val="TableText"/>
              <w:jc w:val="left"/>
            </w:pPr>
            <w:r>
              <w:t xml:space="preserve">Tampering or deletion</w:t>
            </w:r>
          </w:p>
        </w:tc>
        <w:tc>
          <w:tcPr>
            <w:tcW w:w="3082" w:type="dxa"/>
            <w:shd w:val="clear" w:color="auto" w:fill="F4F7FB"/>
            <w:vAlign w:val="top"/>
          </w:tcPr>
          <w:p>
            <w:pPr>
              <w:pStyle w:val="TableText"/>
              <w:jc w:val="left"/>
            </w:pPr>
            <w:r>
              <w:t xml:space="preserve">Hash chain; triggers block update, delete and truncate; verification on demand</w:t>
            </w:r>
          </w:p>
        </w:tc>
        <w:tc>
          <w:tcPr>
            <w:tcW w:w="1649" w:type="dxa"/>
            <w:shd w:val="clear" w:color="auto" w:fill="F4F7FB"/>
            <w:vAlign w:val="top"/>
          </w:tcPr>
          <w:p>
            <w:pPr>
              <w:pStyle w:val="TableText"/>
              <w:jc w:val="left"/>
            </w:pPr>
            <w:r>
              <w:t xml:space="preserve">Medium (SR-06)</w:t>
            </w:r>
          </w:p>
        </w:tc>
      </w:tr>
      <w:tr>
        <w:trPr>
          <w:cantSplit/>
        </w:trPr>
        <w:tc>
          <w:tcPr>
            <w:tcW w:w="1837" w:type="dxa"/>
            <w:vAlign w:val="top"/>
          </w:tcPr>
          <w:p>
            <w:pPr>
              <w:pStyle w:val="TableText"/>
              <w:jc w:val="left"/>
            </w:pPr>
            <w:r>
              <w:t xml:space="preserve">Outbound integrations</w:t>
            </w:r>
          </w:p>
        </w:tc>
        <w:tc>
          <w:tcPr>
            <w:tcW w:w="2459" w:type="dxa"/>
            <w:vAlign w:val="top"/>
          </w:tcPr>
          <w:p>
            <w:pPr>
              <w:pStyle w:val="TableText"/>
              <w:jc w:val="left"/>
            </w:pPr>
            <w:r>
              <w:t xml:space="preserve">Provider impersonation; duplicate side effects; slow providers</w:t>
            </w:r>
          </w:p>
        </w:tc>
        <w:tc>
          <w:tcPr>
            <w:tcW w:w="3082" w:type="dxa"/>
            <w:vAlign w:val="top"/>
          </w:tcPr>
          <w:p>
            <w:pPr>
              <w:pStyle w:val="TableText"/>
              <w:jc w:val="left"/>
            </w:pPr>
            <w:r>
              <w:t xml:space="preserve">TLS and mTLS through the egress proxy; idempotency keys; timeouts and circuit breakers</w:t>
            </w:r>
          </w:p>
        </w:tc>
        <w:tc>
          <w:tcPr>
            <w:tcW w:w="1649" w:type="dxa"/>
            <w:vAlign w:val="top"/>
          </w:tcPr>
          <w:p>
            <w:pPr>
              <w:pStyle w:val="TableText"/>
              <w:jc w:val="left"/>
            </w:pPr>
            <w:r>
              <w:t xml:space="preserve">Low (SR-12)</w:t>
            </w:r>
          </w:p>
        </w:tc>
      </w:tr>
      <w:tr>
        <w:trPr>
          <w:cantSplit/>
        </w:trPr>
        <w:tc>
          <w:tcPr>
            <w:tcW w:w="1837" w:type="dxa"/>
            <w:shd w:val="clear" w:color="auto" w:fill="F4F7FB"/>
            <w:vAlign w:val="top"/>
          </w:tcPr>
          <w:p>
            <w:pPr>
              <w:pStyle w:val="TableText"/>
              <w:jc w:val="left"/>
            </w:pPr>
            <w:r>
              <w:t xml:space="preserve">Front end</w:t>
            </w:r>
          </w:p>
        </w:tc>
        <w:tc>
          <w:tcPr>
            <w:tcW w:w="2459" w:type="dxa"/>
            <w:shd w:val="clear" w:color="auto" w:fill="F4F7FB"/>
            <w:vAlign w:val="top"/>
          </w:tcPr>
          <w:p>
            <w:pPr>
              <w:pStyle w:val="TableText"/>
              <w:jc w:val="left"/>
            </w:pPr>
            <w:r>
              <w:t xml:space="preserve">Cross-site scripting; clickjacking</w:t>
            </w:r>
          </w:p>
        </w:tc>
        <w:tc>
          <w:tcPr>
            <w:tcW w:w="3082" w:type="dxa"/>
            <w:shd w:val="clear" w:color="auto" w:fill="F4F7FB"/>
            <w:vAlign w:val="top"/>
          </w:tcPr>
          <w:p>
            <w:pPr>
              <w:pStyle w:val="TableText"/>
              <w:jc w:val="left"/>
            </w:pPr>
            <w:r>
              <w:t xml:space="preserve">Strict CSP with no inline script, rendering by text content only, frame embedding denied</w:t>
            </w:r>
          </w:p>
        </w:tc>
        <w:tc>
          <w:tcPr>
            <w:tcW w:w="1649" w:type="dxa"/>
            <w:shd w:val="clear" w:color="auto" w:fill="F4F7FB"/>
            <w:vAlign w:val="top"/>
          </w:tcPr>
          <w:p>
            <w:pPr>
              <w:pStyle w:val="TableText"/>
              <w:jc w:val="left"/>
            </w:pPr>
            <w:r>
              <w:t xml:space="preserve">Low</w:t>
            </w:r>
          </w:p>
        </w:tc>
      </w:tr>
      <w:tr>
        <w:trPr>
          <w:cantSplit/>
        </w:trPr>
        <w:tc>
          <w:tcPr>
            <w:tcW w:w="1837" w:type="dxa"/>
            <w:vAlign w:val="top"/>
          </w:tcPr>
          <w:p>
            <w:pPr>
              <w:pStyle w:val="TableText"/>
              <w:jc w:val="left"/>
            </w:pPr>
            <w:r>
              <w:t xml:space="preserve">Configuration</w:t>
            </w:r>
          </w:p>
        </w:tc>
        <w:tc>
          <w:tcPr>
            <w:tcW w:w="2459" w:type="dxa"/>
            <w:vAlign w:val="top"/>
          </w:tcPr>
          <w:p>
            <w:pPr>
              <w:pStyle w:val="TableText"/>
              <w:jc w:val="left"/>
            </w:pPr>
            <w:r>
              <w:t xml:space="preserve">Running production with demo features or missing secrets</w:t>
            </w:r>
          </w:p>
        </w:tc>
        <w:tc>
          <w:tcPr>
            <w:tcW w:w="3082" w:type="dxa"/>
            <w:vAlign w:val="top"/>
          </w:tcPr>
          <w:p>
            <w:pPr>
              <w:pStyle w:val="TableText"/>
              <w:jc w:val="left"/>
            </w:pPr>
            <w:r>
              <w:t xml:space="preserve">Production refuses to start without secrets or a database, or with demo mode on</w:t>
            </w:r>
          </w:p>
        </w:tc>
        <w:tc>
          <w:tcPr>
            <w:tcW w:w="1649" w:type="dxa"/>
            <w:vAlign w:val="top"/>
          </w:tcPr>
          <w:p>
            <w:pPr>
              <w:pStyle w:val="TableText"/>
              <w:jc w:val="left"/>
            </w:pPr>
            <w:r>
              <w:t xml:space="preserve">Low</w:t>
            </w:r>
          </w:p>
        </w:tc>
      </w:tr>
      <w:tr>
        <w:trPr>
          <w:cantSplit/>
        </w:trPr>
        <w:tc>
          <w:tcPr>
            <w:tcW w:w="1837" w:type="dxa"/>
            <w:shd w:val="clear" w:color="auto" w:fill="F4F7FB"/>
            <w:vAlign w:val="top"/>
          </w:tcPr>
          <w:p>
            <w:pPr>
              <w:pStyle w:val="TableText"/>
              <w:jc w:val="left"/>
            </w:pPr>
            <w:r>
              <w:t xml:space="preserve">Supply chain</w:t>
            </w:r>
          </w:p>
        </w:tc>
        <w:tc>
          <w:tcPr>
            <w:tcW w:w="2459" w:type="dxa"/>
            <w:shd w:val="clear" w:color="auto" w:fill="F4F7FB"/>
            <w:vAlign w:val="top"/>
          </w:tcPr>
          <w:p>
            <w:pPr>
              <w:pStyle w:val="TableText"/>
              <w:jc w:val="left"/>
            </w:pPr>
            <w:r>
              <w:t xml:space="preserve">Malicious or vulnerable dependency</w:t>
            </w:r>
          </w:p>
        </w:tc>
        <w:tc>
          <w:tcPr>
            <w:tcW w:w="3082" w:type="dxa"/>
            <w:shd w:val="clear" w:color="auto" w:fill="F4F7FB"/>
            <w:vAlign w:val="top"/>
          </w:tcPr>
          <w:p>
            <w:pPr>
              <w:pStyle w:val="TableText"/>
              <w:jc w:val="left"/>
            </w:pPr>
            <w:r>
              <w:t xml:space="preserve">One runtime dependency; lockfile; dependency, secret and container scanning; SBOM</w:t>
            </w:r>
          </w:p>
        </w:tc>
        <w:tc>
          <w:tcPr>
            <w:tcW w:w="1649" w:type="dxa"/>
            <w:shd w:val="clear" w:color="auto" w:fill="F4F7FB"/>
            <w:vAlign w:val="top"/>
          </w:tcPr>
          <w:p>
            <w:pPr>
              <w:pStyle w:val="TableText"/>
              <w:jc w:val="left"/>
            </w:pPr>
            <w:r>
              <w:t xml:space="preserve">Medium (SR-13)</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17" w:name="_Toc300000013"/>
      <w:r>
        <w:rPr>
          <w:rStyle w:val="BookTitle"/>
          <w:bCs w:val="0"/>
          <w:i w:val="0"/>
          <w:iCs w:val="0"/>
          <w:spacing w:val="0"/>
        </w:rPr>
        <w:t xml:space="preserve">Identity and authentication</w:t>
      </w:r>
      <w:bookmarkEnd w:id="17"/>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690"/>
        <w:gridCol w:w="4744"/>
        <w:gridCol w:w="2593"/>
      </w:tblGrid>
      <w:tr>
        <w:trPr>
          <w:cantSplit/>
          <w:tblHeader/>
        </w:trPr>
        <w:tc>
          <w:tcPr>
            <w:tcW w:w="1690" w:type="dxa"/>
            <w:shd w:val="clear" w:color="auto" w:fill="0F4761"/>
            <w:vAlign w:val="center"/>
          </w:tcPr>
          <w:p>
            <w:pPr>
              <w:pStyle w:val="TableHeading"/>
              <w:jc w:val="left"/>
            </w:pPr>
            <w:r>
              <w:rPr>
                <w:color w:val="FFFFFF"/>
              </w:rPr>
              <w:t xml:space="preserve">Item</w:t>
            </w:r>
          </w:p>
        </w:tc>
        <w:tc>
          <w:tcPr>
            <w:tcW w:w="4744" w:type="dxa"/>
            <w:shd w:val="clear" w:color="auto" w:fill="0F4761"/>
            <w:vAlign w:val="center"/>
          </w:tcPr>
          <w:p>
            <w:pPr>
              <w:pStyle w:val="TableHeading"/>
              <w:jc w:val="left"/>
            </w:pPr>
            <w:r>
              <w:rPr>
                <w:color w:val="FFFFFF"/>
              </w:rPr>
              <w:t xml:space="preserve">Current design</w:t>
            </w:r>
          </w:p>
        </w:tc>
        <w:tc>
          <w:tcPr>
            <w:tcW w:w="2593" w:type="dxa"/>
            <w:shd w:val="clear" w:color="auto" w:fill="0F4761"/>
            <w:vAlign w:val="center"/>
          </w:tcPr>
          <w:p>
            <w:pPr>
              <w:pStyle w:val="TableHeading"/>
              <w:jc w:val="left"/>
            </w:pPr>
            <w:r>
              <w:rPr>
                <w:color w:val="FFFFFF"/>
              </w:rPr>
              <w:t xml:space="preserve">Target</w:t>
            </w:r>
          </w:p>
        </w:tc>
      </w:tr>
      <w:tr>
        <w:trPr>
          <w:cantSplit/>
        </w:trPr>
        <w:tc>
          <w:tcPr>
            <w:tcW w:w="1690" w:type="dxa"/>
            <w:vAlign w:val="top"/>
          </w:tcPr>
          <w:p>
            <w:pPr>
              <w:pStyle w:val="TableText"/>
              <w:jc w:val="left"/>
            </w:pPr>
            <w:r>
              <w:t xml:space="preserve">Staff sign-in</w:t>
            </w:r>
          </w:p>
        </w:tc>
        <w:tc>
          <w:tcPr>
            <w:tcW w:w="4744" w:type="dxa"/>
            <w:vAlign w:val="top"/>
          </w:tcPr>
          <w:p>
            <w:pPr>
              <w:pStyle w:val="TableText"/>
              <w:jc w:val="left"/>
            </w:pPr>
            <w:r>
              <w:t xml:space="preserve">Username and password (scrypt), then a TOTP code for privileged roles (administrator, rule approver, compliance officer, data steward) and any enrolled user. Users created by an administrator must change their password at first sign-in.</w:t>
            </w:r>
          </w:p>
        </w:tc>
        <w:tc>
          <w:tcPr>
            <w:tcW w:w="2593" w:type="dxa"/>
            <w:vAlign w:val="top"/>
          </w:tcPr>
          <w:p>
            <w:pPr>
              <w:pStyle w:val="TableText"/>
              <w:jc w:val="left"/>
            </w:pPr>
            <w:r>
              <w:t xml:space="preserve">OIDC with PKCE to the TASCO identity provider; MFA by conditional access</w:t>
            </w:r>
          </w:p>
        </w:tc>
      </w:tr>
      <w:tr>
        <w:trPr>
          <w:cantSplit/>
        </w:trPr>
        <w:tc>
          <w:tcPr>
            <w:tcW w:w="1690" w:type="dxa"/>
            <w:shd w:val="clear" w:color="auto" w:fill="F4F7FB"/>
            <w:vAlign w:val="top"/>
          </w:tcPr>
          <w:p>
            <w:pPr>
              <w:pStyle w:val="TableText"/>
              <w:jc w:val="left"/>
            </w:pPr>
            <w:r>
              <w:t xml:space="preserve">MFA enrolment</w:t>
            </w:r>
          </w:p>
        </w:tc>
        <w:tc>
          <w:tcPr>
            <w:tcW w:w="4744" w:type="dxa"/>
            <w:shd w:val="clear" w:color="auto" w:fill="F4F7FB"/>
            <w:vAlign w:val="top"/>
          </w:tcPr>
          <w:p>
            <w:pPr>
              <w:pStyle w:val="TableText"/>
              <w:jc w:val="left"/>
            </w:pPr>
            <w:r>
              <w:t xml:space="preserve">Self-enrolment at first sign-in: the QR code is shown only to the user who has just proved the password. Administrators never see authenticator seeds and can force re-enrolment.</w:t>
            </w:r>
          </w:p>
        </w:tc>
        <w:tc>
          <w:tcPr>
            <w:tcW w:w="2593" w:type="dxa"/>
            <w:shd w:val="clear" w:color="auto" w:fill="F4F7FB"/>
            <w:vAlign w:val="top"/>
          </w:tcPr>
          <w:p>
            <w:pPr>
              <w:pStyle w:val="TableText"/>
              <w:jc w:val="left"/>
            </w:pPr>
            <w:r>
              <w:t xml:space="preserve">WebAuthn for administrators</w:t>
            </w:r>
          </w:p>
        </w:tc>
      </w:tr>
      <w:tr>
        <w:trPr>
          <w:cantSplit/>
        </w:trPr>
        <w:tc>
          <w:tcPr>
            <w:tcW w:w="1690" w:type="dxa"/>
            <w:vAlign w:val="top"/>
          </w:tcPr>
          <w:p>
            <w:pPr>
              <w:pStyle w:val="TableText"/>
              <w:jc w:val="left"/>
            </w:pPr>
            <w:r>
              <w:t xml:space="preserve">Code verification</w:t>
            </w:r>
          </w:p>
        </w:tc>
        <w:tc>
          <w:tcPr>
            <w:tcW w:w="4744" w:type="dxa"/>
            <w:vAlign w:val="top"/>
          </w:tcPr>
          <w:p>
            <w:pPr>
              <w:pStyle w:val="TableText"/>
              <w:jc w:val="left"/>
            </w:pPr>
            <w:r>
              <w:t xml:space="preserve">6-digit TOTP with one step of tolerance; a code cannot be reused; failures count towards lockout</w:t>
            </w:r>
          </w:p>
        </w:tc>
        <w:tc>
          <w:tcPr>
            <w:tcW w:w="2593" w:type="dxa"/>
            <w:vAlign w:val="top"/>
          </w:tcPr>
          <w:p>
            <w:pPr>
              <w:pStyle w:val="TableText"/>
              <w:jc w:val="left"/>
            </w:pPr>
            <w:r>
              <w:t xml:space="preserve">Single-use MFA step token</w:t>
            </w:r>
          </w:p>
        </w:tc>
      </w:tr>
      <w:tr>
        <w:trPr>
          <w:cantSplit/>
        </w:trPr>
        <w:tc>
          <w:tcPr>
            <w:tcW w:w="1690" w:type="dxa"/>
            <w:shd w:val="clear" w:color="auto" w:fill="F4F7FB"/>
            <w:vAlign w:val="top"/>
          </w:tcPr>
          <w:p>
            <w:pPr>
              <w:pStyle w:val="TableText"/>
              <w:jc w:val="left"/>
            </w:pPr>
            <w:r>
              <w:t xml:space="preserve">Lockout</w:t>
            </w:r>
          </w:p>
        </w:tc>
        <w:tc>
          <w:tcPr>
            <w:tcW w:w="4744" w:type="dxa"/>
            <w:shd w:val="clear" w:color="auto" w:fill="F4F7FB"/>
            <w:vAlign w:val="top"/>
          </w:tcPr>
          <w:p>
            <w:pPr>
              <w:pStyle w:val="TableText"/>
              <w:jc w:val="left"/>
            </w:pPr>
            <w:r>
              <w:t xml:space="preserve">5 failures lock the account for 15 minutes, covering password and code; audited. The service desk can unlock; nobody can unlock their own account.</w:t>
            </w:r>
          </w:p>
        </w:tc>
        <w:tc>
          <w:tcPr>
            <w:tcW w:w="2593" w:type="dxa"/>
            <w:shd w:val="clear" w:color="auto" w:fill="F4F7FB"/>
            <w:vAlign w:val="top"/>
          </w:tcPr>
          <w:p>
            <w:pPr>
              <w:pStyle w:val="TableText"/>
              <w:jc w:val="left"/>
            </w:pPr>
            <w:r>
              <w:t xml:space="preserve">Progressive delays and spray detection</w:t>
            </w:r>
          </w:p>
        </w:tc>
      </w:tr>
      <w:tr>
        <w:trPr>
          <w:cantSplit/>
        </w:trPr>
        <w:tc>
          <w:tcPr>
            <w:tcW w:w="1690" w:type="dxa"/>
            <w:vAlign w:val="top"/>
          </w:tcPr>
          <w:p>
            <w:pPr>
              <w:pStyle w:val="TableText"/>
              <w:jc w:val="left"/>
            </w:pPr>
            <w:r>
              <w:t xml:space="preserve">Staff token</w:t>
            </w:r>
          </w:p>
        </w:tc>
        <w:tc>
          <w:tcPr>
            <w:tcW w:w="4744" w:type="dxa"/>
            <w:vAlign w:val="top"/>
          </w:tcPr>
          <w:p>
            <w:pPr>
              <w:pStyle w:val="TableText"/>
              <w:jc w:val="left"/>
            </w:pPr>
            <w:r>
              <w:t xml:space="preserve">Signed token for staff only, with roles, region and a unique id; 30 minutes</w:t>
            </w:r>
          </w:p>
        </w:tc>
        <w:tc>
          <w:tcPr>
            <w:tcW w:w="2593" w:type="dxa"/>
            <w:vAlign w:val="top"/>
          </w:tcPr>
          <w:p>
            <w:pPr>
              <w:pStyle w:val="TableText"/>
              <w:jc w:val="left"/>
            </w:pPr>
            <w:r>
              <w:t xml:space="preserve">Asymmetric tokens from the identity provider</w:t>
            </w:r>
          </w:p>
        </w:tc>
      </w:tr>
      <w:tr>
        <w:trPr>
          <w:cantSplit/>
        </w:trPr>
        <w:tc>
          <w:tcPr>
            <w:tcW w:w="1690" w:type="dxa"/>
            <w:shd w:val="clear" w:color="auto" w:fill="F4F7FB"/>
            <w:vAlign w:val="top"/>
          </w:tcPr>
          <w:p>
            <w:pPr>
              <w:pStyle w:val="TableText"/>
              <w:jc w:val="left"/>
            </w:pPr>
            <w:r>
              <w:t xml:space="preserve">Revocation</w:t>
            </w:r>
          </w:p>
        </w:tc>
        <w:tc>
          <w:tcPr>
            <w:tcW w:w="4744" w:type="dxa"/>
            <w:shd w:val="clear" w:color="auto" w:fill="F4F7FB"/>
            <w:vAlign w:val="top"/>
          </w:tcPr>
          <w:p>
            <w:pPr>
              <w:pStyle w:val="TableText"/>
              <w:jc w:val="left"/>
            </w:pPr>
            <w:r>
              <w:t xml:space="preserve">Password change, MFA reset and role, status or region change revoke earlier tokens on every pod. Logout revokes the token on the pod that handled it.</w:t>
            </w:r>
          </w:p>
        </w:tc>
        <w:tc>
          <w:tcPr>
            <w:tcW w:w="2593" w:type="dxa"/>
            <w:shd w:val="clear" w:color="auto" w:fill="F4F7FB"/>
            <w:vAlign w:val="top"/>
          </w:tcPr>
          <w:p>
            <w:pPr>
              <w:pStyle w:val="TableText"/>
              <w:jc w:val="left"/>
            </w:pPr>
            <w:r>
              <w:t xml:space="preserve">Shared revocation list</w:t>
            </w:r>
          </w:p>
        </w:tc>
      </w:tr>
      <w:tr>
        <w:trPr>
          <w:cantSplit/>
        </w:trPr>
        <w:tc>
          <w:tcPr>
            <w:tcW w:w="1690" w:type="dxa"/>
            <w:vAlign w:val="top"/>
          </w:tcPr>
          <w:p>
            <w:pPr>
              <w:pStyle w:val="TableText"/>
              <w:jc w:val="left"/>
            </w:pPr>
            <w:r>
              <w:t xml:space="preserve">Customer</w:t>
            </w:r>
          </w:p>
        </w:tc>
        <w:tc>
          <w:tcPr>
            <w:tcW w:w="4744" w:type="dxa"/>
            <w:vAlign w:val="top"/>
          </w:tcPr>
          <w:p>
            <w:pPr>
              <w:pStyle w:val="TableText"/>
              <w:jc w:val="left"/>
            </w:pPr>
            <w:r>
              <w:t xml:space="preserve">Signed renewal link, then a one-hour customer token</w:t>
            </w:r>
          </w:p>
        </w:tc>
        <w:tc>
          <w:tcPr>
            <w:tcW w:w="2593" w:type="dxa"/>
            <w:vAlign w:val="top"/>
          </w:tcPr>
          <w:p>
            <w:pPr>
              <w:pStyle w:val="TableText"/>
              <w:jc w:val="left"/>
            </w:pPr>
            <w:r>
              <w:t xml:space="preserve">VETC app sign-on exchanged for a customer token</w:t>
            </w:r>
          </w:p>
        </w:tc>
      </w:tr>
      <w:tr>
        <w:trPr>
          <w:cantSplit/>
        </w:trPr>
        <w:tc>
          <w:tcPr>
            <w:tcW w:w="1690" w:type="dxa"/>
            <w:shd w:val="clear" w:color="auto" w:fill="F4F7FB"/>
            <w:vAlign w:val="top"/>
          </w:tcPr>
          <w:p>
            <w:pPr>
              <w:pStyle w:val="TableText"/>
              <w:jc w:val="left"/>
            </w:pPr>
            <w:r>
              <w:t xml:space="preserve">Partner</w:t>
            </w:r>
          </w:p>
        </w:tc>
        <w:tc>
          <w:tcPr>
            <w:tcW w:w="4744" w:type="dxa"/>
            <w:shd w:val="clear" w:color="auto" w:fill="F4F7FB"/>
            <w:vAlign w:val="top"/>
          </w:tcPr>
          <w:p>
            <w:pPr>
              <w:pStyle w:val="TableText"/>
              <w:jc w:val="left"/>
            </w:pPr>
            <w:r>
              <w:t xml:space="preserve">API key stored as a hash, revocable, with scopes for quote, purchase and policy reading</w:t>
            </w:r>
          </w:p>
        </w:tc>
        <w:tc>
          <w:tcPr>
            <w:tcW w:w="2593" w:type="dxa"/>
            <w:shd w:val="clear" w:color="auto" w:fill="F4F7FB"/>
            <w:vAlign w:val="top"/>
          </w:tcPr>
          <w:p>
            <w:pPr>
              <w:pStyle w:val="TableText"/>
              <w:jc w:val="left"/>
            </w:pPr>
            <w:r>
              <w:t xml:space="preserve">OAuth 2.0 client credentials or mTLS at the gateway</w:t>
            </w:r>
          </w:p>
        </w:tc>
      </w:tr>
    </w:tbl>
    <w:p>
      <w:pPr>
        <w:pStyle w:val="BodyText"/>
        <w:spacing w:before="160"/>
      </w:pPr>
      <w:r>
        <w:t xml:space="preserve">MFA is recommended for the telesales supervisor, partner manager and support engineer roles as well, and for all staff once the identity provider is in place. The hosted UAT uses demonstration sign-in settings that work only in demo mode, which production refuses. The UAT password is distributed in the access workbook and is never written in documents.</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18" w:name="_Toc300000014"/>
      <w:r>
        <w:rPr>
          <w:rStyle w:val="BookTitle"/>
          <w:bCs w:val="0"/>
          <w:i w:val="0"/>
          <w:iCs w:val="0"/>
          <w:spacing w:val="0"/>
        </w:rPr>
        <w:t xml:space="preserve">Authorisation</w:t>
      </w:r>
      <w:bookmarkEnd w:id="18"/>
    </w:p>
    <w:p>
      <w:pPr>
        <w:pStyle w:val="FirstParagraph"/>
      </w:pPr>
      <w:r>
        <w:t xml:space="preserve">Authorisation runs in two steps: role-based permissions first, then attribute-based policies on the specific record. The role mapping lives in</w:t>
      </w:r>
      <w:r>
        <w:t xml:space="preserve"> </w:t>
      </w:r>
      <w:r>
        <w:rPr>
          <w:rStyle w:val="CodeChar"/>
        </w:rPr>
        <w:t xml:space="preserve">config/security/rbac.json</w:t>
      </w:r>
      <w:r>
        <w:t xml:space="preserve"> </w:t>
      </w:r>
      <w:r>
        <w:t xml:space="preserve">and changes only through code review and the change advisory board; it is deliberately not a business rule.</w:t>
      </w:r>
    </w:p>
    <w:p>
      <w:pPr>
        <w:pStyle w:val="Heading2"/>
      </w:pPr>
      <w:bookmarkStart w:id="19" w:name="_Toc300000015"/>
      <w:r>
        <w:t xml:space="preserve">Roles and capabilities</w:t>
      </w:r>
      <w:bookmarkEnd w:id="19"/>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905"/>
        <w:gridCol w:w="4260"/>
        <w:gridCol w:w="1324"/>
        <w:gridCol w:w="1538"/>
      </w:tblGrid>
      <w:tr>
        <w:trPr>
          <w:cantSplit/>
          <w:tblHeader/>
        </w:trPr>
        <w:tc>
          <w:tcPr>
            <w:tcW w:w="1905" w:type="dxa"/>
            <w:shd w:val="clear" w:color="auto" w:fill="0F4761"/>
            <w:vAlign w:val="center"/>
          </w:tcPr>
          <w:p>
            <w:pPr>
              <w:pStyle w:val="TableHeading"/>
              <w:jc w:val="left"/>
            </w:pPr>
            <w:r>
              <w:rPr>
                <w:color w:val="FFFFFF"/>
              </w:rPr>
              <w:t xml:space="preserve">Role</w:t>
            </w:r>
          </w:p>
        </w:tc>
        <w:tc>
          <w:tcPr>
            <w:tcW w:w="4260" w:type="dxa"/>
            <w:shd w:val="clear" w:color="auto" w:fill="0F4761"/>
            <w:vAlign w:val="center"/>
          </w:tcPr>
          <w:p>
            <w:pPr>
              <w:pStyle w:val="TableHeading"/>
              <w:jc w:val="left"/>
            </w:pPr>
            <w:r>
              <w:rPr>
                <w:color w:val="FFFFFF"/>
              </w:rPr>
              <w:t xml:space="preserve">Main capabilities</w:t>
            </w:r>
          </w:p>
        </w:tc>
        <w:tc>
          <w:tcPr>
            <w:tcW w:w="1324" w:type="dxa"/>
            <w:shd w:val="clear" w:color="auto" w:fill="0F4761"/>
            <w:vAlign w:val="center"/>
          </w:tcPr>
          <w:p>
            <w:pPr>
              <w:pStyle w:val="TableHeading"/>
              <w:jc w:val="left"/>
            </w:pPr>
            <w:r>
              <w:rPr>
                <w:color w:val="FFFFFF"/>
              </w:rPr>
              <w:t xml:space="preserve">Sees personal data</w:t>
            </w:r>
          </w:p>
        </w:tc>
        <w:tc>
          <w:tcPr>
            <w:tcW w:w="1538" w:type="dxa"/>
            <w:shd w:val="clear" w:color="auto" w:fill="0F4761"/>
            <w:vAlign w:val="center"/>
          </w:tcPr>
          <w:p>
            <w:pPr>
              <w:pStyle w:val="TableHeading"/>
              <w:jc w:val="left"/>
            </w:pPr>
            <w:r>
              <w:rPr>
                <w:color w:val="FFFFFF"/>
              </w:rPr>
              <w:t xml:space="preserve">MFA required</w:t>
            </w:r>
          </w:p>
        </w:tc>
      </w:tr>
      <w:tr>
        <w:trPr>
          <w:cantSplit/>
        </w:trPr>
        <w:tc>
          <w:tcPr>
            <w:tcW w:w="1905" w:type="dxa"/>
            <w:vAlign w:val="top"/>
          </w:tcPr>
          <w:p>
            <w:pPr>
              <w:pStyle w:val="TableText"/>
              <w:jc w:val="left"/>
            </w:pPr>
            <w:r>
              <w:t xml:space="preserve">Administrator</w:t>
            </w:r>
          </w:p>
        </w:tc>
        <w:tc>
          <w:tcPr>
            <w:tcW w:w="4260" w:type="dxa"/>
            <w:vAlign w:val="top"/>
          </w:tcPr>
          <w:p>
            <w:pPr>
              <w:pStyle w:val="TableText"/>
              <w:jc w:val="left"/>
            </w:pPr>
            <w:r>
              <w:t xml:space="preserve">Manage users, run operational jobs, view operations, audit and rules</w:t>
            </w:r>
          </w:p>
        </w:tc>
        <w:tc>
          <w:tcPr>
            <w:tcW w:w="1324" w:type="dxa"/>
            <w:vAlign w:val="top"/>
          </w:tcPr>
          <w:p>
            <w:pPr>
              <w:pStyle w:val="TableText"/>
              <w:jc w:val="left"/>
            </w:pPr>
            <w:r>
              <w:t xml:space="preserve">No</w:t>
            </w:r>
          </w:p>
        </w:tc>
        <w:tc>
          <w:tcPr>
            <w:tcW w:w="1538" w:type="dxa"/>
            <w:vAlign w:val="top"/>
          </w:tcPr>
          <w:p>
            <w:pPr>
              <w:pStyle w:val="TableText"/>
              <w:jc w:val="left"/>
            </w:pPr>
            <w:r>
              <w:t xml:space="preserve">Yes</w:t>
            </w:r>
          </w:p>
        </w:tc>
      </w:tr>
      <w:tr>
        <w:trPr>
          <w:cantSplit/>
        </w:trPr>
        <w:tc>
          <w:tcPr>
            <w:tcW w:w="1905" w:type="dxa"/>
            <w:shd w:val="clear" w:color="auto" w:fill="F4F7FB"/>
            <w:vAlign w:val="top"/>
          </w:tcPr>
          <w:p>
            <w:pPr>
              <w:pStyle w:val="TableText"/>
              <w:jc w:val="left"/>
            </w:pPr>
            <w:r>
              <w:t xml:space="preserve">Executive</w:t>
            </w:r>
          </w:p>
        </w:tc>
        <w:tc>
          <w:tcPr>
            <w:tcW w:w="4260" w:type="dxa"/>
            <w:shd w:val="clear" w:color="auto" w:fill="F4F7FB"/>
            <w:vAlign w:val="top"/>
          </w:tcPr>
          <w:p>
            <w:pPr>
              <w:pStyle w:val="TableText"/>
              <w:jc w:val="left"/>
            </w:pPr>
            <w:r>
              <w:t xml:space="preserve">View dashboards</w:t>
            </w:r>
          </w:p>
        </w:tc>
        <w:tc>
          <w:tcPr>
            <w:tcW w:w="1324" w:type="dxa"/>
            <w:shd w:val="clear" w:color="auto" w:fill="F4F7FB"/>
            <w:vAlign w:val="top"/>
          </w:tcPr>
          <w:p>
            <w:pPr>
              <w:pStyle w:val="TableText"/>
              <w:jc w:val="left"/>
            </w:pPr>
            <w:r>
              <w:t xml:space="preserve">No</w:t>
            </w:r>
          </w:p>
        </w:tc>
        <w:tc>
          <w:tcPr>
            <w:tcW w:w="1538" w:type="dxa"/>
            <w:shd w:val="clear" w:color="auto" w:fill="F4F7FB"/>
            <w:vAlign w:val="top"/>
          </w:tcPr>
          <w:p>
            <w:pPr>
              <w:pStyle w:val="TableText"/>
              <w:jc w:val="left"/>
            </w:pPr>
            <w:r>
              <w:t xml:space="preserve">No</w:t>
            </w:r>
          </w:p>
        </w:tc>
      </w:tr>
      <w:tr>
        <w:trPr>
          <w:cantSplit/>
        </w:trPr>
        <w:tc>
          <w:tcPr>
            <w:tcW w:w="1905" w:type="dxa"/>
            <w:vAlign w:val="top"/>
          </w:tcPr>
          <w:p>
            <w:pPr>
              <w:pStyle w:val="TableText"/>
              <w:jc w:val="left"/>
            </w:pPr>
            <w:r>
              <w:t xml:space="preserve">Campaign manager</w:t>
            </w:r>
          </w:p>
        </w:tc>
        <w:tc>
          <w:tcPr>
            <w:tcW w:w="4260" w:type="dxa"/>
            <w:vAlign w:val="top"/>
          </w:tcPr>
          <w:p>
            <w:pPr>
              <w:pStyle w:val="TableText"/>
              <w:jc w:val="left"/>
            </w:pPr>
            <w:r>
              <w:t xml:space="preserve">View and re-score leads, run journeys and voice campaigns, view handoffs and rules</w:t>
            </w:r>
          </w:p>
        </w:tc>
        <w:tc>
          <w:tcPr>
            <w:tcW w:w="1324" w:type="dxa"/>
            <w:vAlign w:val="top"/>
          </w:tcPr>
          <w:p>
            <w:pPr>
              <w:pStyle w:val="TableText"/>
              <w:jc w:val="left"/>
            </w:pPr>
            <w:r>
              <w:t xml:space="preserve">Masked</w:t>
            </w:r>
          </w:p>
        </w:tc>
        <w:tc>
          <w:tcPr>
            <w:tcW w:w="1538" w:type="dxa"/>
            <w:vAlign w:val="top"/>
          </w:tcPr>
          <w:p>
            <w:pPr>
              <w:pStyle w:val="TableText"/>
              <w:jc w:val="left"/>
            </w:pPr>
            <w:r>
              <w:t xml:space="preserve">No</w:t>
            </w:r>
          </w:p>
        </w:tc>
      </w:tr>
      <w:tr>
        <w:trPr>
          <w:cantSplit/>
        </w:trPr>
        <w:tc>
          <w:tcPr>
            <w:tcW w:w="1905" w:type="dxa"/>
            <w:shd w:val="clear" w:color="auto" w:fill="F4F7FB"/>
            <w:vAlign w:val="top"/>
          </w:tcPr>
          <w:p>
            <w:pPr>
              <w:pStyle w:val="TableText"/>
              <w:jc w:val="left"/>
            </w:pPr>
            <w:r>
              <w:t xml:space="preserve">Telesales agent</w:t>
            </w:r>
          </w:p>
        </w:tc>
        <w:tc>
          <w:tcPr>
            <w:tcW w:w="4260" w:type="dxa"/>
            <w:shd w:val="clear" w:color="auto" w:fill="F4F7FB"/>
            <w:vAlign w:val="top"/>
          </w:tcPr>
          <w:p>
            <w:pPr>
              <w:pStyle w:val="TableText"/>
              <w:jc w:val="left"/>
            </w:pPr>
            <w:r>
              <w:t xml:space="preserve">Work own handoffs, view customers, create and send quotes, view policies, run voice sessions</w:t>
            </w:r>
          </w:p>
        </w:tc>
        <w:tc>
          <w:tcPr>
            <w:tcW w:w="1324" w:type="dxa"/>
            <w:shd w:val="clear" w:color="auto" w:fill="F4F7FB"/>
            <w:vAlign w:val="top"/>
          </w:tcPr>
          <w:p>
            <w:pPr>
              <w:pStyle w:val="TableText"/>
              <w:jc w:val="left"/>
            </w:pPr>
            <w:r>
              <w:t xml:space="preserve">Yes, own region</w:t>
            </w:r>
          </w:p>
        </w:tc>
        <w:tc>
          <w:tcPr>
            <w:tcW w:w="1538" w:type="dxa"/>
            <w:shd w:val="clear" w:color="auto" w:fill="F4F7FB"/>
            <w:vAlign w:val="top"/>
          </w:tcPr>
          <w:p>
            <w:pPr>
              <w:pStyle w:val="TableText"/>
              <w:jc w:val="left"/>
            </w:pPr>
            <w:r>
              <w:t xml:space="preserve">No</w:t>
            </w:r>
          </w:p>
        </w:tc>
      </w:tr>
      <w:tr>
        <w:trPr>
          <w:cantSplit/>
        </w:trPr>
        <w:tc>
          <w:tcPr>
            <w:tcW w:w="1905" w:type="dxa"/>
            <w:vAlign w:val="top"/>
          </w:tcPr>
          <w:p>
            <w:pPr>
              <w:pStyle w:val="TableText"/>
              <w:jc w:val="left"/>
            </w:pPr>
            <w:r>
              <w:t xml:space="preserve">Telesales supervisor</w:t>
            </w:r>
          </w:p>
        </w:tc>
        <w:tc>
          <w:tcPr>
            <w:tcW w:w="4260" w:type="dxa"/>
            <w:vAlign w:val="top"/>
          </w:tcPr>
          <w:p>
            <w:pPr>
              <w:pStyle w:val="TableText"/>
              <w:jc w:val="left"/>
            </w:pPr>
            <w:r>
              <w:t xml:space="preserve">As telesales agent, plus assign handoffs and view dashboards</w:t>
            </w:r>
          </w:p>
        </w:tc>
        <w:tc>
          <w:tcPr>
            <w:tcW w:w="1324" w:type="dxa"/>
            <w:vAlign w:val="top"/>
          </w:tcPr>
          <w:p>
            <w:pPr>
              <w:pStyle w:val="TableText"/>
              <w:jc w:val="left"/>
            </w:pPr>
            <w:r>
              <w:t xml:space="preserve">Yes, own region</w:t>
            </w:r>
          </w:p>
        </w:tc>
        <w:tc>
          <w:tcPr>
            <w:tcW w:w="1538" w:type="dxa"/>
            <w:vAlign w:val="top"/>
          </w:tcPr>
          <w:p>
            <w:pPr>
              <w:pStyle w:val="TableText"/>
              <w:jc w:val="left"/>
            </w:pPr>
            <w:r>
              <w:t xml:space="preserve">Recommended</w:t>
            </w:r>
          </w:p>
        </w:tc>
      </w:tr>
      <w:tr>
        <w:trPr>
          <w:cantSplit/>
        </w:trPr>
        <w:tc>
          <w:tcPr>
            <w:tcW w:w="1905" w:type="dxa"/>
            <w:shd w:val="clear" w:color="auto" w:fill="F4F7FB"/>
            <w:vAlign w:val="top"/>
          </w:tcPr>
          <w:p>
            <w:pPr>
              <w:pStyle w:val="TableText"/>
              <w:jc w:val="left"/>
            </w:pPr>
            <w:r>
              <w:t xml:space="preserve">Rule author</w:t>
            </w:r>
          </w:p>
        </w:tc>
        <w:tc>
          <w:tcPr>
            <w:tcW w:w="4260" w:type="dxa"/>
            <w:shd w:val="clear" w:color="auto" w:fill="F4F7FB"/>
            <w:vAlign w:val="top"/>
          </w:tcPr>
          <w:p>
            <w:pPr>
              <w:pStyle w:val="TableText"/>
              <w:jc w:val="left"/>
            </w:pPr>
            <w:r>
              <w:t xml:space="preserve">Draft, simulate and submit rule changes</w:t>
            </w:r>
          </w:p>
        </w:tc>
        <w:tc>
          <w:tcPr>
            <w:tcW w:w="1324" w:type="dxa"/>
            <w:shd w:val="clear" w:color="auto" w:fill="F4F7FB"/>
            <w:vAlign w:val="top"/>
          </w:tcPr>
          <w:p>
            <w:pPr>
              <w:pStyle w:val="TableText"/>
              <w:jc w:val="left"/>
            </w:pPr>
            <w:r>
              <w:t xml:space="preserve">No</w:t>
            </w:r>
          </w:p>
        </w:tc>
        <w:tc>
          <w:tcPr>
            <w:tcW w:w="1538" w:type="dxa"/>
            <w:shd w:val="clear" w:color="auto" w:fill="F4F7FB"/>
            <w:vAlign w:val="top"/>
          </w:tcPr>
          <w:p>
            <w:pPr>
              <w:pStyle w:val="TableText"/>
              <w:jc w:val="left"/>
            </w:pPr>
            <w:r>
              <w:t xml:space="preserve">No</w:t>
            </w:r>
          </w:p>
        </w:tc>
      </w:tr>
      <w:tr>
        <w:trPr>
          <w:cantSplit/>
        </w:trPr>
        <w:tc>
          <w:tcPr>
            <w:tcW w:w="1905" w:type="dxa"/>
            <w:vAlign w:val="top"/>
          </w:tcPr>
          <w:p>
            <w:pPr>
              <w:pStyle w:val="TableText"/>
              <w:jc w:val="left"/>
            </w:pPr>
            <w:r>
              <w:t xml:space="preserve">Rule approver</w:t>
            </w:r>
          </w:p>
        </w:tc>
        <w:tc>
          <w:tcPr>
            <w:tcW w:w="4260" w:type="dxa"/>
            <w:vAlign w:val="top"/>
          </w:tcPr>
          <w:p>
            <w:pPr>
              <w:pStyle w:val="TableText"/>
              <w:jc w:val="left"/>
            </w:pPr>
            <w:r>
              <w:t xml:space="preserve">Approve or reject rule changes, view audit</w:t>
            </w:r>
          </w:p>
        </w:tc>
        <w:tc>
          <w:tcPr>
            <w:tcW w:w="1324" w:type="dxa"/>
            <w:vAlign w:val="top"/>
          </w:tcPr>
          <w:p>
            <w:pPr>
              <w:pStyle w:val="TableText"/>
              <w:jc w:val="left"/>
            </w:pPr>
            <w:r>
              <w:t xml:space="preserve">No</w:t>
            </w:r>
          </w:p>
        </w:tc>
        <w:tc>
          <w:tcPr>
            <w:tcW w:w="1538" w:type="dxa"/>
            <w:vAlign w:val="top"/>
          </w:tcPr>
          <w:p>
            <w:pPr>
              <w:pStyle w:val="TableText"/>
              <w:jc w:val="left"/>
            </w:pPr>
            <w:r>
              <w:t xml:space="preserve">Yes</w:t>
            </w:r>
          </w:p>
        </w:tc>
      </w:tr>
      <w:tr>
        <w:trPr>
          <w:cantSplit/>
        </w:trPr>
        <w:tc>
          <w:tcPr>
            <w:tcW w:w="1905" w:type="dxa"/>
            <w:shd w:val="clear" w:color="auto" w:fill="F4F7FB"/>
            <w:vAlign w:val="top"/>
          </w:tcPr>
          <w:p>
            <w:pPr>
              <w:pStyle w:val="TableText"/>
              <w:jc w:val="left"/>
            </w:pPr>
            <w:r>
              <w:t xml:space="preserve">Compliance officer</w:t>
            </w:r>
          </w:p>
        </w:tc>
        <w:tc>
          <w:tcPr>
            <w:tcW w:w="4260" w:type="dxa"/>
            <w:shd w:val="clear" w:color="auto" w:fill="F4F7FB"/>
            <w:vAlign w:val="top"/>
          </w:tcPr>
          <w:p>
            <w:pPr>
              <w:pStyle w:val="TableText"/>
              <w:jc w:val="left"/>
            </w:pPr>
            <w:r>
              <w:t xml:space="preserve">Approve rule changes including restricted kinds, view audit, keep the data requests register (log, verify, export, erase, refuse)</w:t>
            </w:r>
          </w:p>
        </w:tc>
        <w:tc>
          <w:tcPr>
            <w:tcW w:w="1324" w:type="dxa"/>
            <w:shd w:val="clear" w:color="auto" w:fill="F4F7FB"/>
            <w:vAlign w:val="top"/>
          </w:tcPr>
          <w:p>
            <w:pPr>
              <w:pStyle w:val="TableText"/>
              <w:jc w:val="left"/>
            </w:pPr>
            <w:r>
              <w:t xml:space="preserve">Masked</w:t>
            </w:r>
          </w:p>
        </w:tc>
        <w:tc>
          <w:tcPr>
            <w:tcW w:w="1538" w:type="dxa"/>
            <w:shd w:val="clear" w:color="auto" w:fill="F4F7FB"/>
            <w:vAlign w:val="top"/>
          </w:tcPr>
          <w:p>
            <w:pPr>
              <w:pStyle w:val="TableText"/>
              <w:jc w:val="left"/>
            </w:pPr>
            <w:r>
              <w:t xml:space="preserve">Yes</w:t>
            </w:r>
          </w:p>
        </w:tc>
      </w:tr>
      <w:tr>
        <w:trPr>
          <w:cantSplit/>
        </w:trPr>
        <w:tc>
          <w:tcPr>
            <w:tcW w:w="1905" w:type="dxa"/>
            <w:vAlign w:val="top"/>
          </w:tcPr>
          <w:p>
            <w:pPr>
              <w:pStyle w:val="TableText"/>
              <w:jc w:val="left"/>
            </w:pPr>
            <w:r>
              <w:t xml:space="preserve">Data steward</w:t>
            </w:r>
          </w:p>
        </w:tc>
        <w:tc>
          <w:tcPr>
            <w:tcW w:w="4260" w:type="dxa"/>
            <w:vAlign w:val="top"/>
          </w:tcPr>
          <w:p>
            <w:pPr>
              <w:pStyle w:val="TableText"/>
              <w:jc w:val="left"/>
            </w:pPr>
            <w:r>
              <w:t xml:space="preserve">Resolve data quality issues, correct customer data, load data</w:t>
            </w:r>
          </w:p>
        </w:tc>
        <w:tc>
          <w:tcPr>
            <w:tcW w:w="1324" w:type="dxa"/>
            <w:vAlign w:val="top"/>
          </w:tcPr>
          <w:p>
            <w:pPr>
              <w:pStyle w:val="TableText"/>
              <w:jc w:val="left"/>
            </w:pPr>
            <w:r>
              <w:t xml:space="preserve">Yes, own region</w:t>
            </w:r>
          </w:p>
        </w:tc>
        <w:tc>
          <w:tcPr>
            <w:tcW w:w="1538" w:type="dxa"/>
            <w:vAlign w:val="top"/>
          </w:tcPr>
          <w:p>
            <w:pPr>
              <w:pStyle w:val="TableText"/>
              <w:jc w:val="left"/>
            </w:pPr>
            <w:r>
              <w:t xml:space="preserve">Yes</w:t>
            </w:r>
          </w:p>
        </w:tc>
      </w:tr>
      <w:tr>
        <w:trPr>
          <w:cantSplit/>
        </w:trPr>
        <w:tc>
          <w:tcPr>
            <w:tcW w:w="1905" w:type="dxa"/>
            <w:shd w:val="clear" w:color="auto" w:fill="F4F7FB"/>
            <w:vAlign w:val="top"/>
          </w:tcPr>
          <w:p>
            <w:pPr>
              <w:pStyle w:val="TableText"/>
              <w:jc w:val="left"/>
            </w:pPr>
            <w:r>
              <w:t xml:space="preserve">Claims handler</w:t>
            </w:r>
          </w:p>
        </w:tc>
        <w:tc>
          <w:tcPr>
            <w:tcW w:w="4260" w:type="dxa"/>
            <w:shd w:val="clear" w:color="auto" w:fill="F4F7FB"/>
            <w:vAlign w:val="top"/>
          </w:tcPr>
          <w:p>
            <w:pPr>
              <w:pStyle w:val="TableText"/>
              <w:jc w:val="left"/>
            </w:pPr>
            <w:r>
              <w:t xml:space="preserve">View and update claims, view policies and customers</w:t>
            </w:r>
          </w:p>
        </w:tc>
        <w:tc>
          <w:tcPr>
            <w:tcW w:w="1324" w:type="dxa"/>
            <w:shd w:val="clear" w:color="auto" w:fill="F4F7FB"/>
            <w:vAlign w:val="top"/>
          </w:tcPr>
          <w:p>
            <w:pPr>
              <w:pStyle w:val="TableText"/>
              <w:jc w:val="left"/>
            </w:pPr>
            <w:r>
              <w:t xml:space="preserve">Masked</w:t>
            </w:r>
          </w:p>
        </w:tc>
        <w:tc>
          <w:tcPr>
            <w:tcW w:w="1538" w:type="dxa"/>
            <w:shd w:val="clear" w:color="auto" w:fill="F4F7FB"/>
            <w:vAlign w:val="top"/>
          </w:tcPr>
          <w:p>
            <w:pPr>
              <w:pStyle w:val="TableText"/>
              <w:jc w:val="left"/>
            </w:pPr>
            <w:r>
              <w:t xml:space="preserve">No</w:t>
            </w:r>
          </w:p>
        </w:tc>
      </w:tr>
      <w:tr>
        <w:trPr>
          <w:cantSplit/>
        </w:trPr>
        <w:tc>
          <w:tcPr>
            <w:tcW w:w="1905" w:type="dxa"/>
            <w:vAlign w:val="top"/>
          </w:tcPr>
          <w:p>
            <w:pPr>
              <w:pStyle w:val="TableText"/>
              <w:jc w:val="left"/>
            </w:pPr>
            <w:r>
              <w:t xml:space="preserve">Partner manager</w:t>
            </w:r>
          </w:p>
        </w:tc>
        <w:tc>
          <w:tcPr>
            <w:tcW w:w="4260" w:type="dxa"/>
            <w:vAlign w:val="top"/>
          </w:tcPr>
          <w:p>
            <w:pPr>
              <w:pStyle w:val="TableText"/>
              <w:jc w:val="left"/>
            </w:pPr>
            <w:r>
              <w:t xml:space="preserve">Manage partners and API keys, view statements and policies</w:t>
            </w:r>
          </w:p>
        </w:tc>
        <w:tc>
          <w:tcPr>
            <w:tcW w:w="1324" w:type="dxa"/>
            <w:vAlign w:val="top"/>
          </w:tcPr>
          <w:p>
            <w:pPr>
              <w:pStyle w:val="TableText"/>
              <w:jc w:val="left"/>
            </w:pPr>
            <w:r>
              <w:t xml:space="preserve">No</w:t>
            </w:r>
          </w:p>
        </w:tc>
        <w:tc>
          <w:tcPr>
            <w:tcW w:w="1538" w:type="dxa"/>
            <w:vAlign w:val="top"/>
          </w:tcPr>
          <w:p>
            <w:pPr>
              <w:pStyle w:val="TableText"/>
              <w:jc w:val="left"/>
            </w:pPr>
            <w:r>
              <w:t xml:space="preserve">Recommended</w:t>
            </w:r>
          </w:p>
        </w:tc>
      </w:tr>
      <w:tr>
        <w:trPr>
          <w:cantSplit/>
        </w:trPr>
        <w:tc>
          <w:tcPr>
            <w:tcW w:w="1905" w:type="dxa"/>
            <w:shd w:val="clear" w:color="auto" w:fill="F4F7FB"/>
            <w:vAlign w:val="top"/>
          </w:tcPr>
          <w:p>
            <w:pPr>
              <w:pStyle w:val="TableText"/>
              <w:jc w:val="left"/>
            </w:pPr>
            <w:r>
              <w:t xml:space="preserve">Auditor</w:t>
            </w:r>
          </w:p>
        </w:tc>
        <w:tc>
          <w:tcPr>
            <w:tcW w:w="4260" w:type="dxa"/>
            <w:shd w:val="clear" w:color="auto" w:fill="F4F7FB"/>
            <w:vAlign w:val="top"/>
          </w:tcPr>
          <w:p>
            <w:pPr>
              <w:pStyle w:val="TableText"/>
              <w:jc w:val="left"/>
            </w:pPr>
            <w:r>
              <w:t xml:space="preserve">View audit trail, rules and dashboards; read only</w:t>
            </w:r>
          </w:p>
        </w:tc>
        <w:tc>
          <w:tcPr>
            <w:tcW w:w="1324" w:type="dxa"/>
            <w:shd w:val="clear" w:color="auto" w:fill="F4F7FB"/>
            <w:vAlign w:val="top"/>
          </w:tcPr>
          <w:p>
            <w:pPr>
              <w:pStyle w:val="TableText"/>
              <w:jc w:val="left"/>
            </w:pPr>
            <w:r>
              <w:t xml:space="preserve">No</w:t>
            </w:r>
          </w:p>
        </w:tc>
        <w:tc>
          <w:tcPr>
            <w:tcW w:w="1538" w:type="dxa"/>
            <w:shd w:val="clear" w:color="auto" w:fill="F4F7FB"/>
            <w:vAlign w:val="top"/>
          </w:tcPr>
          <w:p>
            <w:pPr>
              <w:pStyle w:val="TableText"/>
              <w:jc w:val="left"/>
            </w:pPr>
            <w:r>
              <w:t xml:space="preserve">No</w:t>
            </w:r>
          </w:p>
        </w:tc>
      </w:tr>
      <w:tr>
        <w:trPr>
          <w:cantSplit/>
        </w:trPr>
        <w:tc>
          <w:tcPr>
            <w:tcW w:w="1905" w:type="dxa"/>
            <w:vAlign w:val="top"/>
          </w:tcPr>
          <w:p>
            <w:pPr>
              <w:pStyle w:val="TableText"/>
              <w:jc w:val="left"/>
            </w:pPr>
            <w:r>
              <w:t xml:space="preserve">Support engineer</w:t>
            </w:r>
          </w:p>
        </w:tc>
        <w:tc>
          <w:tcPr>
            <w:tcW w:w="4260" w:type="dxa"/>
            <w:vAlign w:val="top"/>
          </w:tcPr>
          <w:p>
            <w:pPr>
              <w:pStyle w:val="TableText"/>
              <w:jc w:val="left"/>
            </w:pPr>
            <w:r>
              <w:t xml:space="preserve">View operations status, run operational jobs</w:t>
            </w:r>
          </w:p>
        </w:tc>
        <w:tc>
          <w:tcPr>
            <w:tcW w:w="1324" w:type="dxa"/>
            <w:vAlign w:val="top"/>
          </w:tcPr>
          <w:p>
            <w:pPr>
              <w:pStyle w:val="TableText"/>
              <w:jc w:val="left"/>
            </w:pPr>
            <w:r>
              <w:t xml:space="preserve">No</w:t>
            </w:r>
          </w:p>
        </w:tc>
        <w:tc>
          <w:tcPr>
            <w:tcW w:w="1538" w:type="dxa"/>
            <w:vAlign w:val="top"/>
          </w:tcPr>
          <w:p>
            <w:pPr>
              <w:pStyle w:val="TableText"/>
              <w:jc w:val="left"/>
            </w:pPr>
            <w:r>
              <w:t xml:space="preserve">Recommended</w:t>
            </w:r>
          </w:p>
        </w:tc>
      </w:tr>
      <w:tr>
        <w:trPr>
          <w:cantSplit/>
        </w:trPr>
        <w:tc>
          <w:tcPr>
            <w:tcW w:w="1905" w:type="dxa"/>
            <w:shd w:val="clear" w:color="auto" w:fill="F4F7FB"/>
            <w:vAlign w:val="top"/>
          </w:tcPr>
          <w:p>
            <w:pPr>
              <w:pStyle w:val="TableText"/>
              <w:jc w:val="left"/>
            </w:pPr>
            <w:r>
              <w:t xml:space="preserve">Customer</w:t>
            </w:r>
          </w:p>
        </w:tc>
        <w:tc>
          <w:tcPr>
            <w:tcW w:w="4260" w:type="dxa"/>
            <w:shd w:val="clear" w:color="auto" w:fill="F4F7FB"/>
            <w:vAlign w:val="top"/>
          </w:tcPr>
          <w:p>
            <w:pPr>
              <w:pStyle w:val="TableText"/>
              <w:jc w:val="left"/>
            </w:pPr>
            <w:r>
              <w:t xml:space="preserve">Own data, quotes, payments, consent and claims</w:t>
            </w:r>
          </w:p>
        </w:tc>
        <w:tc>
          <w:tcPr>
            <w:tcW w:w="1324" w:type="dxa"/>
            <w:shd w:val="clear" w:color="auto" w:fill="F4F7FB"/>
            <w:vAlign w:val="top"/>
          </w:tcPr>
          <w:p>
            <w:pPr>
              <w:pStyle w:val="TableText"/>
              <w:jc w:val="left"/>
            </w:pPr>
            <w:r>
              <w:t xml:space="preserve">Own only</w:t>
            </w:r>
          </w:p>
        </w:tc>
        <w:tc>
          <w:tcPr>
            <w:tcW w:w="1538" w:type="dxa"/>
            <w:shd w:val="clear" w:color="auto" w:fill="F4F7FB"/>
            <w:vAlign w:val="top"/>
          </w:tcPr>
          <w:p>
            <w:pPr>
              <w:pStyle w:val="TableText"/>
              <w:jc w:val="left"/>
            </w:pPr>
            <w:r>
              <w:t xml:space="preserve">Not applicable</w:t>
            </w:r>
          </w:p>
        </w:tc>
      </w:tr>
      <w:tr>
        <w:trPr>
          <w:cantSplit/>
        </w:trPr>
        <w:tc>
          <w:tcPr>
            <w:tcW w:w="1905" w:type="dxa"/>
            <w:vAlign w:val="top"/>
          </w:tcPr>
          <w:p>
            <w:pPr>
              <w:pStyle w:val="TableText"/>
              <w:jc w:val="left"/>
            </w:pPr>
            <w:r>
              <w:t xml:space="preserve">Partner system</w:t>
            </w:r>
          </w:p>
        </w:tc>
        <w:tc>
          <w:tcPr>
            <w:tcW w:w="4260" w:type="dxa"/>
            <w:vAlign w:val="top"/>
          </w:tcPr>
          <w:p>
            <w:pPr>
              <w:pStyle w:val="TableText"/>
              <w:jc w:val="left"/>
            </w:pPr>
            <w:r>
              <w:t xml:space="preserve">Quote, order, own policies and statements, within key scopes</w:t>
            </w:r>
          </w:p>
        </w:tc>
        <w:tc>
          <w:tcPr>
            <w:tcW w:w="1324" w:type="dxa"/>
            <w:vAlign w:val="top"/>
          </w:tcPr>
          <w:p>
            <w:pPr>
              <w:pStyle w:val="TableText"/>
              <w:jc w:val="left"/>
            </w:pPr>
            <w:r>
              <w:t xml:space="preserve">Own sales only</w:t>
            </w:r>
          </w:p>
        </w:tc>
        <w:tc>
          <w:tcPr>
            <w:tcW w:w="1538" w:type="dxa"/>
            <w:vAlign w:val="top"/>
          </w:tcPr>
          <w:p>
            <w:pPr>
              <w:pStyle w:val="TableText"/>
              <w:jc w:val="left"/>
            </w:pPr>
            <w:r>
              <w:t xml:space="preserve">Not applicable</w:t>
            </w:r>
          </w:p>
        </w:tc>
      </w:tr>
    </w:tbl>
    <w:p>
      <w:pPr>
        <w:pStyle w:val="BodyText"/>
        <w:spacing w:before="160"/>
      </w:pPr>
      <w:r>
        <w:t xml:space="preserve">No role can take payment. Telesales create a quote and send it to the customer, who confirms and pays inside the customer app.</w:t>
      </w:r>
    </w:p>
    <w:p>
      <w:pPr>
        <w:pStyle w:val="Heading2"/>
      </w:pPr>
      <w:bookmarkStart w:id="20" w:name="_Toc300000016"/>
      <w:r>
        <w:t xml:space="preserve">Permissions</w:t>
      </w:r>
      <w:bookmarkEnd w:id="20"/>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2732"/>
        <w:gridCol w:w="3510"/>
        <w:gridCol w:w="2785"/>
      </w:tblGrid>
      <w:tr>
        <w:trPr>
          <w:cantSplit/>
          <w:tblHeader/>
        </w:trPr>
        <w:tc>
          <w:tcPr>
            <w:tcW w:w="2732" w:type="dxa"/>
            <w:shd w:val="clear" w:color="auto" w:fill="0F4761"/>
            <w:vAlign w:val="center"/>
          </w:tcPr>
          <w:p>
            <w:pPr>
              <w:pStyle w:val="TableHeading"/>
              <w:jc w:val="left"/>
            </w:pPr>
            <w:r>
              <w:rPr>
                <w:color w:val="FFFFFF"/>
              </w:rPr>
              <w:t xml:space="preserve">Permission</w:t>
            </w:r>
          </w:p>
        </w:tc>
        <w:tc>
          <w:tcPr>
            <w:tcW w:w="3510" w:type="dxa"/>
            <w:shd w:val="clear" w:color="auto" w:fill="0F4761"/>
            <w:vAlign w:val="center"/>
          </w:tcPr>
          <w:p>
            <w:pPr>
              <w:pStyle w:val="TableHeading"/>
              <w:jc w:val="left"/>
            </w:pPr>
            <w:r>
              <w:rPr>
                <w:color w:val="FFFFFF"/>
              </w:rPr>
              <w:t xml:space="preserve">Allows</w:t>
            </w:r>
          </w:p>
        </w:tc>
        <w:tc>
          <w:tcPr>
            <w:tcW w:w="2785" w:type="dxa"/>
            <w:shd w:val="clear" w:color="auto" w:fill="0F4761"/>
            <w:vAlign w:val="center"/>
          </w:tcPr>
          <w:p>
            <w:pPr>
              <w:pStyle w:val="TableHeading"/>
              <w:jc w:val="left"/>
            </w:pPr>
            <w:r>
              <w:rPr>
                <w:color w:val="FFFFFF"/>
              </w:rPr>
              <w:t xml:space="preserve">Held by</w:t>
            </w:r>
          </w:p>
        </w:tc>
      </w:tr>
      <w:tr>
        <w:trPr>
          <w:cantSplit/>
        </w:trPr>
        <w:tc>
          <w:tcPr>
            <w:tcW w:w="2732" w:type="dxa"/>
            <w:vAlign w:val="top"/>
          </w:tcPr>
          <w:p>
            <w:pPr>
              <w:pStyle w:val="TableText"/>
              <w:jc w:val="left"/>
            </w:pPr>
            <w:r>
              <w:rPr>
                <w:rStyle w:val="CodeChar"/>
              </w:rPr>
              <w:t xml:space="preserve">users:manage</w:t>
            </w:r>
          </w:p>
        </w:tc>
        <w:tc>
          <w:tcPr>
            <w:tcW w:w="3510" w:type="dxa"/>
            <w:vAlign w:val="top"/>
          </w:tcPr>
          <w:p>
            <w:pPr>
              <w:pStyle w:val="TableText"/>
              <w:jc w:val="left"/>
            </w:pPr>
            <w:r>
              <w:t xml:space="preserve">Create, update, unlock and reset staff users</w:t>
            </w:r>
          </w:p>
        </w:tc>
        <w:tc>
          <w:tcPr>
            <w:tcW w:w="2785" w:type="dxa"/>
            <w:vAlign w:val="top"/>
          </w:tcPr>
          <w:p>
            <w:pPr>
              <w:pStyle w:val="TableText"/>
              <w:jc w:val="left"/>
            </w:pPr>
            <w:r>
              <w:t xml:space="preserve">Administrator</w:t>
            </w:r>
          </w:p>
        </w:tc>
      </w:tr>
      <w:tr>
        <w:trPr>
          <w:cantSplit/>
        </w:trPr>
        <w:tc>
          <w:tcPr>
            <w:tcW w:w="2732" w:type="dxa"/>
            <w:shd w:val="clear" w:color="auto" w:fill="F4F7FB"/>
            <w:vAlign w:val="top"/>
          </w:tcPr>
          <w:p>
            <w:pPr>
              <w:pStyle w:val="TableText"/>
              <w:jc w:val="left"/>
            </w:pPr>
            <w:r>
              <w:rPr>
                <w:rStyle w:val="CodeChar"/>
              </w:rPr>
              <w:t xml:space="preserve">ops:read</w:t>
            </w:r>
            <w:r>
              <w:t xml:space="preserve">,</w:t>
            </w:r>
            <w:r>
              <w:t xml:space="preserve"> </w:t>
            </w:r>
            <w:r>
              <w:rPr>
                <w:rStyle w:val="CodeChar"/>
              </w:rPr>
              <w:t xml:space="preserve">ops:run_jobs</w:t>
            </w:r>
          </w:p>
        </w:tc>
        <w:tc>
          <w:tcPr>
            <w:tcW w:w="3510" w:type="dxa"/>
            <w:shd w:val="clear" w:color="auto" w:fill="F4F7FB"/>
            <w:vAlign w:val="top"/>
          </w:tcPr>
          <w:p>
            <w:pPr>
              <w:pStyle w:val="TableText"/>
              <w:jc w:val="left"/>
            </w:pPr>
            <w:r>
              <w:t xml:space="preserve">View operations and integration status; run reconciliation, retention, relay and catalogue sync</w:t>
            </w:r>
          </w:p>
        </w:tc>
        <w:tc>
          <w:tcPr>
            <w:tcW w:w="2785" w:type="dxa"/>
            <w:shd w:val="clear" w:color="auto" w:fill="F4F7FB"/>
            <w:vAlign w:val="top"/>
          </w:tcPr>
          <w:p>
            <w:pPr>
              <w:pStyle w:val="TableText"/>
              <w:jc w:val="left"/>
            </w:pPr>
            <w:r>
              <w:t xml:space="preserve">Administrator, support engineer</w:t>
            </w:r>
          </w:p>
        </w:tc>
      </w:tr>
      <w:tr>
        <w:trPr>
          <w:cantSplit/>
        </w:trPr>
        <w:tc>
          <w:tcPr>
            <w:tcW w:w="2732" w:type="dxa"/>
            <w:vAlign w:val="top"/>
          </w:tcPr>
          <w:p>
            <w:pPr>
              <w:pStyle w:val="TableText"/>
              <w:jc w:val="left"/>
            </w:pPr>
            <w:r>
              <w:rPr>
                <w:rStyle w:val="CodeChar"/>
              </w:rPr>
              <w:t xml:space="preserve">audit:read</w:t>
            </w:r>
          </w:p>
        </w:tc>
        <w:tc>
          <w:tcPr>
            <w:tcW w:w="3510" w:type="dxa"/>
            <w:vAlign w:val="top"/>
          </w:tcPr>
          <w:p>
            <w:pPr>
              <w:pStyle w:val="TableText"/>
              <w:jc w:val="left"/>
            </w:pPr>
            <w:r>
              <w:t xml:space="preserve">Search and verify the audit trail; governance dashboard</w:t>
            </w:r>
          </w:p>
        </w:tc>
        <w:tc>
          <w:tcPr>
            <w:tcW w:w="2785" w:type="dxa"/>
            <w:vAlign w:val="top"/>
          </w:tcPr>
          <w:p>
            <w:pPr>
              <w:pStyle w:val="TableText"/>
              <w:jc w:val="left"/>
            </w:pPr>
            <w:r>
              <w:t xml:space="preserve">Administrator, rule approver, compliance officer, auditor</w:t>
            </w:r>
          </w:p>
        </w:tc>
      </w:tr>
      <w:tr>
        <w:trPr>
          <w:cantSplit/>
        </w:trPr>
        <w:tc>
          <w:tcPr>
            <w:tcW w:w="2732" w:type="dxa"/>
            <w:shd w:val="clear" w:color="auto" w:fill="F4F7FB"/>
            <w:vAlign w:val="top"/>
          </w:tcPr>
          <w:p>
            <w:pPr>
              <w:pStyle w:val="TableText"/>
              <w:jc w:val="left"/>
            </w:pPr>
            <w:r>
              <w:rPr>
                <w:rStyle w:val="CodeChar"/>
              </w:rPr>
              <w:t xml:space="preserve">dashboard:read</w:t>
            </w:r>
          </w:p>
        </w:tc>
        <w:tc>
          <w:tcPr>
            <w:tcW w:w="3510" w:type="dxa"/>
            <w:shd w:val="clear" w:color="auto" w:fill="F4F7FB"/>
            <w:vAlign w:val="top"/>
          </w:tcPr>
          <w:p>
            <w:pPr>
              <w:pStyle w:val="TableText"/>
              <w:jc w:val="left"/>
            </w:pPr>
            <w:r>
              <w:t xml:space="preserve">Business dashboards</w:t>
            </w:r>
          </w:p>
        </w:tc>
        <w:tc>
          <w:tcPr>
            <w:tcW w:w="2785" w:type="dxa"/>
            <w:shd w:val="clear" w:color="auto" w:fill="F4F7FB"/>
            <w:vAlign w:val="top"/>
          </w:tcPr>
          <w:p>
            <w:pPr>
              <w:pStyle w:val="TableText"/>
              <w:jc w:val="left"/>
            </w:pPr>
            <w:r>
              <w:t xml:space="preserve">Most staff roles</w:t>
            </w:r>
          </w:p>
        </w:tc>
      </w:tr>
      <w:tr>
        <w:trPr>
          <w:cantSplit/>
        </w:trPr>
        <w:tc>
          <w:tcPr>
            <w:tcW w:w="2732" w:type="dxa"/>
            <w:vAlign w:val="top"/>
          </w:tcPr>
          <w:p>
            <w:pPr>
              <w:pStyle w:val="TableText"/>
              <w:jc w:val="left"/>
            </w:pPr>
            <w:r>
              <w:rPr>
                <w:rStyle w:val="CodeChar"/>
              </w:rPr>
              <w:t xml:space="preserve">rules:read</w:t>
            </w:r>
            <w:r>
              <w:t xml:space="preserve">,</w:t>
            </w:r>
            <w:r>
              <w:t xml:space="preserve"> </w:t>
            </w:r>
            <w:r>
              <w:rPr>
                <w:rStyle w:val="CodeChar"/>
              </w:rPr>
              <w:t xml:space="preserve">rules:author</w:t>
            </w:r>
            <w:r>
              <w:t xml:space="preserve">,</w:t>
            </w:r>
            <w:r>
              <w:t xml:space="preserve"> </w:t>
            </w:r>
            <w:r>
              <w:rPr>
                <w:rStyle w:val="CodeChar"/>
              </w:rPr>
              <w:t xml:space="preserve">rules:approve</w:t>
            </w:r>
          </w:p>
        </w:tc>
        <w:tc>
          <w:tcPr>
            <w:tcW w:w="3510" w:type="dxa"/>
            <w:vAlign w:val="top"/>
          </w:tcPr>
          <w:p>
            <w:pPr>
              <w:pStyle w:val="TableText"/>
              <w:jc w:val="left"/>
            </w:pPr>
            <w:r>
              <w:t xml:space="preserve">View, draft and approve rule sets</w:t>
            </w:r>
          </w:p>
        </w:tc>
        <w:tc>
          <w:tcPr>
            <w:tcW w:w="2785" w:type="dxa"/>
            <w:vAlign w:val="top"/>
          </w:tcPr>
          <w:p>
            <w:pPr>
              <w:pStyle w:val="TableText"/>
              <w:jc w:val="left"/>
            </w:pPr>
            <w:r>
              <w:t xml:space="preserve">Rule roles, compliance; no role holds both author and approve</w:t>
            </w:r>
          </w:p>
        </w:tc>
      </w:tr>
      <w:tr>
        <w:trPr>
          <w:cantSplit/>
        </w:trPr>
        <w:tc>
          <w:tcPr>
            <w:tcW w:w="2732" w:type="dxa"/>
            <w:shd w:val="clear" w:color="auto" w:fill="F4F7FB"/>
            <w:vAlign w:val="top"/>
          </w:tcPr>
          <w:p>
            <w:pPr>
              <w:pStyle w:val="TableText"/>
              <w:jc w:val="left"/>
            </w:pPr>
            <w:r>
              <w:rPr>
                <w:rStyle w:val="CodeChar"/>
              </w:rPr>
              <w:t xml:space="preserve">leads:read</w:t>
            </w:r>
            <w:r>
              <w:t xml:space="preserve">,</w:t>
            </w:r>
            <w:r>
              <w:t xml:space="preserve"> </w:t>
            </w:r>
            <w:r>
              <w:rPr>
                <w:rStyle w:val="CodeChar"/>
              </w:rPr>
              <w:t xml:space="preserve">leads:recompute</w:t>
            </w:r>
          </w:p>
        </w:tc>
        <w:tc>
          <w:tcPr>
            <w:tcW w:w="3510" w:type="dxa"/>
            <w:shd w:val="clear" w:color="auto" w:fill="F4F7FB"/>
            <w:vAlign w:val="top"/>
          </w:tcPr>
          <w:p>
            <w:pPr>
              <w:pStyle w:val="TableText"/>
              <w:jc w:val="left"/>
            </w:pPr>
            <w:r>
              <w:t xml:space="preserve">View leads and touchpoints; re-score</w:t>
            </w:r>
          </w:p>
        </w:tc>
        <w:tc>
          <w:tcPr>
            <w:tcW w:w="2785" w:type="dxa"/>
            <w:shd w:val="clear" w:color="auto" w:fill="F4F7FB"/>
            <w:vAlign w:val="top"/>
          </w:tcPr>
          <w:p>
            <w:pPr>
              <w:pStyle w:val="TableText"/>
              <w:jc w:val="left"/>
            </w:pPr>
            <w:r>
              <w:t xml:space="preserve">Campaign, telesales, data steward</w:t>
            </w:r>
          </w:p>
        </w:tc>
      </w:tr>
      <w:tr>
        <w:trPr>
          <w:cantSplit/>
        </w:trPr>
        <w:tc>
          <w:tcPr>
            <w:tcW w:w="2732" w:type="dxa"/>
            <w:vAlign w:val="top"/>
          </w:tcPr>
          <w:p>
            <w:pPr>
              <w:pStyle w:val="TableText"/>
              <w:jc w:val="left"/>
            </w:pPr>
            <w:r>
              <w:rPr>
                <w:rStyle w:val="CodeChar"/>
              </w:rPr>
              <w:t xml:space="preserve">journeys:run</w:t>
            </w:r>
          </w:p>
        </w:tc>
        <w:tc>
          <w:tcPr>
            <w:tcW w:w="3510" w:type="dxa"/>
            <w:vAlign w:val="top"/>
          </w:tcPr>
          <w:p>
            <w:pPr>
              <w:pStyle w:val="TableText"/>
              <w:jc w:val="left"/>
            </w:pPr>
            <w:r>
              <w:t xml:space="preserve">Run journeys, ecosystem events and voice campaigns</w:t>
            </w:r>
          </w:p>
        </w:tc>
        <w:tc>
          <w:tcPr>
            <w:tcW w:w="2785" w:type="dxa"/>
            <w:vAlign w:val="top"/>
          </w:tcPr>
          <w:p>
            <w:pPr>
              <w:pStyle w:val="TableText"/>
              <w:jc w:val="left"/>
            </w:pPr>
            <w:r>
              <w:t xml:space="preserve">Campaign manager</w:t>
            </w:r>
          </w:p>
        </w:tc>
      </w:tr>
      <w:tr>
        <w:trPr>
          <w:cantSplit/>
        </w:trPr>
        <w:tc>
          <w:tcPr>
            <w:tcW w:w="2732" w:type="dxa"/>
            <w:shd w:val="clear" w:color="auto" w:fill="F4F7FB"/>
            <w:vAlign w:val="top"/>
          </w:tcPr>
          <w:p>
            <w:pPr>
              <w:pStyle w:val="TableText"/>
              <w:jc w:val="left"/>
            </w:pPr>
            <w:r>
              <w:rPr>
                <w:rStyle w:val="CodeChar"/>
              </w:rPr>
              <w:t xml:space="preserve">voice:operate</w:t>
            </w:r>
          </w:p>
        </w:tc>
        <w:tc>
          <w:tcPr>
            <w:tcW w:w="3510" w:type="dxa"/>
            <w:shd w:val="clear" w:color="auto" w:fill="F4F7FB"/>
            <w:vAlign w:val="top"/>
          </w:tcPr>
          <w:p>
            <w:pPr>
              <w:pStyle w:val="TableText"/>
              <w:jc w:val="left"/>
            </w:pPr>
            <w:r>
              <w:t xml:space="preserve">Run voice sessions</w:t>
            </w:r>
          </w:p>
        </w:tc>
        <w:tc>
          <w:tcPr>
            <w:tcW w:w="2785" w:type="dxa"/>
            <w:shd w:val="clear" w:color="auto" w:fill="F4F7FB"/>
            <w:vAlign w:val="top"/>
          </w:tcPr>
          <w:p>
            <w:pPr>
              <w:pStyle w:val="TableText"/>
              <w:jc w:val="left"/>
            </w:pPr>
            <w:r>
              <w:t xml:space="preserve">Campaign, telesales</w:t>
            </w:r>
          </w:p>
        </w:tc>
      </w:tr>
      <w:tr>
        <w:trPr>
          <w:cantSplit/>
        </w:trPr>
        <w:tc>
          <w:tcPr>
            <w:tcW w:w="2732" w:type="dxa"/>
            <w:vAlign w:val="top"/>
          </w:tcPr>
          <w:p>
            <w:pPr>
              <w:pStyle w:val="TableText"/>
              <w:jc w:val="left"/>
            </w:pPr>
            <w:r>
              <w:rPr>
                <w:rStyle w:val="CodeChar"/>
              </w:rPr>
              <w:t xml:space="preserve">handoff:read</w:t>
            </w:r>
            <w:r>
              <w:t xml:space="preserve">,</w:t>
            </w:r>
            <w:r>
              <w:t xml:space="preserve"> </w:t>
            </w:r>
            <w:r>
              <w:rPr>
                <w:rStyle w:val="CodeChar"/>
              </w:rPr>
              <w:t xml:space="preserve">handoff:work</w:t>
            </w:r>
            <w:r>
              <w:t xml:space="preserve">,</w:t>
            </w:r>
            <w:r>
              <w:t xml:space="preserve"> </w:t>
            </w:r>
            <w:r>
              <w:rPr>
                <w:rStyle w:val="CodeChar"/>
              </w:rPr>
              <w:t xml:space="preserve">handoff:assign</w:t>
            </w:r>
          </w:p>
        </w:tc>
        <w:tc>
          <w:tcPr>
            <w:tcW w:w="3510" w:type="dxa"/>
            <w:vAlign w:val="top"/>
          </w:tcPr>
          <w:p>
            <w:pPr>
              <w:pStyle w:val="TableText"/>
              <w:jc w:val="left"/>
            </w:pPr>
            <w:r>
              <w:t xml:space="preserve">View, work and assign telesales handoffs</w:t>
            </w:r>
          </w:p>
        </w:tc>
        <w:tc>
          <w:tcPr>
            <w:tcW w:w="2785" w:type="dxa"/>
            <w:vAlign w:val="top"/>
          </w:tcPr>
          <w:p>
            <w:pPr>
              <w:pStyle w:val="TableText"/>
              <w:jc w:val="left"/>
            </w:pPr>
            <w:r>
              <w:t xml:space="preserve">Campaign (read), telesales, supervisor (assign)</w:t>
            </w:r>
          </w:p>
        </w:tc>
      </w:tr>
      <w:tr>
        <w:trPr>
          <w:cantSplit/>
        </w:trPr>
        <w:tc>
          <w:tcPr>
            <w:tcW w:w="2732" w:type="dxa"/>
            <w:shd w:val="clear" w:color="auto" w:fill="F4F7FB"/>
            <w:vAlign w:val="top"/>
          </w:tcPr>
          <w:p>
            <w:pPr>
              <w:pStyle w:val="TableText"/>
              <w:jc w:val="left"/>
            </w:pPr>
            <w:r>
              <w:rPr>
                <w:rStyle w:val="CodeChar"/>
              </w:rPr>
              <w:t xml:space="preserve">profile:read</w:t>
            </w:r>
            <w:r>
              <w:t xml:space="preserve">,</w:t>
            </w:r>
            <w:r>
              <w:t xml:space="preserve"> </w:t>
            </w:r>
            <w:r>
              <w:rPr>
                <w:rStyle w:val="CodeChar"/>
              </w:rPr>
              <w:t xml:space="preserve">profile:read_pii</w:t>
            </w:r>
            <w:r>
              <w:t xml:space="preserve">,</w:t>
            </w:r>
            <w:r>
              <w:t xml:space="preserve"> </w:t>
            </w:r>
            <w:r>
              <w:rPr>
                <w:rStyle w:val="CodeChar"/>
              </w:rPr>
              <w:t xml:space="preserve">profile:update</w:t>
            </w:r>
          </w:p>
        </w:tc>
        <w:tc>
          <w:tcPr>
            <w:tcW w:w="3510" w:type="dxa"/>
            <w:shd w:val="clear" w:color="auto" w:fill="F4F7FB"/>
            <w:vAlign w:val="top"/>
          </w:tcPr>
          <w:p>
            <w:pPr>
              <w:pStyle w:val="TableText"/>
              <w:jc w:val="left"/>
            </w:pPr>
            <w:r>
              <w:t xml:space="preserve">View customers, see unmasked personal data, correct data</w:t>
            </w:r>
          </w:p>
        </w:tc>
        <w:tc>
          <w:tcPr>
            <w:tcW w:w="2785" w:type="dxa"/>
            <w:shd w:val="clear" w:color="auto" w:fill="F4F7FB"/>
            <w:vAlign w:val="top"/>
          </w:tcPr>
          <w:p>
            <w:pPr>
              <w:pStyle w:val="TableText"/>
              <w:jc w:val="left"/>
            </w:pPr>
            <w:r>
              <w:t xml:space="preserve">Several roles; unmasked view for telesales and data steward</w:t>
            </w:r>
          </w:p>
        </w:tc>
      </w:tr>
      <w:tr>
        <w:trPr>
          <w:cantSplit/>
        </w:trPr>
        <w:tc>
          <w:tcPr>
            <w:tcW w:w="2732" w:type="dxa"/>
            <w:vAlign w:val="top"/>
          </w:tcPr>
          <w:p>
            <w:pPr>
              <w:pStyle w:val="TableText"/>
              <w:jc w:val="left"/>
            </w:pPr>
            <w:r>
              <w:rPr>
                <w:rStyle w:val="CodeChar"/>
              </w:rPr>
              <w:t xml:space="preserve">quote:create</w:t>
            </w:r>
          </w:p>
        </w:tc>
        <w:tc>
          <w:tcPr>
            <w:tcW w:w="3510" w:type="dxa"/>
            <w:vAlign w:val="top"/>
          </w:tcPr>
          <w:p>
            <w:pPr>
              <w:pStyle w:val="TableText"/>
              <w:jc w:val="left"/>
            </w:pPr>
            <w:r>
              <w:t xml:space="preserve">Create, re-rate, inspect and send quotes</w:t>
            </w:r>
          </w:p>
        </w:tc>
        <w:tc>
          <w:tcPr>
            <w:tcW w:w="2785" w:type="dxa"/>
            <w:vAlign w:val="top"/>
          </w:tcPr>
          <w:p>
            <w:pPr>
              <w:pStyle w:val="TableText"/>
              <w:jc w:val="left"/>
            </w:pPr>
            <w:r>
              <w:t xml:space="preserve">Telesales agent and supervisor</w:t>
            </w:r>
          </w:p>
        </w:tc>
      </w:tr>
      <w:tr>
        <w:trPr>
          <w:cantSplit/>
        </w:trPr>
        <w:tc>
          <w:tcPr>
            <w:tcW w:w="2732" w:type="dxa"/>
            <w:shd w:val="clear" w:color="auto" w:fill="F4F7FB"/>
            <w:vAlign w:val="top"/>
          </w:tcPr>
          <w:p>
            <w:pPr>
              <w:pStyle w:val="TableText"/>
              <w:jc w:val="left"/>
            </w:pPr>
            <w:r>
              <w:rPr>
                <w:rStyle w:val="CodeChar"/>
              </w:rPr>
              <w:t xml:space="preserve">policy:read</w:t>
            </w:r>
          </w:p>
        </w:tc>
        <w:tc>
          <w:tcPr>
            <w:tcW w:w="3510" w:type="dxa"/>
            <w:shd w:val="clear" w:color="auto" w:fill="F4F7FB"/>
            <w:vAlign w:val="top"/>
          </w:tcPr>
          <w:p>
            <w:pPr>
              <w:pStyle w:val="TableText"/>
              <w:jc w:val="left"/>
            </w:pPr>
            <w:r>
              <w:t xml:space="preserve">View issued policies</w:t>
            </w:r>
          </w:p>
        </w:tc>
        <w:tc>
          <w:tcPr>
            <w:tcW w:w="2785" w:type="dxa"/>
            <w:shd w:val="clear" w:color="auto" w:fill="F4F7FB"/>
            <w:vAlign w:val="top"/>
          </w:tcPr>
          <w:p>
            <w:pPr>
              <w:pStyle w:val="TableText"/>
              <w:jc w:val="left"/>
            </w:pPr>
            <w:r>
              <w:t xml:space="preserve">Telesales, claims, partner manager</w:t>
            </w:r>
          </w:p>
        </w:tc>
      </w:tr>
      <w:tr>
        <w:trPr>
          <w:cantSplit/>
        </w:trPr>
        <w:tc>
          <w:tcPr>
            <w:tcW w:w="2732" w:type="dxa"/>
            <w:vAlign w:val="top"/>
          </w:tcPr>
          <w:p>
            <w:pPr>
              <w:pStyle w:val="TableText"/>
              <w:jc w:val="left"/>
            </w:pPr>
            <w:r>
              <w:rPr>
                <w:rStyle w:val="CodeChar"/>
              </w:rPr>
              <w:t xml:space="preserve">claims:read</w:t>
            </w:r>
            <w:r>
              <w:t xml:space="preserve">,</w:t>
            </w:r>
            <w:r>
              <w:t xml:space="preserve"> </w:t>
            </w:r>
            <w:r>
              <w:rPr>
                <w:rStyle w:val="CodeChar"/>
              </w:rPr>
              <w:t xml:space="preserve">claims:update</w:t>
            </w:r>
          </w:p>
        </w:tc>
        <w:tc>
          <w:tcPr>
            <w:tcW w:w="3510" w:type="dxa"/>
            <w:vAlign w:val="top"/>
          </w:tcPr>
          <w:p>
            <w:pPr>
              <w:pStyle w:val="TableText"/>
              <w:jc w:val="left"/>
            </w:pPr>
            <w:r>
              <w:t xml:space="preserve">View and progress claims</w:t>
            </w:r>
          </w:p>
        </w:tc>
        <w:tc>
          <w:tcPr>
            <w:tcW w:w="2785" w:type="dxa"/>
            <w:vAlign w:val="top"/>
          </w:tcPr>
          <w:p>
            <w:pPr>
              <w:pStyle w:val="TableText"/>
              <w:jc w:val="left"/>
            </w:pPr>
            <w:r>
              <w:t xml:space="preserve">Claims handler</w:t>
            </w:r>
          </w:p>
        </w:tc>
      </w:tr>
      <w:tr>
        <w:trPr>
          <w:cantSplit/>
        </w:trPr>
        <w:tc>
          <w:tcPr>
            <w:tcW w:w="2732" w:type="dxa"/>
            <w:shd w:val="clear" w:color="auto" w:fill="F4F7FB"/>
            <w:vAlign w:val="top"/>
          </w:tcPr>
          <w:p>
            <w:pPr>
              <w:pStyle w:val="TableText"/>
              <w:jc w:val="left"/>
            </w:pPr>
            <w:r>
              <w:rPr>
                <w:rStyle w:val="CodeChar"/>
              </w:rPr>
              <w:t xml:space="preserve">dq:read</w:t>
            </w:r>
            <w:r>
              <w:t xml:space="preserve">,</w:t>
            </w:r>
            <w:r>
              <w:t xml:space="preserve"> </w:t>
            </w:r>
            <w:r>
              <w:rPr>
                <w:rStyle w:val="CodeChar"/>
              </w:rPr>
              <w:t xml:space="preserve">dq:resolve</w:t>
            </w:r>
            <w:r>
              <w:t xml:space="preserve">,</w:t>
            </w:r>
            <w:r>
              <w:t xml:space="preserve"> </w:t>
            </w:r>
            <w:r>
              <w:rPr>
                <w:rStyle w:val="CodeChar"/>
              </w:rPr>
              <w:t xml:space="preserve">data:ingest</w:t>
            </w:r>
          </w:p>
        </w:tc>
        <w:tc>
          <w:tcPr>
            <w:tcW w:w="3510" w:type="dxa"/>
            <w:shd w:val="clear" w:color="auto" w:fill="F4F7FB"/>
            <w:vAlign w:val="top"/>
          </w:tcPr>
          <w:p>
            <w:pPr>
              <w:pStyle w:val="TableText"/>
              <w:jc w:val="left"/>
            </w:pPr>
            <w:r>
              <w:t xml:space="preserve">Data quality and data loading</w:t>
            </w:r>
          </w:p>
        </w:tc>
        <w:tc>
          <w:tcPr>
            <w:tcW w:w="2785" w:type="dxa"/>
            <w:shd w:val="clear" w:color="auto" w:fill="F4F7FB"/>
            <w:vAlign w:val="top"/>
          </w:tcPr>
          <w:p>
            <w:pPr>
              <w:pStyle w:val="TableText"/>
              <w:jc w:val="left"/>
            </w:pPr>
            <w:r>
              <w:t xml:space="preserve">Data steward</w:t>
            </w:r>
          </w:p>
        </w:tc>
      </w:tr>
      <w:tr>
        <w:trPr>
          <w:cantSplit/>
        </w:trPr>
        <w:tc>
          <w:tcPr>
            <w:tcW w:w="2732" w:type="dxa"/>
            <w:vAlign w:val="top"/>
          </w:tcPr>
          <w:p>
            <w:pPr>
              <w:pStyle w:val="TableText"/>
              <w:jc w:val="left"/>
            </w:pPr>
            <w:r>
              <w:rPr>
                <w:rStyle w:val="CodeChar"/>
              </w:rPr>
              <w:t xml:space="preserve">partners:manage</w:t>
            </w:r>
          </w:p>
        </w:tc>
        <w:tc>
          <w:tcPr>
            <w:tcW w:w="3510" w:type="dxa"/>
            <w:vAlign w:val="top"/>
          </w:tcPr>
          <w:p>
            <w:pPr>
              <w:pStyle w:val="TableText"/>
              <w:jc w:val="left"/>
            </w:pPr>
            <w:r>
              <w:t xml:space="preserve">Partners, keys and statements</w:t>
            </w:r>
          </w:p>
        </w:tc>
        <w:tc>
          <w:tcPr>
            <w:tcW w:w="2785" w:type="dxa"/>
            <w:vAlign w:val="top"/>
          </w:tcPr>
          <w:p>
            <w:pPr>
              <w:pStyle w:val="TableText"/>
              <w:jc w:val="left"/>
            </w:pPr>
            <w:r>
              <w:t xml:space="preserve">Partner manager</w:t>
            </w:r>
          </w:p>
        </w:tc>
      </w:tr>
      <w:tr>
        <w:trPr>
          <w:cantSplit/>
        </w:trPr>
        <w:tc>
          <w:tcPr>
            <w:tcW w:w="2732" w:type="dxa"/>
            <w:shd w:val="clear" w:color="auto" w:fill="F4F7FB"/>
            <w:vAlign w:val="top"/>
          </w:tcPr>
          <w:p>
            <w:pPr>
              <w:pStyle w:val="TableText"/>
              <w:jc w:val="left"/>
            </w:pPr>
            <w:r>
              <w:rPr>
                <w:rStyle w:val="CodeChar"/>
              </w:rPr>
              <w:t xml:space="preserve">dsar:manage</w:t>
            </w:r>
          </w:p>
        </w:tc>
        <w:tc>
          <w:tcPr>
            <w:tcW w:w="3510" w:type="dxa"/>
            <w:shd w:val="clear" w:color="auto" w:fill="F4F7FB"/>
            <w:vAlign w:val="top"/>
          </w:tcPr>
          <w:p>
            <w:pPr>
              <w:pStyle w:val="TableText"/>
              <w:jc w:val="left"/>
            </w:pPr>
            <w:r>
              <w:t xml:space="preserve">Data requests register: log, start, export, erase and refuse data-subject requests</w:t>
            </w:r>
          </w:p>
        </w:tc>
        <w:tc>
          <w:tcPr>
            <w:tcW w:w="2785" w:type="dxa"/>
            <w:shd w:val="clear" w:color="auto" w:fill="F4F7FB"/>
            <w:vAlign w:val="top"/>
          </w:tcPr>
          <w:p>
            <w:pPr>
              <w:pStyle w:val="TableText"/>
              <w:jc w:val="left"/>
            </w:pPr>
            <w:r>
              <w:t xml:space="preserve">Compliance officer</w:t>
            </w:r>
          </w:p>
        </w:tc>
      </w:tr>
      <w:tr>
        <w:trPr>
          <w:cantSplit/>
        </w:trPr>
        <w:tc>
          <w:tcPr>
            <w:tcW w:w="2732" w:type="dxa"/>
            <w:vAlign w:val="top"/>
          </w:tcPr>
          <w:p>
            <w:pPr>
              <w:pStyle w:val="TableText"/>
              <w:jc w:val="left"/>
            </w:pPr>
            <w:r>
              <w:rPr>
                <w:rStyle w:val="CodeChar"/>
              </w:rPr>
              <w:t xml:space="preserve">customer:self</w:t>
            </w:r>
            <w:r>
              <w:t xml:space="preserve">,</w:t>
            </w:r>
            <w:r>
              <w:t xml:space="preserve"> </w:t>
            </w:r>
            <w:r>
              <w:rPr>
                <w:rStyle w:val="CodeChar"/>
              </w:rPr>
              <w:t xml:space="preserve">partner:transact</w:t>
            </w:r>
          </w:p>
        </w:tc>
        <w:tc>
          <w:tcPr>
            <w:tcW w:w="3510" w:type="dxa"/>
            <w:vAlign w:val="top"/>
          </w:tcPr>
          <w:p>
            <w:pPr>
              <w:pStyle w:val="TableText"/>
              <w:jc w:val="left"/>
            </w:pPr>
            <w:r>
              <w:t xml:space="preserve">Customer and partner channels</w:t>
            </w:r>
          </w:p>
        </w:tc>
        <w:tc>
          <w:tcPr>
            <w:tcW w:w="2785" w:type="dxa"/>
            <w:vAlign w:val="top"/>
          </w:tcPr>
          <w:p>
            <w:pPr>
              <w:pStyle w:val="TableText"/>
              <w:jc w:val="left"/>
            </w:pPr>
            <w:r>
              <w:t xml:space="preserve">Customer, partner system</w:t>
            </w:r>
          </w:p>
        </w:tc>
      </w:tr>
    </w:tbl>
    <w:p>
      <w:pPr>
        <w:pStyle w:val="Heading2"/>
      </w:pPr>
      <w:bookmarkStart w:id="21" w:name="_Toc300000017"/>
      <w:r>
        <w:t xml:space="preserve">Separation of duties</w:t>
      </w:r>
      <w:bookmarkEnd w:id="21"/>
    </w:p>
    <w:p>
      <w:pPr>
        <w:pStyle w:val="Compact"/>
        <w:numPr>
          <w:ilvl w:val="0"/>
          <w:numId w:val="1001"/>
        </w:numPr>
      </w:pPr>
      <w:r>
        <w:t xml:space="preserve">Forbidden role combinations are enforced when users are created or changed: the administrator cannot also hold a rule, compliance, data steward, telesales, campaign or partner role, and a rule author cannot also be a rule approver or compliance officer.</w:t>
      </w:r>
    </w:p>
    <w:p>
      <w:pPr>
        <w:pStyle w:val="Compact"/>
        <w:numPr>
          <w:ilvl w:val="0"/>
          <w:numId w:val="1001"/>
        </w:numPr>
      </w:pPr>
      <w:r>
        <w:t xml:space="preserve">Nobody can change their own roles or status, and an administrator cannot reset their own account.</w:t>
      </w:r>
    </w:p>
    <w:p>
      <w:pPr>
        <w:pStyle w:val="Compact"/>
        <w:numPr>
          <w:ilvl w:val="0"/>
          <w:numId w:val="1001"/>
        </w:numPr>
      </w:pPr>
      <w:r>
        <w:t xml:space="preserve">The rules service blocks self-approval even if roles were misconfigured.</w:t>
      </w:r>
    </w:p>
    <w:p>
      <w:pPr>
        <w:pStyle w:val="Compact"/>
        <w:numPr>
          <w:ilvl w:val="0"/>
          <w:numId w:val="1001"/>
        </w:numPr>
      </w:pPr>
      <w:r>
        <w:t xml:space="preserve">Restricted rule kinds (commission, copy guard, contact policy, access attributes, retention) can be approved only by a compliance officer.</w:t>
      </w:r>
    </w:p>
    <w:p>
      <w:pPr>
        <w:pStyle w:val="Compact"/>
        <w:numPr>
          <w:ilvl w:val="0"/>
          <w:numId w:val="1001"/>
        </w:numPr>
      </w:pPr>
      <w:r>
        <w:t xml:space="preserve">The administrator cannot see customer personal data or author or approve rules.</w:t>
      </w:r>
    </w:p>
    <w:p>
      <w:pPr>
        <w:pStyle w:val="Heading2"/>
      </w:pPr>
      <w:bookmarkStart w:id="22" w:name="_Toc300000018"/>
      <w:r>
        <w:t xml:space="preserve">Attribute-based policies</w:t>
      </w:r>
      <w:bookmarkEnd w:id="22"/>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383"/>
        <w:gridCol w:w="3301"/>
        <w:gridCol w:w="4343"/>
      </w:tblGrid>
      <w:tr>
        <w:trPr>
          <w:cantSplit/>
          <w:tblHeader/>
        </w:trPr>
        <w:tc>
          <w:tcPr>
            <w:tcW w:w="1383" w:type="dxa"/>
            <w:shd w:val="clear" w:color="auto" w:fill="0F4761"/>
            <w:vAlign w:val="center"/>
          </w:tcPr>
          <w:p>
            <w:pPr>
              <w:pStyle w:val="TableHeading"/>
              <w:jc w:val="left"/>
            </w:pPr>
            <w:r>
              <w:rPr>
                <w:color w:val="FFFFFF"/>
              </w:rPr>
              <w:t xml:space="preserve">Policy</w:t>
            </w:r>
          </w:p>
        </w:tc>
        <w:tc>
          <w:tcPr>
            <w:tcW w:w="3301" w:type="dxa"/>
            <w:shd w:val="clear" w:color="auto" w:fill="0F4761"/>
            <w:vAlign w:val="center"/>
          </w:tcPr>
          <w:p>
            <w:pPr>
              <w:pStyle w:val="TableHeading"/>
              <w:jc w:val="left"/>
            </w:pPr>
            <w:r>
              <w:rPr>
                <w:color w:val="FFFFFF"/>
              </w:rPr>
              <w:t xml:space="preserve">Applies to</w:t>
            </w:r>
          </w:p>
        </w:tc>
        <w:tc>
          <w:tcPr>
            <w:tcW w:w="4343" w:type="dxa"/>
            <w:shd w:val="clear" w:color="auto" w:fill="0F4761"/>
            <w:vAlign w:val="center"/>
          </w:tcPr>
          <w:p>
            <w:pPr>
              <w:pStyle w:val="TableHeading"/>
              <w:jc w:val="left"/>
            </w:pPr>
            <w:r>
              <w:rPr>
                <w:color w:val="FFFFFF"/>
              </w:rPr>
              <w:t xml:space="preserve">Allow condition</w:t>
            </w:r>
          </w:p>
        </w:tc>
      </w:tr>
      <w:tr>
        <w:trPr>
          <w:cantSplit/>
        </w:trPr>
        <w:tc>
          <w:tcPr>
            <w:tcW w:w="1383" w:type="dxa"/>
            <w:vAlign w:val="top"/>
          </w:tcPr>
          <w:p>
            <w:pPr>
              <w:pStyle w:val="TableText"/>
              <w:jc w:val="left"/>
            </w:pPr>
            <w:r>
              <w:t xml:space="preserve">Own handoffs</w:t>
            </w:r>
          </w:p>
        </w:tc>
        <w:tc>
          <w:tcPr>
            <w:tcW w:w="3301" w:type="dxa"/>
            <w:vAlign w:val="top"/>
          </w:tcPr>
          <w:p>
            <w:pPr>
              <w:pStyle w:val="TableText"/>
              <w:jc w:val="left"/>
            </w:pPr>
            <w:r>
              <w:t xml:space="preserve">Telesales agents reading or updating handoffs</w:t>
            </w:r>
          </w:p>
        </w:tc>
        <w:tc>
          <w:tcPr>
            <w:tcW w:w="4343" w:type="dxa"/>
            <w:vAlign w:val="top"/>
          </w:tcPr>
          <w:p>
            <w:pPr>
              <w:pStyle w:val="TableText"/>
              <w:jc w:val="left"/>
            </w:pPr>
            <w:r>
              <w:t xml:space="preserve">Assigned to the user or unassigned, and in the user’s region (or the user covers all regions)</w:t>
            </w:r>
          </w:p>
        </w:tc>
      </w:tr>
      <w:tr>
        <w:trPr>
          <w:cantSplit/>
        </w:trPr>
        <w:tc>
          <w:tcPr>
            <w:tcW w:w="1383" w:type="dxa"/>
            <w:shd w:val="clear" w:color="auto" w:fill="F4F7FB"/>
            <w:vAlign w:val="top"/>
          </w:tcPr>
          <w:p>
            <w:pPr>
              <w:pStyle w:val="TableText"/>
              <w:jc w:val="left"/>
            </w:pPr>
            <w:r>
              <w:t xml:space="preserve">Regional data</w:t>
            </w:r>
          </w:p>
        </w:tc>
        <w:tc>
          <w:tcPr>
            <w:tcW w:w="3301" w:type="dxa"/>
            <w:shd w:val="clear" w:color="auto" w:fill="F4F7FB"/>
            <w:vAlign w:val="top"/>
          </w:tcPr>
          <w:p>
            <w:pPr>
              <w:pStyle w:val="TableText"/>
              <w:jc w:val="left"/>
            </w:pPr>
            <w:r>
              <w:t xml:space="preserve">Telesales agents, supervisors and data stewards reading or updating customers</w:t>
            </w:r>
          </w:p>
        </w:tc>
        <w:tc>
          <w:tcPr>
            <w:tcW w:w="4343" w:type="dxa"/>
            <w:shd w:val="clear" w:color="auto" w:fill="F4F7FB"/>
            <w:vAlign w:val="top"/>
          </w:tcPr>
          <w:p>
            <w:pPr>
              <w:pStyle w:val="TableText"/>
              <w:jc w:val="left"/>
            </w:pPr>
            <w:r>
              <w:t xml:space="preserve">The user’s region is all regions or matches the customer’s province</w:t>
            </w:r>
          </w:p>
        </w:tc>
      </w:tr>
      <w:tr>
        <w:trPr>
          <w:cantSplit/>
        </w:trPr>
        <w:tc>
          <w:tcPr>
            <w:tcW w:w="1383" w:type="dxa"/>
            <w:vAlign w:val="top"/>
          </w:tcPr>
          <w:p>
            <w:pPr>
              <w:pStyle w:val="TableText"/>
              <w:jc w:val="left"/>
            </w:pPr>
            <w:r>
              <w:t xml:space="preserve">Customer self</w:t>
            </w:r>
          </w:p>
        </w:tc>
        <w:tc>
          <w:tcPr>
            <w:tcW w:w="3301" w:type="dxa"/>
            <w:vAlign w:val="top"/>
          </w:tcPr>
          <w:p>
            <w:pPr>
              <w:pStyle w:val="TableText"/>
              <w:jc w:val="left"/>
            </w:pPr>
            <w:r>
              <w:t xml:space="preserve">Customers</w:t>
            </w:r>
          </w:p>
        </w:tc>
        <w:tc>
          <w:tcPr>
            <w:tcW w:w="4343" w:type="dxa"/>
            <w:vAlign w:val="top"/>
          </w:tcPr>
          <w:p>
            <w:pPr>
              <w:pStyle w:val="TableText"/>
              <w:jc w:val="left"/>
            </w:pPr>
            <w:r>
              <w:t xml:space="preserve">Ownership enforced on every customer route by the customer id in the token</w:t>
            </w:r>
          </w:p>
        </w:tc>
      </w:tr>
    </w:tbl>
    <w:p>
      <w:pPr>
        <w:pStyle w:val="BodyText"/>
        <w:spacing w:before="160"/>
      </w:pPr>
      <w:r>
        <w:t xml:space="preserve">A policy applies to anyone holding one of its roles, unless another role held by the same user independently grants the permission; adding an unrelated role never widens access. Profile-level checks run on the customer 360 view, lineage, global search, expiry correction, quote creation and sending, and voice sessions.</w:t>
      </w:r>
    </w:p>
    <w:p>
      <w:pPr>
        <w:pStyle w:val="Heading2"/>
      </w:pPr>
      <w:bookmarkStart w:id="23" w:name="_Toc300000019"/>
      <w:r>
        <w:t xml:space="preserve">Masking</w:t>
      </w:r>
      <w:bookmarkEnd w:id="23"/>
    </w:p>
    <w:p>
      <w:pPr>
        <w:pStyle w:val="FirstParagraph"/>
      </w:pPr>
      <w:r>
        <w:t xml:space="preserve">Without permission to see personal data, names become initials and phones are masked (for example</w:t>
      </w:r>
      <w:r>
        <w:t xml:space="preserve"> </w:t>
      </w:r>
      <w:r>
        <w:rPr>
          <w:rStyle w:val="CodeChar"/>
        </w:rPr>
        <w:t xml:space="preserve">0912***678</w:t>
      </w:r>
      <w:r>
        <w:t xml:space="preserve">). The data requests register shows only a masked name and the plate, and its detail view counts the records held instead of showing them. Handoffs carry only a masked phone, the voice assistant speaks a masked plate, and the public certificate check returns a masked plate. Every customer 360 view is audited with whether personal data was visible.</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24" w:name="_Toc300000020"/>
      <w:r>
        <w:rPr>
          <w:rStyle w:val="BookTitle"/>
          <w:bCs w:val="0"/>
          <w:i w:val="0"/>
          <w:iCs w:val="0"/>
          <w:spacing w:val="0"/>
        </w:rPr>
        <w:t xml:space="preserve">Data protection and cryptography</w:t>
      </w:r>
      <w:bookmarkEnd w:id="24"/>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872"/>
        <w:gridCol w:w="2533"/>
        <w:gridCol w:w="2098"/>
        <w:gridCol w:w="2524"/>
      </w:tblGrid>
      <w:tr>
        <w:trPr>
          <w:cantSplit/>
          <w:tblHeader/>
        </w:trPr>
        <w:tc>
          <w:tcPr>
            <w:tcW w:w="1872" w:type="dxa"/>
            <w:shd w:val="clear" w:color="auto" w:fill="0F4761"/>
            <w:vAlign w:val="center"/>
          </w:tcPr>
          <w:p>
            <w:pPr>
              <w:pStyle w:val="TableHeading"/>
              <w:jc w:val="left"/>
            </w:pPr>
            <w:r>
              <w:rPr>
                <w:color w:val="FFFFFF"/>
              </w:rPr>
              <w:t xml:space="preserve">Purpose</w:t>
            </w:r>
          </w:p>
        </w:tc>
        <w:tc>
          <w:tcPr>
            <w:tcW w:w="2533" w:type="dxa"/>
            <w:shd w:val="clear" w:color="auto" w:fill="0F4761"/>
            <w:vAlign w:val="center"/>
          </w:tcPr>
          <w:p>
            <w:pPr>
              <w:pStyle w:val="TableHeading"/>
              <w:jc w:val="left"/>
            </w:pPr>
            <w:r>
              <w:rPr>
                <w:color w:val="FFFFFF"/>
              </w:rPr>
              <w:t xml:space="preserve">Algorithm</w:t>
            </w:r>
          </w:p>
        </w:tc>
        <w:tc>
          <w:tcPr>
            <w:tcW w:w="2098" w:type="dxa"/>
            <w:shd w:val="clear" w:color="auto" w:fill="0F4761"/>
            <w:vAlign w:val="center"/>
          </w:tcPr>
          <w:p>
            <w:pPr>
              <w:pStyle w:val="TableHeading"/>
              <w:jc w:val="left"/>
            </w:pPr>
            <w:r>
              <w:rPr>
                <w:color w:val="FFFFFF"/>
              </w:rPr>
              <w:t xml:space="preserve">Key</w:t>
            </w:r>
          </w:p>
        </w:tc>
        <w:tc>
          <w:tcPr>
            <w:tcW w:w="2524" w:type="dxa"/>
            <w:shd w:val="clear" w:color="auto" w:fill="0F4761"/>
            <w:vAlign w:val="center"/>
          </w:tcPr>
          <w:p>
            <w:pPr>
              <w:pStyle w:val="TableHeading"/>
              <w:jc w:val="left"/>
            </w:pPr>
            <w:r>
              <w:rPr>
                <w:color w:val="FFFFFF"/>
              </w:rPr>
              <w:t xml:space="preserve">Rotation</w:t>
            </w:r>
          </w:p>
        </w:tc>
      </w:tr>
      <w:tr>
        <w:trPr>
          <w:cantSplit/>
        </w:trPr>
        <w:tc>
          <w:tcPr>
            <w:tcW w:w="1872" w:type="dxa"/>
            <w:vAlign w:val="top"/>
          </w:tcPr>
          <w:p>
            <w:pPr>
              <w:pStyle w:val="TableText"/>
              <w:jc w:val="left"/>
            </w:pPr>
            <w:r>
              <w:t xml:space="preserve">Personal data at rest</w:t>
            </w:r>
          </w:p>
        </w:tc>
        <w:tc>
          <w:tcPr>
            <w:tcW w:w="2533" w:type="dxa"/>
            <w:vAlign w:val="top"/>
          </w:tcPr>
          <w:p>
            <w:pPr>
              <w:pStyle w:val="TableText"/>
              <w:jc w:val="left"/>
            </w:pPr>
            <w:r>
              <w:t xml:space="preserve">AES-256-GCM per field, random 96-bit IV, key id in each value</w:t>
            </w:r>
          </w:p>
        </w:tc>
        <w:tc>
          <w:tcPr>
            <w:tcW w:w="2098" w:type="dxa"/>
            <w:vAlign w:val="top"/>
          </w:tcPr>
          <w:p>
            <w:pPr>
              <w:pStyle w:val="TableText"/>
              <w:jc w:val="left"/>
            </w:pPr>
            <w:r>
              <w:t xml:space="preserve">Data keys from the secret store, one active</w:t>
            </w:r>
          </w:p>
        </w:tc>
        <w:tc>
          <w:tcPr>
            <w:tcW w:w="2524" w:type="dxa"/>
            <w:vAlign w:val="top"/>
          </w:tcPr>
          <w:p>
            <w:pPr>
              <w:pStyle w:val="TableText"/>
              <w:jc w:val="left"/>
            </w:pPr>
            <w:r>
              <w:t xml:space="preserve">Yearly or on suspicion; old keys kept until re-encryption completes</w:t>
            </w:r>
          </w:p>
        </w:tc>
      </w:tr>
      <w:tr>
        <w:trPr>
          <w:cantSplit/>
        </w:trPr>
        <w:tc>
          <w:tcPr>
            <w:tcW w:w="1872" w:type="dxa"/>
            <w:shd w:val="clear" w:color="auto" w:fill="F4F7FB"/>
            <w:vAlign w:val="top"/>
          </w:tcPr>
          <w:p>
            <w:pPr>
              <w:pStyle w:val="TableText"/>
              <w:jc w:val="left"/>
            </w:pPr>
            <w:r>
              <w:t xml:space="preserve">Exact search on phone</w:t>
            </w:r>
          </w:p>
        </w:tc>
        <w:tc>
          <w:tcPr>
            <w:tcW w:w="2533" w:type="dxa"/>
            <w:shd w:val="clear" w:color="auto" w:fill="F4F7FB"/>
            <w:vAlign w:val="top"/>
          </w:tcPr>
          <w:p>
            <w:pPr>
              <w:pStyle w:val="TableText"/>
              <w:jc w:val="left"/>
            </w:pPr>
            <w:r>
              <w:t xml:space="preserve">HMAC-SHA256 blind index</w:t>
            </w:r>
          </w:p>
        </w:tc>
        <w:tc>
          <w:tcPr>
            <w:tcW w:w="2098" w:type="dxa"/>
            <w:shd w:val="clear" w:color="auto" w:fill="F4F7FB"/>
            <w:vAlign w:val="top"/>
          </w:tcPr>
          <w:p>
            <w:pPr>
              <w:pStyle w:val="TableText"/>
              <w:jc w:val="left"/>
            </w:pPr>
            <w:r>
              <w:t xml:space="preserve">Separate blind-index key</w:t>
            </w:r>
          </w:p>
        </w:tc>
        <w:tc>
          <w:tcPr>
            <w:tcW w:w="2524" w:type="dxa"/>
            <w:shd w:val="clear" w:color="auto" w:fill="F4F7FB"/>
            <w:vAlign w:val="top"/>
          </w:tcPr>
          <w:p>
            <w:pPr>
              <w:pStyle w:val="TableText"/>
              <w:jc w:val="left"/>
            </w:pPr>
            <w:r>
              <w:t xml:space="preserve">On compromise only; index recomputed</w:t>
            </w:r>
          </w:p>
        </w:tc>
      </w:tr>
      <w:tr>
        <w:trPr>
          <w:cantSplit/>
        </w:trPr>
        <w:tc>
          <w:tcPr>
            <w:tcW w:w="1872" w:type="dxa"/>
            <w:vAlign w:val="top"/>
          </w:tcPr>
          <w:p>
            <w:pPr>
              <w:pStyle w:val="TableText"/>
              <w:jc w:val="left"/>
            </w:pPr>
            <w:r>
              <w:t xml:space="preserve">Staff passwords</w:t>
            </w:r>
          </w:p>
        </w:tc>
        <w:tc>
          <w:tcPr>
            <w:tcW w:w="2533" w:type="dxa"/>
            <w:vAlign w:val="top"/>
          </w:tcPr>
          <w:p>
            <w:pPr>
              <w:pStyle w:val="TableText"/>
              <w:jc w:val="left"/>
            </w:pPr>
            <w:r>
              <w:t xml:space="preserve">scrypt with per-user salt, constant-time comparison</w:t>
            </w:r>
          </w:p>
        </w:tc>
        <w:tc>
          <w:tcPr>
            <w:tcW w:w="2098" w:type="dxa"/>
            <w:vAlign w:val="top"/>
          </w:tcPr>
          <w:p>
            <w:pPr>
              <w:pStyle w:val="TableText"/>
              <w:jc w:val="left"/>
            </w:pPr>
            <w:r>
              <w:t xml:space="preserve">Not applicable</w:t>
            </w:r>
          </w:p>
        </w:tc>
        <w:tc>
          <w:tcPr>
            <w:tcW w:w="2524" w:type="dxa"/>
            <w:vAlign w:val="top"/>
          </w:tcPr>
          <w:p>
            <w:pPr>
              <w:pStyle w:val="TableText"/>
              <w:jc w:val="left"/>
            </w:pPr>
            <w:r>
              <w:t xml:space="preserve">Rehash when parameters change (planned)</w:t>
            </w:r>
          </w:p>
        </w:tc>
      </w:tr>
      <w:tr>
        <w:trPr>
          <w:cantSplit/>
        </w:trPr>
        <w:tc>
          <w:tcPr>
            <w:tcW w:w="1872" w:type="dxa"/>
            <w:shd w:val="clear" w:color="auto" w:fill="F4F7FB"/>
            <w:vAlign w:val="top"/>
          </w:tcPr>
          <w:p>
            <w:pPr>
              <w:pStyle w:val="TableText"/>
              <w:jc w:val="left"/>
            </w:pPr>
            <w:r>
              <w:t xml:space="preserve">Tokens</w:t>
            </w:r>
          </w:p>
        </w:tc>
        <w:tc>
          <w:tcPr>
            <w:tcW w:w="2533" w:type="dxa"/>
            <w:shd w:val="clear" w:color="auto" w:fill="F4F7FB"/>
            <w:vAlign w:val="top"/>
          </w:tcPr>
          <w:p>
            <w:pPr>
              <w:pStyle w:val="TableText"/>
              <w:jc w:val="left"/>
            </w:pPr>
            <w:r>
              <w:t xml:space="preserve">HMAC-SHA256 signed tokens, algorithm pinned, audience separated</w:t>
            </w:r>
          </w:p>
        </w:tc>
        <w:tc>
          <w:tcPr>
            <w:tcW w:w="2098" w:type="dxa"/>
            <w:shd w:val="clear" w:color="auto" w:fill="F4F7FB"/>
            <w:vAlign w:val="top"/>
          </w:tcPr>
          <w:p>
            <w:pPr>
              <w:pStyle w:val="TableText"/>
              <w:jc w:val="left"/>
            </w:pPr>
            <w:r>
              <w:t xml:space="preserve">Token signing secret</w:t>
            </w:r>
          </w:p>
        </w:tc>
        <w:tc>
          <w:tcPr>
            <w:tcW w:w="2524" w:type="dxa"/>
            <w:shd w:val="clear" w:color="auto" w:fill="F4F7FB"/>
            <w:vAlign w:val="top"/>
          </w:tcPr>
          <w:p>
            <w:pPr>
              <w:pStyle w:val="TableText"/>
              <w:jc w:val="left"/>
            </w:pPr>
            <w:r>
              <w:t xml:space="preserve">90 days; target asymmetric keys from the identity provider</w:t>
            </w:r>
          </w:p>
        </w:tc>
      </w:tr>
      <w:tr>
        <w:trPr>
          <w:cantSplit/>
        </w:trPr>
        <w:tc>
          <w:tcPr>
            <w:tcW w:w="1872" w:type="dxa"/>
            <w:vAlign w:val="top"/>
          </w:tcPr>
          <w:p>
            <w:pPr>
              <w:pStyle w:val="TableText"/>
              <w:jc w:val="left"/>
            </w:pPr>
            <w:r>
              <w:t xml:space="preserve">Renewal links</w:t>
            </w:r>
          </w:p>
        </w:tc>
        <w:tc>
          <w:tcPr>
            <w:tcW w:w="2533" w:type="dxa"/>
            <w:vAlign w:val="top"/>
          </w:tcPr>
          <w:p>
            <w:pPr>
              <w:pStyle w:val="TableText"/>
              <w:jc w:val="left"/>
            </w:pPr>
            <w:r>
              <w:t xml:space="preserve">HMAC-SHA256, 132-bit tag, signed expiry</w:t>
            </w:r>
          </w:p>
        </w:tc>
        <w:tc>
          <w:tcPr>
            <w:tcW w:w="2098" w:type="dxa"/>
            <w:vAlign w:val="top"/>
          </w:tcPr>
          <w:p>
            <w:pPr>
              <w:pStyle w:val="TableText"/>
              <w:jc w:val="left"/>
            </w:pPr>
            <w:r>
              <w:t xml:space="preserve">Derived from the token secret</w:t>
            </w:r>
          </w:p>
        </w:tc>
        <w:tc>
          <w:tcPr>
            <w:tcW w:w="2524" w:type="dxa"/>
            <w:vAlign w:val="top"/>
          </w:tcPr>
          <w:p>
            <w:pPr>
              <w:pStyle w:val="TableText"/>
              <w:jc w:val="left"/>
            </w:pPr>
            <w:r>
              <w:t xml:space="preserve">With the token secret; separate key planned (SR-05)</w:t>
            </w:r>
          </w:p>
        </w:tc>
      </w:tr>
      <w:tr>
        <w:trPr>
          <w:cantSplit/>
        </w:trPr>
        <w:tc>
          <w:tcPr>
            <w:tcW w:w="1872" w:type="dxa"/>
            <w:shd w:val="clear" w:color="auto" w:fill="F4F7FB"/>
            <w:vAlign w:val="top"/>
          </w:tcPr>
          <w:p>
            <w:pPr>
              <w:pStyle w:val="TableText"/>
              <w:jc w:val="left"/>
            </w:pPr>
            <w:r>
              <w:t xml:space="preserve">Partner API keys</w:t>
            </w:r>
          </w:p>
        </w:tc>
        <w:tc>
          <w:tcPr>
            <w:tcW w:w="2533" w:type="dxa"/>
            <w:shd w:val="clear" w:color="auto" w:fill="F4F7FB"/>
            <w:vAlign w:val="top"/>
          </w:tcPr>
          <w:p>
            <w:pPr>
              <w:pStyle w:val="TableText"/>
              <w:jc w:val="left"/>
            </w:pPr>
            <w:r>
              <w:t xml:space="preserve">24 random bytes, stored as SHA-256</w:t>
            </w:r>
          </w:p>
        </w:tc>
        <w:tc>
          <w:tcPr>
            <w:tcW w:w="2098" w:type="dxa"/>
            <w:shd w:val="clear" w:color="auto" w:fill="F4F7FB"/>
            <w:vAlign w:val="top"/>
          </w:tcPr>
          <w:p>
            <w:pPr>
              <w:pStyle w:val="TableText"/>
              <w:jc w:val="left"/>
            </w:pPr>
            <w:r>
              <w:t xml:space="preserve">Not applicable</w:t>
            </w:r>
          </w:p>
        </w:tc>
        <w:tc>
          <w:tcPr>
            <w:tcW w:w="2524" w:type="dxa"/>
            <w:shd w:val="clear" w:color="auto" w:fill="F4F7FB"/>
            <w:vAlign w:val="top"/>
          </w:tcPr>
          <w:p>
            <w:pPr>
              <w:pStyle w:val="TableText"/>
              <w:jc w:val="left"/>
            </w:pPr>
            <w:r>
              <w:t xml:space="preserve">At most 12 months; revoke on demand</w:t>
            </w:r>
          </w:p>
        </w:tc>
      </w:tr>
      <w:tr>
        <w:trPr>
          <w:cantSplit/>
        </w:trPr>
        <w:tc>
          <w:tcPr>
            <w:tcW w:w="1872" w:type="dxa"/>
            <w:vAlign w:val="top"/>
          </w:tcPr>
          <w:p>
            <w:pPr>
              <w:pStyle w:val="TableText"/>
              <w:jc w:val="left"/>
            </w:pPr>
            <w:r>
              <w:t xml:space="preserve">Authenticator seeds</w:t>
            </w:r>
          </w:p>
        </w:tc>
        <w:tc>
          <w:tcPr>
            <w:tcW w:w="2533" w:type="dxa"/>
            <w:vAlign w:val="top"/>
          </w:tcPr>
          <w:p>
            <w:pPr>
              <w:pStyle w:val="TableText"/>
              <w:jc w:val="left"/>
            </w:pPr>
            <w:r>
              <w:t xml:space="preserve">TOTP (RFC 6238), 160-bit seed</w:t>
            </w:r>
          </w:p>
        </w:tc>
        <w:tc>
          <w:tcPr>
            <w:tcW w:w="2098" w:type="dxa"/>
            <w:vAlign w:val="top"/>
          </w:tcPr>
          <w:p>
            <w:pPr>
              <w:pStyle w:val="TableText"/>
              <w:jc w:val="left"/>
            </w:pPr>
            <w:r>
              <w:t xml:space="preserve">Encrypted at rest per user</w:t>
            </w:r>
          </w:p>
        </w:tc>
        <w:tc>
          <w:tcPr>
            <w:tcW w:w="2524" w:type="dxa"/>
            <w:vAlign w:val="top"/>
          </w:tcPr>
          <w:p>
            <w:pPr>
              <w:pStyle w:val="TableText"/>
              <w:jc w:val="left"/>
            </w:pPr>
            <w:r>
              <w:t xml:space="preserve">Re-enrol on device loss</w:t>
            </w:r>
          </w:p>
        </w:tc>
      </w:tr>
      <w:tr>
        <w:trPr>
          <w:cantSplit/>
        </w:trPr>
        <w:tc>
          <w:tcPr>
            <w:tcW w:w="1872" w:type="dxa"/>
            <w:shd w:val="clear" w:color="auto" w:fill="F4F7FB"/>
            <w:vAlign w:val="top"/>
          </w:tcPr>
          <w:p>
            <w:pPr>
              <w:pStyle w:val="TableText"/>
              <w:jc w:val="left"/>
            </w:pPr>
            <w:r>
              <w:t xml:space="preserve">Audit chain</w:t>
            </w:r>
          </w:p>
        </w:tc>
        <w:tc>
          <w:tcPr>
            <w:tcW w:w="2533" w:type="dxa"/>
            <w:shd w:val="clear" w:color="auto" w:fill="F4F7FB"/>
            <w:vAlign w:val="top"/>
          </w:tcPr>
          <w:p>
            <w:pPr>
              <w:pStyle w:val="TableText"/>
              <w:jc w:val="left"/>
            </w:pPr>
            <w:r>
              <w:t xml:space="preserve">SHA-256 over canonical JSON</w:t>
            </w:r>
          </w:p>
        </w:tc>
        <w:tc>
          <w:tcPr>
            <w:tcW w:w="2098" w:type="dxa"/>
            <w:shd w:val="clear" w:color="auto" w:fill="F4F7FB"/>
            <w:vAlign w:val="top"/>
          </w:tcPr>
          <w:p>
            <w:pPr>
              <w:pStyle w:val="TableText"/>
              <w:jc w:val="left"/>
            </w:pPr>
            <w:r>
              <w:t xml:space="preserve">Not applicable</w:t>
            </w:r>
          </w:p>
        </w:tc>
        <w:tc>
          <w:tcPr>
            <w:tcW w:w="2524" w:type="dxa"/>
            <w:shd w:val="clear" w:color="auto" w:fill="F4F7FB"/>
            <w:vAlign w:val="top"/>
          </w:tcPr>
          <w:p>
            <w:pPr>
              <w:pStyle w:val="TableText"/>
              <w:jc w:val="left"/>
            </w:pPr>
            <w:r>
              <w:t xml:space="preserve">External anchoring planned (SR-06)</w:t>
            </w:r>
          </w:p>
        </w:tc>
      </w:tr>
      <w:tr>
        <w:trPr>
          <w:cantSplit/>
        </w:trPr>
        <w:tc>
          <w:tcPr>
            <w:tcW w:w="1872" w:type="dxa"/>
            <w:vAlign w:val="top"/>
          </w:tcPr>
          <w:p>
            <w:pPr>
              <w:pStyle w:val="TableText"/>
              <w:jc w:val="left"/>
            </w:pPr>
            <w:r>
              <w:t xml:space="preserve">Transport</w:t>
            </w:r>
          </w:p>
        </w:tc>
        <w:tc>
          <w:tcPr>
            <w:tcW w:w="2533" w:type="dxa"/>
            <w:vAlign w:val="top"/>
          </w:tcPr>
          <w:p>
            <w:pPr>
              <w:pStyle w:val="TableText"/>
              <w:jc w:val="left"/>
            </w:pPr>
            <w:r>
              <w:t xml:space="preserve">TLS 1.2 or higher; TLS to PostgreSQL with verification</w:t>
            </w:r>
          </w:p>
        </w:tc>
        <w:tc>
          <w:tcPr>
            <w:tcW w:w="2098" w:type="dxa"/>
            <w:vAlign w:val="top"/>
          </w:tcPr>
          <w:p>
            <w:pPr>
              <w:pStyle w:val="TableText"/>
              <w:jc w:val="left"/>
            </w:pPr>
            <w:r>
              <w:t xml:space="preserve">Certificates from cert-manager or corporate CA</w:t>
            </w:r>
          </w:p>
        </w:tc>
        <w:tc>
          <w:tcPr>
            <w:tcW w:w="2524" w:type="dxa"/>
            <w:vAlign w:val="top"/>
          </w:tcPr>
          <w:p>
            <w:pPr>
              <w:pStyle w:val="TableText"/>
              <w:jc w:val="left"/>
            </w:pPr>
            <w:r>
              <w:t xml:space="preserve">Automated</w:t>
            </w:r>
          </w:p>
        </w:tc>
      </w:tr>
    </w:tbl>
    <w:p>
      <w:pPr>
        <w:pStyle w:val="BodyText"/>
        <w:spacing w:before="160"/>
      </w:pPr>
      <w:r>
        <w:t xml:space="preserve">Keys are mounted as read-only files from the secret store and held in process memory. The production target wraps data keys with a KMS key and unwraps them at start-up through workload identity, with key use logged by the KMS and keys kept in a Vietnamese region (to be confirmed by TASCO legal).</w:t>
      </w:r>
    </w:p>
    <w:p>
      <w:pPr>
        <w:pStyle w:val="BodyText"/>
      </w:pPr>
      <w:r>
        <w:t xml:space="preserve">Secrets are delivered as files, never in images, Git or configuration maps (TGP-ARC-05 Deployment and Infrastructure Architecture). Production refuses to start if the token secret, blind-index key or data keys are missing, if a data key is not 32 bytes, if the database URL is missing or if demo mode is on. Outside production, a missing secret is replaced by an ephemeral value with a start-up warning. Secret scanning runs in CI, and the logger redacts secrets, tokens, keys and authorisation headers.</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25" w:name="_Toc300000021"/>
      <w:r>
        <w:rPr>
          <w:rStyle w:val="BookTitle"/>
          <w:bCs w:val="0"/>
          <w:i w:val="0"/>
          <w:iCs w:val="0"/>
          <w:spacing w:val="0"/>
        </w:rPr>
        <w:t xml:space="preserve">Data-subject requests</w:t>
      </w:r>
      <w:bookmarkEnd w:id="25"/>
    </w:p>
    <w:p>
      <w:pPr>
        <w:pStyle w:val="FirstParagraph"/>
      </w:pPr>
      <w:r>
        <w:t xml:space="preserve">Customers can ask TASCO for a copy of their personal data (access) or for its erasure. The platform keeps a register of these requests so that compliance can show each one was verified, answered on time and recorded. The legal basis is Decree 13/2023/ND-CP and the Personal Data Protection Law 91/2025/QH15; the response time and the identity evidence accepted are to be confirmed by TASCO legal.</w:t>
      </w:r>
    </w:p>
    <w:p>
      <w:pPr>
        <w:pStyle w:val="Heading2"/>
      </w:pPr>
      <w:bookmarkStart w:id="26" w:name="_Toc300000022"/>
      <w:r>
        <w:t xml:space="preserve">Process</w:t>
      </w:r>
      <w:bookmarkEnd w:id="26"/>
    </w:p>
    <w:p>
      <w:pPr>
        <w:pStyle w:val="FirstParagraph"/>
      </w:pPr>
      <w:r>
        <w:t xml:space="preserve">A request can arrive by hotline, email, the app, a branch or letter. A compliance officer logs it in the</w:t>
      </w:r>
      <w:r>
        <w:t xml:space="preserve"> </w:t>
      </w:r>
      <w:r>
        <w:t xml:space="preserve">“</w:t>
      </w:r>
      <w:r>
        <w:t xml:space="preserve">Data requests</w:t>
      </w:r>
      <w:r>
        <w:t xml:space="preserve">”</w:t>
      </w:r>
      <w:r>
        <w:t xml:space="preserve"> </w:t>
      </w:r>
      <w:r>
        <w:t xml:space="preserve">screen (</w:t>
      </w:r>
      <w:r>
        <w:t xml:space="preserve">“</w:t>
      </w:r>
      <w:r>
        <w:t xml:space="preserve">Yêu cầu dữ liệu cá nhân</w:t>
      </w:r>
      <w:r>
        <w:t xml:space="preserve">”</w:t>
      </w:r>
      <w:r>
        <w:t xml:space="preserve">) in the Governance group of the staff console, finding the customer by plate, phone or profile. The register sets the due time from the received time plus</w:t>
      </w:r>
      <w:r>
        <w:t xml:space="preserve"> </w:t>
      </w:r>
      <w:r>
        <w:rPr>
          <w:rStyle w:val="CodeChar"/>
        </w:rPr>
        <w:t xml:space="preserve">dsarResponseHours</w:t>
      </w:r>
      <w:r>
        <w:t xml:space="preserve"> </w:t>
      </w:r>
      <w:r>
        <w:t xml:space="preserve">in the service levels rule set: 72 hours, to be confirmed by TASCO legal. The diagram shows the states a request moves through.</w:t>
      </w:r>
    </w:p>
    <w:p xmlns:a="http://schemas.openxmlformats.org/drawingml/2006/main" xmlns:pic="http://schemas.openxmlformats.org/drawingml/2006/picture">
      <w:pPr>
        <w:pStyle w:val="Figure"/>
      </w:pPr>
      <w:r>
        <w:drawing>
          <wp:inline>
            <wp:extent cx="4496399" cy="4132799"/>
            <wp:effectExtent b="0" l="0" r="0" t="0"/>
            <wp:docPr descr="States of a data-subject request in the register" title="" id="5003" name="Picture"/>
            <a:graphic>
              <a:graphicData uri="http://schemas.openxmlformats.org/drawingml/2006/picture">
                <pic:pic>
                  <pic:nvPicPr>
                    <pic:cNvPr descr="/home/user/TASCO/tools/docs-source/gen/.cache/mermaid/44bc322b1aa2c5d2.png" id="43" name="Picture"/>
                    <pic:cNvPicPr>
                      <a:picLocks noChangeArrowheads="1" noChangeAspect="1"/>
                    </pic:cNvPicPr>
                  </pic:nvPicPr>
                  <pic:blipFill>
                    <a:blip r:embed="rIdG2"/>
                    <a:stretch>
                      <a:fillRect/>
                    </a:stretch>
                  </pic:blipFill>
                  <pic:spPr bwMode="auto">
                    <a:xfrm>
                      <a:off x="0" y="0"/>
                      <a:ext cx="4496399" cy="4132799"/>
                    </a:xfrm>
                    <a:prstGeom prst="rect">
                      <a:avLst/>
                    </a:prstGeom>
                    <a:noFill/>
                    <a:ln w="9525">
                      <a:noFill/>
                      <a:headEnd/>
                      <a:tailEnd/>
                    </a:ln>
                  </pic:spPr>
                </pic:pic>
              </a:graphicData>
            </a:graphic>
          </wp:inline>
        </w:drawing>
      </w:r>
    </w:p>
    <w:p>
      <w:pPr>
        <w:pStyle w:val="Caption"/>
      </w:pPr>
      <w:r>
        <w:t xml:space="preserve">Figure 2 – States of a data-subject request in the register</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752"/>
        <w:gridCol w:w="7275"/>
      </w:tblGrid>
      <w:tr>
        <w:trPr>
          <w:cantSplit/>
          <w:tblHeader/>
        </w:trPr>
        <w:tc>
          <w:tcPr>
            <w:tcW w:w="1752" w:type="dxa"/>
            <w:shd w:val="clear" w:color="auto" w:fill="0F4761"/>
            <w:vAlign w:val="center"/>
          </w:tcPr>
          <w:p>
            <w:pPr>
              <w:pStyle w:val="TableHeading"/>
              <w:jc w:val="left"/>
            </w:pPr>
            <w:r>
              <w:rPr>
                <w:color w:val="FFFFFF"/>
              </w:rPr>
              <w:t xml:space="preserve">Step</w:t>
            </w:r>
          </w:p>
        </w:tc>
        <w:tc>
          <w:tcPr>
            <w:tcW w:w="7275" w:type="dxa"/>
            <w:shd w:val="clear" w:color="auto" w:fill="0F4761"/>
            <w:vAlign w:val="center"/>
          </w:tcPr>
          <w:p>
            <w:pPr>
              <w:pStyle w:val="TableHeading"/>
              <w:jc w:val="left"/>
            </w:pPr>
            <w:r>
              <w:rPr>
                <w:color w:val="FFFFFF"/>
              </w:rPr>
              <w:t xml:space="preserve">Control</w:t>
            </w:r>
          </w:p>
        </w:tc>
      </w:tr>
      <w:tr>
        <w:trPr>
          <w:cantSplit/>
        </w:trPr>
        <w:tc>
          <w:tcPr>
            <w:tcW w:w="1752" w:type="dxa"/>
            <w:vAlign w:val="top"/>
          </w:tcPr>
          <w:p>
            <w:pPr>
              <w:pStyle w:val="TableText"/>
              <w:jc w:val="left"/>
            </w:pPr>
            <w:r>
              <w:t xml:space="preserve">Identity verification</w:t>
            </w:r>
          </w:p>
        </w:tc>
        <w:tc>
          <w:tcPr>
            <w:tcW w:w="7275" w:type="dxa"/>
            <w:vAlign w:val="top"/>
          </w:tcPr>
          <w:p>
            <w:pPr>
              <w:pStyle w:val="TableText"/>
              <w:jc w:val="left"/>
            </w:pPr>
            <w:r>
              <w:t xml:space="preserve">The officer must record that the requester’s identity was verified before any export or erasure; without it the action is rejected. The verification time and officer are kept on the request.</w:t>
            </w:r>
          </w:p>
        </w:tc>
      </w:tr>
      <w:tr>
        <w:trPr>
          <w:cantSplit/>
        </w:trPr>
        <w:tc>
          <w:tcPr>
            <w:tcW w:w="1752" w:type="dxa"/>
            <w:shd w:val="clear" w:color="auto" w:fill="F4F7FB"/>
            <w:vAlign w:val="top"/>
          </w:tcPr>
          <w:p>
            <w:pPr>
              <w:pStyle w:val="TableText"/>
              <w:jc w:val="left"/>
            </w:pPr>
            <w:r>
              <w:t xml:space="preserve">Access</w:t>
            </w:r>
          </w:p>
        </w:tc>
        <w:tc>
          <w:tcPr>
            <w:tcW w:w="7275" w:type="dxa"/>
            <w:shd w:val="clear" w:color="auto" w:fill="F4F7FB"/>
            <w:vAlign w:val="top"/>
          </w:tcPr>
          <w:p>
            <w:pPr>
              <w:pStyle w:val="TableText"/>
              <w:jc w:val="left"/>
            </w:pPr>
            <w:r>
              <w:t xml:space="preserve">The export runs the customer data export and downloads a JSON file named</w:t>
            </w:r>
            <w:r>
              <w:t xml:space="preserve"> </w:t>
            </w:r>
            <w:r>
              <w:rPr>
                <w:rStyle w:val="CodeChar"/>
              </w:rPr>
              <w:t xml:space="preserve">TASCO-data-&lt;plate&gt;-&lt;date&gt;.json</w:t>
            </w:r>
            <w:r>
              <w:t xml:space="preserve">. The request is completed with the outcome</w:t>
            </w:r>
            <w:r>
              <w:t xml:space="preserve"> </w:t>
            </w:r>
            <w:r>
              <w:t xml:space="preserve">“</w:t>
            </w:r>
            <w:r>
              <w:t xml:space="preserve">exported</w:t>
            </w:r>
            <w:r>
              <w:t xml:space="preserve">”</w:t>
            </w:r>
            <w:r>
              <w:t xml:space="preserve">.</w:t>
            </w:r>
          </w:p>
        </w:tc>
      </w:tr>
      <w:tr>
        <w:trPr>
          <w:cantSplit/>
        </w:trPr>
        <w:tc>
          <w:tcPr>
            <w:tcW w:w="1752" w:type="dxa"/>
            <w:vAlign w:val="top"/>
          </w:tcPr>
          <w:p>
            <w:pPr>
              <w:pStyle w:val="TableText"/>
              <w:jc w:val="left"/>
            </w:pPr>
            <w:r>
              <w:t xml:space="preserve">Erasure</w:t>
            </w:r>
          </w:p>
        </w:tc>
        <w:tc>
          <w:tcPr>
            <w:tcW w:w="7275" w:type="dxa"/>
            <w:vAlign w:val="top"/>
          </w:tcPr>
          <w:p>
            <w:pPr>
              <w:pStyle w:val="TableText"/>
              <w:jc w:val="left"/>
            </w:pPr>
            <w:r>
              <w:t xml:space="preserve">Needs a reason of at least five characters and the vehicle plate typed again to confirm. Personal data is anonymised, not deleted, so legally required records stay but are no longer linked to a person (TGP-ARC-03 Data Architecture lists what is cleared).</w:t>
            </w:r>
          </w:p>
        </w:tc>
      </w:tr>
      <w:tr>
        <w:trPr>
          <w:cantSplit/>
        </w:trPr>
        <w:tc>
          <w:tcPr>
            <w:tcW w:w="1752" w:type="dxa"/>
            <w:shd w:val="clear" w:color="auto" w:fill="F4F7FB"/>
            <w:vAlign w:val="top"/>
          </w:tcPr>
          <w:p>
            <w:pPr>
              <w:pStyle w:val="TableText"/>
              <w:jc w:val="left"/>
            </w:pPr>
            <w:r>
              <w:t xml:space="preserve">Policy in force</w:t>
            </w:r>
          </w:p>
        </w:tc>
        <w:tc>
          <w:tcPr>
            <w:tcW w:w="7275" w:type="dxa"/>
            <w:shd w:val="clear" w:color="auto" w:fill="F4F7FB"/>
            <w:vAlign w:val="top"/>
          </w:tcPr>
          <w:p>
            <w:pPr>
              <w:pStyle w:val="TableText"/>
              <w:jc w:val="left"/>
            </w:pPr>
            <w:r>
              <w:t xml:space="preserve">Erasure is refused while the customer has a policy in force, because the policy must be kept by law. The request is closed as refused, with the reason and the policy end date in business language.</w:t>
            </w:r>
          </w:p>
        </w:tc>
      </w:tr>
      <w:tr>
        <w:trPr>
          <w:cantSplit/>
        </w:trPr>
        <w:tc>
          <w:tcPr>
            <w:tcW w:w="1752" w:type="dxa"/>
            <w:vAlign w:val="top"/>
          </w:tcPr>
          <w:p>
            <w:pPr>
              <w:pStyle w:val="TableText"/>
              <w:jc w:val="left"/>
            </w:pPr>
            <w:r>
              <w:t xml:space="preserve">Other refusals</w:t>
            </w:r>
          </w:p>
        </w:tc>
        <w:tc>
          <w:tcPr>
            <w:tcW w:w="7275" w:type="dxa"/>
            <w:vAlign w:val="top"/>
          </w:tcPr>
          <w:p>
            <w:pPr>
              <w:pStyle w:val="TableText"/>
              <w:jc w:val="left"/>
            </w:pPr>
            <w:r>
              <w:t xml:space="preserve">The officer can refuse with a written reason, for example when identity cannot be verified.</w:t>
            </w:r>
          </w:p>
        </w:tc>
      </w:tr>
      <w:tr>
        <w:trPr>
          <w:cantSplit/>
        </w:trPr>
        <w:tc>
          <w:tcPr>
            <w:tcW w:w="1752" w:type="dxa"/>
            <w:shd w:val="clear" w:color="auto" w:fill="F4F7FB"/>
            <w:noWrap/>
            <w:vAlign w:val="top"/>
          </w:tcPr>
          <w:p>
            <w:pPr>
              <w:pStyle w:val="TableText"/>
              <w:jc w:val="left"/>
            </w:pPr>
            <w:r>
              <w:t xml:space="preserve">Self-service</w:t>
            </w:r>
          </w:p>
        </w:tc>
        <w:tc>
          <w:tcPr>
            <w:tcW w:w="7275" w:type="dxa"/>
            <w:shd w:val="clear" w:color="auto" w:fill="F4F7FB"/>
            <w:vAlign w:val="top"/>
          </w:tcPr>
          <w:p>
            <w:pPr>
              <w:pStyle w:val="TableText"/>
              <w:jc w:val="left"/>
            </w:pPr>
            <w:r>
              <w:t xml:space="preserve">A customer’s own</w:t>
            </w:r>
            <w:r>
              <w:t xml:space="preserve"> </w:t>
            </w:r>
            <w:r>
              <w:t xml:space="preserve">“</w:t>
            </w:r>
            <w:r>
              <w:t xml:space="preserve">download my data</w:t>
            </w:r>
            <w:r>
              <w:t xml:space="preserve">”</w:t>
            </w:r>
            <w:r>
              <w:t xml:space="preserve"> </w:t>
            </w:r>
            <w:r>
              <w:t xml:space="preserve">in the app is recorded as a completed access request on the app channel, verified by the signed-in session.</w:t>
            </w:r>
          </w:p>
        </w:tc>
      </w:tr>
    </w:tbl>
    <w:p>
      <w:pPr>
        <w:pStyle w:val="Heading2"/>
      </w:pPr>
      <w:bookmarkStart w:id="27" w:name="_Toc300000023"/>
      <w:r>
        <w:t xml:space="preserve">Monitoring and audit</w:t>
      </w:r>
      <w:bookmarkEnd w:id="27"/>
    </w:p>
    <w:p>
      <w:pPr>
        <w:pStyle w:val="FirstParagraph"/>
      </w:pPr>
      <w:r>
        <w:t xml:space="preserve">The register shows four figures: open requests, requests due within 24 hours, overdue requests and requests completed in the last 30 days. Each request keeps a timeline of its status changes with the time and the officer. Every action is written to the hash-chained audit trail: viewing the register, logging, viewing a request, starting it, verifying identity, completing and refusing. The register holds a masked name and the plate only, and its free-text note is encrypted at rest. All register routes (</w:t>
      </w:r>
      <w:r>
        <w:rPr>
          <w:rStyle w:val="CodeChar"/>
        </w:rPr>
        <w:t xml:space="preserve">/api/dsar</w:t>
      </w:r>
      <w:r>
        <w:t xml:space="preserve"> </w:t>
      </w:r>
      <w:r>
        <w:t xml:space="preserve">and its sub-paths) need the</w:t>
      </w:r>
      <w:r>
        <w:t xml:space="preserve"> </w:t>
      </w:r>
      <w:r>
        <w:rPr>
          <w:rStyle w:val="CodeChar"/>
        </w:rPr>
        <w:t xml:space="preserve">dsar:manage</w:t>
      </w:r>
      <w:r>
        <w:t xml:space="preserve"> </w:t>
      </w:r>
      <w:r>
        <w:t xml:space="preserve">permission, held only by the compliance officer.</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28" w:name="_Toc300000024"/>
      <w:r>
        <w:rPr>
          <w:rStyle w:val="BookTitle"/>
          <w:bCs w:val="0"/>
          <w:i w:val="0"/>
          <w:iCs w:val="0"/>
          <w:spacing w:val="0"/>
        </w:rPr>
        <w:t xml:space="preserve">Application security</w:t>
      </w:r>
      <w:bookmarkEnd w:id="28"/>
    </w:p>
    <w:p>
      <w:pPr>
        <w:pStyle w:val="Heading2"/>
      </w:pPr>
      <w:bookmarkStart w:id="29" w:name="_Toc300000025"/>
      <w:r>
        <w:t xml:space="preserve">Input, data access and output</w:t>
      </w:r>
      <w:bookmarkEnd w:id="29"/>
    </w:p>
    <w:p>
      <w:pPr>
        <w:pStyle w:val="FirstParagraph"/>
      </w:pPr>
      <w:r>
        <w:t xml:space="preserve">Every route declares an allow-list schema: unknown fields are rejected, strings and arrays are bounded, enumerations, patterns, integer ranges and dates are checked, and malformed path parameters return 400. Bodies must be JSON objects of at most 1 MiB. Rule payloads go through the validator for their kind. Plates and phones are normalised before use, and customer speech is capped in length. Data access uses only parameterised statements with columns from the registry. Responses are JSON with</w:t>
      </w:r>
      <w:r>
        <w:t xml:space="preserve"> </w:t>
      </w:r>
      <w:r>
        <w:rPr>
          <w:rStyle w:val="CodeChar"/>
        </w:rPr>
        <w:t xml:space="preserve">Cache-Control: no-store</w:t>
      </w:r>
      <w:r>
        <w:t xml:space="preserve">, and the front end renders text only.</w:t>
      </w:r>
    </w:p>
    <w:p>
      <w:pPr>
        <w:pStyle w:val="Heading2"/>
      </w:pPr>
      <w:bookmarkStart w:id="30" w:name="_Toc300000026"/>
      <w:r>
        <w:t xml:space="preserve">OWASP Top 10 (2021)</w:t>
      </w:r>
      <w:bookmarkEnd w:id="30"/>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594"/>
        <w:gridCol w:w="2314"/>
        <w:gridCol w:w="4520"/>
        <w:gridCol w:w="1599"/>
      </w:tblGrid>
      <w:tr>
        <w:trPr>
          <w:cantSplit/>
          <w:tblHeader/>
        </w:trPr>
        <w:tc>
          <w:tcPr>
            <w:tcW w:w="594" w:type="dxa"/>
            <w:shd w:val="clear" w:color="auto" w:fill="0F4761"/>
            <w:vAlign w:val="center"/>
          </w:tcPr>
          <w:p>
            <w:pPr>
              <w:pStyle w:val="TableHeading"/>
              <w:jc w:val="left"/>
            </w:pPr>
            <w:r>
              <w:rPr>
                <w:color w:val="FFFFFF"/>
              </w:rPr>
              <w:t xml:space="preserve">ID</w:t>
            </w:r>
          </w:p>
        </w:tc>
        <w:tc>
          <w:tcPr>
            <w:tcW w:w="2314" w:type="dxa"/>
            <w:shd w:val="clear" w:color="auto" w:fill="0F4761"/>
            <w:vAlign w:val="center"/>
          </w:tcPr>
          <w:p>
            <w:pPr>
              <w:pStyle w:val="TableHeading"/>
              <w:jc w:val="left"/>
            </w:pPr>
            <w:r>
              <w:rPr>
                <w:color w:val="FFFFFF"/>
              </w:rPr>
              <w:t xml:space="preserve">Risk</w:t>
            </w:r>
          </w:p>
        </w:tc>
        <w:tc>
          <w:tcPr>
            <w:tcW w:w="4520" w:type="dxa"/>
            <w:shd w:val="clear" w:color="auto" w:fill="0F4761"/>
            <w:vAlign w:val="center"/>
          </w:tcPr>
          <w:p>
            <w:pPr>
              <w:pStyle w:val="TableHeading"/>
              <w:jc w:val="left"/>
            </w:pPr>
            <w:r>
              <w:rPr>
                <w:color w:val="FFFFFF"/>
              </w:rPr>
              <w:t xml:space="preserve">Main controls</w:t>
            </w:r>
          </w:p>
        </w:tc>
        <w:tc>
          <w:tcPr>
            <w:tcW w:w="1599" w:type="dxa"/>
            <w:shd w:val="clear" w:color="auto" w:fill="0F4761"/>
            <w:vAlign w:val="center"/>
          </w:tcPr>
          <w:p>
            <w:pPr>
              <w:pStyle w:val="TableHeading"/>
              <w:jc w:val="left"/>
            </w:pPr>
            <w:r>
              <w:rPr>
                <w:color w:val="FFFFFF"/>
              </w:rPr>
              <w:t xml:space="preserve">Open items</w:t>
            </w:r>
          </w:p>
        </w:tc>
      </w:tr>
      <w:tr>
        <w:trPr>
          <w:cantSplit/>
        </w:trPr>
        <w:tc>
          <w:tcPr>
            <w:tcW w:w="594" w:type="dxa"/>
            <w:vAlign w:val="top"/>
          </w:tcPr>
          <w:p>
            <w:pPr>
              <w:pStyle w:val="TableText"/>
              <w:jc w:val="left"/>
            </w:pPr>
            <w:r>
              <w:t xml:space="preserve">A01</w:t>
            </w:r>
          </w:p>
        </w:tc>
        <w:tc>
          <w:tcPr>
            <w:tcW w:w="2314" w:type="dxa"/>
            <w:vAlign w:val="top"/>
          </w:tcPr>
          <w:p>
            <w:pPr>
              <w:pStyle w:val="TableText"/>
              <w:jc w:val="left"/>
            </w:pPr>
            <w:r>
              <w:t xml:space="preserve">Broken access control</w:t>
            </w:r>
          </w:p>
        </w:tc>
        <w:tc>
          <w:tcPr>
            <w:tcW w:w="4520" w:type="dxa"/>
            <w:vAlign w:val="top"/>
          </w:tcPr>
          <w:p>
            <w:pPr>
              <w:pStyle w:val="TableText"/>
              <w:jc w:val="left"/>
            </w:pPr>
            <w:r>
              <w:t xml:space="preserve">Every route declares audience and permission; attribute-based checks; ownership for customers and partners; partner scopes; token audiences separated</w:t>
            </w:r>
          </w:p>
        </w:tc>
        <w:tc>
          <w:tcPr>
            <w:tcW w:w="1599" w:type="dxa"/>
            <w:vAlign w:val="top"/>
          </w:tcPr>
          <w:p>
            <w:pPr>
              <w:pStyle w:val="TableText"/>
              <w:jc w:val="left"/>
            </w:pPr>
            <w:r>
              <w:t xml:space="preserve">SR-01, SR-04</w:t>
            </w:r>
          </w:p>
        </w:tc>
      </w:tr>
      <w:tr>
        <w:trPr>
          <w:cantSplit/>
        </w:trPr>
        <w:tc>
          <w:tcPr>
            <w:tcW w:w="594" w:type="dxa"/>
            <w:shd w:val="clear" w:color="auto" w:fill="F4F7FB"/>
            <w:vAlign w:val="top"/>
          </w:tcPr>
          <w:p>
            <w:pPr>
              <w:pStyle w:val="TableText"/>
              <w:jc w:val="left"/>
            </w:pPr>
            <w:r>
              <w:t xml:space="preserve">A02</w:t>
            </w:r>
          </w:p>
        </w:tc>
        <w:tc>
          <w:tcPr>
            <w:tcW w:w="2314" w:type="dxa"/>
            <w:shd w:val="clear" w:color="auto" w:fill="F4F7FB"/>
            <w:vAlign w:val="top"/>
          </w:tcPr>
          <w:p>
            <w:pPr>
              <w:pStyle w:val="TableText"/>
              <w:jc w:val="left"/>
            </w:pPr>
            <w:r>
              <w:t xml:space="preserve">Cryptographic failures</w:t>
            </w:r>
          </w:p>
        </w:tc>
        <w:tc>
          <w:tcPr>
            <w:tcW w:w="4520" w:type="dxa"/>
            <w:shd w:val="clear" w:color="auto" w:fill="F4F7FB"/>
            <w:vAlign w:val="top"/>
          </w:tcPr>
          <w:p>
            <w:pPr>
              <w:pStyle w:val="TableText"/>
              <w:jc w:val="left"/>
            </w:pPr>
            <w:r>
              <w:t xml:space="preserve">AES-256-GCM field encryption with key ids; scrypt; hashed API keys; TLS to the database; HSTS; fail-fast on missing keys</w:t>
            </w:r>
          </w:p>
        </w:tc>
        <w:tc>
          <w:tcPr>
            <w:tcW w:w="1599" w:type="dxa"/>
            <w:shd w:val="clear" w:color="auto" w:fill="F4F7FB"/>
            <w:vAlign w:val="top"/>
          </w:tcPr>
          <w:p>
            <w:pPr>
              <w:pStyle w:val="TableText"/>
              <w:jc w:val="left"/>
            </w:pPr>
            <w:r>
              <w:t xml:space="preserve">KMS envelope; re-key job</w:t>
            </w:r>
          </w:p>
        </w:tc>
      </w:tr>
      <w:tr>
        <w:trPr>
          <w:cantSplit/>
        </w:trPr>
        <w:tc>
          <w:tcPr>
            <w:tcW w:w="594" w:type="dxa"/>
            <w:vAlign w:val="top"/>
          </w:tcPr>
          <w:p>
            <w:pPr>
              <w:pStyle w:val="TableText"/>
              <w:jc w:val="left"/>
            </w:pPr>
            <w:r>
              <w:t xml:space="preserve">A03</w:t>
            </w:r>
          </w:p>
        </w:tc>
        <w:tc>
          <w:tcPr>
            <w:tcW w:w="2314" w:type="dxa"/>
            <w:vAlign w:val="top"/>
          </w:tcPr>
          <w:p>
            <w:pPr>
              <w:pStyle w:val="TableText"/>
              <w:jc w:val="left"/>
            </w:pPr>
            <w:r>
              <w:t xml:space="preserve">Injection</w:t>
            </w:r>
          </w:p>
        </w:tc>
        <w:tc>
          <w:tcPr>
            <w:tcW w:w="4520" w:type="dxa"/>
            <w:vAlign w:val="top"/>
          </w:tcPr>
          <w:p>
            <w:pPr>
              <w:pStyle w:val="TableText"/>
              <w:jc w:val="left"/>
            </w:pPr>
            <w:r>
              <w:t xml:space="preserve">Parameterised SQL; column allow-list; rule interpreter without code evaluation; allow-list validation; text-only rendering</w:t>
            </w:r>
          </w:p>
        </w:tc>
        <w:tc>
          <w:tcPr>
            <w:tcW w:w="1599" w:type="dxa"/>
            <w:noWrap/>
            <w:vAlign w:val="top"/>
          </w:tcPr>
          <w:p>
            <w:pPr>
              <w:pStyle w:val="TableText"/>
              <w:jc w:val="left"/>
            </w:pPr>
            <w:r>
              <w:t xml:space="preserve">SR-13</w:t>
            </w:r>
          </w:p>
        </w:tc>
      </w:tr>
      <w:tr>
        <w:trPr>
          <w:cantSplit/>
        </w:trPr>
        <w:tc>
          <w:tcPr>
            <w:tcW w:w="594" w:type="dxa"/>
            <w:shd w:val="clear" w:color="auto" w:fill="F4F7FB"/>
            <w:vAlign w:val="top"/>
          </w:tcPr>
          <w:p>
            <w:pPr>
              <w:pStyle w:val="TableText"/>
              <w:jc w:val="left"/>
            </w:pPr>
            <w:r>
              <w:t xml:space="preserve">A04</w:t>
            </w:r>
          </w:p>
        </w:tc>
        <w:tc>
          <w:tcPr>
            <w:tcW w:w="2314" w:type="dxa"/>
            <w:shd w:val="clear" w:color="auto" w:fill="F4F7FB"/>
            <w:vAlign w:val="top"/>
          </w:tcPr>
          <w:p>
            <w:pPr>
              <w:pStyle w:val="TableText"/>
              <w:jc w:val="left"/>
            </w:pPr>
            <w:r>
              <w:t xml:space="preserve">Insecure design</w:t>
            </w:r>
          </w:p>
        </w:tc>
        <w:tc>
          <w:tcPr>
            <w:tcW w:w="4520" w:type="dxa"/>
            <w:shd w:val="clear" w:color="auto" w:fill="F4F7FB"/>
            <w:vAlign w:val="top"/>
          </w:tcPr>
          <w:p>
            <w:pPr>
              <w:pStyle w:val="TableText"/>
              <w:jc w:val="left"/>
            </w:pPr>
            <w:r>
              <w:t xml:space="preserve">Threat model; maker-checker; customer-only payment; atomic quote claim; idempotent purchase; saga compensation; contact policy; copy guard</w:t>
            </w:r>
          </w:p>
        </w:tc>
        <w:tc>
          <w:tcPr>
            <w:tcW w:w="1599" w:type="dxa"/>
            <w:shd w:val="clear" w:color="auto" w:fill="F4F7FB"/>
            <w:noWrap/>
            <w:vAlign w:val="top"/>
          </w:tcPr>
          <w:p>
            <w:pPr>
              <w:pStyle w:val="TableText"/>
              <w:jc w:val="left"/>
            </w:pPr>
            <w:r>
              <w:t xml:space="preserve">SR-11</w:t>
            </w:r>
          </w:p>
        </w:tc>
      </w:tr>
      <w:tr>
        <w:trPr>
          <w:cantSplit/>
        </w:trPr>
        <w:tc>
          <w:tcPr>
            <w:tcW w:w="594" w:type="dxa"/>
            <w:vAlign w:val="top"/>
          </w:tcPr>
          <w:p>
            <w:pPr>
              <w:pStyle w:val="TableText"/>
              <w:jc w:val="left"/>
            </w:pPr>
            <w:r>
              <w:t xml:space="preserve">A05</w:t>
            </w:r>
          </w:p>
        </w:tc>
        <w:tc>
          <w:tcPr>
            <w:tcW w:w="2314" w:type="dxa"/>
            <w:vAlign w:val="top"/>
          </w:tcPr>
          <w:p>
            <w:pPr>
              <w:pStyle w:val="TableText"/>
              <w:jc w:val="left"/>
            </w:pPr>
            <w:r>
              <w:t xml:space="preserve">Security misconfiguration</w:t>
            </w:r>
          </w:p>
        </w:tc>
        <w:tc>
          <w:tcPr>
            <w:tcW w:w="4520" w:type="dxa"/>
            <w:vAlign w:val="top"/>
          </w:tcPr>
          <w:p>
            <w:pPr>
              <w:pStyle w:val="TableText"/>
              <w:jc w:val="left"/>
            </w:pPr>
            <w:r>
              <w:t xml:space="preserve">Strict security headers and CSP; production fail-fast; demo mode off by default; non-root read-only container; network policy</w:t>
            </w:r>
          </w:p>
        </w:tc>
        <w:tc>
          <w:tcPr>
            <w:tcW w:w="1599" w:type="dxa"/>
            <w:vAlign w:val="top"/>
          </w:tcPr>
          <w:p>
            <w:pPr>
              <w:pStyle w:val="TableText"/>
              <w:jc w:val="left"/>
            </w:pPr>
            <w:r>
              <w:t xml:space="preserve">None</w:t>
            </w:r>
          </w:p>
        </w:tc>
      </w:tr>
      <w:tr>
        <w:trPr>
          <w:cantSplit/>
        </w:trPr>
        <w:tc>
          <w:tcPr>
            <w:tcW w:w="594" w:type="dxa"/>
            <w:shd w:val="clear" w:color="auto" w:fill="F4F7FB"/>
            <w:vAlign w:val="top"/>
          </w:tcPr>
          <w:p>
            <w:pPr>
              <w:pStyle w:val="TableText"/>
              <w:jc w:val="left"/>
            </w:pPr>
            <w:r>
              <w:t xml:space="preserve">A06</w:t>
            </w:r>
          </w:p>
        </w:tc>
        <w:tc>
          <w:tcPr>
            <w:tcW w:w="2314" w:type="dxa"/>
            <w:shd w:val="clear" w:color="auto" w:fill="F4F7FB"/>
            <w:vAlign w:val="top"/>
          </w:tcPr>
          <w:p>
            <w:pPr>
              <w:pStyle w:val="TableText"/>
              <w:jc w:val="left"/>
            </w:pPr>
            <w:r>
              <w:t xml:space="preserve">Vulnerable components</w:t>
            </w:r>
          </w:p>
        </w:tc>
        <w:tc>
          <w:tcPr>
            <w:tcW w:w="4520" w:type="dxa"/>
            <w:shd w:val="clear" w:color="auto" w:fill="F4F7FB"/>
            <w:vAlign w:val="top"/>
          </w:tcPr>
          <w:p>
            <w:pPr>
              <w:pStyle w:val="TableText"/>
              <w:jc w:val="left"/>
            </w:pPr>
            <w:r>
              <w:t xml:space="preserve">One runtime dependency; dependency audit and review; container scan; SBOM; Node.js 22 LTS</w:t>
            </w:r>
          </w:p>
        </w:tc>
        <w:tc>
          <w:tcPr>
            <w:tcW w:w="1599" w:type="dxa"/>
            <w:shd w:val="clear" w:color="auto" w:fill="F4F7FB"/>
            <w:vAlign w:val="top"/>
          </w:tcPr>
          <w:p>
            <w:pPr>
              <w:pStyle w:val="TableText"/>
              <w:jc w:val="left"/>
            </w:pPr>
            <w:r>
              <w:t xml:space="preserve">Monthly base image rebuild</w:t>
            </w:r>
          </w:p>
        </w:tc>
      </w:tr>
      <w:tr>
        <w:trPr>
          <w:cantSplit/>
        </w:trPr>
        <w:tc>
          <w:tcPr>
            <w:tcW w:w="594" w:type="dxa"/>
            <w:vAlign w:val="top"/>
          </w:tcPr>
          <w:p>
            <w:pPr>
              <w:pStyle w:val="TableText"/>
              <w:jc w:val="left"/>
            </w:pPr>
            <w:r>
              <w:t xml:space="preserve">A07</w:t>
            </w:r>
          </w:p>
        </w:tc>
        <w:tc>
          <w:tcPr>
            <w:tcW w:w="2314" w:type="dxa"/>
            <w:vAlign w:val="top"/>
          </w:tcPr>
          <w:p>
            <w:pPr>
              <w:pStyle w:val="TableText"/>
              <w:jc w:val="left"/>
            </w:pPr>
            <w:r>
              <w:t xml:space="preserve">Authentication failures</w:t>
            </w:r>
          </w:p>
        </w:tc>
        <w:tc>
          <w:tcPr>
            <w:tcW w:w="4520" w:type="dxa"/>
            <w:vAlign w:val="top"/>
          </w:tcPr>
          <w:p>
            <w:pPr>
              <w:pStyle w:val="TableText"/>
              <w:jc w:val="left"/>
            </w:pPr>
            <w:r>
              <w:t xml:space="preserve">Length-based password policy; scrypt; lockout on both steps; TOTP with replay protection; forced first change; token revocation</w:t>
            </w:r>
          </w:p>
        </w:tc>
        <w:tc>
          <w:tcPr>
            <w:tcW w:w="1599" w:type="dxa"/>
            <w:vAlign w:val="top"/>
          </w:tcPr>
          <w:p>
            <w:pPr>
              <w:pStyle w:val="TableText"/>
              <w:jc w:val="left"/>
            </w:pPr>
            <w:r>
              <w:t xml:space="preserve">SR-02, SR-08</w:t>
            </w:r>
          </w:p>
        </w:tc>
      </w:tr>
      <w:tr>
        <w:trPr>
          <w:cantSplit/>
        </w:trPr>
        <w:tc>
          <w:tcPr>
            <w:tcW w:w="594" w:type="dxa"/>
            <w:shd w:val="clear" w:color="auto" w:fill="F4F7FB"/>
            <w:vAlign w:val="top"/>
          </w:tcPr>
          <w:p>
            <w:pPr>
              <w:pStyle w:val="TableText"/>
              <w:jc w:val="left"/>
            </w:pPr>
            <w:r>
              <w:t xml:space="preserve">A08</w:t>
            </w:r>
          </w:p>
        </w:tc>
        <w:tc>
          <w:tcPr>
            <w:tcW w:w="2314" w:type="dxa"/>
            <w:shd w:val="clear" w:color="auto" w:fill="F4F7FB"/>
            <w:vAlign w:val="top"/>
          </w:tcPr>
          <w:p>
            <w:pPr>
              <w:pStyle w:val="TableText"/>
              <w:jc w:val="left"/>
            </w:pPr>
            <w:r>
              <w:t xml:space="preserve">Integrity failures</w:t>
            </w:r>
          </w:p>
        </w:tc>
        <w:tc>
          <w:tcPr>
            <w:tcW w:w="4520" w:type="dxa"/>
            <w:shd w:val="clear" w:color="auto" w:fill="F4F7FB"/>
            <w:vAlign w:val="top"/>
          </w:tcPr>
          <w:p>
            <w:pPr>
              <w:pStyle w:val="TableText"/>
              <w:jc w:val="left"/>
            </w:pPr>
            <w:r>
              <w:t xml:space="preserve">Rule validation, four-eyes, checksums, one active version; hash-chained audit with triggers; lockfile; CI gates</w:t>
            </w:r>
          </w:p>
        </w:tc>
        <w:tc>
          <w:tcPr>
            <w:tcW w:w="1599" w:type="dxa"/>
            <w:shd w:val="clear" w:color="auto" w:fill="F4F7FB"/>
            <w:vAlign w:val="top"/>
          </w:tcPr>
          <w:p>
            <w:pPr>
              <w:pStyle w:val="TableText"/>
              <w:jc w:val="left"/>
            </w:pPr>
            <w:r>
              <w:t xml:space="preserve">SR-06, image signing</w:t>
            </w:r>
          </w:p>
        </w:tc>
      </w:tr>
      <w:tr>
        <w:trPr>
          <w:cantSplit/>
        </w:trPr>
        <w:tc>
          <w:tcPr>
            <w:tcW w:w="594" w:type="dxa"/>
            <w:vAlign w:val="top"/>
          </w:tcPr>
          <w:p>
            <w:pPr>
              <w:pStyle w:val="TableText"/>
              <w:jc w:val="left"/>
            </w:pPr>
            <w:r>
              <w:t xml:space="preserve">A09</w:t>
            </w:r>
          </w:p>
        </w:tc>
        <w:tc>
          <w:tcPr>
            <w:tcW w:w="2314" w:type="dxa"/>
            <w:vAlign w:val="top"/>
          </w:tcPr>
          <w:p>
            <w:pPr>
              <w:pStyle w:val="TableText"/>
              <w:jc w:val="left"/>
            </w:pPr>
            <w:r>
              <w:t xml:space="preserve">Logging and monitoring failures</w:t>
            </w:r>
          </w:p>
        </w:tc>
        <w:tc>
          <w:tcPr>
            <w:tcW w:w="4520" w:type="dxa"/>
            <w:vAlign w:val="top"/>
          </w:tcPr>
          <w:p>
            <w:pPr>
              <w:pStyle w:val="TableText"/>
              <w:jc w:val="left"/>
            </w:pPr>
            <w:r>
              <w:t xml:space="preserve">Hash-chained audit of sign-in, consent, data subject requests, rules, quotes, orders and profile views; JSON logs with request ids and redaction</w:t>
            </w:r>
          </w:p>
        </w:tc>
        <w:tc>
          <w:tcPr>
            <w:tcW w:w="1599" w:type="dxa"/>
            <w:vAlign w:val="top"/>
          </w:tcPr>
          <w:p>
            <w:pPr>
              <w:pStyle w:val="TableText"/>
              <w:jc w:val="left"/>
            </w:pPr>
            <w:r>
              <w:t xml:space="preserve">SIEM forwarding</w:t>
            </w:r>
          </w:p>
        </w:tc>
      </w:tr>
      <w:tr>
        <w:trPr>
          <w:cantSplit/>
        </w:trPr>
        <w:tc>
          <w:tcPr>
            <w:tcW w:w="594" w:type="dxa"/>
            <w:shd w:val="clear" w:color="auto" w:fill="F4F7FB"/>
            <w:vAlign w:val="top"/>
          </w:tcPr>
          <w:p>
            <w:pPr>
              <w:pStyle w:val="TableText"/>
              <w:jc w:val="left"/>
            </w:pPr>
            <w:r>
              <w:t xml:space="preserve">A10</w:t>
            </w:r>
          </w:p>
        </w:tc>
        <w:tc>
          <w:tcPr>
            <w:tcW w:w="2314" w:type="dxa"/>
            <w:shd w:val="clear" w:color="auto" w:fill="F4F7FB"/>
            <w:vAlign w:val="top"/>
          </w:tcPr>
          <w:p>
            <w:pPr>
              <w:pStyle w:val="TableText"/>
              <w:jc w:val="left"/>
            </w:pPr>
            <w:r>
              <w:t xml:space="preserve">SSRF</w:t>
            </w:r>
          </w:p>
        </w:tc>
        <w:tc>
          <w:tcPr>
            <w:tcW w:w="4520" w:type="dxa"/>
            <w:shd w:val="clear" w:color="auto" w:fill="F4F7FB"/>
            <w:vAlign w:val="top"/>
          </w:tcPr>
          <w:p>
            <w:pPr>
              <w:pStyle w:val="TableText"/>
              <w:jc w:val="left"/>
            </w:pPr>
            <w:r>
              <w:t xml:space="preserve">No user-controlled outbound addresses; providers from configuration; egress allow-list</w:t>
            </w:r>
          </w:p>
        </w:tc>
        <w:tc>
          <w:tcPr>
            <w:tcW w:w="1599" w:type="dxa"/>
            <w:shd w:val="clear" w:color="auto" w:fill="F4F7FB"/>
            <w:vAlign w:val="top"/>
          </w:tcPr>
          <w:p>
            <w:pPr>
              <w:pStyle w:val="TableText"/>
              <w:jc w:val="left"/>
            </w:pPr>
            <w:r>
              <w:t xml:space="preserve">None</w:t>
            </w:r>
          </w:p>
        </w:tc>
      </w:tr>
    </w:tbl>
    <w:p>
      <w:pPr>
        <w:pStyle w:val="Heading2"/>
      </w:pPr>
      <w:bookmarkStart w:id="31" w:name="_Toc300000027"/>
      <w:r>
        <w:t xml:space="preserve">OWASP ASVS Level 2 summary</w:t>
      </w:r>
      <w:bookmarkEnd w:id="31"/>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971"/>
        <w:gridCol w:w="1892"/>
        <w:gridCol w:w="2742"/>
        <w:gridCol w:w="2422"/>
      </w:tblGrid>
      <w:tr>
        <w:trPr>
          <w:cantSplit/>
          <w:tblHeader/>
        </w:trPr>
        <w:tc>
          <w:tcPr>
            <w:tcW w:w="1971" w:type="dxa"/>
            <w:shd w:val="clear" w:color="auto" w:fill="0F4761"/>
            <w:vAlign w:val="center"/>
          </w:tcPr>
          <w:p>
            <w:pPr>
              <w:pStyle w:val="TableHeading"/>
              <w:jc w:val="left"/>
            </w:pPr>
            <w:r>
              <w:rPr>
                <w:color w:val="FFFFFF"/>
              </w:rPr>
              <w:t xml:space="preserve">Chapter</w:t>
            </w:r>
          </w:p>
        </w:tc>
        <w:tc>
          <w:tcPr>
            <w:tcW w:w="1892" w:type="dxa"/>
            <w:shd w:val="clear" w:color="auto" w:fill="0F4761"/>
            <w:vAlign w:val="center"/>
          </w:tcPr>
          <w:p>
            <w:pPr>
              <w:pStyle w:val="TableHeading"/>
              <w:jc w:val="left"/>
            </w:pPr>
            <w:r>
              <w:rPr>
                <w:color w:val="FFFFFF"/>
              </w:rPr>
              <w:t xml:space="preserve">Status</w:t>
            </w:r>
          </w:p>
        </w:tc>
        <w:tc>
          <w:tcPr>
            <w:tcW w:w="2742" w:type="dxa"/>
            <w:shd w:val="clear" w:color="auto" w:fill="0F4761"/>
            <w:vAlign w:val="center"/>
          </w:tcPr>
          <w:p>
            <w:pPr>
              <w:pStyle w:val="TableHeading"/>
              <w:jc w:val="left"/>
            </w:pPr>
            <w:r>
              <w:rPr>
                <w:color w:val="FFFFFF"/>
              </w:rPr>
              <w:t xml:space="preserve">Evidence</w:t>
            </w:r>
          </w:p>
        </w:tc>
        <w:tc>
          <w:tcPr>
            <w:tcW w:w="2422" w:type="dxa"/>
            <w:shd w:val="clear" w:color="auto" w:fill="0F4761"/>
            <w:vAlign w:val="center"/>
          </w:tcPr>
          <w:p>
            <w:pPr>
              <w:pStyle w:val="TableHeading"/>
              <w:jc w:val="left"/>
            </w:pPr>
            <w:r>
              <w:rPr>
                <w:color w:val="FFFFFF"/>
              </w:rPr>
              <w:t xml:space="preserve">Open items</w:t>
            </w:r>
          </w:p>
        </w:tc>
      </w:tr>
      <w:tr>
        <w:trPr>
          <w:cantSplit/>
        </w:trPr>
        <w:tc>
          <w:tcPr>
            <w:tcW w:w="1971" w:type="dxa"/>
            <w:vAlign w:val="top"/>
          </w:tcPr>
          <w:p>
            <w:pPr>
              <w:pStyle w:val="TableText"/>
              <w:jc w:val="left"/>
            </w:pPr>
            <w:r>
              <w:t xml:space="preserve">V1 Architecture</w:t>
            </w:r>
          </w:p>
        </w:tc>
        <w:tc>
          <w:tcPr>
            <w:tcW w:w="1892" w:type="dxa"/>
            <w:vAlign w:val="top"/>
          </w:tcPr>
          <w:p>
            <w:pPr>
              <w:pStyle w:val="TableText"/>
              <w:jc w:val="left"/>
            </w:pPr>
            <w:r>
              <w:t xml:space="preserve">Partial</w:t>
            </w:r>
          </w:p>
        </w:tc>
        <w:tc>
          <w:tcPr>
            <w:tcW w:w="2742" w:type="dxa"/>
            <w:vAlign w:val="top"/>
          </w:tcPr>
          <w:p>
            <w:pPr>
              <w:pStyle w:val="TableText"/>
              <w:jc w:val="left"/>
            </w:pPr>
            <w:r>
              <w:t xml:space="preserve">This threat model; one authentication pipeline; route table as a single control point</w:t>
            </w:r>
          </w:p>
        </w:tc>
        <w:tc>
          <w:tcPr>
            <w:tcW w:w="2422" w:type="dxa"/>
            <w:vAlign w:val="top"/>
          </w:tcPr>
          <w:p>
            <w:pPr>
              <w:pStyle w:val="TableText"/>
              <w:jc w:val="left"/>
            </w:pPr>
            <w:r>
              <w:t xml:space="preserve">Threat model review each release</w:t>
            </w:r>
          </w:p>
        </w:tc>
      </w:tr>
      <w:tr>
        <w:trPr>
          <w:cantSplit/>
        </w:trPr>
        <w:tc>
          <w:tcPr>
            <w:tcW w:w="1971" w:type="dxa"/>
            <w:shd w:val="clear" w:color="auto" w:fill="F4F7FB"/>
            <w:vAlign w:val="top"/>
          </w:tcPr>
          <w:p>
            <w:pPr>
              <w:pStyle w:val="TableText"/>
              <w:jc w:val="left"/>
            </w:pPr>
            <w:r>
              <w:t xml:space="preserve">V2 Authentication</w:t>
            </w:r>
          </w:p>
        </w:tc>
        <w:tc>
          <w:tcPr>
            <w:tcW w:w="1892" w:type="dxa"/>
            <w:shd w:val="clear" w:color="auto" w:fill="F4F7FB"/>
            <w:vAlign w:val="top"/>
          </w:tcPr>
          <w:p>
            <w:pPr>
              <w:pStyle w:val="TableText"/>
              <w:jc w:val="left"/>
            </w:pPr>
            <w:r>
              <w:t xml:space="preserve">Partial</w:t>
            </w:r>
          </w:p>
        </w:tc>
        <w:tc>
          <w:tcPr>
            <w:tcW w:w="2742" w:type="dxa"/>
            <w:shd w:val="clear" w:color="auto" w:fill="F4F7FB"/>
            <w:vAlign w:val="top"/>
          </w:tcPr>
          <w:p>
            <w:pPr>
              <w:pStyle w:val="TableText"/>
              <w:jc w:val="left"/>
            </w:pPr>
            <w:r>
              <w:t xml:space="preserve">12 to 128 character passwords; scrypt; lockout; TOTP with self-enrolment and replay protection</w:t>
            </w:r>
          </w:p>
        </w:tc>
        <w:tc>
          <w:tcPr>
            <w:tcW w:w="2422" w:type="dxa"/>
            <w:shd w:val="clear" w:color="auto" w:fill="F4F7FB"/>
            <w:vAlign w:val="top"/>
          </w:tcPr>
          <w:p>
            <w:pPr>
              <w:pStyle w:val="TableText"/>
              <w:jc w:val="left"/>
            </w:pPr>
            <w:r>
              <w:t xml:space="preserve">Breached-password check; federation</w:t>
            </w:r>
          </w:p>
        </w:tc>
      </w:tr>
      <w:tr>
        <w:trPr>
          <w:cantSplit/>
        </w:trPr>
        <w:tc>
          <w:tcPr>
            <w:tcW w:w="1971" w:type="dxa"/>
            <w:vAlign w:val="top"/>
          </w:tcPr>
          <w:p>
            <w:pPr>
              <w:pStyle w:val="TableText"/>
              <w:jc w:val="left"/>
            </w:pPr>
            <w:r>
              <w:t xml:space="preserve">V3 Session management</w:t>
            </w:r>
          </w:p>
        </w:tc>
        <w:tc>
          <w:tcPr>
            <w:tcW w:w="1892" w:type="dxa"/>
            <w:vAlign w:val="top"/>
          </w:tcPr>
          <w:p>
            <w:pPr>
              <w:pStyle w:val="TableText"/>
              <w:jc w:val="left"/>
            </w:pPr>
            <w:r>
              <w:t xml:space="preserve">Partial</w:t>
            </w:r>
          </w:p>
        </w:tc>
        <w:tc>
          <w:tcPr>
            <w:tcW w:w="2742" w:type="dxa"/>
            <w:vAlign w:val="top"/>
          </w:tcPr>
          <w:p>
            <w:pPr>
              <w:pStyle w:val="TableText"/>
              <w:jc w:val="left"/>
            </w:pPr>
            <w:r>
              <w:t xml:space="preserve">30-minute stateless tokens with unique ids; revocation on credential and role changes; no cookies</w:t>
            </w:r>
          </w:p>
        </w:tc>
        <w:tc>
          <w:tcPr>
            <w:tcW w:w="2422" w:type="dxa"/>
            <w:vAlign w:val="top"/>
          </w:tcPr>
          <w:p>
            <w:pPr>
              <w:pStyle w:val="TableText"/>
              <w:jc w:val="left"/>
            </w:pPr>
            <w:r>
              <w:t xml:space="preserve">Shared logout list; idle timeout in the console</w:t>
            </w:r>
          </w:p>
        </w:tc>
      </w:tr>
      <w:tr>
        <w:trPr>
          <w:cantSplit/>
        </w:trPr>
        <w:tc>
          <w:tcPr>
            <w:tcW w:w="1971" w:type="dxa"/>
            <w:shd w:val="clear" w:color="auto" w:fill="F4F7FB"/>
            <w:vAlign w:val="top"/>
          </w:tcPr>
          <w:p>
            <w:pPr>
              <w:pStyle w:val="TableText"/>
              <w:jc w:val="left"/>
            </w:pPr>
            <w:r>
              <w:t xml:space="preserve">V4 Access control</w:t>
            </w:r>
          </w:p>
        </w:tc>
        <w:tc>
          <w:tcPr>
            <w:tcW w:w="1892" w:type="dxa"/>
            <w:shd w:val="clear" w:color="auto" w:fill="F4F7FB"/>
            <w:vAlign w:val="top"/>
          </w:tcPr>
          <w:p>
            <w:pPr>
              <w:pStyle w:val="TableText"/>
              <w:jc w:val="left"/>
            </w:pPr>
            <w:r>
              <w:t xml:space="preserve">Partial</w:t>
            </w:r>
          </w:p>
        </w:tc>
        <w:tc>
          <w:tcPr>
            <w:tcW w:w="2742" w:type="dxa"/>
            <w:shd w:val="clear" w:color="auto" w:fill="F4F7FB"/>
            <w:vAlign w:val="top"/>
          </w:tcPr>
          <w:p>
            <w:pPr>
              <w:pStyle w:val="TableText"/>
              <w:jc w:val="left"/>
            </w:pPr>
            <w:r>
              <w:t xml:space="preserve">Deny by default; RBAC and attribute checks; server-side ownership; masking; separation of duties</w:t>
            </w:r>
          </w:p>
        </w:tc>
        <w:tc>
          <w:tcPr>
            <w:tcW w:w="2422" w:type="dxa"/>
            <w:shd w:val="clear" w:color="auto" w:fill="F4F7FB"/>
            <w:vAlign w:val="top"/>
          </w:tcPr>
          <w:p>
            <w:pPr>
              <w:pStyle w:val="TableText"/>
              <w:jc w:val="left"/>
            </w:pPr>
            <w:r>
              <w:t xml:space="preserve">SR-01, SR-04</w:t>
            </w:r>
          </w:p>
        </w:tc>
      </w:tr>
      <w:tr>
        <w:trPr>
          <w:cantSplit/>
        </w:trPr>
        <w:tc>
          <w:tcPr>
            <w:tcW w:w="1971" w:type="dxa"/>
            <w:vAlign w:val="top"/>
          </w:tcPr>
          <w:p>
            <w:pPr>
              <w:pStyle w:val="TableText"/>
              <w:jc w:val="left"/>
            </w:pPr>
            <w:r>
              <w:t xml:space="preserve">V5 Validation and encoding</w:t>
            </w:r>
          </w:p>
        </w:tc>
        <w:tc>
          <w:tcPr>
            <w:tcW w:w="1892" w:type="dxa"/>
            <w:vAlign w:val="top"/>
          </w:tcPr>
          <w:p>
            <w:pPr>
              <w:pStyle w:val="TableText"/>
              <w:jc w:val="left"/>
            </w:pPr>
            <w:r>
              <w:t xml:space="preserve">Implemented</w:t>
            </w:r>
          </w:p>
        </w:tc>
        <w:tc>
          <w:tcPr>
            <w:tcW w:w="2742" w:type="dxa"/>
            <w:vAlign w:val="top"/>
          </w:tcPr>
          <w:p>
            <w:pPr>
              <w:pStyle w:val="TableText"/>
              <w:jc w:val="left"/>
            </w:pPr>
            <w:r>
              <w:t xml:space="preserve">Allow-list schemas; JSON only; parameterised SQL; safe rule interpreter</w:t>
            </w:r>
          </w:p>
        </w:tc>
        <w:tc>
          <w:tcPr>
            <w:tcW w:w="2422" w:type="dxa"/>
            <w:noWrap/>
            <w:vAlign w:val="top"/>
          </w:tcPr>
          <w:p>
            <w:pPr>
              <w:pStyle w:val="TableText"/>
              <w:jc w:val="left"/>
            </w:pPr>
            <w:r>
              <w:t xml:space="preserve">SR-13</w:t>
            </w:r>
          </w:p>
        </w:tc>
      </w:tr>
      <w:tr>
        <w:trPr>
          <w:cantSplit/>
        </w:trPr>
        <w:tc>
          <w:tcPr>
            <w:tcW w:w="1971" w:type="dxa"/>
            <w:shd w:val="clear" w:color="auto" w:fill="F4F7FB"/>
            <w:vAlign w:val="top"/>
          </w:tcPr>
          <w:p>
            <w:pPr>
              <w:pStyle w:val="TableText"/>
              <w:jc w:val="left"/>
            </w:pPr>
            <w:r>
              <w:t xml:space="preserve">V6 Stored cryptography</w:t>
            </w:r>
          </w:p>
        </w:tc>
        <w:tc>
          <w:tcPr>
            <w:tcW w:w="1892" w:type="dxa"/>
            <w:shd w:val="clear" w:color="auto" w:fill="F4F7FB"/>
            <w:vAlign w:val="top"/>
          </w:tcPr>
          <w:p>
            <w:pPr>
              <w:pStyle w:val="TableText"/>
              <w:jc w:val="left"/>
            </w:pPr>
            <w:r>
              <w:t xml:space="preserve">Partial</w:t>
            </w:r>
          </w:p>
        </w:tc>
        <w:tc>
          <w:tcPr>
            <w:tcW w:w="2742" w:type="dxa"/>
            <w:shd w:val="clear" w:color="auto" w:fill="F4F7FB"/>
            <w:vAlign w:val="top"/>
          </w:tcPr>
          <w:p>
            <w:pPr>
              <w:pStyle w:val="TableText"/>
              <w:jc w:val="left"/>
            </w:pPr>
            <w:r>
              <w:t xml:space="preserve">AES-256-GCM with key ids; scrypt; secrets from files</w:t>
            </w:r>
          </w:p>
        </w:tc>
        <w:tc>
          <w:tcPr>
            <w:tcW w:w="2422" w:type="dxa"/>
            <w:shd w:val="clear" w:color="auto" w:fill="F4F7FB"/>
            <w:vAlign w:val="top"/>
          </w:tcPr>
          <w:p>
            <w:pPr>
              <w:pStyle w:val="TableText"/>
              <w:jc w:val="left"/>
            </w:pPr>
            <w:r>
              <w:t xml:space="preserve">KMS-wrapped keys; re-key and index rotation jobs</w:t>
            </w:r>
          </w:p>
        </w:tc>
      </w:tr>
      <w:tr>
        <w:trPr>
          <w:cantSplit/>
        </w:trPr>
        <w:tc>
          <w:tcPr>
            <w:tcW w:w="1971" w:type="dxa"/>
            <w:vAlign w:val="top"/>
          </w:tcPr>
          <w:p>
            <w:pPr>
              <w:pStyle w:val="TableText"/>
              <w:jc w:val="left"/>
            </w:pPr>
            <w:r>
              <w:t xml:space="preserve">V7 Errors and logging</w:t>
            </w:r>
          </w:p>
        </w:tc>
        <w:tc>
          <w:tcPr>
            <w:tcW w:w="1892" w:type="dxa"/>
            <w:vAlign w:val="top"/>
          </w:tcPr>
          <w:p>
            <w:pPr>
              <w:pStyle w:val="TableText"/>
              <w:jc w:val="left"/>
            </w:pPr>
            <w:r>
              <w:t xml:space="preserve">Implemented</w:t>
            </w:r>
          </w:p>
        </w:tc>
        <w:tc>
          <w:tcPr>
            <w:tcW w:w="2742" w:type="dxa"/>
            <w:vAlign w:val="top"/>
          </w:tcPr>
          <w:p>
            <w:pPr>
              <w:pStyle w:val="TableText"/>
              <w:jc w:val="left"/>
            </w:pPr>
            <w:r>
              <w:t xml:space="preserve">Generic errors with request id; JSON logs; redaction; audit chain</w:t>
            </w:r>
          </w:p>
        </w:tc>
        <w:tc>
          <w:tcPr>
            <w:tcW w:w="2422" w:type="dxa"/>
            <w:vAlign w:val="top"/>
          </w:tcPr>
          <w:p>
            <w:pPr>
              <w:pStyle w:val="TableText"/>
              <w:jc w:val="left"/>
            </w:pPr>
            <w:r>
              <w:t xml:space="preserve">SIEM integration</w:t>
            </w:r>
          </w:p>
        </w:tc>
      </w:tr>
      <w:tr>
        <w:trPr>
          <w:cantSplit/>
        </w:trPr>
        <w:tc>
          <w:tcPr>
            <w:tcW w:w="1971" w:type="dxa"/>
            <w:shd w:val="clear" w:color="auto" w:fill="F4F7FB"/>
            <w:vAlign w:val="top"/>
          </w:tcPr>
          <w:p>
            <w:pPr>
              <w:pStyle w:val="TableText"/>
              <w:jc w:val="left"/>
            </w:pPr>
            <w:r>
              <w:t xml:space="preserve">V8 Data protection</w:t>
            </w:r>
          </w:p>
        </w:tc>
        <w:tc>
          <w:tcPr>
            <w:tcW w:w="1892" w:type="dxa"/>
            <w:shd w:val="clear" w:color="auto" w:fill="F4F7FB"/>
            <w:vAlign w:val="top"/>
          </w:tcPr>
          <w:p>
            <w:pPr>
              <w:pStyle w:val="TableText"/>
              <w:jc w:val="left"/>
            </w:pPr>
            <w:r>
              <w:t xml:space="preserve">Partial</w:t>
            </w:r>
          </w:p>
        </w:tc>
        <w:tc>
          <w:tcPr>
            <w:tcW w:w="2742" w:type="dxa"/>
            <w:shd w:val="clear" w:color="auto" w:fill="F4F7FB"/>
            <w:vAlign w:val="top"/>
          </w:tcPr>
          <w:p>
            <w:pPr>
              <w:pStyle w:val="TableText"/>
              <w:jc w:val="left"/>
            </w:pPr>
            <w:r>
              <w:t xml:space="preserve">Field encryption; masking; no-store; data-subject request register with verified export and erasure; retention rules</w:t>
            </w:r>
          </w:p>
        </w:tc>
        <w:tc>
          <w:tcPr>
            <w:tcW w:w="2422" w:type="dxa"/>
            <w:shd w:val="clear" w:color="auto" w:fill="F4F7FB"/>
            <w:vAlign w:val="top"/>
          </w:tcPr>
          <w:p>
            <w:pPr>
              <w:pStyle w:val="TableText"/>
              <w:jc w:val="left"/>
            </w:pPr>
            <w:r>
              <w:t xml:space="preserve">SR-07; legal hold flag</w:t>
            </w:r>
          </w:p>
        </w:tc>
      </w:tr>
      <w:tr>
        <w:trPr>
          <w:cantSplit/>
        </w:trPr>
        <w:tc>
          <w:tcPr>
            <w:tcW w:w="1971" w:type="dxa"/>
            <w:vAlign w:val="top"/>
          </w:tcPr>
          <w:p>
            <w:pPr>
              <w:pStyle w:val="TableText"/>
              <w:jc w:val="left"/>
            </w:pPr>
            <w:r>
              <w:t xml:space="preserve">V9 Communication</w:t>
            </w:r>
          </w:p>
        </w:tc>
        <w:tc>
          <w:tcPr>
            <w:tcW w:w="1892" w:type="dxa"/>
            <w:vAlign w:val="top"/>
          </w:tcPr>
          <w:p>
            <w:pPr>
              <w:pStyle w:val="TableText"/>
              <w:jc w:val="left"/>
            </w:pPr>
            <w:r>
              <w:t xml:space="preserve">Infrastructure</w:t>
            </w:r>
          </w:p>
        </w:tc>
        <w:tc>
          <w:tcPr>
            <w:tcW w:w="2742" w:type="dxa"/>
            <w:vAlign w:val="top"/>
          </w:tcPr>
          <w:p>
            <w:pPr>
              <w:pStyle w:val="TableText"/>
              <w:jc w:val="left"/>
            </w:pPr>
            <w:r>
              <w:t xml:space="preserve">TLS at ingress; HSTS; TLS to the database</w:t>
            </w:r>
          </w:p>
        </w:tc>
        <w:tc>
          <w:tcPr>
            <w:tcW w:w="2422" w:type="dxa"/>
            <w:vAlign w:val="top"/>
          </w:tcPr>
          <w:p>
            <w:pPr>
              <w:pStyle w:val="TableText"/>
              <w:jc w:val="left"/>
            </w:pPr>
            <w:r>
              <w:t xml:space="preserve">mTLS to providers</w:t>
            </w:r>
          </w:p>
        </w:tc>
      </w:tr>
      <w:tr>
        <w:trPr>
          <w:cantSplit/>
        </w:trPr>
        <w:tc>
          <w:tcPr>
            <w:tcW w:w="1971" w:type="dxa"/>
            <w:shd w:val="clear" w:color="auto" w:fill="F4F7FB"/>
            <w:vAlign w:val="top"/>
          </w:tcPr>
          <w:p>
            <w:pPr>
              <w:pStyle w:val="TableText"/>
              <w:jc w:val="left"/>
            </w:pPr>
            <w:r>
              <w:t xml:space="preserve">V10 Malicious code</w:t>
            </w:r>
          </w:p>
        </w:tc>
        <w:tc>
          <w:tcPr>
            <w:tcW w:w="1892" w:type="dxa"/>
            <w:shd w:val="clear" w:color="auto" w:fill="F4F7FB"/>
            <w:vAlign w:val="top"/>
          </w:tcPr>
          <w:p>
            <w:pPr>
              <w:pStyle w:val="TableText"/>
              <w:jc w:val="left"/>
            </w:pPr>
            <w:r>
              <w:t xml:space="preserve">Implemented</w:t>
            </w:r>
          </w:p>
        </w:tc>
        <w:tc>
          <w:tcPr>
            <w:tcW w:w="2742" w:type="dxa"/>
            <w:shd w:val="clear" w:color="auto" w:fill="F4F7FB"/>
            <w:vAlign w:val="top"/>
          </w:tcPr>
          <w:p>
            <w:pPr>
              <w:pStyle w:val="TableText"/>
              <w:jc w:val="left"/>
            </w:pPr>
            <w:r>
              <w:t xml:space="preserve">Minimal dependencies; static analysis; dependency and secret scanning</w:t>
            </w:r>
          </w:p>
        </w:tc>
        <w:tc>
          <w:tcPr>
            <w:tcW w:w="2422" w:type="dxa"/>
            <w:shd w:val="clear" w:color="auto" w:fill="F4F7FB"/>
            <w:vAlign w:val="top"/>
          </w:tcPr>
          <w:p>
            <w:pPr>
              <w:pStyle w:val="TableText"/>
              <w:jc w:val="left"/>
            </w:pPr>
            <w:r>
              <w:t xml:space="preserve">None</w:t>
            </w:r>
          </w:p>
        </w:tc>
      </w:tr>
      <w:tr>
        <w:trPr>
          <w:cantSplit/>
        </w:trPr>
        <w:tc>
          <w:tcPr>
            <w:tcW w:w="1971" w:type="dxa"/>
            <w:vAlign w:val="top"/>
          </w:tcPr>
          <w:p>
            <w:pPr>
              <w:pStyle w:val="TableText"/>
              <w:jc w:val="left"/>
            </w:pPr>
            <w:r>
              <w:t xml:space="preserve">V11 Business logic</w:t>
            </w:r>
          </w:p>
        </w:tc>
        <w:tc>
          <w:tcPr>
            <w:tcW w:w="1892" w:type="dxa"/>
            <w:vAlign w:val="top"/>
          </w:tcPr>
          <w:p>
            <w:pPr>
              <w:pStyle w:val="TableText"/>
              <w:jc w:val="left"/>
            </w:pPr>
            <w:r>
              <w:t xml:space="preserve">Implemented</w:t>
            </w:r>
          </w:p>
        </w:tc>
        <w:tc>
          <w:tcPr>
            <w:tcW w:w="2742" w:type="dxa"/>
            <w:vAlign w:val="top"/>
          </w:tcPr>
          <w:p>
            <w:pPr>
              <w:pStyle w:val="TableText"/>
              <w:jc w:val="left"/>
            </w:pPr>
            <w:r>
              <w:t xml:space="preserve">Maker-checker; customer-only payment; idempotency; quote validity; inspection gate; caps; copy guard</w:t>
            </w:r>
          </w:p>
        </w:tc>
        <w:tc>
          <w:tcPr>
            <w:tcW w:w="2422" w:type="dxa"/>
            <w:noWrap/>
            <w:vAlign w:val="top"/>
          </w:tcPr>
          <w:p>
            <w:pPr>
              <w:pStyle w:val="TableText"/>
              <w:jc w:val="left"/>
            </w:pPr>
            <w:r>
              <w:t xml:space="preserve">SR-09</w:t>
            </w:r>
          </w:p>
        </w:tc>
      </w:tr>
      <w:tr>
        <w:trPr>
          <w:cantSplit/>
        </w:trPr>
        <w:tc>
          <w:tcPr>
            <w:tcW w:w="1971" w:type="dxa"/>
            <w:shd w:val="clear" w:color="auto" w:fill="F4F7FB"/>
            <w:vAlign w:val="top"/>
          </w:tcPr>
          <w:p>
            <w:pPr>
              <w:pStyle w:val="TableText"/>
              <w:jc w:val="left"/>
            </w:pPr>
            <w:r>
              <w:t xml:space="preserve">V12 Files</w:t>
            </w:r>
          </w:p>
        </w:tc>
        <w:tc>
          <w:tcPr>
            <w:tcW w:w="1892" w:type="dxa"/>
            <w:shd w:val="clear" w:color="auto" w:fill="F4F7FB"/>
            <w:vAlign w:val="top"/>
          </w:tcPr>
          <w:p>
            <w:pPr>
              <w:pStyle w:val="TableText"/>
              <w:jc w:val="left"/>
            </w:pPr>
            <w:r>
              <w:t xml:space="preserve">Implemented</w:t>
            </w:r>
          </w:p>
        </w:tc>
        <w:tc>
          <w:tcPr>
            <w:tcW w:w="2742" w:type="dxa"/>
            <w:shd w:val="clear" w:color="auto" w:fill="F4F7FB"/>
            <w:vAlign w:val="top"/>
          </w:tcPr>
          <w:p>
            <w:pPr>
              <w:pStyle w:val="TableText"/>
              <w:jc w:val="left"/>
            </w:pPr>
            <w:r>
              <w:t xml:space="preserve">No uploads today; path traversal guard; body limit</w:t>
            </w:r>
          </w:p>
        </w:tc>
        <w:tc>
          <w:tcPr>
            <w:tcW w:w="2422" w:type="dxa"/>
            <w:shd w:val="clear" w:color="auto" w:fill="F4F7FB"/>
            <w:vAlign w:val="top"/>
          </w:tcPr>
          <w:p>
            <w:pPr>
              <w:pStyle w:val="TableText"/>
              <w:jc w:val="left"/>
            </w:pPr>
            <w:r>
              <w:t xml:space="preserve">Claim photo uploads with scanning (planned)</w:t>
            </w:r>
          </w:p>
        </w:tc>
      </w:tr>
      <w:tr>
        <w:trPr>
          <w:cantSplit/>
        </w:trPr>
        <w:tc>
          <w:tcPr>
            <w:tcW w:w="1971" w:type="dxa"/>
            <w:vAlign w:val="top"/>
          </w:tcPr>
          <w:p>
            <w:pPr>
              <w:pStyle w:val="TableText"/>
              <w:jc w:val="left"/>
            </w:pPr>
            <w:r>
              <w:t xml:space="preserve">V13 API</w:t>
            </w:r>
          </w:p>
        </w:tc>
        <w:tc>
          <w:tcPr>
            <w:tcW w:w="1892" w:type="dxa"/>
            <w:vAlign w:val="top"/>
          </w:tcPr>
          <w:p>
            <w:pPr>
              <w:pStyle w:val="TableText"/>
              <w:jc w:val="left"/>
            </w:pPr>
            <w:r>
              <w:t xml:space="preserve">Partial</w:t>
            </w:r>
          </w:p>
        </w:tc>
        <w:tc>
          <w:tcPr>
            <w:tcW w:w="2742" w:type="dxa"/>
            <w:vAlign w:val="top"/>
          </w:tcPr>
          <w:p>
            <w:pPr>
              <w:pStyle w:val="TableText"/>
              <w:jc w:val="left"/>
            </w:pPr>
            <w:r>
              <w:t xml:space="preserve">OpenAPI generated from code; content-type enforcement; strict request schemas; versioned partner API with scopes</w:t>
            </w:r>
          </w:p>
        </w:tc>
        <w:tc>
          <w:tcPr>
            <w:tcW w:w="2422" w:type="dxa"/>
            <w:vAlign w:val="top"/>
          </w:tcPr>
          <w:p>
            <w:pPr>
              <w:pStyle w:val="TableText"/>
              <w:jc w:val="left"/>
            </w:pPr>
            <w:r>
              <w:t xml:space="preserve">Per-key quotas; response schemas</w:t>
            </w:r>
          </w:p>
        </w:tc>
      </w:tr>
      <w:tr>
        <w:trPr>
          <w:cantSplit/>
        </w:trPr>
        <w:tc>
          <w:tcPr>
            <w:tcW w:w="1971" w:type="dxa"/>
            <w:shd w:val="clear" w:color="auto" w:fill="F4F7FB"/>
            <w:vAlign w:val="top"/>
          </w:tcPr>
          <w:p>
            <w:pPr>
              <w:pStyle w:val="TableText"/>
              <w:jc w:val="left"/>
            </w:pPr>
            <w:r>
              <w:t xml:space="preserve">V14 Configuration</w:t>
            </w:r>
          </w:p>
        </w:tc>
        <w:tc>
          <w:tcPr>
            <w:tcW w:w="1892" w:type="dxa"/>
            <w:shd w:val="clear" w:color="auto" w:fill="F4F7FB"/>
            <w:vAlign w:val="top"/>
          </w:tcPr>
          <w:p>
            <w:pPr>
              <w:pStyle w:val="TableText"/>
              <w:jc w:val="left"/>
            </w:pPr>
            <w:r>
              <w:t xml:space="preserve">Implemented</w:t>
            </w:r>
          </w:p>
        </w:tc>
        <w:tc>
          <w:tcPr>
            <w:tcW w:w="2742" w:type="dxa"/>
            <w:shd w:val="clear" w:color="auto" w:fill="F4F7FB"/>
            <w:vAlign w:val="top"/>
          </w:tcPr>
          <w:p>
            <w:pPr>
              <w:pStyle w:val="TableText"/>
              <w:jc w:val="left"/>
            </w:pPr>
            <w:r>
              <w:t xml:space="preserve">Security headers; production fail-fast; non-root read-only container; SBOM; secrets as files</w:t>
            </w:r>
          </w:p>
        </w:tc>
        <w:tc>
          <w:tcPr>
            <w:tcW w:w="2422" w:type="dxa"/>
            <w:shd w:val="clear" w:color="auto" w:fill="F4F7FB"/>
            <w:vAlign w:val="top"/>
          </w:tcPr>
          <w:p>
            <w:pPr>
              <w:pStyle w:val="TableText"/>
              <w:jc w:val="left"/>
            </w:pPr>
            <w:r>
              <w:t xml:space="preserve">None</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32" w:name="_Toc300000028"/>
      <w:r>
        <w:rPr>
          <w:rStyle w:val="BookTitle"/>
          <w:bCs w:val="0"/>
          <w:i w:val="0"/>
          <w:iCs w:val="0"/>
          <w:spacing w:val="0"/>
        </w:rPr>
        <w:t xml:space="preserve">Security logging, monitoring and audit</w:t>
      </w:r>
      <w:bookmarkEnd w:id="32"/>
    </w:p>
    <w:p>
      <w:pPr>
        <w:pStyle w:val="FirstParagraph"/>
      </w:pPr>
      <w:r>
        <w:t xml:space="preserve">The audit trail is append-only and hash-chained (ADR-008). It records:</w:t>
      </w:r>
    </w:p>
    <w:p>
      <w:pPr>
        <w:pStyle w:val="Compact"/>
        <w:numPr>
          <w:ilvl w:val="0"/>
          <w:numId w:val="1002"/>
        </w:numPr>
      </w:pPr>
      <w:r>
        <w:t xml:space="preserve">sign-in, failures, lockouts, MFA enrolment and password changes;</w:t>
      </w:r>
    </w:p>
    <w:p>
      <w:pPr>
        <w:pStyle w:val="Compact"/>
        <w:numPr>
          <w:ilvl w:val="0"/>
          <w:numId w:val="1002"/>
        </w:numPr>
      </w:pPr>
      <w:r>
        <w:t xml:space="preserve">user and partner changes, key issue and revocation;</w:t>
      </w:r>
    </w:p>
    <w:p>
      <w:pPr>
        <w:pStyle w:val="Compact"/>
        <w:numPr>
          <w:ilvl w:val="0"/>
          <w:numId w:val="1002"/>
        </w:numPr>
      </w:pPr>
      <w:r>
        <w:t xml:space="preserve">rule drafts, submissions, approvals, rejections and catalogue sync proposals;</w:t>
      </w:r>
    </w:p>
    <w:p>
      <w:pPr>
        <w:pStyle w:val="Compact"/>
        <w:numPr>
          <w:ilvl w:val="0"/>
          <w:numId w:val="1002"/>
        </w:numPr>
      </w:pPr>
      <w:r>
        <w:t xml:space="preserve">data loads, profile views (with whether personal data was visible), corrections, consent changes, data quality resolutions;</w:t>
      </w:r>
    </w:p>
    <w:p>
      <w:pPr>
        <w:pStyle w:val="Compact"/>
        <w:numPr>
          <w:ilvl w:val="0"/>
          <w:numId w:val="1002"/>
        </w:numPr>
      </w:pPr>
      <w:r>
        <w:t xml:space="preserve">data-subject requests: register views, requests logged, viewed, started, identity verified, completed (export or erasure) and refused;</w:t>
      </w:r>
    </w:p>
    <w:p>
      <w:pPr>
        <w:pStyle w:val="Compact"/>
        <w:numPr>
          <w:ilvl w:val="0"/>
          <w:numId w:val="1002"/>
        </w:numPr>
      </w:pPr>
      <w:r>
        <w:t xml:space="preserve">quotes, re-rates, inspections, quotes sent to customers, completed and failed orders, claims and claim status changes;</w:t>
      </w:r>
    </w:p>
    <w:p>
      <w:pPr>
        <w:pStyle w:val="Compact"/>
        <w:numPr>
          <w:ilvl w:val="0"/>
          <w:numId w:val="1002"/>
        </w:numPr>
      </w:pPr>
      <w:r>
        <w:t xml:space="preserve">call outcomes, handoff updates, journey runs, ecosystem events, re-scoring and jobs.</w:t>
      </w:r>
    </w:p>
    <w:p>
      <w:pPr>
        <w:pStyle w:val="FirstParagraph"/>
      </w:pPr>
      <w:r>
        <w:t xml:space="preserve">Audit details hold ids, reasons and IP addresses, never names or phones. Security monitoring alerts on sign-in failure and lockout spikes, unusual 401, 403 and 429 rates, partner key misuse, a failed audit-chain probe, high erasure volume, rule approvals out of hours, every user management action, an open payment circuit and orders whose compensation failed. TGP-OPS-02 Monitoring and Alerting holds the alert rules. In production, logs, periodic audit exports and the hourly chain-head anchor are forwarded to the TASCO SIEM and to write-once storage.</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33" w:name="_Toc300000029"/>
      <w:r>
        <w:rPr>
          <w:rStyle w:val="BookTitle"/>
          <w:bCs w:val="0"/>
          <w:i w:val="0"/>
          <w:iCs w:val="0"/>
          <w:spacing w:val="0"/>
        </w:rPr>
        <w:t xml:space="preserve">Secure delivery pipeline</w:t>
      </w:r>
      <w:bookmarkEnd w:id="33"/>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3122"/>
        <w:gridCol w:w="3801"/>
        <w:gridCol w:w="2104"/>
      </w:tblGrid>
      <w:tr>
        <w:trPr>
          <w:cantSplit/>
          <w:tblHeader/>
        </w:trPr>
        <w:tc>
          <w:tcPr>
            <w:tcW w:w="3122" w:type="dxa"/>
            <w:shd w:val="clear" w:color="auto" w:fill="0F4761"/>
            <w:vAlign w:val="center"/>
          </w:tcPr>
          <w:p>
            <w:pPr>
              <w:pStyle w:val="TableHeading"/>
              <w:jc w:val="left"/>
            </w:pPr>
            <w:r>
              <w:rPr>
                <w:color w:val="FFFFFF"/>
              </w:rPr>
              <w:t xml:space="preserve">Control</w:t>
            </w:r>
          </w:p>
        </w:tc>
        <w:tc>
          <w:tcPr>
            <w:tcW w:w="3801" w:type="dxa"/>
            <w:shd w:val="clear" w:color="auto" w:fill="0F4761"/>
            <w:vAlign w:val="center"/>
          </w:tcPr>
          <w:p>
            <w:pPr>
              <w:pStyle w:val="TableHeading"/>
              <w:jc w:val="left"/>
            </w:pPr>
            <w:r>
              <w:rPr>
                <w:color w:val="FFFFFF"/>
              </w:rPr>
              <w:t xml:space="preserve">Tool</w:t>
            </w:r>
          </w:p>
        </w:tc>
        <w:tc>
          <w:tcPr>
            <w:tcW w:w="2104" w:type="dxa"/>
            <w:shd w:val="clear" w:color="auto" w:fill="0F4761"/>
            <w:vAlign w:val="center"/>
          </w:tcPr>
          <w:p>
            <w:pPr>
              <w:pStyle w:val="TableHeading"/>
              <w:jc w:val="left"/>
            </w:pPr>
            <w:r>
              <w:rPr>
                <w:color w:val="FFFFFF"/>
              </w:rPr>
              <w:t xml:space="preserve">Gate</w:t>
            </w:r>
          </w:p>
        </w:tc>
      </w:tr>
      <w:tr>
        <w:trPr>
          <w:cantSplit/>
        </w:trPr>
        <w:tc>
          <w:tcPr>
            <w:tcW w:w="3122" w:type="dxa"/>
            <w:vAlign w:val="top"/>
          </w:tcPr>
          <w:p>
            <w:pPr>
              <w:pStyle w:val="TableText"/>
              <w:jc w:val="left"/>
            </w:pPr>
            <w:r>
              <w:t xml:space="preserve">Lint, including unsafe-code rules</w:t>
            </w:r>
          </w:p>
        </w:tc>
        <w:tc>
          <w:tcPr>
            <w:tcW w:w="3801" w:type="dxa"/>
            <w:vAlign w:val="top"/>
          </w:tcPr>
          <w:p>
            <w:pPr>
              <w:pStyle w:val="TableText"/>
              <w:jc w:val="left"/>
            </w:pPr>
            <w:r>
              <w:t xml:space="preserve">ESLint 9</w:t>
            </w:r>
          </w:p>
        </w:tc>
        <w:tc>
          <w:tcPr>
            <w:tcW w:w="2104" w:type="dxa"/>
            <w:vAlign w:val="top"/>
          </w:tcPr>
          <w:p>
            <w:pPr>
              <w:pStyle w:val="TableText"/>
              <w:jc w:val="left"/>
            </w:pPr>
            <w:r>
              <w:t xml:space="preserve">Any error fails</w:t>
            </w:r>
          </w:p>
        </w:tc>
      </w:tr>
      <w:tr>
        <w:trPr>
          <w:cantSplit/>
        </w:trPr>
        <w:tc>
          <w:tcPr>
            <w:tcW w:w="3122" w:type="dxa"/>
            <w:shd w:val="clear" w:color="auto" w:fill="F4F7FB"/>
            <w:vAlign w:val="top"/>
          </w:tcPr>
          <w:p>
            <w:pPr>
              <w:pStyle w:val="TableText"/>
              <w:jc w:val="left"/>
            </w:pPr>
            <w:r>
              <w:t xml:space="preserve">Unit, integration, API, security and functional tests with coverage</w:t>
            </w:r>
          </w:p>
        </w:tc>
        <w:tc>
          <w:tcPr>
            <w:tcW w:w="3801" w:type="dxa"/>
            <w:shd w:val="clear" w:color="auto" w:fill="F4F7FB"/>
            <w:vAlign w:val="top"/>
          </w:tcPr>
          <w:p>
            <w:pPr>
              <w:pStyle w:val="TableText"/>
              <w:jc w:val="left"/>
            </w:pPr>
            <w:r>
              <w:t xml:space="preserve">Node.js test runner; gates 80% lines, 70% branches, 80% functions</w:t>
            </w:r>
          </w:p>
        </w:tc>
        <w:tc>
          <w:tcPr>
            <w:tcW w:w="2104" w:type="dxa"/>
            <w:shd w:val="clear" w:color="auto" w:fill="F4F7FB"/>
            <w:vAlign w:val="top"/>
          </w:tcPr>
          <w:p>
            <w:pPr>
              <w:pStyle w:val="TableText"/>
              <w:jc w:val="left"/>
            </w:pPr>
            <w:r>
              <w:t xml:space="preserve">Any failure fails</w:t>
            </w:r>
          </w:p>
        </w:tc>
      </w:tr>
      <w:tr>
        <w:trPr>
          <w:cantSplit/>
        </w:trPr>
        <w:tc>
          <w:tcPr>
            <w:tcW w:w="3122" w:type="dxa"/>
            <w:vAlign w:val="top"/>
          </w:tcPr>
          <w:p>
            <w:pPr>
              <w:pStyle w:val="TableText"/>
              <w:jc w:val="left"/>
            </w:pPr>
            <w:r>
              <w:t xml:space="preserve">PostgreSQL behaviour</w:t>
            </w:r>
          </w:p>
        </w:tc>
        <w:tc>
          <w:tcPr>
            <w:tcW w:w="3801" w:type="dxa"/>
            <w:vAlign w:val="top"/>
          </w:tcPr>
          <w:p>
            <w:pPr>
              <w:pStyle w:val="TableText"/>
              <w:jc w:val="left"/>
            </w:pPr>
            <w:r>
              <w:t xml:space="preserve">Separate suite against a PostgreSQL service container</w:t>
            </w:r>
          </w:p>
        </w:tc>
        <w:tc>
          <w:tcPr>
            <w:tcW w:w="2104" w:type="dxa"/>
            <w:vAlign w:val="top"/>
          </w:tcPr>
          <w:p>
            <w:pPr>
              <w:pStyle w:val="TableText"/>
              <w:jc w:val="left"/>
            </w:pPr>
            <w:r>
              <w:t xml:space="preserve">Any failure fails</w:t>
            </w:r>
          </w:p>
        </w:tc>
      </w:tr>
      <w:tr>
        <w:trPr>
          <w:cantSplit/>
        </w:trPr>
        <w:tc>
          <w:tcPr>
            <w:tcW w:w="3122" w:type="dxa"/>
            <w:shd w:val="clear" w:color="auto" w:fill="F4F7FB"/>
            <w:vAlign w:val="top"/>
          </w:tcPr>
          <w:p>
            <w:pPr>
              <w:pStyle w:val="TableText"/>
              <w:jc w:val="left"/>
            </w:pPr>
            <w:r>
              <w:t xml:space="preserve">OpenAPI contract</w:t>
            </w:r>
          </w:p>
        </w:tc>
        <w:tc>
          <w:tcPr>
            <w:tcW w:w="3801" w:type="dxa"/>
            <w:shd w:val="clear" w:color="auto" w:fill="F4F7FB"/>
            <w:vAlign w:val="top"/>
          </w:tcPr>
          <w:p>
            <w:pPr>
              <w:pStyle w:val="TableText"/>
              <w:jc w:val="left"/>
            </w:pPr>
            <w:r>
              <w:t xml:space="preserve">Generated specification compared with the committed one</w:t>
            </w:r>
          </w:p>
        </w:tc>
        <w:tc>
          <w:tcPr>
            <w:tcW w:w="2104" w:type="dxa"/>
            <w:shd w:val="clear" w:color="auto" w:fill="F4F7FB"/>
            <w:vAlign w:val="top"/>
          </w:tcPr>
          <w:p>
            <w:pPr>
              <w:pStyle w:val="TableText"/>
              <w:jc w:val="left"/>
            </w:pPr>
            <w:r>
              <w:t xml:space="preserve">Drift fails</w:t>
            </w:r>
          </w:p>
        </w:tc>
      </w:tr>
      <w:tr>
        <w:trPr>
          <w:cantSplit/>
        </w:trPr>
        <w:tc>
          <w:tcPr>
            <w:tcW w:w="3122" w:type="dxa"/>
            <w:vAlign w:val="top"/>
          </w:tcPr>
          <w:p>
            <w:pPr>
              <w:pStyle w:val="TableText"/>
              <w:jc w:val="left"/>
            </w:pPr>
            <w:r>
              <w:t xml:space="preserve">Performance smoke</w:t>
            </w:r>
          </w:p>
        </w:tc>
        <w:tc>
          <w:tcPr>
            <w:tcW w:w="3801" w:type="dxa"/>
            <w:vAlign w:val="top"/>
          </w:tcPr>
          <w:p>
            <w:pPr>
              <w:pStyle w:val="TableText"/>
              <w:jc w:val="left"/>
            </w:pPr>
            <w:r>
              <w:t xml:space="preserve">Load smoke with a 95th percentile budget</w:t>
            </w:r>
          </w:p>
        </w:tc>
        <w:tc>
          <w:tcPr>
            <w:tcW w:w="2104" w:type="dxa"/>
            <w:vAlign w:val="top"/>
          </w:tcPr>
          <w:p>
            <w:pPr>
              <w:pStyle w:val="TableText"/>
              <w:jc w:val="left"/>
            </w:pPr>
            <w:r>
              <w:t xml:space="preserve">Breach fails</w:t>
            </w:r>
          </w:p>
        </w:tc>
      </w:tr>
      <w:tr>
        <w:trPr>
          <w:cantSplit/>
        </w:trPr>
        <w:tc>
          <w:tcPr>
            <w:tcW w:w="3122" w:type="dxa"/>
            <w:shd w:val="clear" w:color="auto" w:fill="F4F7FB"/>
            <w:vAlign w:val="top"/>
          </w:tcPr>
          <w:p>
            <w:pPr>
              <w:pStyle w:val="TableText"/>
              <w:jc w:val="left"/>
            </w:pPr>
            <w:r>
              <w:t xml:space="preserve">Static analysis</w:t>
            </w:r>
          </w:p>
        </w:tc>
        <w:tc>
          <w:tcPr>
            <w:tcW w:w="3801" w:type="dxa"/>
            <w:shd w:val="clear" w:color="auto" w:fill="F4F7FB"/>
            <w:vAlign w:val="top"/>
          </w:tcPr>
          <w:p>
            <w:pPr>
              <w:pStyle w:val="TableText"/>
              <w:jc w:val="left"/>
            </w:pPr>
            <w:r>
              <w:t xml:space="preserve">CodeQL for JavaScript</w:t>
            </w:r>
          </w:p>
        </w:tc>
        <w:tc>
          <w:tcPr>
            <w:tcW w:w="2104" w:type="dxa"/>
            <w:shd w:val="clear" w:color="auto" w:fill="F4F7FB"/>
            <w:vAlign w:val="top"/>
          </w:tcPr>
          <w:p>
            <w:pPr>
              <w:pStyle w:val="TableText"/>
              <w:jc w:val="left"/>
            </w:pPr>
            <w:r>
              <w:t xml:space="preserve">New high or critical finding fails</w:t>
            </w:r>
          </w:p>
        </w:tc>
      </w:tr>
      <w:tr>
        <w:trPr>
          <w:cantSplit/>
        </w:trPr>
        <w:tc>
          <w:tcPr>
            <w:tcW w:w="3122" w:type="dxa"/>
            <w:vAlign w:val="top"/>
          </w:tcPr>
          <w:p>
            <w:pPr>
              <w:pStyle w:val="TableText"/>
              <w:jc w:val="left"/>
            </w:pPr>
            <w:r>
              <w:t xml:space="preserve">Dependencies</w:t>
            </w:r>
          </w:p>
        </w:tc>
        <w:tc>
          <w:tcPr>
            <w:tcW w:w="3801" w:type="dxa"/>
            <w:vAlign w:val="top"/>
          </w:tcPr>
          <w:p>
            <w:pPr>
              <w:pStyle w:val="TableText"/>
              <w:jc w:val="left"/>
            </w:pPr>
            <w:r>
              <w:rPr>
                <w:rStyle w:val="CodeChar"/>
              </w:rPr>
              <w:t xml:space="preserve">npm audit</w:t>
            </w:r>
            <w:r>
              <w:t xml:space="preserve"> </w:t>
            </w:r>
            <w:r>
              <w:t xml:space="preserve">for production dependencies; dependency review</w:t>
            </w:r>
          </w:p>
        </w:tc>
        <w:tc>
          <w:tcPr>
            <w:tcW w:w="2104" w:type="dxa"/>
            <w:vAlign w:val="top"/>
          </w:tcPr>
          <w:p>
            <w:pPr>
              <w:pStyle w:val="TableText"/>
              <w:jc w:val="left"/>
            </w:pPr>
            <w:r>
              <w:t xml:space="preserve">High or above fails</w:t>
            </w:r>
          </w:p>
        </w:tc>
      </w:tr>
      <w:tr>
        <w:trPr>
          <w:cantSplit/>
        </w:trPr>
        <w:tc>
          <w:tcPr>
            <w:tcW w:w="3122" w:type="dxa"/>
            <w:shd w:val="clear" w:color="auto" w:fill="F4F7FB"/>
            <w:vAlign w:val="top"/>
          </w:tcPr>
          <w:p>
            <w:pPr>
              <w:pStyle w:val="TableText"/>
              <w:jc w:val="left"/>
            </w:pPr>
            <w:r>
              <w:t xml:space="preserve">Secrets</w:t>
            </w:r>
          </w:p>
        </w:tc>
        <w:tc>
          <w:tcPr>
            <w:tcW w:w="3801" w:type="dxa"/>
            <w:shd w:val="clear" w:color="auto" w:fill="F4F7FB"/>
            <w:vAlign w:val="top"/>
          </w:tcPr>
          <w:p>
            <w:pPr>
              <w:pStyle w:val="TableText"/>
              <w:jc w:val="left"/>
            </w:pPr>
            <w:r>
              <w:t xml:space="preserve">gitleaks</w:t>
            </w:r>
          </w:p>
        </w:tc>
        <w:tc>
          <w:tcPr>
            <w:tcW w:w="2104" w:type="dxa"/>
            <w:shd w:val="clear" w:color="auto" w:fill="F4F7FB"/>
            <w:vAlign w:val="top"/>
          </w:tcPr>
          <w:p>
            <w:pPr>
              <w:pStyle w:val="TableText"/>
              <w:jc w:val="left"/>
            </w:pPr>
            <w:r>
              <w:t xml:space="preserve">Any finding fails</w:t>
            </w:r>
          </w:p>
        </w:tc>
      </w:tr>
      <w:tr>
        <w:trPr>
          <w:cantSplit/>
        </w:trPr>
        <w:tc>
          <w:tcPr>
            <w:tcW w:w="3122" w:type="dxa"/>
            <w:vAlign w:val="top"/>
          </w:tcPr>
          <w:p>
            <w:pPr>
              <w:pStyle w:val="TableText"/>
              <w:jc w:val="left"/>
            </w:pPr>
            <w:r>
              <w:t xml:space="preserve">Container</w:t>
            </w:r>
          </w:p>
        </w:tc>
        <w:tc>
          <w:tcPr>
            <w:tcW w:w="3801" w:type="dxa"/>
            <w:vAlign w:val="top"/>
          </w:tcPr>
          <w:p>
            <w:pPr>
              <w:pStyle w:val="TableText"/>
              <w:jc w:val="left"/>
            </w:pPr>
            <w:r>
              <w:t xml:space="preserve">Trivy (operating system and packages)</w:t>
            </w:r>
          </w:p>
        </w:tc>
        <w:tc>
          <w:tcPr>
            <w:tcW w:w="2104" w:type="dxa"/>
            <w:vAlign w:val="top"/>
          </w:tcPr>
          <w:p>
            <w:pPr>
              <w:pStyle w:val="TableText"/>
              <w:jc w:val="left"/>
            </w:pPr>
            <w:r>
              <w:t xml:space="preserve">Fixable high or critical fails</w:t>
            </w:r>
          </w:p>
        </w:tc>
      </w:tr>
      <w:tr>
        <w:trPr>
          <w:cantSplit/>
        </w:trPr>
        <w:tc>
          <w:tcPr>
            <w:tcW w:w="3122" w:type="dxa"/>
            <w:shd w:val="clear" w:color="auto" w:fill="F4F7FB"/>
            <w:vAlign w:val="top"/>
          </w:tcPr>
          <w:p>
            <w:pPr>
              <w:pStyle w:val="TableText"/>
              <w:jc w:val="left"/>
            </w:pPr>
            <w:r>
              <w:t xml:space="preserve">Dynamic scan</w:t>
            </w:r>
          </w:p>
        </w:tc>
        <w:tc>
          <w:tcPr>
            <w:tcW w:w="3801" w:type="dxa"/>
            <w:shd w:val="clear" w:color="auto" w:fill="F4F7FB"/>
            <w:vAlign w:val="top"/>
          </w:tcPr>
          <w:p>
            <w:pPr>
              <w:pStyle w:val="TableText"/>
              <w:jc w:val="left"/>
            </w:pPr>
            <w:r>
              <w:t xml:space="preserve">OWASP ZAP baseline driven by the OpenAPI document</w:t>
            </w:r>
          </w:p>
        </w:tc>
        <w:tc>
          <w:tcPr>
            <w:tcW w:w="2104" w:type="dxa"/>
            <w:shd w:val="clear" w:color="auto" w:fill="F4F7FB"/>
            <w:vAlign w:val="top"/>
          </w:tcPr>
          <w:p>
            <w:pPr>
              <w:pStyle w:val="TableText"/>
              <w:jc w:val="left"/>
            </w:pPr>
            <w:r>
              <w:t xml:space="preserve">High alerts fail</w:t>
            </w:r>
          </w:p>
        </w:tc>
      </w:tr>
      <w:tr>
        <w:trPr>
          <w:cantSplit/>
        </w:trPr>
        <w:tc>
          <w:tcPr>
            <w:tcW w:w="3122" w:type="dxa"/>
            <w:vAlign w:val="top"/>
          </w:tcPr>
          <w:p>
            <w:pPr>
              <w:pStyle w:val="TableText"/>
              <w:jc w:val="left"/>
            </w:pPr>
            <w:r>
              <w:t xml:space="preserve">SBOM</w:t>
            </w:r>
          </w:p>
        </w:tc>
        <w:tc>
          <w:tcPr>
            <w:tcW w:w="3801" w:type="dxa"/>
            <w:vAlign w:val="top"/>
          </w:tcPr>
          <w:p>
            <w:pPr>
              <w:pStyle w:val="TableText"/>
              <w:jc w:val="left"/>
            </w:pPr>
            <w:r>
              <w:t xml:space="preserve">CycloneDX attached to the build</w:t>
            </w:r>
          </w:p>
        </w:tc>
        <w:tc>
          <w:tcPr>
            <w:tcW w:w="2104" w:type="dxa"/>
            <w:vAlign w:val="top"/>
          </w:tcPr>
          <w:p>
            <w:pPr>
              <w:pStyle w:val="TableText"/>
              <w:jc w:val="left"/>
            </w:pPr>
            <w:r>
              <w:t xml:space="preserve">Must exist</w:t>
            </w:r>
          </w:p>
        </w:tc>
      </w:tr>
    </w:tbl>
    <w:p>
      <w:pPr>
        <w:pStyle w:val="BodyText"/>
        <w:spacing w:before="160"/>
      </w:pPr>
      <w:r>
        <w:t xml:space="preserve">The latest recorded run, on 08/10/2026, executed 271 tests: 268 passed, none failed and 3 are marked to-do (manual or roadmap scenarios). Line coverage is above 99%, and ESLint reported no errors; the exact coverage figures are in TGP-QA-01 Test Strategy. The PostgreSQL suite of 8 tests runs separately. Results are recorded in the test cases and results workbook (TGP-QA-02 Test Case Catalogue). Changes to cryptography, the HTTP pipeline, security configuration and migrations require a security reviewer; a code-owners file will enforce this.</w:t>
      </w:r>
    </w:p>
    <w:p>
      <w:pPr>
        <w:spacing w:before="0" w:after="0" w:line="20" w:lineRule="exact"/>
        <w:rPr>
          <w:sz w:val="2"/>
        </w:rPr>
        <w:sectPr>
          <w:footerReference w:type="default" r:id="rId14"/>
          <w:headerReference w:type="first" r:id="rId15"/>
          <w:footerReference w:type="first" r:id="rId16"/>
          <w:pgSz w:w="11907" w:h="16839" w:code="9"/>
          <w:pgMar w:top="1440" w:right="1440" w:bottom="1440" w:left="1440" w:header="1134" w:footer="0" w:gutter="0"/>
          <w:cols w:space="720"/>
          <w:docGrid w:linePitch="360"/>
        </w:sectPr>
      </w:pP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34" w:name="_Toc300000030"/>
      <w:r>
        <w:rPr>
          <w:rStyle w:val="BookTitle"/>
          <w:bCs w:val="0"/>
          <w:i w:val="0"/>
          <w:iCs w:val="0"/>
          <w:spacing w:val="0"/>
        </w:rPr>
        <w:t xml:space="preserve">Security controls and residual risks</w:t>
      </w:r>
      <w:bookmarkEnd w:id="34"/>
    </w:p>
    <w:p>
      <w:pPr>
        <w:pStyle w:val="FirstParagraph"/>
      </w:pPr>
      <w:r>
        <w:t xml:space="preserve">The table lists the residual risks that remain after the controls in this document, with the treatment, owner and target. Risks are reviewed at each release and before go-live.</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834"/>
        <w:gridCol w:w="3610"/>
        <w:gridCol w:w="3350"/>
        <w:gridCol w:w="3181"/>
        <w:gridCol w:w="1514"/>
        <w:gridCol w:w="1470"/>
      </w:tblGrid>
      <w:tr>
        <w:trPr>
          <w:cantSplit/>
          <w:tblHeader/>
        </w:trPr>
        <w:tc>
          <w:tcPr>
            <w:tcW w:w="834" w:type="dxa"/>
            <w:shd w:val="clear" w:color="auto" w:fill="0F4761"/>
            <w:vAlign w:val="center"/>
          </w:tcPr>
          <w:p>
            <w:pPr>
              <w:pStyle w:val="TableHeading"/>
              <w:jc w:val="left"/>
            </w:pPr>
            <w:r>
              <w:rPr>
                <w:color w:val="FFFFFF"/>
              </w:rPr>
              <w:t xml:space="preserve">ID</w:t>
            </w:r>
          </w:p>
        </w:tc>
        <w:tc>
          <w:tcPr>
            <w:tcW w:w="3610" w:type="dxa"/>
            <w:shd w:val="clear" w:color="auto" w:fill="0F4761"/>
            <w:vAlign w:val="center"/>
          </w:tcPr>
          <w:p>
            <w:pPr>
              <w:pStyle w:val="TableHeading"/>
              <w:jc w:val="left"/>
            </w:pPr>
            <w:r>
              <w:rPr>
                <w:color w:val="FFFFFF"/>
              </w:rPr>
              <w:t xml:space="preserve">Residual risk</w:t>
            </w:r>
          </w:p>
        </w:tc>
        <w:tc>
          <w:tcPr>
            <w:tcW w:w="3350" w:type="dxa"/>
            <w:shd w:val="clear" w:color="auto" w:fill="0F4761"/>
            <w:vAlign w:val="center"/>
          </w:tcPr>
          <w:p>
            <w:pPr>
              <w:pStyle w:val="TableHeading"/>
              <w:jc w:val="left"/>
            </w:pPr>
            <w:r>
              <w:rPr>
                <w:color w:val="FFFFFF"/>
              </w:rPr>
              <w:t xml:space="preserve">Control in place</w:t>
            </w:r>
          </w:p>
        </w:tc>
        <w:tc>
          <w:tcPr>
            <w:tcW w:w="3181" w:type="dxa"/>
            <w:shd w:val="clear" w:color="auto" w:fill="0F4761"/>
            <w:vAlign w:val="center"/>
          </w:tcPr>
          <w:p>
            <w:pPr>
              <w:pStyle w:val="TableHeading"/>
              <w:jc w:val="left"/>
            </w:pPr>
            <w:r>
              <w:rPr>
                <w:color w:val="FFFFFF"/>
              </w:rPr>
              <w:t xml:space="preserve">Treatment</w:t>
            </w:r>
          </w:p>
        </w:tc>
        <w:tc>
          <w:tcPr>
            <w:tcW w:w="1514" w:type="dxa"/>
            <w:shd w:val="clear" w:color="auto" w:fill="0F4761"/>
            <w:vAlign w:val="center"/>
          </w:tcPr>
          <w:p>
            <w:pPr>
              <w:pStyle w:val="TableHeading"/>
              <w:jc w:val="left"/>
            </w:pPr>
            <w:r>
              <w:rPr>
                <w:color w:val="FFFFFF"/>
              </w:rPr>
              <w:t xml:space="preserve">Owner</w:t>
            </w:r>
          </w:p>
        </w:tc>
        <w:tc>
          <w:tcPr>
            <w:tcW w:w="1470" w:type="dxa"/>
            <w:shd w:val="clear" w:color="auto" w:fill="0F4761"/>
            <w:vAlign w:val="center"/>
          </w:tcPr>
          <w:p>
            <w:pPr>
              <w:pStyle w:val="TableHeading"/>
              <w:jc w:val="left"/>
            </w:pPr>
            <w:r>
              <w:rPr>
                <w:color w:val="FFFFFF"/>
              </w:rPr>
              <w:t xml:space="preserve">Target</w:t>
            </w:r>
          </w:p>
        </w:tc>
      </w:tr>
      <w:tr>
        <w:trPr>
          <w:cantSplit/>
        </w:trPr>
        <w:tc>
          <w:tcPr>
            <w:tcW w:w="834" w:type="dxa"/>
            <w:noWrap/>
            <w:vAlign w:val="top"/>
          </w:tcPr>
          <w:p>
            <w:pPr>
              <w:pStyle w:val="TableText"/>
              <w:jc w:val="left"/>
            </w:pPr>
            <w:r>
              <w:t xml:space="preserve">SR-01</w:t>
            </w:r>
          </w:p>
        </w:tc>
        <w:tc>
          <w:tcPr>
            <w:tcW w:w="3610" w:type="dxa"/>
            <w:vAlign w:val="top"/>
          </w:tcPr>
          <w:p>
            <w:pPr>
              <w:pStyle w:val="TableText"/>
              <w:jc w:val="left"/>
            </w:pPr>
            <w:r>
              <w:t xml:space="preserve">One administrator can grant a privileged role</w:t>
            </w:r>
          </w:p>
        </w:tc>
        <w:tc>
          <w:tcPr>
            <w:tcW w:w="3350" w:type="dxa"/>
            <w:vAlign w:val="top"/>
          </w:tcPr>
          <w:p>
            <w:pPr>
              <w:pStyle w:val="TableText"/>
              <w:jc w:val="left"/>
            </w:pPr>
            <w:r>
              <w:t xml:space="preserve">No self role change; forbidden role pairs; all changes audited</w:t>
            </w:r>
          </w:p>
        </w:tc>
        <w:tc>
          <w:tcPr>
            <w:tcW w:w="3181" w:type="dxa"/>
            <w:vAlign w:val="top"/>
          </w:tcPr>
          <w:p>
            <w:pPr>
              <w:pStyle w:val="TableText"/>
              <w:jc w:val="left"/>
            </w:pPr>
            <w:r>
              <w:t xml:space="preserve">Second approver and alert for privileged grants</w:t>
            </w:r>
          </w:p>
        </w:tc>
        <w:tc>
          <w:tcPr>
            <w:tcW w:w="1514" w:type="dxa"/>
            <w:vAlign w:val="top"/>
          </w:tcPr>
          <w:p>
            <w:pPr>
              <w:pStyle w:val="TableText"/>
              <w:jc w:val="left"/>
            </w:pPr>
            <w:r>
              <w:t xml:space="preserve">iorta TechNXT</w:t>
            </w:r>
          </w:p>
        </w:tc>
        <w:tc>
          <w:tcPr>
            <w:tcW w:w="1470" w:type="dxa"/>
            <w:vAlign w:val="top"/>
          </w:tcPr>
          <w:p>
            <w:pPr>
              <w:pStyle w:val="TableText"/>
              <w:jc w:val="left"/>
            </w:pPr>
            <w:r>
              <w:t xml:space="preserve">Before go-live</w:t>
            </w:r>
          </w:p>
        </w:tc>
      </w:tr>
      <w:tr>
        <w:trPr>
          <w:cantSplit/>
        </w:trPr>
        <w:tc>
          <w:tcPr>
            <w:tcW w:w="834" w:type="dxa"/>
            <w:shd w:val="clear" w:color="auto" w:fill="F4F7FB"/>
            <w:noWrap/>
            <w:vAlign w:val="top"/>
          </w:tcPr>
          <w:p>
            <w:pPr>
              <w:pStyle w:val="TableText"/>
              <w:jc w:val="left"/>
            </w:pPr>
            <w:r>
              <w:t xml:space="preserve">SR-02</w:t>
            </w:r>
          </w:p>
        </w:tc>
        <w:tc>
          <w:tcPr>
            <w:tcW w:w="3610" w:type="dxa"/>
            <w:shd w:val="clear" w:color="auto" w:fill="F4F7FB"/>
            <w:vAlign w:val="top"/>
          </w:tcPr>
          <w:p>
            <w:pPr>
              <w:pStyle w:val="TableText"/>
              <w:jc w:val="left"/>
            </w:pPr>
            <w:r>
              <w:t xml:space="preserve">Logout and in-process rate limits are per pod</w:t>
            </w:r>
          </w:p>
        </w:tc>
        <w:tc>
          <w:tcPr>
            <w:tcW w:w="3350" w:type="dxa"/>
            <w:shd w:val="clear" w:color="auto" w:fill="F4F7FB"/>
            <w:vAlign w:val="top"/>
          </w:tcPr>
          <w:p>
            <w:pPr>
              <w:pStyle w:val="TableText"/>
              <w:jc w:val="left"/>
            </w:pPr>
            <w:r>
              <w:t xml:space="preserve">Shared edge rate limit; credential and role changes revoke tokens on all pods</w:t>
            </w:r>
          </w:p>
        </w:tc>
        <w:tc>
          <w:tcPr>
            <w:tcW w:w="3181" w:type="dxa"/>
            <w:shd w:val="clear" w:color="auto" w:fill="F4F7FB"/>
            <w:vAlign w:val="top"/>
          </w:tcPr>
          <w:p>
            <w:pPr>
              <w:pStyle w:val="TableText"/>
              <w:jc w:val="left"/>
            </w:pPr>
            <w:r>
              <w:t xml:space="preserve">Shared revocation list; per-partner quotas at the gateway</w:t>
            </w:r>
          </w:p>
        </w:tc>
        <w:tc>
          <w:tcPr>
            <w:tcW w:w="1514" w:type="dxa"/>
            <w:shd w:val="clear" w:color="auto" w:fill="F4F7FB"/>
            <w:vAlign w:val="top"/>
          </w:tcPr>
          <w:p>
            <w:pPr>
              <w:pStyle w:val="TableText"/>
              <w:jc w:val="left"/>
            </w:pPr>
            <w:r>
              <w:t xml:space="preserve">iorta TechNXT, TASCO IT</w:t>
            </w:r>
          </w:p>
        </w:tc>
        <w:tc>
          <w:tcPr>
            <w:tcW w:w="1470" w:type="dxa"/>
            <w:shd w:val="clear" w:color="auto" w:fill="F4F7FB"/>
            <w:vAlign w:val="top"/>
          </w:tcPr>
          <w:p>
            <w:pPr>
              <w:pStyle w:val="TableText"/>
              <w:jc w:val="left"/>
            </w:pPr>
            <w:r>
              <w:t xml:space="preserve">Before go-live</w:t>
            </w:r>
          </w:p>
        </w:tc>
      </w:tr>
      <w:tr>
        <w:trPr>
          <w:cantSplit/>
        </w:trPr>
        <w:tc>
          <w:tcPr>
            <w:tcW w:w="834" w:type="dxa"/>
            <w:noWrap/>
            <w:vAlign w:val="top"/>
          </w:tcPr>
          <w:p>
            <w:pPr>
              <w:pStyle w:val="TableText"/>
              <w:jc w:val="left"/>
            </w:pPr>
            <w:r>
              <w:t xml:space="preserve">SR-03</w:t>
            </w:r>
          </w:p>
        </w:tc>
        <w:tc>
          <w:tcPr>
            <w:tcW w:w="3610" w:type="dxa"/>
            <w:vAlign w:val="top"/>
          </w:tcPr>
          <w:p>
            <w:pPr>
              <w:pStyle w:val="TableText"/>
              <w:jc w:val="left"/>
            </w:pPr>
            <w:r>
              <w:t xml:space="preserve">A partner quote can reveal a known vehicle’s expiry; partner data can influence the golden record</w:t>
            </w:r>
          </w:p>
        </w:tc>
        <w:tc>
          <w:tcPr>
            <w:tcW w:w="3350" w:type="dxa"/>
            <w:vAlign w:val="top"/>
          </w:tcPr>
          <w:p>
            <w:pPr>
              <w:pStyle w:val="TableText"/>
              <w:jc w:val="left"/>
            </w:pPr>
            <w:r>
              <w:t xml:space="preserve">Scopes and ownership; lower partner trust; no partner marketing consent</w:t>
            </w:r>
          </w:p>
        </w:tc>
        <w:tc>
          <w:tcPr>
            <w:tcW w:w="3181" w:type="dxa"/>
            <w:vAlign w:val="top"/>
          </w:tcPr>
          <w:p>
            <w:pPr>
              <w:pStyle w:val="TableText"/>
              <w:jc w:val="left"/>
            </w:pPr>
            <w:r>
              <w:t xml:space="preserve">Price-only quotes for existing plates; hold partner phones until verified</w:t>
            </w:r>
          </w:p>
        </w:tc>
        <w:tc>
          <w:tcPr>
            <w:tcW w:w="1514" w:type="dxa"/>
            <w:vAlign w:val="top"/>
          </w:tcPr>
          <w:p>
            <w:pPr>
              <w:pStyle w:val="TableText"/>
              <w:jc w:val="left"/>
            </w:pPr>
            <w:r>
              <w:t xml:space="preserve">iorta TechNXT</w:t>
            </w:r>
          </w:p>
        </w:tc>
        <w:tc>
          <w:tcPr>
            <w:tcW w:w="1470" w:type="dxa"/>
            <w:vAlign w:val="top"/>
          </w:tcPr>
          <w:p>
            <w:pPr>
              <w:pStyle w:val="TableText"/>
              <w:jc w:val="left"/>
            </w:pPr>
            <w:r>
              <w:t xml:space="preserve">Before partner go-live</w:t>
            </w:r>
          </w:p>
        </w:tc>
      </w:tr>
      <w:tr>
        <w:trPr>
          <w:cantSplit/>
        </w:trPr>
        <w:tc>
          <w:tcPr>
            <w:tcW w:w="834" w:type="dxa"/>
            <w:shd w:val="clear" w:color="auto" w:fill="F4F7FB"/>
            <w:noWrap/>
            <w:vAlign w:val="top"/>
          </w:tcPr>
          <w:p>
            <w:pPr>
              <w:pStyle w:val="TableText"/>
              <w:jc w:val="left"/>
            </w:pPr>
            <w:r>
              <w:t xml:space="preserve">SR-04</w:t>
            </w:r>
          </w:p>
        </w:tc>
        <w:tc>
          <w:tcPr>
            <w:tcW w:w="3610" w:type="dxa"/>
            <w:shd w:val="clear" w:color="auto" w:fill="F4F7FB"/>
            <w:vAlign w:val="top"/>
          </w:tcPr>
          <w:p>
            <w:pPr>
              <w:pStyle w:val="TableText"/>
              <w:jc w:val="left"/>
            </w:pPr>
            <w:r>
              <w:t xml:space="preserve">A few staff routes lack record-level checks (policy list, voice turns, rule simulation)</w:t>
            </w:r>
          </w:p>
        </w:tc>
        <w:tc>
          <w:tcPr>
            <w:tcW w:w="3350" w:type="dxa"/>
            <w:shd w:val="clear" w:color="auto" w:fill="F4F7FB"/>
            <w:vAlign w:val="top"/>
          </w:tcPr>
          <w:p>
            <w:pPr>
              <w:pStyle w:val="TableText"/>
              <w:jc w:val="left"/>
            </w:pPr>
            <w:r>
              <w:t xml:space="preserve">Role permissions; region checks on customer routes</w:t>
            </w:r>
          </w:p>
        </w:tc>
        <w:tc>
          <w:tcPr>
            <w:tcW w:w="3181" w:type="dxa"/>
            <w:shd w:val="clear" w:color="auto" w:fill="F4F7FB"/>
            <w:vAlign w:val="top"/>
          </w:tcPr>
          <w:p>
            <w:pPr>
              <w:pStyle w:val="TableText"/>
              <w:jc w:val="left"/>
            </w:pPr>
            <w:r>
              <w:t xml:space="preserve">Declarative attribute check in the route table</w:t>
            </w:r>
          </w:p>
        </w:tc>
        <w:tc>
          <w:tcPr>
            <w:tcW w:w="1514" w:type="dxa"/>
            <w:shd w:val="clear" w:color="auto" w:fill="F4F7FB"/>
            <w:vAlign w:val="top"/>
          </w:tcPr>
          <w:p>
            <w:pPr>
              <w:pStyle w:val="TableText"/>
              <w:jc w:val="left"/>
            </w:pPr>
            <w:r>
              <w:t xml:space="preserve">iorta TechNXT</w:t>
            </w:r>
          </w:p>
        </w:tc>
        <w:tc>
          <w:tcPr>
            <w:tcW w:w="1470" w:type="dxa"/>
            <w:shd w:val="clear" w:color="auto" w:fill="F4F7FB"/>
            <w:vAlign w:val="top"/>
          </w:tcPr>
          <w:p>
            <w:pPr>
              <w:pStyle w:val="TableText"/>
              <w:jc w:val="left"/>
            </w:pPr>
            <w:r>
              <w:t xml:space="preserve">Scale phase</w:t>
            </w:r>
          </w:p>
        </w:tc>
      </w:tr>
      <w:tr>
        <w:trPr>
          <w:cantSplit/>
        </w:trPr>
        <w:tc>
          <w:tcPr>
            <w:tcW w:w="834" w:type="dxa"/>
            <w:noWrap/>
            <w:vAlign w:val="top"/>
          </w:tcPr>
          <w:p>
            <w:pPr>
              <w:pStyle w:val="TableText"/>
              <w:jc w:val="left"/>
            </w:pPr>
            <w:r>
              <w:t xml:space="preserve">SR-05</w:t>
            </w:r>
          </w:p>
        </w:tc>
        <w:tc>
          <w:tcPr>
            <w:tcW w:w="3610" w:type="dxa"/>
            <w:vAlign w:val="top"/>
          </w:tcPr>
          <w:p>
            <w:pPr>
              <w:pStyle w:val="TableText"/>
              <w:jc w:val="left"/>
            </w:pPr>
            <w:r>
              <w:t xml:space="preserve">Renewal links carry the plate key and share the token secret</w:t>
            </w:r>
          </w:p>
        </w:tc>
        <w:tc>
          <w:tcPr>
            <w:tcW w:w="3350" w:type="dxa"/>
            <w:vAlign w:val="top"/>
          </w:tcPr>
          <w:p>
            <w:pPr>
              <w:pStyle w:val="TableText"/>
              <w:jc w:val="left"/>
            </w:pPr>
            <w:r>
              <w:t xml:space="preserve">30-day signed expiry; 132-bit tag; erased customers lose sessions</w:t>
            </w:r>
          </w:p>
        </w:tc>
        <w:tc>
          <w:tcPr>
            <w:tcW w:w="3181" w:type="dxa"/>
            <w:vAlign w:val="top"/>
          </w:tcPr>
          <w:p>
            <w:pPr>
              <w:pStyle w:val="TableText"/>
              <w:jc w:val="left"/>
            </w:pPr>
            <w:r>
              <w:t xml:space="preserve">Pseudonymous id, separate link key, single-use nonce</w:t>
            </w:r>
          </w:p>
        </w:tc>
        <w:tc>
          <w:tcPr>
            <w:tcW w:w="1514" w:type="dxa"/>
            <w:vAlign w:val="top"/>
          </w:tcPr>
          <w:p>
            <w:pPr>
              <w:pStyle w:val="TableText"/>
              <w:jc w:val="left"/>
            </w:pPr>
            <w:r>
              <w:t xml:space="preserve">iorta TechNXT</w:t>
            </w:r>
          </w:p>
        </w:tc>
        <w:tc>
          <w:tcPr>
            <w:tcW w:w="1470" w:type="dxa"/>
            <w:vAlign w:val="top"/>
          </w:tcPr>
          <w:p>
            <w:pPr>
              <w:pStyle w:val="TableText"/>
              <w:jc w:val="left"/>
            </w:pPr>
            <w:r>
              <w:t xml:space="preserve">Scale phase</w:t>
            </w:r>
          </w:p>
        </w:tc>
      </w:tr>
      <w:tr>
        <w:trPr>
          <w:cantSplit/>
        </w:trPr>
        <w:tc>
          <w:tcPr>
            <w:tcW w:w="834" w:type="dxa"/>
            <w:shd w:val="clear" w:color="auto" w:fill="F4F7FB"/>
            <w:noWrap/>
            <w:vAlign w:val="top"/>
          </w:tcPr>
          <w:p>
            <w:pPr>
              <w:pStyle w:val="TableText"/>
              <w:jc w:val="left"/>
            </w:pPr>
            <w:r>
              <w:t xml:space="preserve">SR-06</w:t>
            </w:r>
          </w:p>
        </w:tc>
        <w:tc>
          <w:tcPr>
            <w:tcW w:w="3610" w:type="dxa"/>
            <w:shd w:val="clear" w:color="auto" w:fill="F4F7FB"/>
            <w:vAlign w:val="top"/>
          </w:tcPr>
          <w:p>
            <w:pPr>
              <w:pStyle w:val="TableText"/>
              <w:jc w:val="left"/>
            </w:pPr>
            <w:r>
              <w:t xml:space="preserve">A database superuser could rewrite the audit chain; audit write is not in the business transaction</w:t>
            </w:r>
          </w:p>
        </w:tc>
        <w:tc>
          <w:tcPr>
            <w:tcW w:w="3350" w:type="dxa"/>
            <w:shd w:val="clear" w:color="auto" w:fill="F4F7FB"/>
            <w:vAlign w:val="top"/>
          </w:tcPr>
          <w:p>
            <w:pPr>
              <w:pStyle w:val="TableText"/>
              <w:jc w:val="left"/>
            </w:pPr>
            <w:r>
              <w:t xml:space="preserve">Hash chain; triggers block update, delete and truncate</w:t>
            </w:r>
          </w:p>
        </w:tc>
        <w:tc>
          <w:tcPr>
            <w:tcW w:w="3181" w:type="dxa"/>
            <w:shd w:val="clear" w:color="auto" w:fill="F4F7FB"/>
            <w:vAlign w:val="top"/>
          </w:tcPr>
          <w:p>
            <w:pPr>
              <w:pStyle w:val="TableText"/>
              <w:jc w:val="left"/>
            </w:pPr>
            <w:r>
              <w:t xml:space="preserve">Separate owner and app roles; hourly external anchor; transactional audit</w:t>
            </w:r>
          </w:p>
        </w:tc>
        <w:tc>
          <w:tcPr>
            <w:tcW w:w="1514" w:type="dxa"/>
            <w:shd w:val="clear" w:color="auto" w:fill="F4F7FB"/>
            <w:vAlign w:val="top"/>
          </w:tcPr>
          <w:p>
            <w:pPr>
              <w:pStyle w:val="TableText"/>
              <w:jc w:val="left"/>
            </w:pPr>
            <w:r>
              <w:t xml:space="preserve">TASCO IT, iorta TechNXT</w:t>
            </w:r>
          </w:p>
        </w:tc>
        <w:tc>
          <w:tcPr>
            <w:tcW w:w="1470" w:type="dxa"/>
            <w:shd w:val="clear" w:color="auto" w:fill="F4F7FB"/>
            <w:vAlign w:val="top"/>
          </w:tcPr>
          <w:p>
            <w:pPr>
              <w:pStyle w:val="TableText"/>
              <w:jc w:val="left"/>
            </w:pPr>
            <w:r>
              <w:t xml:space="preserve">Before go-live (roles)</w:t>
            </w:r>
          </w:p>
        </w:tc>
      </w:tr>
      <w:tr>
        <w:trPr>
          <w:cantSplit/>
        </w:trPr>
        <w:tc>
          <w:tcPr>
            <w:tcW w:w="834" w:type="dxa"/>
            <w:noWrap/>
            <w:vAlign w:val="top"/>
          </w:tcPr>
          <w:p>
            <w:pPr>
              <w:pStyle w:val="TableText"/>
              <w:jc w:val="left"/>
            </w:pPr>
            <w:r>
              <w:t xml:space="preserve">SR-07</w:t>
            </w:r>
          </w:p>
        </w:tc>
        <w:tc>
          <w:tcPr>
            <w:tcW w:w="3610" w:type="dxa"/>
            <w:vAlign w:val="top"/>
          </w:tcPr>
          <w:p>
            <w:pPr>
              <w:pStyle w:val="TableText"/>
              <w:jc w:val="left"/>
            </w:pPr>
            <w:r>
              <w:t xml:space="preserve">Free-text call signals are stored in clear</w:t>
            </w:r>
          </w:p>
        </w:tc>
        <w:tc>
          <w:tcPr>
            <w:tcW w:w="3350" w:type="dxa"/>
            <w:vAlign w:val="top"/>
          </w:tcPr>
          <w:p>
            <w:pPr>
              <w:pStyle w:val="TableText"/>
              <w:jc w:val="left"/>
            </w:pPr>
            <w:r>
              <w:t xml:space="preserve">Cleared on erasure; transcript encrypted</w:t>
            </w:r>
          </w:p>
        </w:tc>
        <w:tc>
          <w:tcPr>
            <w:tcW w:w="3181" w:type="dxa"/>
            <w:vAlign w:val="top"/>
          </w:tcPr>
          <w:p>
            <w:pPr>
              <w:pStyle w:val="TableText"/>
              <w:jc w:val="left"/>
            </w:pPr>
            <w:r>
              <w:t xml:space="preserve">Encrypt signals or store structured values only</w:t>
            </w:r>
          </w:p>
        </w:tc>
        <w:tc>
          <w:tcPr>
            <w:tcW w:w="1514" w:type="dxa"/>
            <w:vAlign w:val="top"/>
          </w:tcPr>
          <w:p>
            <w:pPr>
              <w:pStyle w:val="TableText"/>
              <w:jc w:val="left"/>
            </w:pPr>
            <w:r>
              <w:t xml:space="preserve">iorta TechNXT</w:t>
            </w:r>
          </w:p>
        </w:tc>
        <w:tc>
          <w:tcPr>
            <w:tcW w:w="1470" w:type="dxa"/>
            <w:vAlign w:val="top"/>
          </w:tcPr>
          <w:p>
            <w:pPr>
              <w:pStyle w:val="TableText"/>
              <w:jc w:val="left"/>
            </w:pPr>
            <w:r>
              <w:t xml:space="preserve">Before go-live</w:t>
            </w:r>
          </w:p>
        </w:tc>
      </w:tr>
      <w:tr>
        <w:trPr>
          <w:cantSplit/>
        </w:trPr>
        <w:tc>
          <w:tcPr>
            <w:tcW w:w="834" w:type="dxa"/>
            <w:shd w:val="clear" w:color="auto" w:fill="F4F7FB"/>
            <w:noWrap/>
            <w:vAlign w:val="top"/>
          </w:tcPr>
          <w:p>
            <w:pPr>
              <w:pStyle w:val="TableText"/>
              <w:jc w:val="left"/>
            </w:pPr>
            <w:r>
              <w:t xml:space="preserve">SR-08</w:t>
            </w:r>
          </w:p>
        </w:tc>
        <w:tc>
          <w:tcPr>
            <w:tcW w:w="3610" w:type="dxa"/>
            <w:shd w:val="clear" w:color="auto" w:fill="F4F7FB"/>
            <w:vAlign w:val="top"/>
          </w:tcPr>
          <w:p>
            <w:pPr>
              <w:pStyle w:val="TableText"/>
              <w:jc w:val="left"/>
            </w:pPr>
            <w:r>
              <w:t xml:space="preserve">One signing secret for all token audiences</w:t>
            </w:r>
          </w:p>
        </w:tc>
        <w:tc>
          <w:tcPr>
            <w:tcW w:w="3350" w:type="dxa"/>
            <w:shd w:val="clear" w:color="auto" w:fill="F4F7FB"/>
            <w:vAlign w:val="top"/>
          </w:tcPr>
          <w:p>
            <w:pPr>
              <w:pStyle w:val="TableText"/>
              <w:jc w:val="left"/>
            </w:pPr>
            <w:r>
              <w:t xml:space="preserve">Audience separation; algorithm pinning</w:t>
            </w:r>
          </w:p>
        </w:tc>
        <w:tc>
          <w:tcPr>
            <w:tcW w:w="3181" w:type="dxa"/>
            <w:shd w:val="clear" w:color="auto" w:fill="F4F7FB"/>
            <w:vAlign w:val="top"/>
          </w:tcPr>
          <w:p>
            <w:pPr>
              <w:pStyle w:val="TableText"/>
              <w:jc w:val="left"/>
            </w:pPr>
            <w:r>
              <w:t xml:space="preserve">Asymmetric tokens from the identity provider</w:t>
            </w:r>
          </w:p>
        </w:tc>
        <w:tc>
          <w:tcPr>
            <w:tcW w:w="1514" w:type="dxa"/>
            <w:shd w:val="clear" w:color="auto" w:fill="F4F7FB"/>
            <w:vAlign w:val="top"/>
          </w:tcPr>
          <w:p>
            <w:pPr>
              <w:pStyle w:val="TableText"/>
              <w:jc w:val="left"/>
            </w:pPr>
            <w:r>
              <w:t xml:space="preserve">TASCO IT, iorta TechNXT</w:t>
            </w:r>
          </w:p>
        </w:tc>
        <w:tc>
          <w:tcPr>
            <w:tcW w:w="1470" w:type="dxa"/>
            <w:shd w:val="clear" w:color="auto" w:fill="F4F7FB"/>
            <w:vAlign w:val="top"/>
          </w:tcPr>
          <w:p>
            <w:pPr>
              <w:pStyle w:val="TableText"/>
              <w:jc w:val="left"/>
            </w:pPr>
            <w:r>
              <w:t xml:space="preserve">Scale phase</w:t>
            </w:r>
          </w:p>
        </w:tc>
      </w:tr>
      <w:tr>
        <w:trPr>
          <w:cantSplit/>
        </w:trPr>
        <w:tc>
          <w:tcPr>
            <w:tcW w:w="834" w:type="dxa"/>
            <w:noWrap/>
            <w:vAlign w:val="top"/>
          </w:tcPr>
          <w:p>
            <w:pPr>
              <w:pStyle w:val="TableText"/>
              <w:jc w:val="left"/>
            </w:pPr>
            <w:r>
              <w:t xml:space="preserve">SR-09</w:t>
            </w:r>
          </w:p>
        </w:tc>
        <w:tc>
          <w:tcPr>
            <w:tcW w:w="3610" w:type="dxa"/>
            <w:vAlign w:val="top"/>
          </w:tcPr>
          <w:p>
            <w:pPr>
              <w:pStyle w:val="TableText"/>
              <w:jc w:val="left"/>
            </w:pPr>
            <w:r>
              <w:t xml:space="preserve">Commission cap validation matches text; no rule size limit</w:t>
            </w:r>
          </w:p>
        </w:tc>
        <w:tc>
          <w:tcPr>
            <w:tcW w:w="3350" w:type="dxa"/>
            <w:vAlign w:val="top"/>
          </w:tcPr>
          <w:p>
            <w:pPr>
              <w:pStyle w:val="TableText"/>
              <w:jc w:val="left"/>
            </w:pPr>
            <w:r>
              <w:t xml:space="preserve">Runtime cap on every payout; 1 MiB body limit</w:t>
            </w:r>
          </w:p>
        </w:tc>
        <w:tc>
          <w:tcPr>
            <w:tcW w:w="3181" w:type="dxa"/>
            <w:vAlign w:val="top"/>
          </w:tcPr>
          <w:p>
            <w:pPr>
              <w:pStyle w:val="TableText"/>
              <w:jc w:val="left"/>
            </w:pPr>
            <w:r>
              <w:t xml:space="preserve">Evaluate each row per capped product; node-count limit</w:t>
            </w:r>
          </w:p>
        </w:tc>
        <w:tc>
          <w:tcPr>
            <w:tcW w:w="1514" w:type="dxa"/>
            <w:vAlign w:val="top"/>
          </w:tcPr>
          <w:p>
            <w:pPr>
              <w:pStyle w:val="TableText"/>
              <w:jc w:val="left"/>
            </w:pPr>
            <w:r>
              <w:t xml:space="preserve">iorta TechNXT</w:t>
            </w:r>
          </w:p>
        </w:tc>
        <w:tc>
          <w:tcPr>
            <w:tcW w:w="1470" w:type="dxa"/>
            <w:vAlign w:val="top"/>
          </w:tcPr>
          <w:p>
            <w:pPr>
              <w:pStyle w:val="TableText"/>
              <w:jc w:val="left"/>
            </w:pPr>
            <w:r>
              <w:t xml:space="preserve">Scale phase</w:t>
            </w:r>
          </w:p>
        </w:tc>
      </w:tr>
      <w:tr>
        <w:trPr>
          <w:cantSplit/>
        </w:trPr>
        <w:tc>
          <w:tcPr>
            <w:tcW w:w="834" w:type="dxa"/>
            <w:shd w:val="clear" w:color="auto" w:fill="F4F7FB"/>
            <w:noWrap/>
            <w:vAlign w:val="top"/>
          </w:tcPr>
          <w:p>
            <w:pPr>
              <w:pStyle w:val="TableText"/>
              <w:jc w:val="left"/>
            </w:pPr>
            <w:r>
              <w:t xml:space="preserve">SR-10</w:t>
            </w:r>
          </w:p>
        </w:tc>
        <w:tc>
          <w:tcPr>
            <w:tcW w:w="3610" w:type="dxa"/>
            <w:shd w:val="clear" w:color="auto" w:fill="F4F7FB"/>
            <w:vAlign w:val="top"/>
          </w:tcPr>
          <w:p>
            <w:pPr>
              <w:pStyle w:val="TableText"/>
              <w:jc w:val="left"/>
            </w:pPr>
            <w:r>
              <w:t xml:space="preserve">Outbox retries have no backoff; an event replay can resend a message</w:t>
            </w:r>
          </w:p>
        </w:tc>
        <w:tc>
          <w:tcPr>
            <w:tcW w:w="3350" w:type="dxa"/>
            <w:shd w:val="clear" w:color="auto" w:fill="F4F7FB"/>
            <w:vAlign w:val="top"/>
          </w:tcPr>
          <w:p>
            <w:pPr>
              <w:pStyle w:val="TableText"/>
              <w:jc w:val="left"/>
            </w:pPr>
            <w:r>
              <w:t xml:space="preserve">Five-attempt limit; lease reclaim; contact caps</w:t>
            </w:r>
          </w:p>
        </w:tc>
        <w:tc>
          <w:tcPr>
            <w:tcW w:w="3181" w:type="dxa"/>
            <w:shd w:val="clear" w:color="auto" w:fill="F4F7FB"/>
            <w:vAlign w:val="top"/>
          </w:tcPr>
          <w:p>
            <w:pPr>
              <w:pStyle w:val="TableText"/>
              <w:jc w:val="left"/>
            </w:pPr>
            <w:r>
              <w:t xml:space="preserve">Backoff on retries; message ids derived from the event</w:t>
            </w:r>
          </w:p>
        </w:tc>
        <w:tc>
          <w:tcPr>
            <w:tcW w:w="1514" w:type="dxa"/>
            <w:shd w:val="clear" w:color="auto" w:fill="F4F7FB"/>
            <w:vAlign w:val="top"/>
          </w:tcPr>
          <w:p>
            <w:pPr>
              <w:pStyle w:val="TableText"/>
              <w:jc w:val="left"/>
            </w:pPr>
            <w:r>
              <w:t xml:space="preserve">iorta TechNXT</w:t>
            </w:r>
          </w:p>
        </w:tc>
        <w:tc>
          <w:tcPr>
            <w:tcW w:w="1470" w:type="dxa"/>
            <w:shd w:val="clear" w:color="auto" w:fill="F4F7FB"/>
            <w:vAlign w:val="top"/>
          </w:tcPr>
          <w:p>
            <w:pPr>
              <w:pStyle w:val="TableText"/>
              <w:jc w:val="left"/>
            </w:pPr>
            <w:r>
              <w:t xml:space="preserve">Scale phase</w:t>
            </w:r>
          </w:p>
        </w:tc>
      </w:tr>
      <w:tr>
        <w:trPr>
          <w:cantSplit/>
        </w:trPr>
        <w:tc>
          <w:tcPr>
            <w:tcW w:w="834" w:type="dxa"/>
            <w:noWrap/>
            <w:vAlign w:val="top"/>
          </w:tcPr>
          <w:p>
            <w:pPr>
              <w:pStyle w:val="TableText"/>
              <w:jc w:val="left"/>
            </w:pPr>
            <w:r>
              <w:t xml:space="preserve">SR-11</w:t>
            </w:r>
          </w:p>
        </w:tc>
        <w:tc>
          <w:tcPr>
            <w:tcW w:w="3610" w:type="dxa"/>
            <w:vAlign w:val="top"/>
          </w:tcPr>
          <w:p>
            <w:pPr>
              <w:pStyle w:val="TableText"/>
              <w:jc w:val="left"/>
            </w:pPr>
            <w:r>
              <w:t xml:space="preserve">A failed refund needs manual action</w:t>
            </w:r>
          </w:p>
        </w:tc>
        <w:tc>
          <w:tcPr>
            <w:tcW w:w="3350" w:type="dxa"/>
            <w:vAlign w:val="top"/>
          </w:tcPr>
          <w:p>
            <w:pPr>
              <w:pStyle w:val="TableText"/>
              <w:jc w:val="left"/>
            </w:pPr>
            <w:r>
              <w:t xml:space="preserve">Compensation failure flagged by nightly reconciliation and alerted</w:t>
            </w:r>
          </w:p>
        </w:tc>
        <w:tc>
          <w:tcPr>
            <w:tcW w:w="3181" w:type="dxa"/>
            <w:vAlign w:val="top"/>
          </w:tcPr>
          <w:p>
            <w:pPr>
              <w:pStyle w:val="TableText"/>
              <w:jc w:val="left"/>
            </w:pPr>
            <w:r>
              <w:t xml:space="preserve">Automatic refund retry through the outbox</w:t>
            </w:r>
          </w:p>
        </w:tc>
        <w:tc>
          <w:tcPr>
            <w:tcW w:w="1514" w:type="dxa"/>
            <w:vAlign w:val="top"/>
          </w:tcPr>
          <w:p>
            <w:pPr>
              <w:pStyle w:val="TableText"/>
              <w:jc w:val="left"/>
            </w:pPr>
            <w:r>
              <w:t xml:space="preserve">iorta TechNXT</w:t>
            </w:r>
          </w:p>
        </w:tc>
        <w:tc>
          <w:tcPr>
            <w:tcW w:w="1470" w:type="dxa"/>
            <w:vAlign w:val="top"/>
          </w:tcPr>
          <w:p>
            <w:pPr>
              <w:pStyle w:val="TableText"/>
              <w:jc w:val="left"/>
            </w:pPr>
            <w:r>
              <w:t xml:space="preserve">Before go-live</w:t>
            </w:r>
          </w:p>
        </w:tc>
      </w:tr>
      <w:tr>
        <w:trPr>
          <w:cantSplit/>
        </w:trPr>
        <w:tc>
          <w:tcPr>
            <w:tcW w:w="834" w:type="dxa"/>
            <w:shd w:val="clear" w:color="auto" w:fill="F4F7FB"/>
            <w:noWrap/>
            <w:vAlign w:val="top"/>
          </w:tcPr>
          <w:p>
            <w:pPr>
              <w:pStyle w:val="TableText"/>
              <w:jc w:val="left"/>
            </w:pPr>
            <w:r>
              <w:t xml:space="preserve">SR-12</w:t>
            </w:r>
          </w:p>
        </w:tc>
        <w:tc>
          <w:tcPr>
            <w:tcW w:w="3610" w:type="dxa"/>
            <w:shd w:val="clear" w:color="auto" w:fill="F4F7FB"/>
            <w:vAlign w:val="top"/>
          </w:tcPr>
          <w:p>
            <w:pPr>
              <w:pStyle w:val="TableText"/>
              <w:jc w:val="left"/>
            </w:pPr>
            <w:r>
              <w:t xml:space="preserve">Sandbox adapters do not cancel a timed-out request</w:t>
            </w:r>
          </w:p>
        </w:tc>
        <w:tc>
          <w:tcPr>
            <w:tcW w:w="3350" w:type="dxa"/>
            <w:shd w:val="clear" w:color="auto" w:fill="F4F7FB"/>
            <w:vAlign w:val="top"/>
          </w:tcPr>
          <w:p>
            <w:pPr>
              <w:pStyle w:val="TableText"/>
              <w:jc w:val="left"/>
            </w:pPr>
            <w:r>
              <w:t xml:space="preserve">TASCO core client cancels on timeout; circuit breakers</w:t>
            </w:r>
          </w:p>
        </w:tc>
        <w:tc>
          <w:tcPr>
            <w:tcW w:w="3181" w:type="dxa"/>
            <w:shd w:val="clear" w:color="auto" w:fill="F4F7FB"/>
            <w:vAlign w:val="top"/>
          </w:tcPr>
          <w:p>
            <w:pPr>
              <w:pStyle w:val="TableText"/>
              <w:jc w:val="left"/>
            </w:pPr>
            <w:r>
              <w:t xml:space="preserve">Cancellation in every real adapter</w:t>
            </w:r>
          </w:p>
        </w:tc>
        <w:tc>
          <w:tcPr>
            <w:tcW w:w="1514" w:type="dxa"/>
            <w:shd w:val="clear" w:color="auto" w:fill="F4F7FB"/>
            <w:vAlign w:val="top"/>
          </w:tcPr>
          <w:p>
            <w:pPr>
              <w:pStyle w:val="TableText"/>
              <w:jc w:val="left"/>
            </w:pPr>
            <w:r>
              <w:t xml:space="preserve">iorta TechNXT</w:t>
            </w:r>
          </w:p>
        </w:tc>
        <w:tc>
          <w:tcPr>
            <w:tcW w:w="1470" w:type="dxa"/>
            <w:shd w:val="clear" w:color="auto" w:fill="F4F7FB"/>
            <w:vAlign w:val="top"/>
          </w:tcPr>
          <w:p>
            <w:pPr>
              <w:pStyle w:val="TableText"/>
              <w:jc w:val="left"/>
            </w:pPr>
            <w:r>
              <w:t xml:space="preserve">With real adapters</w:t>
            </w:r>
          </w:p>
        </w:tc>
      </w:tr>
      <w:tr>
        <w:trPr>
          <w:cantSplit/>
        </w:trPr>
        <w:tc>
          <w:tcPr>
            <w:tcW w:w="834" w:type="dxa"/>
            <w:noWrap/>
            <w:vAlign w:val="top"/>
          </w:tcPr>
          <w:p>
            <w:pPr>
              <w:pStyle w:val="TableText"/>
              <w:jc w:val="left"/>
            </w:pPr>
            <w:r>
              <w:t xml:space="preserve">SR-13</w:t>
            </w:r>
          </w:p>
        </w:tc>
        <w:tc>
          <w:tcPr>
            <w:tcW w:w="3610" w:type="dxa"/>
            <w:vAlign w:val="top"/>
          </w:tcPr>
          <w:p>
            <w:pPr>
              <w:pStyle w:val="TableText"/>
              <w:jc w:val="left"/>
            </w:pPr>
            <w:r>
              <w:t xml:space="preserve">Ingested record values are key-checked but not type-checked; images are not yet signed</w:t>
            </w:r>
          </w:p>
        </w:tc>
        <w:tc>
          <w:tcPr>
            <w:tcW w:w="3350" w:type="dxa"/>
            <w:vAlign w:val="top"/>
          </w:tcPr>
          <w:p>
            <w:pPr>
              <w:pStyle w:val="TableText"/>
              <w:jc w:val="left"/>
            </w:pPr>
            <w:r>
              <w:t xml:space="preserve">Field allow-list; container scanning; SBOM</w:t>
            </w:r>
          </w:p>
        </w:tc>
        <w:tc>
          <w:tcPr>
            <w:tcW w:w="3181" w:type="dxa"/>
            <w:vAlign w:val="top"/>
          </w:tcPr>
          <w:p>
            <w:pPr>
              <w:pStyle w:val="TableText"/>
              <w:jc w:val="left"/>
            </w:pPr>
            <w:r>
              <w:t xml:space="preserve">Typed record schema; image signing with admission control</w:t>
            </w:r>
          </w:p>
        </w:tc>
        <w:tc>
          <w:tcPr>
            <w:tcW w:w="1514" w:type="dxa"/>
            <w:vAlign w:val="top"/>
          </w:tcPr>
          <w:p>
            <w:pPr>
              <w:pStyle w:val="TableText"/>
              <w:jc w:val="left"/>
            </w:pPr>
            <w:r>
              <w:t xml:space="preserve">iorta TechNXT, TASCO IT</w:t>
            </w:r>
          </w:p>
        </w:tc>
        <w:tc>
          <w:tcPr>
            <w:tcW w:w="1470" w:type="dxa"/>
            <w:vAlign w:val="top"/>
          </w:tcPr>
          <w:p>
            <w:pPr>
              <w:pStyle w:val="TableText"/>
              <w:jc w:val="left"/>
            </w:pPr>
            <w:r>
              <w:t xml:space="preserve">Before go-live</w:t>
            </w:r>
          </w:p>
        </w:tc>
      </w:tr>
      <w:tr>
        <w:trPr>
          <w:cantSplit/>
        </w:trPr>
        <w:tc>
          <w:tcPr>
            <w:tcW w:w="834" w:type="dxa"/>
            <w:shd w:val="clear" w:color="auto" w:fill="F4F7FB"/>
            <w:noWrap/>
            <w:vAlign w:val="top"/>
          </w:tcPr>
          <w:p>
            <w:pPr>
              <w:pStyle w:val="TableText"/>
              <w:jc w:val="left"/>
            </w:pPr>
            <w:r>
              <w:t xml:space="preserve">SR-14</w:t>
            </w:r>
          </w:p>
        </w:tc>
        <w:tc>
          <w:tcPr>
            <w:tcW w:w="3610" w:type="dxa"/>
            <w:shd w:val="clear" w:color="auto" w:fill="F4F7FB"/>
            <w:vAlign w:val="top"/>
          </w:tcPr>
          <w:p>
            <w:pPr>
              <w:pStyle w:val="TableText"/>
              <w:jc w:val="left"/>
            </w:pPr>
            <w:r>
              <w:t xml:space="preserve">VETC events use a staff credential</w:t>
            </w:r>
          </w:p>
        </w:tc>
        <w:tc>
          <w:tcPr>
            <w:tcW w:w="3350" w:type="dxa"/>
            <w:shd w:val="clear" w:color="auto" w:fill="F4F7FB"/>
            <w:vAlign w:val="top"/>
          </w:tcPr>
          <w:p>
            <w:pPr>
              <w:pStyle w:val="TableText"/>
              <w:jc w:val="left"/>
            </w:pPr>
            <w:r>
              <w:t xml:space="preserve">Permission check; contact policy on every send</w:t>
            </w:r>
          </w:p>
        </w:tc>
        <w:tc>
          <w:tcPr>
            <w:tcW w:w="3181" w:type="dxa"/>
            <w:shd w:val="clear" w:color="auto" w:fill="F4F7FB"/>
            <w:vAlign w:val="top"/>
          </w:tcPr>
          <w:p>
            <w:pPr>
              <w:pStyle w:val="TableText"/>
              <w:jc w:val="left"/>
            </w:pPr>
            <w:r>
              <w:t xml:space="preserve">Machine identity and signed webhook or topic consumer</w:t>
            </w:r>
          </w:p>
        </w:tc>
        <w:tc>
          <w:tcPr>
            <w:tcW w:w="1514" w:type="dxa"/>
            <w:shd w:val="clear" w:color="auto" w:fill="F4F7FB"/>
            <w:vAlign w:val="top"/>
          </w:tcPr>
          <w:p>
            <w:pPr>
              <w:pStyle w:val="TableText"/>
              <w:jc w:val="left"/>
            </w:pPr>
            <w:r>
              <w:t xml:space="preserve">iorta TechNXT, VETC</w:t>
            </w:r>
          </w:p>
        </w:tc>
        <w:tc>
          <w:tcPr>
            <w:tcW w:w="1470" w:type="dxa"/>
            <w:shd w:val="clear" w:color="auto" w:fill="F4F7FB"/>
            <w:vAlign w:val="top"/>
          </w:tcPr>
          <w:p>
            <w:pPr>
              <w:pStyle w:val="TableText"/>
              <w:jc w:val="left"/>
            </w:pPr>
            <w:r>
              <w:t xml:space="preserve">Before go-live</w:t>
            </w:r>
          </w:p>
        </w:tc>
      </w:tr>
    </w:tbl>
    <w:p>
      <w:pPr>
        <w:spacing w:before="0" w:after="0" w:line="20" w:lineRule="exact"/>
        <w:rPr>
          <w:sz w:val="2"/>
        </w:rPr>
        <w:sectPr>
          <w:footerReference w:type="default" r:id="rIdFooterLandscape"/>
          <w:headerReference w:type="first" r:id="rId15"/>
          <w:footerReference w:type="first" r:id="rId16"/>
          <w:pgSz w:w="16839" w:h="11907" w:code="9" w:orient="landscape"/>
          <w:pgMar w:top="1440" w:right="1440" w:bottom="1440" w:left="1440" w:header="1134" w:footer="0" w:gutter="0"/>
          <w:cols w:space="720"/>
          <w:docGrid w:linePitch="360"/>
        </w:sectPr>
      </w:pPr>
    </w:p>
    <w:p>
      <w:pPr>
        <w:pStyle w:val="BodyText"/>
        <w:spacing w:before="160"/>
      </w:pPr>
      <w:r>
        <w:t xml:space="preserve">The automated-call kill switch is tracked in TGP-ARC-06 AI Governance.</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35" w:name="_Toc300000031"/>
      <w:r>
        <w:rPr>
          <w:rStyle w:val="BookTitle"/>
          <w:bCs w:val="0"/>
          <w:i w:val="0"/>
          <w:iCs w:val="0"/>
          <w:spacing w:val="0"/>
        </w:rPr>
        <w:t xml:space="preserve">Penetration test readiness</w:t>
      </w:r>
      <w:bookmarkEnd w:id="35"/>
    </w:p>
    <w:p>
      <w:pPr>
        <w:pStyle w:val="FirstParagraph"/>
      </w:pPr>
      <w:r>
        <w:t xml:space="preserve">The independent penetration test runs in SIT before go-live. Preparation covers:</w:t>
      </w:r>
    </w:p>
    <w:p>
      <w:pPr>
        <w:pStyle w:val="Compact"/>
        <w:numPr>
          <w:ilvl w:val="0"/>
          <w:numId w:val="1003"/>
        </w:numPr>
      </w:pPr>
      <w:r>
        <w:t xml:space="preserve">SIT configured as production: production mode, demo mode off, real TLS, behind the production ingress and WAF, with a WAF bypass for the testers’ addresses;</w:t>
      </w:r>
    </w:p>
    <w:p>
      <w:pPr>
        <w:pStyle w:val="Compact"/>
        <w:numPr>
          <w:ilvl w:val="0"/>
          <w:numId w:val="1003"/>
        </w:numPr>
      </w:pPr>
      <w:r>
        <w:t xml:space="preserve">test accounts for every role, MFA-enrolled where required, two partners (active and suspended) with keys, and customer links for three profiles in different regions;</w:t>
      </w:r>
    </w:p>
    <w:p>
      <w:pPr>
        <w:pStyle w:val="Compact"/>
        <w:numPr>
          <w:ilvl w:val="0"/>
          <w:numId w:val="1003"/>
        </w:numPr>
      </w:pPr>
      <w:r>
        <w:t xml:space="preserve">the OpenAPI document and the permission tables in section 6;</w:t>
      </w:r>
    </w:p>
    <w:p>
      <w:pPr>
        <w:pStyle w:val="Compact"/>
        <w:numPr>
          <w:ilvl w:val="0"/>
          <w:numId w:val="1003"/>
        </w:numPr>
      </w:pPr>
      <w:r>
        <w:t xml:space="preserve">a synthetic dataset of at least 50,000 profiles with known markers to detect leakage;</w:t>
      </w:r>
    </w:p>
    <w:p>
      <w:pPr>
        <w:pStyle w:val="Compact"/>
        <w:numPr>
          <w:ilvl w:val="0"/>
          <w:numId w:val="1003"/>
        </w:numPr>
      </w:pPr>
      <w:r>
        <w:t xml:space="preserve">sandbox gateways with fault injection for compensation and idempotency tests;</w:t>
      </w:r>
    </w:p>
    <w:p>
      <w:pPr>
        <w:pStyle w:val="Compact"/>
        <w:numPr>
          <w:ilvl w:val="0"/>
          <w:numId w:val="1003"/>
        </w:numPr>
      </w:pPr>
      <w:r>
        <w:t xml:space="preserve">focus areas: authentication and MFA, record-level access, purchase concurrency and idempotency, partner scopes and data exposure, rule injection and maker-checker bypass, link forgery and expiry, audit-chain tampering, front-end scripting, completeness of data subject requests;</w:t>
      </w:r>
    </w:p>
    <w:p>
      <w:pPr>
        <w:pStyle w:val="Compact"/>
        <w:numPr>
          <w:ilvl w:val="0"/>
          <w:numId w:val="1003"/>
        </w:numPr>
      </w:pPr>
      <w:r>
        <w:t xml:space="preserve">out of scope: provider systems (VETC wallet, TASCO core, Zalo, telecom operators);</w:t>
      </w:r>
    </w:p>
    <w:p>
      <w:pPr>
        <w:pStyle w:val="Compact"/>
        <w:numPr>
          <w:ilvl w:val="0"/>
          <w:numId w:val="1003"/>
        </w:numPr>
      </w:pPr>
      <w:r>
        <w:t xml:space="preserve">the security operations team informed of the test window, with tester actions visible in the audit trail and logs;</w:t>
      </w:r>
    </w:p>
    <w:p>
      <w:pPr>
        <w:pStyle w:val="Compact"/>
        <w:numPr>
          <w:ilvl w:val="0"/>
          <w:numId w:val="1003"/>
        </w:numPr>
      </w:pPr>
      <w:r>
        <w:t xml:space="preserve">this document’s residual risk table shared in advance, so test time goes to unknowns.</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36" w:name="_Toc300000032"/>
      <w:r>
        <w:rPr>
          <w:rStyle w:val="BookTitle"/>
          <w:bCs w:val="0"/>
          <w:i w:val="0"/>
          <w:iCs w:val="0"/>
          <w:spacing w:val="0"/>
        </w:rPr>
        <w:t xml:space="preserve">Security incident response</w:t>
      </w:r>
      <w:bookmarkEnd w:id="36"/>
    </w:p>
    <w:p>
      <w:pPr>
        <w:pStyle w:val="FirstParagraph"/>
      </w:pPr>
      <w:r>
        <w:t xml:space="preserve">The response follows a standard sequence, adapted to the platform’s controls.</w:t>
      </w:r>
    </w:p>
    <w:p xmlns:a="http://schemas.openxmlformats.org/drawingml/2006/main" xmlns:pic="http://schemas.openxmlformats.org/drawingml/2006/picture">
      <w:pPr>
        <w:pStyle w:val="Figure"/>
      </w:pPr>
      <w:r>
        <w:drawing>
          <wp:inline>
            <wp:extent cx="5727700" cy="2051557"/>
            <wp:effectExtent b="0" l="0" r="0" t="0"/>
            <wp:docPr descr="Security incident response steps" title="" id="5004" name="Picture"/>
            <a:graphic>
              <a:graphicData uri="http://schemas.openxmlformats.org/drawingml/2006/picture">
                <pic:pic>
                  <pic:nvPicPr>
                    <pic:cNvPr descr="/home/user/TASCO/tools/docs-source/gen/.cache/mermaid/254a0ba5b2d06c68.png" id="57" name="Picture"/>
                    <pic:cNvPicPr>
                      <a:picLocks noChangeArrowheads="1" noChangeAspect="1"/>
                    </pic:cNvPicPr>
                  </pic:nvPicPr>
                  <pic:blipFill>
                    <a:blip r:embed="rIdG3"/>
                    <a:stretch>
                      <a:fillRect/>
                    </a:stretch>
                  </pic:blipFill>
                  <pic:spPr bwMode="auto">
                    <a:xfrm>
                      <a:off x="0" y="0"/>
                      <a:ext cx="5727700" cy="2051557"/>
                    </a:xfrm>
                    <a:prstGeom prst="rect">
                      <a:avLst/>
                    </a:prstGeom>
                    <a:noFill/>
                    <a:ln w="9525">
                      <a:noFill/>
                      <a:headEnd/>
                      <a:tailEnd/>
                    </a:ln>
                  </pic:spPr>
                </pic:pic>
              </a:graphicData>
            </a:graphic>
          </wp:inline>
        </w:drawing>
      </w:r>
    </w:p>
    <w:p>
      <w:pPr>
        <w:pStyle w:val="Caption"/>
      </w:pPr>
      <w:r>
        <w:t xml:space="preserve">Figure 3 – Security incident response steps</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822"/>
        <w:gridCol w:w="7205"/>
      </w:tblGrid>
      <w:tr>
        <w:trPr>
          <w:cantSplit/>
          <w:tblHeader/>
        </w:trPr>
        <w:tc>
          <w:tcPr>
            <w:tcW w:w="1822" w:type="dxa"/>
            <w:shd w:val="clear" w:color="auto" w:fill="0F4761"/>
            <w:vAlign w:val="center"/>
          </w:tcPr>
          <w:p>
            <w:pPr>
              <w:pStyle w:val="TableHeading"/>
              <w:jc w:val="left"/>
            </w:pPr>
            <w:r>
              <w:rPr>
                <w:color w:val="FFFFFF"/>
              </w:rPr>
              <w:t xml:space="preserve">Step</w:t>
            </w:r>
          </w:p>
        </w:tc>
        <w:tc>
          <w:tcPr>
            <w:tcW w:w="7205" w:type="dxa"/>
            <w:shd w:val="clear" w:color="auto" w:fill="0F4761"/>
            <w:vAlign w:val="center"/>
          </w:tcPr>
          <w:p>
            <w:pPr>
              <w:pStyle w:val="TableHeading"/>
              <w:jc w:val="left"/>
            </w:pPr>
            <w:r>
              <w:rPr>
                <w:color w:val="FFFFFF"/>
              </w:rPr>
              <w:t xml:space="preserve">Platform actions</w:t>
            </w:r>
          </w:p>
        </w:tc>
      </w:tr>
      <w:tr>
        <w:trPr>
          <w:cantSplit/>
        </w:trPr>
        <w:tc>
          <w:tcPr>
            <w:tcW w:w="1822" w:type="dxa"/>
            <w:vAlign w:val="top"/>
          </w:tcPr>
          <w:p>
            <w:pPr>
              <w:pStyle w:val="TableText"/>
              <w:jc w:val="left"/>
            </w:pPr>
            <w:r>
              <w:t xml:space="preserve">Detect</w:t>
            </w:r>
          </w:p>
        </w:tc>
        <w:tc>
          <w:tcPr>
            <w:tcW w:w="7205" w:type="dxa"/>
            <w:vAlign w:val="top"/>
          </w:tcPr>
          <w:p>
            <w:pPr>
              <w:pStyle w:val="TableText"/>
              <w:jc w:val="left"/>
            </w:pPr>
            <w:r>
              <w:t xml:space="preserve">Security alerts, audit anomalies, reports from partners or customers</w:t>
            </w:r>
          </w:p>
        </w:tc>
      </w:tr>
      <w:tr>
        <w:trPr>
          <w:cantSplit/>
        </w:trPr>
        <w:tc>
          <w:tcPr>
            <w:tcW w:w="1822" w:type="dxa"/>
            <w:shd w:val="clear" w:color="auto" w:fill="F4F7FB"/>
            <w:vAlign w:val="top"/>
          </w:tcPr>
          <w:p>
            <w:pPr>
              <w:pStyle w:val="TableText"/>
              <w:jc w:val="left"/>
            </w:pPr>
            <w:r>
              <w:t xml:space="preserve">Contain</w:t>
            </w:r>
          </w:p>
        </w:tc>
        <w:tc>
          <w:tcPr>
            <w:tcW w:w="7205" w:type="dxa"/>
            <w:shd w:val="clear" w:color="auto" w:fill="F4F7FB"/>
            <w:vAlign w:val="top"/>
          </w:tcPr>
          <w:p>
            <w:pPr>
              <w:pStyle w:val="TableText"/>
              <w:jc w:val="left"/>
            </w:pPr>
            <w:r>
              <w:t xml:space="preserve">Revoke partner keys or suspend a partner; disable a user (effective on the next request); force MFA re-enrolment; suspend the journeys job; rotate the token secret to end all sessions and links; roll back a rule set</w:t>
            </w:r>
          </w:p>
        </w:tc>
      </w:tr>
      <w:tr>
        <w:trPr>
          <w:cantSplit/>
        </w:trPr>
        <w:tc>
          <w:tcPr>
            <w:tcW w:w="1822" w:type="dxa"/>
            <w:vAlign w:val="top"/>
          </w:tcPr>
          <w:p>
            <w:pPr>
              <w:pStyle w:val="TableText"/>
              <w:jc w:val="left"/>
            </w:pPr>
            <w:r>
              <w:t xml:space="preserve">Investigate</w:t>
            </w:r>
          </w:p>
        </w:tc>
        <w:tc>
          <w:tcPr>
            <w:tcW w:w="7205" w:type="dxa"/>
            <w:vAlign w:val="top"/>
          </w:tcPr>
          <w:p>
            <w:pPr>
              <w:pStyle w:val="TableText"/>
              <w:jc w:val="left"/>
            </w:pPr>
            <w:r>
              <w:t xml:space="preserve">Audit search by actor and action; audit-chain verification; request-id correlation across logs; messages and call sessions for customer impact</w:t>
            </w:r>
          </w:p>
        </w:tc>
      </w:tr>
      <w:tr>
        <w:trPr>
          <w:cantSplit/>
        </w:trPr>
        <w:tc>
          <w:tcPr>
            <w:tcW w:w="1822" w:type="dxa"/>
            <w:shd w:val="clear" w:color="auto" w:fill="F4F7FB"/>
            <w:vAlign w:val="top"/>
          </w:tcPr>
          <w:p>
            <w:pPr>
              <w:pStyle w:val="TableText"/>
              <w:jc w:val="left"/>
            </w:pPr>
            <w:r>
              <w:t xml:space="preserve">Recover</w:t>
            </w:r>
          </w:p>
        </w:tc>
        <w:tc>
          <w:tcPr>
            <w:tcW w:w="7205" w:type="dxa"/>
            <w:shd w:val="clear" w:color="auto" w:fill="F4F7FB"/>
            <w:vAlign w:val="top"/>
          </w:tcPr>
          <w:p>
            <w:pPr>
              <w:pStyle w:val="TableText"/>
              <w:jc w:val="left"/>
            </w:pPr>
            <w:r>
              <w:t xml:space="preserve">Point-in-time restore if needed; verify the audit chain; reconcile orders</w:t>
            </w:r>
          </w:p>
        </w:tc>
      </w:tr>
      <w:tr>
        <w:trPr>
          <w:cantSplit/>
        </w:trPr>
        <w:tc>
          <w:tcPr>
            <w:tcW w:w="1822" w:type="dxa"/>
            <w:vAlign w:val="top"/>
          </w:tcPr>
          <w:p>
            <w:pPr>
              <w:pStyle w:val="TableText"/>
              <w:jc w:val="left"/>
            </w:pPr>
            <w:r>
              <w:t xml:space="preserve">Personal data breach</w:t>
            </w:r>
          </w:p>
        </w:tc>
        <w:tc>
          <w:tcPr>
            <w:tcW w:w="7205" w:type="dxa"/>
            <w:vAlign w:val="top"/>
          </w:tcPr>
          <w:p>
            <w:pPr>
              <w:pStyle w:val="TableText"/>
              <w:jc w:val="left"/>
            </w:pPr>
            <w:r>
              <w:t xml:space="preserve">Scope from the audit trail (profile views with personal data, data subject actions). Notify the competent authority within 72 hours of discovery and affected individuals where required, under Decree 13/2023/ND-CP and the Personal Data Protection Law 91/2025/QH15 with its implementing rules (deadlines and channel to be confirmed by TASCO legal).</w:t>
            </w:r>
          </w:p>
        </w:tc>
      </w:tr>
      <w:tr>
        <w:trPr>
          <w:cantSplit/>
        </w:trPr>
        <w:tc>
          <w:tcPr>
            <w:tcW w:w="1822" w:type="dxa"/>
            <w:shd w:val="clear" w:color="auto" w:fill="F4F7FB"/>
            <w:vAlign w:val="top"/>
          </w:tcPr>
          <w:p>
            <w:pPr>
              <w:pStyle w:val="TableText"/>
              <w:jc w:val="left"/>
            </w:pPr>
            <w:r>
              <w:t xml:space="preserve">Evidence</w:t>
            </w:r>
          </w:p>
        </w:tc>
        <w:tc>
          <w:tcPr>
            <w:tcW w:w="7205" w:type="dxa"/>
            <w:shd w:val="clear" w:color="auto" w:fill="F4F7FB"/>
            <w:vAlign w:val="top"/>
          </w:tcPr>
          <w:p>
            <w:pPr>
              <w:pStyle w:val="TableText"/>
              <w:jc w:val="left"/>
            </w:pPr>
            <w:r>
              <w:t xml:space="preserve">Preserve the audit-chain head hash, logs in write-once storage, a database snapshot and cluster events, with chain of custody</w:t>
            </w:r>
          </w:p>
        </w:tc>
      </w:tr>
      <w:tr>
        <w:trPr>
          <w:cantSplit/>
        </w:trPr>
        <w:tc>
          <w:tcPr>
            <w:tcW w:w="1822" w:type="dxa"/>
            <w:vAlign w:val="top"/>
          </w:tcPr>
          <w:p>
            <w:pPr>
              <w:pStyle w:val="TableText"/>
              <w:jc w:val="left"/>
            </w:pPr>
            <w:r>
              <w:t xml:space="preserve">Communication</w:t>
            </w:r>
          </w:p>
        </w:tc>
        <w:tc>
          <w:tcPr>
            <w:tcW w:w="7205" w:type="dxa"/>
            <w:vAlign w:val="top"/>
          </w:tcPr>
          <w:p>
            <w:pPr>
              <w:pStyle w:val="TableText"/>
              <w:jc w:val="left"/>
            </w:pPr>
            <w:r>
              <w:t xml:space="preserve">Pre-approved customer statement that TASCO Insurance and VETC never ask for one-time passwords or payment by phone</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37" w:name="_Toc300000033"/>
      <w:r>
        <w:rPr>
          <w:rStyle w:val="BookTitle"/>
          <w:bCs w:val="0"/>
          <w:i w:val="0"/>
          <w:iCs w:val="0"/>
          <w:spacing w:val="0"/>
        </w:rPr>
        <w:t xml:space="preserve">Appendix</w:t>
      </w:r>
      <w:bookmarkEnd w:id="37"/>
    </w:p>
    <w:p>
      <w:pPr>
        <w:pStyle w:val="Heading2"/>
      </w:pPr>
      <w:bookmarkStart w:id="38" w:name="_Toc300000034"/>
      <w:r>
        <w:t xml:space="preserve">Regulatory references</w:t>
      </w:r>
      <w:bookmarkEnd w:id="38"/>
    </w:p>
    <w:p>
      <w:pPr>
        <w:pStyle w:val="FirstParagraph"/>
      </w:pPr>
      <w:r>
        <w:t xml:space="preserve">All references are to be confirmed by TASCO legal before production.</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3019"/>
        <w:gridCol w:w="6008"/>
      </w:tblGrid>
      <w:tr>
        <w:trPr>
          <w:cantSplit/>
          <w:tblHeader/>
        </w:trPr>
        <w:tc>
          <w:tcPr>
            <w:tcW w:w="3019" w:type="dxa"/>
            <w:shd w:val="clear" w:color="auto" w:fill="0F4761"/>
            <w:vAlign w:val="center"/>
          </w:tcPr>
          <w:p>
            <w:pPr>
              <w:pStyle w:val="TableHeading"/>
              <w:jc w:val="left"/>
            </w:pPr>
            <w:r>
              <w:rPr>
                <w:color w:val="FFFFFF"/>
              </w:rPr>
              <w:t xml:space="preserve">Topic</w:t>
            </w:r>
          </w:p>
        </w:tc>
        <w:tc>
          <w:tcPr>
            <w:tcW w:w="6008" w:type="dxa"/>
            <w:shd w:val="clear" w:color="auto" w:fill="0F4761"/>
            <w:vAlign w:val="center"/>
          </w:tcPr>
          <w:p>
            <w:pPr>
              <w:pStyle w:val="TableHeading"/>
              <w:jc w:val="left"/>
            </w:pPr>
            <w:r>
              <w:rPr>
                <w:color w:val="FFFFFF"/>
              </w:rPr>
              <w:t xml:space="preserve">Reference</w:t>
            </w:r>
          </w:p>
        </w:tc>
      </w:tr>
      <w:tr>
        <w:trPr>
          <w:cantSplit/>
        </w:trPr>
        <w:tc>
          <w:tcPr>
            <w:tcW w:w="3019" w:type="dxa"/>
            <w:vAlign w:val="top"/>
          </w:tcPr>
          <w:p>
            <w:pPr>
              <w:pStyle w:val="TableText"/>
              <w:jc w:val="left"/>
            </w:pPr>
            <w:r>
              <w:t xml:space="preserve">Personal data protection</w:t>
            </w:r>
          </w:p>
        </w:tc>
        <w:tc>
          <w:tcPr>
            <w:tcW w:w="6008" w:type="dxa"/>
            <w:vAlign w:val="top"/>
          </w:tcPr>
          <w:p>
            <w:pPr>
              <w:pStyle w:val="TableText"/>
              <w:jc w:val="left"/>
            </w:pPr>
            <w:r>
              <w:t xml:space="preserve">Decree 13/2023/ND-CP; Personal Data Protection Law 91/2025/QH15 and its implementing decree</w:t>
            </w:r>
          </w:p>
        </w:tc>
      </w:tr>
      <w:tr>
        <w:trPr>
          <w:cantSplit/>
        </w:trPr>
        <w:tc>
          <w:tcPr>
            <w:tcW w:w="3019" w:type="dxa"/>
            <w:shd w:val="clear" w:color="auto" w:fill="F4F7FB"/>
            <w:vAlign w:val="top"/>
          </w:tcPr>
          <w:p>
            <w:pPr>
              <w:pStyle w:val="TableText"/>
              <w:jc w:val="left"/>
            </w:pPr>
            <w:r>
              <w:t xml:space="preserve">Data residency</w:t>
            </w:r>
          </w:p>
        </w:tc>
        <w:tc>
          <w:tcPr>
            <w:tcW w:w="6008" w:type="dxa"/>
            <w:shd w:val="clear" w:color="auto" w:fill="F4F7FB"/>
            <w:vAlign w:val="top"/>
          </w:tcPr>
          <w:p>
            <w:pPr>
              <w:pStyle w:val="TableText"/>
              <w:jc w:val="left"/>
            </w:pPr>
            <w:r>
              <w:t xml:space="preserve">Cybersecurity Law 2018; Decree 53/2022/ND-CP</w:t>
            </w:r>
          </w:p>
        </w:tc>
      </w:tr>
      <w:tr>
        <w:trPr>
          <w:cantSplit/>
        </w:trPr>
        <w:tc>
          <w:tcPr>
            <w:tcW w:w="3019" w:type="dxa"/>
            <w:vAlign w:val="top"/>
          </w:tcPr>
          <w:p>
            <w:pPr>
              <w:pStyle w:val="TableText"/>
              <w:jc w:val="left"/>
            </w:pPr>
            <w:r>
              <w:t xml:space="preserve">Insurance business and compulsory cover</w:t>
            </w:r>
          </w:p>
        </w:tc>
        <w:tc>
          <w:tcPr>
            <w:tcW w:w="6008" w:type="dxa"/>
            <w:vAlign w:val="top"/>
          </w:tcPr>
          <w:p>
            <w:pPr>
              <w:pStyle w:val="TableText"/>
              <w:jc w:val="left"/>
            </w:pPr>
            <w:r>
              <w:t xml:space="preserve">Law on Insurance Business 08/2022/QH15; Decree 67/2023/ND-CP</w:t>
            </w:r>
          </w:p>
        </w:tc>
      </w:tr>
      <w:tr>
        <w:trPr>
          <w:cantSplit/>
        </w:trPr>
        <w:tc>
          <w:tcPr>
            <w:tcW w:w="3019" w:type="dxa"/>
            <w:shd w:val="clear" w:color="auto" w:fill="F4F7FB"/>
            <w:vAlign w:val="top"/>
          </w:tcPr>
          <w:p>
            <w:pPr>
              <w:pStyle w:val="TableText"/>
              <w:jc w:val="left"/>
            </w:pPr>
            <w:r>
              <w:t xml:space="preserve">Marketing messages and calls</w:t>
            </w:r>
          </w:p>
        </w:tc>
        <w:tc>
          <w:tcPr>
            <w:tcW w:w="6008" w:type="dxa"/>
            <w:shd w:val="clear" w:color="auto" w:fill="F4F7FB"/>
            <w:vAlign w:val="top"/>
          </w:tcPr>
          <w:p>
            <w:pPr>
              <w:pStyle w:val="TableText"/>
              <w:jc w:val="left"/>
            </w:pPr>
            <w:r>
              <w:t xml:space="preserve">Decree 91/2020/ND-CP</w:t>
            </w:r>
          </w:p>
        </w:tc>
      </w:tr>
      <w:tr>
        <w:trPr>
          <w:cantSplit/>
        </w:trPr>
        <w:tc>
          <w:tcPr>
            <w:tcW w:w="3019" w:type="dxa"/>
            <w:vAlign w:val="top"/>
          </w:tcPr>
          <w:p>
            <w:pPr>
              <w:pStyle w:val="TableText"/>
              <w:jc w:val="left"/>
            </w:pPr>
            <w:r>
              <w:t xml:space="preserve">Consumer protection</w:t>
            </w:r>
          </w:p>
        </w:tc>
        <w:tc>
          <w:tcPr>
            <w:tcW w:w="6008" w:type="dxa"/>
            <w:vAlign w:val="top"/>
          </w:tcPr>
          <w:p>
            <w:pPr>
              <w:pStyle w:val="TableText"/>
              <w:jc w:val="left"/>
            </w:pPr>
            <w:r>
              <w:t xml:space="preserve">Law on Protection of Consumers’ Rights 2023</w:t>
            </w:r>
          </w:p>
        </w:tc>
      </w:tr>
    </w:tbl>
    <w:p w14:paraId="12E0A58E" w14:textId="77777777" w:rsidR="002B183A" w:rsidRPr="00465CAB" w:rsidRDefault="002B183A" w:rsidP="002B183A">
      <w:pPr>
        <w:pStyle w:val="Heading1"/>
        <w:pageBreakBefore/>
        <w:numPr>
          <w:ilvl w:val="0"/>
          <w:numId w:val="1"/>
        </w:numPr>
        <w:tabs>
          <w:tab w:val="num" w:pos="600"/>
        </w:tabs>
        <w:spacing w:before="360" w:after="160"/>
        <w:ind w:left="0" w:firstLine="0"/>
        <w:rPr>
          <w:rStyle w:val="BookTitle"/>
          <w:b w:val="0"/>
          <w:bCs w:val="0"/>
          <w:i w:val="0"/>
          <w:iCs w:val="0"/>
          <w:spacing w:val="0"/>
        </w:rPr>
      </w:pPr>
      <w:bookmarkStart w:id="39" w:name="_Toc300000035"/>
      <w:r>
        <w:rPr>
          <w:rStyle w:val="BookTitle"/>
          <w:bCs w:val="0"/>
          <w:i w:val="0"/>
          <w:iCs w:val="0"/>
          <w:spacing w:val="0"/>
        </w:rPr>
        <w:t xml:space="preserve">Sign-Off</w:t>
      </w:r>
      <w:bookmarkEnd w:id="39"/>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972"/>
        <w:gridCol w:w="4575"/>
        <w:gridCol w:w="2508"/>
        <w:gridCol w:w="972"/>
      </w:tblGrid>
      <w:tr w:rsidR="002B183A" w14:paraId="0ABAE4AD" w14:textId="77777777" w:rsidTr="002923F3">
        <w:trPr>
          <w:cantSplit/>
          <w:trHeight w:val="440"/>
          <w:tblHeader/>
        </w:trPr>
        <w:tc>
          <w:tcPr>
            <w:tcW w:w="972" w:type="dxa"/>
            <w:shd w:val="clear" w:color="auto" w:fill="0F4761"/>
            <w:vAlign w:val="center"/>
          </w:tcPr>
          <w:p w14:paraId="3EB3C57B"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lastRenderedPageBreak/>
              <w:t>Serial Number</w:t>
            </w:r>
          </w:p>
        </w:tc>
        <w:tc>
          <w:tcPr>
            <w:tcW w:w="4575" w:type="dxa"/>
            <w:shd w:val="clear" w:color="auto" w:fill="0F4761"/>
            <w:vAlign w:val="center"/>
          </w:tcPr>
          <w:p w14:paraId="11ABC55F"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Description</w:t>
            </w:r>
          </w:p>
        </w:tc>
        <w:tc>
          <w:tcPr>
            <w:tcW w:w="2508" w:type="dxa"/>
            <w:shd w:val="clear" w:color="auto" w:fill="0F4761"/>
            <w:vAlign w:val="center"/>
          </w:tcPr>
          <w:p w14:paraId="05BF7E25"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Owner</w:t>
            </w:r>
          </w:p>
        </w:tc>
        <w:tc>
          <w:tcPr>
            <w:tcW w:w="972" w:type="dxa"/>
            <w:shd w:val="clear" w:color="auto" w:fill="0F4761"/>
            <w:vAlign w:val="center"/>
          </w:tcPr>
          <w:p w14:paraId="1E57008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Status</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1</w:t>
            </w:r>
          </w:p>
        </w:tc>
        <w:tc>
          <w:tcPr>
            <w:tcW w:w="4575"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Personal data breach notification deadlines and channel</w:t>
            </w:r>
          </w:p>
        </w:tc>
        <w:tc>
          <w:tcPr>
            <w:tcW w:w="2508"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to be confirmed by TASCO legal</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2</w:t>
            </w:r>
          </w:p>
        </w:tc>
        <w:tc>
          <w:tcPr>
            <w:tcW w:w="4575"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Applicable PDP obligations (Decree 13/2023/ND-CP and the Personal Data Protection Law 91/2025/QH15)</w:t>
            </w:r>
          </w:p>
        </w:tc>
        <w:tc>
          <w:tcPr>
            <w:tcW w:w="2508"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to be confirmed by TASCO legal</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3</w:t>
            </w:r>
          </w:p>
        </w:tc>
        <w:tc>
          <w:tcPr>
            <w:tcW w:w="4575"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Response time for data-subject requests (72 hours in the service levels rule set)</w:t>
            </w:r>
          </w:p>
        </w:tc>
        <w:tc>
          <w:tcPr>
            <w:tcW w:w="2508"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to be confirmed by TASCO legal</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4</w:t>
            </w:r>
          </w:p>
        </w:tc>
        <w:tc>
          <w:tcPr>
            <w:tcW w:w="4575"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Identity verification evidence accepted for data-subject requests by each channel</w:t>
            </w:r>
          </w:p>
        </w:tc>
        <w:tc>
          <w:tcPr>
            <w:tcW w:w="2508"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TASCO Compliance and DPO</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5</w:t>
            </w:r>
          </w:p>
        </w:tc>
        <w:tc>
          <w:tcPr>
            <w:tcW w:w="4575"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Independent penetration test before go-live</w:t>
            </w:r>
          </w:p>
        </w:tc>
        <w:tc>
          <w:tcPr>
            <w:tcW w:w="2508"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TASCO Information Security</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6</w:t>
            </w:r>
          </w:p>
        </w:tc>
        <w:tc>
          <w:tcPr>
            <w:tcW w:w="4575"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Database role separation and audit-chain anchoring in production</w:t>
            </w:r>
          </w:p>
        </w:tc>
        <w:tc>
          <w:tcPr>
            <w:tcW w:w="2508"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TASCO IT Infrastructure</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bl>
    <w:p w14:paraId="57CC15FC" w14:textId="77777777" w:rsidR="002B183A" w:rsidRDefault="002B183A" w:rsidP="002B183A">
      <w:pPr>
        <w:jc w:val="both"/>
        <w:rPr>
          <w:rFonts w:ascii="Segoe UI" w:eastAsia="Arial" w:hAnsi="Segoe UI" w:cs="Segoe UI"/>
          <w:color w:val="101820"/>
          <w:sz w:val="22"/>
        </w:rPr>
      </w:pP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1054"/>
        <w:gridCol w:w="1659"/>
        <w:gridCol w:w="2599"/>
        <w:gridCol w:w="3715"/>
      </w:tblGrid>
      <w:tr w:rsidR="002B183A" w14:paraId="731A77C7" w14:textId="77777777" w:rsidTr="002923F3">
        <w:trPr>
          <w:cantSplit/>
          <w:trHeight w:val="440"/>
          <w:tblHeader/>
        </w:trPr>
        <w:tc>
          <w:tcPr>
            <w:tcW w:w="1054" w:type="dxa"/>
            <w:shd w:val="clear" w:color="auto" w:fill="0F4761"/>
            <w:vAlign w:val="center"/>
          </w:tcPr>
          <w:p w14:paraId="2799E84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 xml:space="preserve">Sign Off </w:t>
            </w:r>
            <w:r w:rsidRPr="00FF67C3">
              <w:rPr>
                <w:rFonts w:ascii="Segoe UI" w:eastAsia="Arial" w:hAnsi="Segoe UI" w:cs="Segoe UI"/>
                <w:b/>
                <w:bCs/>
                <w:color w:val="FFFFFF"/>
                <w:sz w:val="16"/>
                <w:szCs w:val="16"/>
              </w:rPr>
              <w:t>Date</w:t>
            </w:r>
          </w:p>
        </w:tc>
        <w:tc>
          <w:tcPr>
            <w:tcW w:w="1659" w:type="dxa"/>
            <w:shd w:val="clear" w:color="auto" w:fill="0F4761"/>
            <w:vAlign w:val="center"/>
          </w:tcPr>
          <w:p w14:paraId="56708A83"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Signature</w:t>
            </w:r>
          </w:p>
        </w:tc>
        <w:tc>
          <w:tcPr>
            <w:tcW w:w="2599" w:type="dxa"/>
            <w:shd w:val="clear" w:color="auto" w:fill="0F4761"/>
            <w:vAlign w:val="center"/>
          </w:tcPr>
          <w:p w14:paraId="367EAF9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Approved By</w:t>
            </w:r>
          </w:p>
        </w:tc>
        <w:tc>
          <w:tcPr>
            <w:tcW w:w="3715" w:type="dxa"/>
            <w:shd w:val="clear" w:color="auto" w:fill="0F4761"/>
            <w:vAlign w:val="center"/>
          </w:tcPr>
          <w:p w14:paraId="3521F75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Department &amp; Project Role</w:t>
            </w:r>
          </w:p>
        </w:tc>
      </w:tr>
      <w:tr w:rsidR="002B183A" w:rsidRPr="00BB346A" w14:paraId="2AD1806B" w14:textId="77777777" w:rsidTr="002923F3">
        <w:trPr>
          <w:cantSplit/>
          <w:trHeight w:val="760"/>
        </w:trPr>
        <w:tc>
          <w:tcPr>
            <w:tcW w:w="1054" w:type="dxa"/>
            <w:vAlign w:val="top"/>
          </w:tcPr>
          <w:p w14:paraId="59720FD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1659" w:type="dxa"/>
            <w:vAlign w:val="top"/>
          </w:tcPr>
          <w:p w14:paraId="07D5AEF4"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2599" w:type="dxa"/>
            <w:vAlign w:val="top"/>
          </w:tcPr>
          <w:p w14:paraId="2BA57AF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p>
        </w:tc>
        <w:tc>
          <w:tcPr>
            <w:tcW w:w="3715" w:type="dxa"/>
            <w:vAlign w:val="top"/>
          </w:tcPr>
          <w:p w14:paraId="066A4127" w14:textId="77777777" w:rsidR="002B183A"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Programme Sponsor</w:t>
            </w:r>
          </w:p>
        </w:tc>
      </w:tr>
      <w:tr w:rsidR="002B183A" w:rsidRPr="00BB346A" w14:paraId="2AD1806B" w14:textId="77777777" w:rsidTr="002923F3">
        <w:trPr>
          <w:cantSplit/>
          <w:trHeight w:val="760"/>
        </w:trPr>
        <w:tc>
          <w:tcPr>
            <w:tcW w:w="1054" w:type="dxa"/>
            <w:vAlign w:val="top"/>
          </w:tcPr>
          <w:p w14:paraId="59720FD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1659" w:type="dxa"/>
            <w:vAlign w:val="top"/>
          </w:tcPr>
          <w:p w14:paraId="07D5AEF4"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2599" w:type="dxa"/>
            <w:vAlign w:val="top"/>
          </w:tcPr>
          <w:p w14:paraId="2BA57AF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p>
        </w:tc>
        <w:tc>
          <w:tcPr>
            <w:tcW w:w="3715" w:type="dxa"/>
            <w:vAlign w:val="top"/>
          </w:tcPr>
          <w:p w14:paraId="066A4127" w14:textId="77777777" w:rsidR="002B183A"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Information Security</w:t>
            </w:r>
          </w:p>
        </w:tc>
      </w:tr>
      <w:tr w:rsidR="002B183A" w:rsidRPr="00BB346A" w14:paraId="2AD1806B" w14:textId="77777777" w:rsidTr="002923F3">
        <w:trPr>
          <w:cantSplit/>
          <w:trHeight w:val="760"/>
        </w:trPr>
        <w:tc>
          <w:tcPr>
            <w:tcW w:w="1054" w:type="dxa"/>
            <w:vAlign w:val="top"/>
          </w:tcPr>
          <w:p w14:paraId="59720FD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1659" w:type="dxa"/>
            <w:vAlign w:val="top"/>
          </w:tcPr>
          <w:p w14:paraId="07D5AEF4"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2599" w:type="dxa"/>
            <w:vAlign w:val="top"/>
          </w:tcPr>
          <w:p w14:paraId="2BA57AF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iorta TechNXT</w:t>
            </w:r>
          </w:p>
        </w:tc>
        <w:tc>
          <w:tcPr>
            <w:tcW w:w="3715" w:type="dxa"/>
            <w:vAlign w:val="top"/>
          </w:tcPr>
          <w:p w14:paraId="066A4127" w14:textId="77777777" w:rsidR="002B183A"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Solution Architecture</w:t>
            </w:r>
          </w:p>
        </w:tc>
      </w:tr>
    </w:tbl>
    <w:p w14:paraId="1146A836" w14:textId="10B273DD" w:rsidR="00EE516B" w:rsidRDefault="002B183A">
      <w:r w:rsidRPr="00FE19FE">
        <w:br w:type="page"/>
      </w:r>
    </w:p>
    <w:p w14:paraId="1F938E87" w14:textId="77777777" w:rsidR="007B4988" w:rsidRDefault="007B4988"/>
    <w:p w14:paraId="4553482A" w14:textId="1F0B5849" w:rsidR="008501FA" w:rsidRPr="00EF479A" w:rsidRDefault="006470D1" w:rsidP="3B384731">
      <w:r>
        <w:rPr>
          <w:noProof/>
        </w:rPr>
        <w:drawing>
          <wp:anchor distT="0" distB="0" distL="114300" distR="114300" simplePos="0" relativeHeight="251658240" behindDoc="1" locked="0" layoutInCell="1" allowOverlap="1" wp14:anchorId="769CEDFB" wp14:editId="0E98DE05">
            <wp:simplePos x="0" y="0"/>
            <wp:positionH relativeFrom="margin">
              <wp:align>center</wp:align>
            </wp:positionH>
            <wp:positionV relativeFrom="margin">
              <wp:align>center</wp:align>
            </wp:positionV>
            <wp:extent cx="7548440" cy="10677525"/>
            <wp:effectExtent l="0" t="0" r="0" b="0"/>
            <wp:wrapNone/>
            <wp:docPr id="888434296" name="Picture 1">
              <a:extLst xmlns:a="http://schemas.openxmlformats.org/drawingml/2006/main">
                <a:ext uri="{FF2B5EF4-FFF2-40B4-BE49-F238E27FC236}">
                  <a16:creationId xmlns:a16="http://schemas.microsoft.com/office/drawing/2014/main" id="{1549725D-CA62-47A1-A957-457A136796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34296" name="Picture 8884342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48440" cy="10677525"/>
                    </a:xfrm>
                    <a:prstGeom prst="rect">
                      <a:avLst/>
                    </a:prstGeom>
                  </pic:spPr>
                </pic:pic>
              </a:graphicData>
            </a:graphic>
            <wp14:sizeRelH relativeFrom="margin">
              <wp14:pctWidth>0</wp14:pctWidth>
            </wp14:sizeRelH>
            <wp14:sizeRelV relativeFrom="margin">
              <wp14:pctHeight>0</wp14:pctHeight>
            </wp14:sizeRelV>
          </wp:anchor>
        </w:drawing>
      </w:r>
    </w:p>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8778222" cy="885012"/>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8778222" cy="885012"/>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11120475" cy="885012"/>
          <wp:effectExtent l="0" t="0" r="4445" b="0"/>
          <wp:wrapNone/>
          <wp:docPr id="499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11120475" cy="885012"/>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pStyle w:val="Heading2"/>
      <w:lvlText w:val="%1.%2."/>
      <w:lvlJc w:val="left"/>
      <w:pPr>
        <w:ind w:left="720" w:hanging="720"/>
      </w:pPr>
      <w:rPr>
        <w:rFonts w:ascii="Segoe UI" w:hAnsi="Segoe UI" w:hint="default"/>
        <w:b/>
        <w:i w:val="0"/>
        <w:color w:val="0F4761"/>
        <w:sz w:val="26"/>
        <w:szCs w:val="26"/>
      </w:rPr>
    </w:lvl>
    <w:lvl w:ilvl="2">
      <w:start w:val="1"/>
      <w:numFmt w:val="decimal"/>
      <w:pStyle w:val="Heading3"/>
      <w:lvlText w:val="%1.%2.%3."/>
      <w:lvlJc w:val="left"/>
      <w:pPr>
        <w:ind w:left="864" w:hanging="864"/>
      </w:pPr>
      <w:rPr>
        <w:rFonts w:ascii="Segoe UI" w:hAnsi="Segoe UI" w:hint="default"/>
        <w:b/>
        <w:i w:val="0"/>
        <w:color w:val="0F4761"/>
        <w:sz w:val="23"/>
        <w:szCs w:val="23"/>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90">
    <w:nsid w:val="A990"/>
    <w:multiLevelType w:val="multilevel"/>
    <w:lvl w:ilvl="0">
      <w:numFmt w:val="bullet"/>
      <w:lvlText w:val="•"/>
      <w:lvlJc w:val="left"/>
      <w:pPr>
        <w:ind w:left="360" w:hanging="284"/>
      </w:pPr>
      <w:rPr>
        <w:rFonts w:ascii="Segoe UI" w:hAnsi="Segoe UI" w:eastAsia="Segoe UI" w:cs="Segoe UI"/>
        <w:color w:val="1D74BA"/>
      </w:rPr>
    </w:lvl>
    <w:lvl w:ilvl="1">
      <w:numFmt w:val="bullet"/>
      <w:lvlText w:val="–"/>
      <w:lvlJc w:val="left"/>
      <w:pPr>
        <w:ind w:left="720" w:hanging="284"/>
      </w:pPr>
      <w:rPr>
        <w:rFonts w:ascii="Segoe UI" w:hAnsi="Segoe UI" w:eastAsia="Segoe UI" w:cs="Segoe UI"/>
        <w:color w:val="1D74BA"/>
      </w:rPr>
    </w:lvl>
    <w:lvl w:ilvl="2">
      <w:numFmt w:val="bullet"/>
      <w:lvlText w:val="◦"/>
      <w:lvlJc w:val="left"/>
      <w:pPr>
        <w:ind w:left="1080" w:hanging="284"/>
      </w:pPr>
      <w:rPr>
        <w:rFonts w:ascii="Segoe UI" w:hAnsi="Segoe UI" w:eastAsia="Segoe UI" w:cs="Segoe UI"/>
        <w:color w:val="1D74BA"/>
      </w:rPr>
    </w:lvl>
    <w:lvl w:ilvl="3">
      <w:numFmt w:val="bullet"/>
      <w:lvlText w:val="•"/>
      <w:lvlJc w:val="left"/>
      <w:pPr>
        <w:ind w:left="1440" w:hanging="284"/>
      </w:pPr>
      <w:rPr>
        <w:rFonts w:ascii="Segoe UI" w:hAnsi="Segoe UI" w:eastAsia="Segoe UI" w:cs="Segoe UI"/>
        <w:color w:val="1D74BA"/>
      </w:rPr>
    </w:lvl>
    <w:lvl w:ilvl="4">
      <w:numFmt w:val="bullet"/>
      <w:lvlText w:val="–"/>
      <w:lvlJc w:val="left"/>
      <w:pPr>
        <w:ind w:left="1800" w:hanging="284"/>
      </w:pPr>
      <w:rPr>
        <w:rFonts w:ascii="Segoe UI" w:hAnsi="Segoe UI" w:eastAsia="Segoe UI" w:cs="Segoe UI"/>
        <w:color w:val="1D74BA"/>
      </w:rPr>
    </w:lvl>
    <w:lvl w:ilvl="5">
      <w:numFmt w:val="bullet"/>
      <w:lvlText w:val="◦"/>
      <w:lvlJc w:val="left"/>
      <w:pPr>
        <w:ind w:left="2160" w:hanging="284"/>
      </w:pPr>
      <w:rPr>
        <w:rFonts w:ascii="Segoe UI" w:hAnsi="Segoe UI" w:eastAsia="Segoe UI" w:cs="Segoe UI"/>
        <w:color w:val="1D74BA"/>
      </w:rPr>
    </w:lvl>
    <w:lvl w:ilvl="6">
      <w:numFmt w:val="bullet"/>
      <w:lvlText w:val="•"/>
      <w:lvlJc w:val="left"/>
      <w:pPr>
        <w:ind w:left="2520" w:hanging="284"/>
      </w:pPr>
      <w:rPr>
        <w:rFonts w:ascii="Segoe UI" w:hAnsi="Segoe UI" w:eastAsia="Segoe UI" w:cs="Segoe UI"/>
        <w:color w:val="1D74BA"/>
      </w:rPr>
    </w:lvl>
    <w:lvl w:ilvl="7">
      <w:numFmt w:val="bullet"/>
      <w:lvlText w:val="–"/>
      <w:lvlJc w:val="left"/>
      <w:pPr>
        <w:ind w:left="2880" w:hanging="284"/>
      </w:pPr>
      <w:rPr>
        <w:rFonts w:ascii="Segoe UI" w:hAnsi="Segoe UI" w:eastAsia="Segoe UI" w:cs="Segoe UI"/>
        <w:color w:val="1D74BA"/>
      </w:rPr>
    </w:lvl>
    <w:lvl w:ilvl="8">
      <w:numFmt w:val="bullet"/>
      <w:lvlText w:val="◦"/>
      <w:lvlJc w:val="left"/>
      <w:pPr>
        <w:ind w:left="3240" w:hanging="284"/>
      </w:pPr>
      <w:rPr>
        <w:rFonts w:ascii="Segoe UI" w:hAnsi="Segoe UI" w:eastAsia="Segoe UI" w:cs="Segoe UI"/>
        <w:color w:val="1D74BA"/>
      </w:rPr>
    </w:lvl>
  </w:abstractNum>
  <w:abstractNum w:abstractNumId="991">
    <w:nsid w:val="A991"/>
    <w:multiLevelType w:val="multilevel"/>
    <w:lvl w:ilvl="0">
      <w:numFmt w:val="bullet"/>
      <w:lvlText w:val="•"/>
      <w:lvlJc w:val="left"/>
      <w:pPr>
        <w:ind w:left="360" w:hanging="284"/>
      </w:pPr>
      <w:rPr>
        <w:rFonts w:ascii="Segoe UI" w:hAnsi="Segoe UI" w:eastAsia="Segoe UI" w:cs="Segoe UI"/>
        <w:color w:val="1D74BA"/>
      </w:rPr>
    </w:lvl>
    <w:lvl w:ilvl="1">
      <w:numFmt w:val="bullet"/>
      <w:lvlText w:val="–"/>
      <w:lvlJc w:val="left"/>
      <w:pPr>
        <w:ind w:left="720" w:hanging="284"/>
      </w:pPr>
      <w:rPr>
        <w:rFonts w:ascii="Segoe UI" w:hAnsi="Segoe UI" w:eastAsia="Segoe UI" w:cs="Segoe UI"/>
        <w:color w:val="1D74BA"/>
      </w:rPr>
    </w:lvl>
    <w:lvl w:ilvl="2">
      <w:numFmt w:val="bullet"/>
      <w:lvlText w:val="◦"/>
      <w:lvlJc w:val="left"/>
      <w:pPr>
        <w:ind w:left="1080" w:hanging="284"/>
      </w:pPr>
      <w:rPr>
        <w:rFonts w:ascii="Segoe UI" w:hAnsi="Segoe UI" w:eastAsia="Segoe UI" w:cs="Segoe UI"/>
        <w:color w:val="1D74BA"/>
      </w:rPr>
    </w:lvl>
    <w:lvl w:ilvl="3">
      <w:numFmt w:val="bullet"/>
      <w:lvlText w:val="•"/>
      <w:lvlJc w:val="left"/>
      <w:pPr>
        <w:ind w:left="1440" w:hanging="284"/>
      </w:pPr>
      <w:rPr>
        <w:rFonts w:ascii="Segoe UI" w:hAnsi="Segoe UI" w:eastAsia="Segoe UI" w:cs="Segoe UI"/>
        <w:color w:val="1D74BA"/>
      </w:rPr>
    </w:lvl>
    <w:lvl w:ilvl="4">
      <w:numFmt w:val="bullet"/>
      <w:lvlText w:val="–"/>
      <w:lvlJc w:val="left"/>
      <w:pPr>
        <w:ind w:left="1800" w:hanging="284"/>
      </w:pPr>
      <w:rPr>
        <w:rFonts w:ascii="Segoe UI" w:hAnsi="Segoe UI" w:eastAsia="Segoe UI" w:cs="Segoe UI"/>
        <w:color w:val="1D74BA"/>
      </w:rPr>
    </w:lvl>
    <w:lvl w:ilvl="5">
      <w:numFmt w:val="bullet"/>
      <w:lvlText w:val="◦"/>
      <w:lvlJc w:val="left"/>
      <w:pPr>
        <w:ind w:left="2160" w:hanging="284"/>
      </w:pPr>
      <w:rPr>
        <w:rFonts w:ascii="Segoe UI" w:hAnsi="Segoe UI" w:eastAsia="Segoe UI" w:cs="Segoe UI"/>
        <w:color w:val="1D74BA"/>
      </w:rPr>
    </w:lvl>
    <w:lvl w:ilvl="6">
      <w:numFmt w:val="bullet"/>
      <w:lvlText w:val="•"/>
      <w:lvlJc w:val="left"/>
      <w:pPr>
        <w:ind w:left="2520" w:hanging="284"/>
      </w:pPr>
      <w:rPr>
        <w:rFonts w:ascii="Segoe UI" w:hAnsi="Segoe UI" w:eastAsia="Segoe UI" w:cs="Segoe UI"/>
        <w:color w:val="1D74BA"/>
      </w:rPr>
    </w:lvl>
    <w:lvl w:ilvl="7">
      <w:numFmt w:val="bullet"/>
      <w:lvlText w:val="–"/>
      <w:lvlJc w:val="left"/>
      <w:pPr>
        <w:ind w:left="2880" w:hanging="284"/>
      </w:pPr>
      <w:rPr>
        <w:rFonts w:ascii="Segoe UI" w:hAnsi="Segoe UI" w:eastAsia="Segoe UI" w:cs="Segoe UI"/>
        <w:color w:val="1D74BA"/>
      </w:rPr>
    </w:lvl>
    <w:lvl w:ilvl="8">
      <w:numFmt w:val="bullet"/>
      <w:lvlText w:val="◦"/>
      <w:lvlJc w:val="left"/>
      <w:pPr>
        <w:ind w:left="3240" w:hanging="284"/>
      </w:pPr>
      <w:rPr>
        <w:rFonts w:ascii="Segoe UI" w:hAnsi="Segoe UI" w:eastAsia="Segoe UI" w:cs="Segoe UI"/>
        <w:color w:val="1D74BA"/>
      </w:rPr>
    </w:lvl>
  </w:abstractNum>
  <w:num w:numId="1" w16cid:durableId="1413504409">
    <w:abstractNumId w:val="0"/>
  </w:num>
  <w:num w:numId="2" w16cid:durableId="1722510407">
    <w:abstractNumId w:val="1"/>
  </w:num>
  <w:num w:numId="1000">
    <w:abstractNumId w:val="990"/>
  </w:num>
  <w:num w:numId="1001">
    <w:abstractNumId w:val="991"/>
  </w:num>
  <w:num w:numId="1002">
    <w:abstractNumId w:val="991"/>
  </w:num>
  <w:num w:numId="1003">
    <w:abstractNumId w:val="99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updateFields w:val="tru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183A"/>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Theme="majorHAnsi" w:eastAsiaTheme="majorEastAsia" w:hAnsiTheme="majorHAnsi" w:cstheme="majorBidi"/>
      <w:color w:val="0F4761" w:themeColor="accent1" w:themeShade="BF"/>
      <w:sz w:val="32"/>
      <w:szCs w:val="32"/>
    </w:rPr>
  </w:style>
  <w:style w:type="character" w:styleId="Hyperlink">
    <w:name w:val="Hyperlink"/>
    <w:uiPriority w:val="99"/>
    <w:unhideWhenUsed/>
    <w:rsid w:val="002B183A"/>
    <w:rPr>
      <w:color w:val="0000FF"/>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Arial" w:eastAsia="Times New Roman" w:hAnsi="Arial" w:cs="Arial"/>
      <w:bCs/>
      <w:color w:val="365F91"/>
      <w:sz w:val="28"/>
      <w:szCs w:val="28"/>
      <w:lang w:eastAsia="en-US"/>
    </w:rPr>
  </w:style>
  <w:style w:type="paragraph" w:styleId="TOC1">
    <w:name w:val="toc 1"/>
    <w:basedOn w:val="Normal"/>
    <w:next w:val="Normal"/>
    <w:autoRedefine/>
    <w:uiPriority w:val="39"/>
    <w:unhideWhenUsed/>
    <w:qFormat/>
    <w:rsid w:val="002B183A"/>
    <w:pPr>
      <w:tabs>
        <w:tab w:val="left" w:pos="900"/>
        <w:tab w:val="right" w:leader="dot" w:pos="9350"/>
      </w:tabs>
      <w:spacing w:after="100" w:line="276" w:lineRule="auto"/>
      <w:jc w:val="both"/>
    </w:pPr>
    <w:rPr>
      <w:rFonts w:ascii="Segoe UI" w:eastAsia="Times New Roman" w:hAnsi="Segoe UI" w:cs="Times New Roman"/>
      <w:b/>
      <w:color w:val="101820"/>
      <w:sz w:val="20"/>
      <w:szCs w:val="22"/>
      <w:lang w:eastAsia="en-US"/>
    </w:rPr>
  </w:style>
  <w:style w:type="character" w:styleId="BookTitle">
    <w:name w:val="Book Title"/>
    <w:uiPriority w:val="33"/>
    <w:qFormat/>
    <w:rsid w:val="002B183A"/>
    <w:rPr>
      <w:b/>
      <w:bCs/>
      <w:i/>
      <w:iCs/>
      <w:spacing w:val="5"/>
    </w:rPr>
  </w:style>
  <w:style w:type="paragraph" w:styleId="BodyText">
    <w:name w:val="Body Text"/>
    <w:basedOn w:val="Normal"/>
    <w:qFormat/>
    <w:pPr>
      <w:spacing w:before="0" w:after="140" w:line="276" w:lineRule="auto"/>
      <w:jc w:val="both"/>
    </w:pPr>
    <w:rPr>
      <w:rFonts w:ascii="Segoe UI" w:hAnsi="Segoe UI" w:eastAsia="Segoe UI" w:cs="Segoe UI"/>
      <w:color w:val="101820"/>
      <w:sz w:val="22"/>
      <w:szCs w:val="22"/>
    </w:rPr>
  </w:style>
  <w:style w:type="paragraph" w:customStyle="1" w:styleId="FirstParagraph">
    <w:name w:val="First Paragraph"/>
    <w:basedOn w:val="BodyText"/>
    <w:qFormat/>
  </w:style>
  <w:style w:type="paragraph" w:customStyle="1" w:styleId="Compact">
    <w:name w:val="Compact"/>
    <w:basedOn w:val="BodyText"/>
    <w:qFormat/>
    <w:pPr>
      <w:spacing w:before="0" w:after="60"/>
      <w:jc w:val="left"/>
    </w:pPr>
  </w:style>
  <w:style w:type="paragraph" w:customStyle="1" w:styleId="TableText">
    <w:name w:val="Table Text"/>
    <w:basedOn w:val="Normal"/>
    <w:qFormat/>
    <w:pPr>
      <w:spacing w:before="20" w:after="20" w:line="245" w:lineRule="auto"/>
      <w:jc w:val="left"/>
    </w:pPr>
    <w:rPr>
      <w:rFonts w:ascii="Segoe UI" w:hAnsi="Segoe UI" w:eastAsia="Segoe UI" w:cs="Segoe UI"/>
      <w:color w:val="101820"/>
      <w:sz w:val="19"/>
      <w:szCs w:val="19"/>
    </w:rPr>
  </w:style>
  <w:style w:type="paragraph" w:customStyle="1" w:styleId="TableHeading">
    <w:name w:val="Table Heading"/>
    <w:basedOn w:val="TableText"/>
    <w:qFormat/>
    <w:pPr>
      <w:keepNext/>
    </w:pPr>
    <w:rPr>
      <w:b/>
      <w:bCs/>
      <w:color w:val="FFFFFF"/>
    </w:rPr>
  </w:style>
  <w:style w:type="paragraph" w:styleId="Heading2">
    <w:name w:val="heading 2"/>
    <w:basedOn w:val="Normal"/>
    <w:next w:val="BodyText"/>
    <w:uiPriority w:val="9"/>
    <w:unhideWhenUsed/>
    <w:qFormat/>
    <w:pPr>
      <w:keepNext/>
      <w:keepLines/>
      <w:numPr>
        <w:ilvl w:val="1"/>
        <w:numId w:val="1"/>
      </w:numPr>
      <w:spacing w:before="280" w:after="100" w:line="259" w:lineRule="auto"/>
      <w:ind w:left="720" w:hanging="720"/>
      <w:outlineLvl w:val="1"/>
    </w:pPr>
    <w:rPr>
      <w:rFonts w:asciiTheme="majorHAnsi" w:eastAsiaTheme="majorEastAsia" w:hAnsiTheme="majorHAnsi" w:cstheme="majorBidi"/>
      <w:b/>
      <w:bCs/>
      <w:color w:val="0F4761"/>
      <w:sz w:val="26"/>
      <w:szCs w:val="26"/>
    </w:rPr>
  </w:style>
  <w:style w:type="paragraph" w:styleId="Heading3">
    <w:name w:val="heading 3"/>
    <w:basedOn w:val="Normal"/>
    <w:next w:val="BodyText"/>
    <w:uiPriority w:val="9"/>
    <w:unhideWhenUsed/>
    <w:qFormat/>
    <w:pPr>
      <w:keepNext/>
      <w:keepLines/>
      <w:numPr>
        <w:ilvl w:val="2"/>
        <w:numId w:val="1"/>
      </w:numPr>
      <w:spacing w:before="220" w:after="80" w:line="259" w:lineRule="auto"/>
      <w:ind w:left="864" w:hanging="864"/>
      <w:outlineLvl w:val="2"/>
    </w:pPr>
    <w:rPr>
      <w:rFonts w:asciiTheme="majorHAnsi" w:eastAsiaTheme="majorEastAsia" w:hAnsiTheme="majorHAnsi" w:cstheme="majorBidi"/>
      <w:b/>
      <w:bCs/>
      <w:color w:val="0F4761"/>
      <w:sz w:val="23"/>
      <w:szCs w:val="23"/>
    </w:rPr>
  </w:style>
  <w:style w:type="paragraph" w:styleId="Heading4">
    <w:name w:val="heading 4"/>
    <w:basedOn w:val="Normal"/>
    <w:next w:val="BodyText"/>
    <w:uiPriority w:val="9"/>
    <w:unhideWhenUsed/>
    <w:qFormat/>
    <w:pPr>
      <w:keepNext/>
      <w:keepLines/>
      <w:spacing w:before="180" w:after="60" w:line="259" w:lineRule="auto"/>
      <w:outlineLvl w:val="3"/>
    </w:pPr>
    <w:rPr>
      <w:rFonts w:ascii="Segoe UI" w:hAnsi="Segoe UI" w:eastAsia="Segoe UI" w:cs="Segoe UI"/>
      <w:b/>
      <w:bCs/>
      <w:color w:val="0F4761"/>
      <w:sz w:val="22"/>
      <w:szCs w:val="22"/>
    </w:rPr>
  </w:style>
  <w:style w:type="paragraph" w:styleId="Caption">
    <w:name w:val="caption"/>
    <w:basedOn w:val="Normal"/>
    <w:next w:val="BodyText"/>
    <w:qFormat/>
    <w:pPr>
      <w:spacing w:before="60" w:after="240" w:line="240" w:lineRule="auto"/>
      <w:jc w:val="center"/>
    </w:pPr>
    <w:rPr>
      <w:rFonts w:ascii="Segoe UI" w:hAnsi="Segoe UI" w:eastAsia="Segoe UI" w:cs="Segoe UI"/>
      <w:i/>
      <w:iCs/>
      <w:color w:val="0F4761"/>
      <w:sz w:val="18"/>
      <w:szCs w:val="18"/>
    </w:rPr>
  </w:style>
  <w:style w:type="paragraph" w:customStyle="1" w:styleId="TableCaption">
    <w:name w:val="Table Caption"/>
    <w:basedOn w:val="Caption"/>
    <w:qFormat/>
    <w:pPr>
      <w:keepNext/>
      <w:spacing w:before="160" w:after="80"/>
      <w:jc w:val="left"/>
    </w:pPr>
  </w:style>
  <w:style w:type="paragraph" w:customStyle="1" w:styleId="Figure">
    <w:name w:val="Figure"/>
    <w:basedOn w:val="Normal"/>
    <w:next w:val="Caption"/>
    <w:qFormat/>
    <w:pPr>
      <w:keepNext/>
      <w:spacing w:before="160" w:after="40" w:line="240" w:lineRule="auto"/>
      <w:jc w:val="center"/>
    </w:pPr>
  </w:style>
  <w:style w:type="paragraph" w:customStyle="1" w:styleId="FigureWide">
    <w:name w:val="Figure Wide"/>
    <w:basedOn w:val="Figure"/>
    <w:next w:val="Caption"/>
    <w:qFormat/>
  </w:style>
  <w:style w:type="paragraph" w:customStyle="1" w:styleId="CodeBlock">
    <w:name w:val="Code Block"/>
    <w:basedOn w:val="Normal"/>
    <w:next w:val="BodyText"/>
    <w:qFormat/>
    <w:pPr>
      <w:pBdr>
        <w:top w:val="single" w:sz="4" w:space="4" w:color="D3DCE6"/>
        <w:left w:val="single" w:sz="4" w:space="4" w:color="D3DCE6"/>
        <w:bottom w:val="single" w:sz="4" w:space="4" w:color="D3DCE6"/>
        <w:right w:val="single" w:sz="4" w:space="4" w:color="D3DCE6"/>
      </w:pBdr>
      <w:shd w:val="clear" w:color="auto" w:fill="F3F6FA"/>
      <w:spacing w:before="80" w:after="200" w:line="240" w:lineRule="auto"/>
      <w:ind w:left="113" w:right="113"/>
      <w:jc w:val="left"/>
    </w:pPr>
    <w:rPr>
      <w:rFonts w:ascii="Consolas" w:hAnsi="Consolas" w:eastAsia="Consolas" w:cs="Consolas"/>
      <w:color w:val="1F2937"/>
      <w:sz w:val="18"/>
      <w:szCs w:val="18"/>
    </w:rPr>
  </w:style>
  <w:style w:type="character" w:customStyle="1" w:styleId="CodeChar">
    <w:name w:val="Code Char"/>
    <w:basedOn w:val="DefaultParagraphFont"/>
    <w:qFormat/>
    <w:rPr>
      <w:rFonts w:ascii="Consolas" w:hAnsi="Consolas" w:eastAsia="Consolas" w:cs="Consolas"/>
      <w:color w:val="1F3864"/>
      <w:sz w:val="19"/>
      <w:szCs w:val="19"/>
    </w:rPr>
  </w:style>
  <w:style w:type="paragraph" w:customStyle="1" w:styleId="Callout">
    <w:name w:val="Callout"/>
    <w:basedOn w:val="Normal"/>
    <w:next w:val="BodyText"/>
    <w:qFormat/>
    <w:pPr>
      <w:pBdr>
        <w:left w:val="single" w:sz="24" w:space="8" w:color="1D74BA"/>
      </w:pBdr>
      <w:shd w:val="clear" w:color="auto" w:fill="E8F1FA"/>
      <w:spacing w:before="60" w:after="60" w:line="264" w:lineRule="auto"/>
      <w:ind w:left="227" w:right="113"/>
      <w:jc w:val="left"/>
    </w:pPr>
    <w:rPr>
      <w:rFonts w:ascii="Segoe UI" w:hAnsi="Segoe UI" w:eastAsia="Segoe UI" w:cs="Segoe UI"/>
      <w:color w:val="101820"/>
      <w:sz w:val="21"/>
      <w:szCs w:val="21"/>
    </w:rPr>
  </w:style>
  <w:style w:type="paragraph" w:styleId="TOC2">
    <w:name w:val="toc 2"/>
    <w:basedOn w:val="Normal"/>
    <w:next w:val="Normal"/>
    <w:uiPriority w:val="39"/>
    <w:unhideWhenUsed/>
    <w:pPr>
      <w:tabs>
        <w:tab w:val="left" w:pos="1260"/>
        <w:tab w:val="right" w:leader="dot" w:pos="9350"/>
      </w:tabs>
      <w:spacing w:after="60" w:line="264" w:lineRule="auto"/>
      <w:ind w:left="360"/>
    </w:pPr>
    <w:rPr>
      <w:rFonts w:ascii="Segoe UI" w:hAnsi="Segoe UI" w:eastAsia="Segoe UI" w:cs="Segoe UI"/>
      <w:noProof/>
      <w:color w:val="101820"/>
      <w:sz w:val="19"/>
      <w:szCs w:val="19"/>
    </w:rPr>
  </w:style>
  <w:style w:type="paragraph" w:styleId="TOC3">
    <w:name w:val="toc 3"/>
    <w:basedOn w:val="Normal"/>
    <w:next w:val="Normal"/>
    <w:uiPriority w:val="39"/>
    <w:unhideWhenUsed/>
    <w:pPr>
      <w:tabs>
        <w:tab w:val="left" w:pos="1700"/>
        <w:tab w:val="right" w:leader="dot" w:pos="9350"/>
      </w:tabs>
      <w:spacing w:after="40" w:line="264" w:lineRule="auto"/>
      <w:ind w:left="720"/>
    </w:pPr>
    <w:rPr>
      <w:rFonts w:ascii="Segoe UI" w:hAnsi="Segoe UI" w:eastAsia="Segoe UI" w:cs="Segoe UI"/>
      <w:noProof/>
      <w:color w:val="404A55"/>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16" Type="http://schemas.openxmlformats.org/officeDocument/2006/relationships/footer" Target="footer2.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9" Type="http://schemas.openxmlformats.org/officeDocument/2006/relationships/footnotes" Target="footnotes.xml"/><Relationship Id="rId14" Type="http://schemas.openxmlformats.org/officeDocument/2006/relationships/footer" Target="footer1.xml"/><Relationship Id="rIdFooterLandscape" Type="http://schemas.openxmlformats.org/officeDocument/2006/relationships/footer" Target="footer3.xml"/><Relationship Id="rIdG1" Type="http://schemas.openxmlformats.org/officeDocument/2006/relationships/image" Target="media/body_001.png"/><Relationship Id="rIdG2" Type="http://schemas.openxmlformats.org/officeDocument/2006/relationships/image" Target="media/body_002.png"/><Relationship Id="rIdG3" Type="http://schemas.openxmlformats.org/officeDocument/2006/relationships/image" Target="media/body_003.png"/></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footer3.xml.rels><?xml version='1.0' encoding='UTF-8' standalone='yes'?>
<Relationships xmlns="http://schemas.openxmlformats.org/package/2006/relationships"><Relationship Id="rId1" Type="http://schemas.openxmlformats.org/officeDocument/2006/relationships/image" Target="media/footer_band_landscape.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Company>iorta TechNXT</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Security Architecture</dc:title>
  <dc:subject>TGP-ARC-04</dc:subject>
  <dc:creator>iorta TechNXT</dc:creator>
  <cp:keywords>TGP-ARC-04; TASCO Insurance; iorta TechNXT</cp:keywords>
  <dc:description>TASCO Motor Insurance Growth Platform</dc:description>
  <cp:lastModifiedBy>iorta TechNXT</cp:lastModifiedBy>
  <cp:revision>1</cp:revision>
  <dcterms:created xsi:type="dcterms:W3CDTF">2026-10-08T03:54:33Z</dcterms:created>
  <dcterms:modified xsi:type="dcterms:W3CDTF">2026-10-08T03:54:33Z</dcterms:modified>
</cp:coreProperties>
</file>