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AI Governance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AI inventory and risk tiering</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Voice assistant</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2"/>
      </w:pPr>
      <w:hyperlink w:anchor="_Toc300000010" w:history="1">
        <w:r>
          <w:rPr>
            <w:noProof/>
          </w:rPr>
          <w:t>5.1.</w:t>
        </w:r>
        <w:r>
          <w:rPr>
            <w:noProof/>
          </w:rPr>
          <w:tab/>
        </w:r>
        <w:r>
          <w:rPr>
            <w:noProof/>
          </w:rPr>
          <w:t xml:space="preserve">Design principles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2"/>
      </w:pPr>
      <w:hyperlink w:anchor="_Toc300000011" w:history="1">
        <w:r>
          <w:rPr>
            <w:noProof/>
          </w:rPr>
          <w:t>5.2.</w:t>
        </w:r>
        <w:r>
          <w:rPr>
            <w:noProof/>
          </w:rPr>
          <w:tab/>
        </w:r>
        <w:r>
          <w:rPr>
            <w:noProof/>
          </w:rPr>
          <w:t xml:space="preserve">Dialogue</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5.3.</w:t>
        </w:r>
        <w:r>
          <w:rPr>
            <w:noProof/>
          </w:rPr>
          <w:tab/>
        </w:r>
        <w:r>
          <w:rPr>
            <w:noProof/>
          </w:rPr>
          <w:t xml:space="preserve">Script lifecycle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1"/>
      </w:pPr>
      <w:hyperlink w:anchor="_Toc300000013" w:history="1">
        <w:r>
          <w:rPr>
            <w:noProof/>
          </w:rPr>
          <w:t>6.</w:t>
        </w:r>
        <w:r>
          <w:rPr>
            <w:noProof/>
          </w:rPr>
          <w:tab/>
        </w:r>
        <w:r>
          <w:rPr>
            <w:noProof/>
          </w:rPr>
          <w:t xml:space="preserve">Lead scoring and inference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2"/>
      </w:pPr>
      <w:hyperlink w:anchor="_Toc300000014" w:history="1">
        <w:r>
          <w:rPr>
            <w:noProof/>
          </w:rPr>
          <w:t>6.1.</w:t>
        </w:r>
        <w:r>
          <w:rPr>
            <w:noProof/>
          </w:rPr>
          <w:tab/>
        </w:r>
        <w:r>
          <w:rPr>
            <w:noProof/>
          </w:rPr>
          <w:t xml:space="preserve">Model card: lead score</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6.2.</w:t>
        </w:r>
        <w:r>
          <w:rPr>
            <w:noProof/>
          </w:rPr>
          <w:tab/>
        </w:r>
        <w:r>
          <w:rPr>
            <w:noProof/>
          </w:rPr>
          <w:t xml:space="preserve">Controls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2"/>
      </w:pPr>
      <w:hyperlink w:anchor="_Toc300000016" w:history="1">
        <w:r>
          <w:rPr>
            <w:noProof/>
          </w:rPr>
          <w:t>6.3.</w:t>
        </w:r>
        <w:r>
          <w:rPr>
            <w:noProof/>
          </w:rPr>
          <w:tab/>
        </w:r>
        <w:r>
          <w:rPr>
            <w:noProof/>
          </w:rPr>
          <w:t xml:space="preserve">Inference of expiry and category</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1"/>
      </w:pPr>
      <w:hyperlink w:anchor="_Toc300000017" w:history="1">
        <w:r>
          <w:rPr>
            <w:noProof/>
          </w:rPr>
          <w:t>7.</w:t>
        </w:r>
        <w:r>
          <w:rPr>
            <w:noProof/>
          </w:rPr>
          <w:tab/>
        </w:r>
        <w:r>
          <w:rPr>
            <w:noProof/>
          </w:rPr>
          <w:t xml:space="preserve">Language model policy</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2"/>
      </w:pPr>
      <w:hyperlink w:anchor="_Toc300000018" w:history="1">
        <w:r>
          <w:rPr>
            <w:noProof/>
          </w:rPr>
          <w:t>7.1.</w:t>
        </w:r>
        <w:r>
          <w:rPr>
            <w:noProof/>
          </w:rPr>
          <w:tab/>
        </w:r>
        <w:r>
          <w:rPr>
            <w:noProof/>
          </w:rPr>
          <w:t xml:space="preserve">Permitted and prohibited uses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11</w:t>
        </w:r>
        <w:r>
          <w:rPr>
            <w:noProof/>
            <w:webHidden/>
          </w:rPr>
          <w:fldChar w:fldCharType="end"/>
        </w:r>
      </w:hyperlink>
    </w:p>
    <w:p>
      <w:pPr>
        <w:pStyle w:val="TOC2"/>
      </w:pPr>
      <w:hyperlink w:anchor="_Toc300000019" w:history="1">
        <w:r>
          <w:rPr>
            <w:noProof/>
          </w:rPr>
          <w:t>7.2.</w:t>
        </w:r>
        <w:r>
          <w:rPr>
            <w:noProof/>
          </w:rPr>
          <w:tab/>
        </w:r>
        <w:r>
          <w:rPr>
            <w:noProof/>
          </w:rPr>
          <w:t xml:space="preserve">Data protection</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11</w:t>
        </w:r>
        <w:r>
          <w:rPr>
            <w:noProof/>
            <w:webHidden/>
          </w:rPr>
          <w:fldChar w:fldCharType="end"/>
        </w:r>
      </w:hyperlink>
    </w:p>
    <w:p>
      <w:pPr>
        <w:pStyle w:val="TOC2"/>
      </w:pPr>
      <w:hyperlink w:anchor="_Toc300000020" w:history="1">
        <w:r>
          <w:rPr>
            <w:noProof/>
          </w:rPr>
          <w:t>7.3.</w:t>
        </w:r>
        <w:r>
          <w:rPr>
            <w:noProof/>
          </w:rPr>
          <w:tab/>
        </w:r>
        <w:r>
          <w:rPr>
            <w:noProof/>
          </w:rPr>
          <w:t xml:space="preserve">Evaluation and guard-rails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11</w:t>
        </w:r>
        <w:r>
          <w:rPr>
            <w:noProof/>
            <w:webHidden/>
          </w:rPr>
          <w:fldChar w:fldCharType="end"/>
        </w:r>
      </w:hyperlink>
    </w:p>
    <w:p>
      <w:pPr>
        <w:pStyle w:val="TOC1"/>
      </w:pPr>
      <w:hyperlink w:anchor="_Toc300000021" w:history="1">
        <w:r>
          <w:rPr>
            <w:noProof/>
          </w:rPr>
          <w:t>8.</w:t>
        </w:r>
        <w:r>
          <w:rPr>
            <w:noProof/>
          </w:rPr>
          <w:tab/>
        </w:r>
        <w:r>
          <w:rPr>
            <w:noProof/>
          </w:rPr>
          <w:t xml:space="preserve">Monitoring</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12</w:t>
        </w:r>
        <w:r>
          <w:rPr>
            <w:noProof/>
            <w:webHidden/>
          </w:rPr>
          <w:fldChar w:fldCharType="end"/>
        </w:r>
      </w:hyperlink>
    </w:p>
    <w:p>
      <w:pPr>
        <w:pStyle w:val="TOC1"/>
      </w:pPr>
      <w:hyperlink w:anchor="_Toc300000022" w:history="1">
        <w:r>
          <w:rPr>
            <w:noProof/>
          </w:rPr>
          <w:t>9.</w:t>
        </w:r>
        <w:r>
          <w:rPr>
            <w:noProof/>
          </w:rPr>
          <w:tab/>
        </w:r>
        <w:r>
          <w:rPr>
            <w:noProof/>
          </w:rPr>
          <w:t xml:space="preserve">AI incident handling</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12</w:t>
        </w:r>
        <w:r>
          <w:rPr>
            <w:noProof/>
            <w:webHidden/>
          </w:rPr>
          <w:fldChar w:fldCharType="end"/>
        </w:r>
      </w:hyperlink>
    </w:p>
    <w:p>
      <w:pPr>
        <w:pStyle w:val="TOC1"/>
      </w:pPr>
      <w:hyperlink w:anchor="_Toc300000023" w:history="1">
        <w:r>
          <w:rPr>
            <w:noProof/>
          </w:rPr>
          <w:t>10.</w:t>
        </w:r>
        <w:r>
          <w:rPr>
            <w:noProof/>
          </w:rPr>
          <w:tab/>
        </w:r>
        <w:r>
          <w:rPr>
            <w:noProof/>
          </w:rPr>
          <w:t xml:space="preserve">Roles and responsibilities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13</w:t>
        </w:r>
        <w:r>
          <w:rPr>
            <w:noProof/>
            <w:webHidden/>
          </w:rPr>
          <w:fldChar w:fldCharType="end"/>
        </w:r>
      </w:hyperlink>
    </w:p>
    <w:p>
      <w:pPr>
        <w:pStyle w:val="TOC2"/>
      </w:pPr>
      <w:hyperlink w:anchor="_Toc300000024" w:history="1">
        <w:r>
          <w:rPr>
            <w:noProof/>
          </w:rPr>
          <w:t>10.1.</w:t>
        </w:r>
        <w:r>
          <w:rPr>
            <w:noProof/>
          </w:rPr>
          <w:tab/>
        </w:r>
        <w:r>
          <w:rPr>
            <w:noProof/>
          </w:rPr>
          <w:t xml:space="preserve">Business and control functions</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14</w:t>
        </w:r>
        <w:r>
          <w:rPr>
            <w:noProof/>
            <w:webHidden/>
          </w:rPr>
          <w:fldChar w:fldCharType="end"/>
        </w:r>
      </w:hyperlink>
    </w:p>
    <w:p>
      <w:pPr>
        <w:pStyle w:val="TOC2"/>
      </w:pPr>
      <w:hyperlink w:anchor="_Toc300000025" w:history="1">
        <w:r>
          <w:rPr>
            <w:noProof/>
          </w:rPr>
          <w:t>10.2.</w:t>
        </w:r>
        <w:r>
          <w:rPr>
            <w:noProof/>
          </w:rPr>
          <w:tab/>
        </w:r>
        <w:r>
          <w:rPr>
            <w:noProof/>
          </w:rPr>
          <w:t xml:space="preserve">Delivery and operations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14</w:t>
        </w:r>
        <w:r>
          <w:rPr>
            <w:noProof/>
            <w:webHidden/>
          </w:rPr>
          <w:fldChar w:fldCharType="end"/>
        </w:r>
      </w:hyperlink>
    </w:p>
    <w:p>
      <w:pPr>
        <w:pStyle w:val="TOC1"/>
      </w:pPr>
      <w:hyperlink w:anchor="_Toc300000026" w:history="1">
        <w:r>
          <w:rPr>
            <w:noProof/>
          </w:rPr>
          <w:t>11.</w:t>
        </w:r>
        <w:r>
          <w:rPr>
            <w:noProof/>
          </w:rPr>
          <w:tab/>
        </w:r>
        <w:r>
          <w:rPr>
            <w:noProof/>
          </w:rPr>
          <w:t xml:space="preserve">Regulatory alignment</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15</w:t>
        </w:r>
        <w:r>
          <w:rPr>
            <w:noProof/>
            <w:webHidden/>
          </w:rPr>
          <w:fldChar w:fldCharType="end"/>
        </w:r>
      </w:hyperlink>
    </w:p>
    <w:p>
      <w:pPr>
        <w:pStyle w:val="TOC1"/>
      </w:pPr>
      <w:hyperlink w:anchor="_Toc300000027" w:history="1">
        <w:r>
          <w:rPr>
            <w:noProof/>
          </w:rPr>
          <w:t>12.</w:t>
        </w:r>
        <w:r>
          <w:rPr>
            <w:noProof/>
          </w:rPr>
          <w:tab/>
        </w:r>
        <w:r>
          <w:rPr>
            <w:noProof/>
          </w:rPr>
          <w:t xml:space="preserve">Sign-Off</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16</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88"/>
        <w:gridCol w:w="915"/>
        <w:gridCol w:w="1682"/>
        <w:gridCol w:w="2076"/>
        <w:gridCol w:w="1978"/>
        <w:gridCol w:w="1188"/>
      </w:tblGrid>
      <w:tr w:rsidR="002B183A" w14:paraId="4E198CD6" w14:textId="77777777" w:rsidTr="002923F3">
        <w:trPr>
          <w:cantSplit/>
          <w:trHeight w:val="440"/>
          <w:tblHeader/>
        </w:trPr>
        <w:tc>
          <w:tcPr>
            <w:tcW w:w="118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1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682"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076"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978"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18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18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1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682"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2076"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Compliance and Model Risk</w:t>
            </w:r>
          </w:p>
        </w:tc>
        <w:tc>
          <w:tcPr>
            <w:tcW w:w="1978"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18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25"/>
        <w:gridCol w:w="7502"/>
      </w:tblGrid>
      <w:tr w:rsidR="002B183A" w14:paraId="388F227F" w14:textId="77777777" w:rsidTr="002923F3">
        <w:trPr>
          <w:cantSplit/>
          <w:trHeight w:val="440"/>
          <w:tblHeader/>
        </w:trPr>
        <w:tc>
          <w:tcPr>
            <w:tcW w:w="1525"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02"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ADR</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Architecture decision record</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CX</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Customer experience</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DPA</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processing agreement</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 added tax</w:t>
            </w:r>
          </w:p>
        </w:tc>
      </w:tr>
      <w:tr w:rsidR="002B183A" w:rsidRPr="00BB346A" w14:paraId="73CFB63E" w14:textId="77777777" w:rsidTr="002923F3">
        <w:trPr>
          <w:cantSplit/>
          <w:trHeight w:val="449"/>
        </w:trPr>
        <w:tc>
          <w:tcPr>
            <w:tcW w:w="152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50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sets out how automated decisions and AI components on the TASCO Growth Platform are designed, approved, tested, monitored and corrected. It is the reference for compliance, model risk and customer experience teams when they approve a script, a scoring change or a new model.</w:t>
      </w:r>
    </w:p>
    <w:p>
      <w:pPr>
        <w:pStyle w:val="Heading2"/>
      </w:pPr>
      <w:bookmarkStart w:id="9" w:name="_Toc300000005"/>
      <w:r>
        <w:t xml:space="preserve">Scope</w:t>
      </w:r>
      <w:bookmarkEnd w:id="9"/>
    </w:p>
    <w:p>
      <w:pPr>
        <w:pStyle w:val="FirstParagraph"/>
      </w:pPr>
      <w:r>
        <w:t xml:space="preserve">Every automated component that affects customers: the voice assistant (dialogue, intent recognition and the vendor’s speech services), the lead score, next-best action and journey assignment, the inference of policy expiry and vehicle category, benefit selection, quick-renewal eligibility, and any future language model or machine-learning model. Regulatory points are to be confirmed by TASCO legal.</w:t>
      </w:r>
    </w:p>
    <w:p>
      <w:pPr>
        <w:pStyle w:val="Heading2"/>
      </w:pPr>
      <w:bookmarkStart w:id="10" w:name="_Toc300000006"/>
      <w:r>
        <w:t xml:space="preserve">Audience</w:t>
      </w:r>
      <w:bookmarkEnd w:id="10"/>
    </w:p>
    <w:p>
      <w:pPr>
        <w:pStyle w:val="FirstParagraph"/>
      </w:pPr>
      <w:r>
        <w:t xml:space="preserve">TASCO compliance, model risk, legal and data protection; the VETC customer experience lead; the TASCO product owner; the iorta TechNXT team.</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81"/>
        <w:gridCol w:w="3020"/>
        <w:gridCol w:w="4526"/>
      </w:tblGrid>
      <w:tr>
        <w:trPr>
          <w:cantSplit/>
          <w:tblHeader/>
        </w:trPr>
        <w:tc>
          <w:tcPr>
            <w:tcW w:w="1481" w:type="dxa"/>
            <w:shd w:val="clear" w:color="auto" w:fill="0F4761"/>
            <w:vAlign w:val="center"/>
          </w:tcPr>
          <w:p>
            <w:pPr>
              <w:pStyle w:val="TableHeading"/>
              <w:jc w:val="left"/>
            </w:pPr>
            <w:r>
              <w:rPr>
                <w:color w:val="FFFFFF"/>
              </w:rPr>
              <w:t xml:space="preserve">ID</w:t>
            </w:r>
          </w:p>
        </w:tc>
        <w:tc>
          <w:tcPr>
            <w:tcW w:w="3020" w:type="dxa"/>
            <w:shd w:val="clear" w:color="auto" w:fill="0F4761"/>
            <w:vAlign w:val="center"/>
          </w:tcPr>
          <w:p>
            <w:pPr>
              <w:pStyle w:val="TableHeading"/>
              <w:jc w:val="left"/>
            </w:pPr>
            <w:r>
              <w:rPr>
                <w:color w:val="FFFFFF"/>
              </w:rPr>
              <w:t xml:space="preserve">Title</w:t>
            </w:r>
          </w:p>
        </w:tc>
        <w:tc>
          <w:tcPr>
            <w:tcW w:w="4526" w:type="dxa"/>
            <w:shd w:val="clear" w:color="auto" w:fill="0F4761"/>
            <w:vAlign w:val="center"/>
          </w:tcPr>
          <w:p>
            <w:pPr>
              <w:pStyle w:val="TableHeading"/>
              <w:jc w:val="left"/>
            </w:pPr>
            <w:r>
              <w:rPr>
                <w:color w:val="FFFFFF"/>
              </w:rPr>
              <w:t xml:space="preserve">Relationship</w:t>
            </w:r>
          </w:p>
        </w:tc>
      </w:tr>
      <w:tr>
        <w:trPr>
          <w:cantSplit/>
        </w:trPr>
        <w:tc>
          <w:tcPr>
            <w:tcW w:w="1481" w:type="dxa"/>
            <w:noWrap/>
            <w:vAlign w:val="top"/>
          </w:tcPr>
          <w:p>
            <w:pPr>
              <w:pStyle w:val="TableText"/>
              <w:jc w:val="left"/>
            </w:pPr>
            <w:r>
              <w:t xml:space="preserve">TGP-ARC-01</w:t>
            </w:r>
          </w:p>
        </w:tc>
        <w:tc>
          <w:tcPr>
            <w:tcW w:w="3020" w:type="dxa"/>
            <w:vAlign w:val="top"/>
          </w:tcPr>
          <w:p>
            <w:pPr>
              <w:pStyle w:val="TableText"/>
              <w:jc w:val="left"/>
            </w:pPr>
            <w:r>
              <w:t xml:space="preserve">Solution Architecture</w:t>
            </w:r>
          </w:p>
        </w:tc>
        <w:tc>
          <w:tcPr>
            <w:tcW w:w="4526" w:type="dxa"/>
            <w:vAlign w:val="top"/>
          </w:tcPr>
          <w:p>
            <w:pPr>
              <w:pStyle w:val="TableText"/>
              <w:jc w:val="left"/>
            </w:pPr>
            <w:r>
              <w:t xml:space="preserve">Rules engine and maker-checker</w:t>
            </w:r>
          </w:p>
        </w:tc>
      </w:tr>
      <w:tr>
        <w:trPr>
          <w:cantSplit/>
        </w:trPr>
        <w:tc>
          <w:tcPr>
            <w:tcW w:w="1481" w:type="dxa"/>
            <w:shd w:val="clear" w:color="auto" w:fill="F4F7FB"/>
            <w:noWrap/>
            <w:vAlign w:val="top"/>
          </w:tcPr>
          <w:p>
            <w:pPr>
              <w:pStyle w:val="TableText"/>
              <w:jc w:val="left"/>
            </w:pPr>
            <w:r>
              <w:t xml:space="preserve">TGP-ARC-02</w:t>
            </w:r>
          </w:p>
        </w:tc>
        <w:tc>
          <w:tcPr>
            <w:tcW w:w="3020" w:type="dxa"/>
            <w:shd w:val="clear" w:color="auto" w:fill="F4F7FB"/>
            <w:vAlign w:val="top"/>
          </w:tcPr>
          <w:p>
            <w:pPr>
              <w:pStyle w:val="TableText"/>
              <w:jc w:val="left"/>
            </w:pPr>
            <w:r>
              <w:t xml:space="preserve">Integration Architecture</w:t>
            </w:r>
          </w:p>
        </w:tc>
        <w:tc>
          <w:tcPr>
            <w:tcW w:w="4526" w:type="dxa"/>
            <w:shd w:val="clear" w:color="auto" w:fill="F4F7FB"/>
            <w:vAlign w:val="top"/>
          </w:tcPr>
          <w:p>
            <w:pPr>
              <w:pStyle w:val="TableText"/>
              <w:jc w:val="left"/>
            </w:pPr>
            <w:r>
              <w:t xml:space="preserve">Voice vendor contract and handoff sequence</w:t>
            </w:r>
          </w:p>
        </w:tc>
      </w:tr>
      <w:tr>
        <w:trPr>
          <w:cantSplit/>
        </w:trPr>
        <w:tc>
          <w:tcPr>
            <w:tcW w:w="1481" w:type="dxa"/>
            <w:noWrap/>
            <w:vAlign w:val="top"/>
          </w:tcPr>
          <w:p>
            <w:pPr>
              <w:pStyle w:val="TableText"/>
              <w:jc w:val="left"/>
            </w:pPr>
            <w:r>
              <w:t xml:space="preserve">TGP-ARC-03</w:t>
            </w:r>
          </w:p>
        </w:tc>
        <w:tc>
          <w:tcPr>
            <w:tcW w:w="3020" w:type="dxa"/>
            <w:vAlign w:val="top"/>
          </w:tcPr>
          <w:p>
            <w:pPr>
              <w:pStyle w:val="TableText"/>
              <w:jc w:val="left"/>
            </w:pPr>
            <w:r>
              <w:t xml:space="preserve">Data Architecture</w:t>
            </w:r>
          </w:p>
        </w:tc>
        <w:tc>
          <w:tcPr>
            <w:tcW w:w="4526" w:type="dxa"/>
            <w:vAlign w:val="top"/>
          </w:tcPr>
          <w:p>
            <w:pPr>
              <w:pStyle w:val="TableText"/>
              <w:jc w:val="left"/>
            </w:pPr>
            <w:r>
              <w:t xml:space="preserve">Golden record and expiry inference</w:t>
            </w:r>
          </w:p>
        </w:tc>
      </w:tr>
      <w:tr>
        <w:trPr>
          <w:cantSplit/>
        </w:trPr>
        <w:tc>
          <w:tcPr>
            <w:tcW w:w="1481" w:type="dxa"/>
            <w:shd w:val="clear" w:color="auto" w:fill="F4F7FB"/>
            <w:noWrap/>
            <w:vAlign w:val="top"/>
          </w:tcPr>
          <w:p>
            <w:pPr>
              <w:pStyle w:val="TableText"/>
              <w:jc w:val="left"/>
            </w:pPr>
            <w:r>
              <w:t xml:space="preserve">TGP-ARC-04</w:t>
            </w:r>
          </w:p>
        </w:tc>
        <w:tc>
          <w:tcPr>
            <w:tcW w:w="3020" w:type="dxa"/>
            <w:shd w:val="clear" w:color="auto" w:fill="F4F7FB"/>
            <w:vAlign w:val="top"/>
          </w:tcPr>
          <w:p>
            <w:pPr>
              <w:pStyle w:val="TableText"/>
              <w:jc w:val="left"/>
            </w:pPr>
            <w:r>
              <w:t xml:space="preserve">Security Architecture</w:t>
            </w:r>
          </w:p>
        </w:tc>
        <w:tc>
          <w:tcPr>
            <w:tcW w:w="4526" w:type="dxa"/>
            <w:shd w:val="clear" w:color="auto" w:fill="F4F7FB"/>
            <w:vAlign w:val="top"/>
          </w:tcPr>
          <w:p>
            <w:pPr>
              <w:pStyle w:val="TableText"/>
              <w:jc w:val="left"/>
            </w:pPr>
            <w:r>
              <w:t xml:space="preserve">Access control and incident response</w:t>
            </w:r>
          </w:p>
        </w:tc>
      </w:tr>
      <w:tr>
        <w:trPr>
          <w:cantSplit/>
        </w:trPr>
        <w:tc>
          <w:tcPr>
            <w:tcW w:w="1481" w:type="dxa"/>
            <w:noWrap/>
            <w:vAlign w:val="top"/>
          </w:tcPr>
          <w:p>
            <w:pPr>
              <w:pStyle w:val="TableText"/>
              <w:jc w:val="left"/>
            </w:pPr>
            <w:r>
              <w:t xml:space="preserve">TGP-ARC-07</w:t>
            </w:r>
          </w:p>
        </w:tc>
        <w:tc>
          <w:tcPr>
            <w:tcW w:w="3020" w:type="dxa"/>
            <w:vAlign w:val="top"/>
          </w:tcPr>
          <w:p>
            <w:pPr>
              <w:pStyle w:val="TableText"/>
              <w:jc w:val="left"/>
            </w:pPr>
            <w:r>
              <w:t xml:space="preserve">Architecture Decision Records</w:t>
            </w:r>
          </w:p>
        </w:tc>
        <w:tc>
          <w:tcPr>
            <w:tcW w:w="4526" w:type="dxa"/>
            <w:vAlign w:val="top"/>
          </w:tcPr>
          <w:p>
            <w:pPr>
              <w:pStyle w:val="TableText"/>
              <w:jc w:val="left"/>
            </w:pPr>
            <w:r>
              <w:t xml:space="preserve">ADR-003 rules engine, ADR-009 voice dialogue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AI inventory and risk tiering</w:t>
      </w:r>
      <w:bookmarkEnd w:id="12"/>
    </w:p>
    <w:p>
      <w:pPr>
        <w:pStyle w:val="FirstParagraph"/>
      </w:pPr>
      <w:r>
        <w:t xml:space="preserve">No component on the platform today uses a generative or trained machine-learning model of its own. The voice assistant follows a fixed dialogue with an approved script, and scoring and inference are explainable rules. The vendor’s speech recognition and text to speech are the only machine-learning components in the customer path.</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72"/>
        <w:gridCol w:w="2117"/>
        <w:gridCol w:w="2117"/>
        <w:gridCol w:w="1561"/>
        <w:gridCol w:w="1560"/>
      </w:tblGrid>
      <w:tr>
        <w:trPr>
          <w:cantSplit/>
          <w:tblHeader/>
        </w:trPr>
        <w:tc>
          <w:tcPr>
            <w:tcW w:w="1672" w:type="dxa"/>
            <w:shd w:val="clear" w:color="auto" w:fill="0F4761"/>
            <w:vAlign w:val="center"/>
          </w:tcPr>
          <w:p>
            <w:pPr>
              <w:pStyle w:val="TableHeading"/>
              <w:jc w:val="left"/>
            </w:pPr>
            <w:r>
              <w:rPr>
                <w:color w:val="FFFFFF"/>
              </w:rPr>
              <w:t xml:space="preserve">Component</w:t>
            </w:r>
          </w:p>
        </w:tc>
        <w:tc>
          <w:tcPr>
            <w:tcW w:w="2117" w:type="dxa"/>
            <w:shd w:val="clear" w:color="auto" w:fill="0F4761"/>
            <w:vAlign w:val="center"/>
          </w:tcPr>
          <w:p>
            <w:pPr>
              <w:pStyle w:val="TableHeading"/>
              <w:jc w:val="left"/>
            </w:pPr>
            <w:r>
              <w:rPr>
                <w:color w:val="FFFFFF"/>
              </w:rPr>
              <w:t xml:space="preserve">Type</w:t>
            </w:r>
          </w:p>
        </w:tc>
        <w:tc>
          <w:tcPr>
            <w:tcW w:w="2117" w:type="dxa"/>
            <w:shd w:val="clear" w:color="auto" w:fill="0F4761"/>
            <w:vAlign w:val="center"/>
          </w:tcPr>
          <w:p>
            <w:pPr>
              <w:pStyle w:val="TableHeading"/>
              <w:jc w:val="left"/>
            </w:pPr>
            <w:r>
              <w:rPr>
                <w:color w:val="FFFFFF"/>
              </w:rPr>
              <w:t xml:space="preserve">Customer impact</w:t>
            </w:r>
          </w:p>
        </w:tc>
        <w:tc>
          <w:tcPr>
            <w:tcW w:w="1561" w:type="dxa"/>
            <w:shd w:val="clear" w:color="auto" w:fill="0F4761"/>
            <w:vAlign w:val="center"/>
          </w:tcPr>
          <w:p>
            <w:pPr>
              <w:pStyle w:val="TableHeading"/>
              <w:jc w:val="left"/>
            </w:pPr>
            <w:r>
              <w:rPr>
                <w:color w:val="FFFFFF"/>
              </w:rPr>
              <w:t xml:space="preserve">Risk tier</w:t>
            </w:r>
          </w:p>
        </w:tc>
        <w:tc>
          <w:tcPr>
            <w:tcW w:w="1560" w:type="dxa"/>
            <w:shd w:val="clear" w:color="auto" w:fill="0F4761"/>
            <w:vAlign w:val="center"/>
          </w:tcPr>
          <w:p>
            <w:pPr>
              <w:pStyle w:val="TableHeading"/>
              <w:jc w:val="left"/>
            </w:pPr>
            <w:r>
              <w:rPr>
                <w:color w:val="FFFFFF"/>
              </w:rPr>
              <w:t xml:space="preserve">Owner</w:t>
            </w:r>
          </w:p>
        </w:tc>
      </w:tr>
      <w:tr>
        <w:trPr>
          <w:cantSplit/>
        </w:trPr>
        <w:tc>
          <w:tcPr>
            <w:tcW w:w="1672" w:type="dxa"/>
            <w:vAlign w:val="top"/>
          </w:tcPr>
          <w:p>
            <w:pPr>
              <w:pStyle w:val="TableText"/>
              <w:jc w:val="left"/>
            </w:pPr>
            <w:r>
              <w:t xml:space="preserve">Voice assistant dialogue</w:t>
            </w:r>
          </w:p>
        </w:tc>
        <w:tc>
          <w:tcPr>
            <w:tcW w:w="2117" w:type="dxa"/>
            <w:vAlign w:val="top"/>
          </w:tcPr>
          <w:p>
            <w:pPr>
              <w:pStyle w:val="TableText"/>
              <w:jc w:val="left"/>
            </w:pPr>
            <w:r>
              <w:t xml:space="preserve">Fixed state machine with a governed script</w:t>
            </w:r>
          </w:p>
        </w:tc>
        <w:tc>
          <w:tcPr>
            <w:tcW w:w="2117" w:type="dxa"/>
            <w:vAlign w:val="top"/>
          </w:tcPr>
          <w:p>
            <w:pPr>
              <w:pStyle w:val="TableText"/>
              <w:jc w:val="left"/>
            </w:pPr>
            <w:r>
              <w:t xml:space="preserve">Speaks to customers, records opt-outs, hands off to sales</w:t>
            </w:r>
          </w:p>
        </w:tc>
        <w:tc>
          <w:tcPr>
            <w:tcW w:w="1561" w:type="dxa"/>
            <w:vAlign w:val="top"/>
          </w:tcPr>
          <w:p>
            <w:pPr>
              <w:pStyle w:val="TableText"/>
              <w:jc w:val="left"/>
            </w:pPr>
            <w:r>
              <w:t xml:space="preserve">High: direct interaction, scam context</w:t>
            </w:r>
          </w:p>
        </w:tc>
        <w:tc>
          <w:tcPr>
            <w:tcW w:w="1560" w:type="dxa"/>
            <w:vAlign w:val="top"/>
          </w:tcPr>
          <w:p>
            <w:pPr>
              <w:pStyle w:val="TableText"/>
              <w:jc w:val="left"/>
            </w:pPr>
            <w:r>
              <w:t xml:space="preserve">CX lead</w:t>
            </w:r>
          </w:p>
        </w:tc>
      </w:tr>
      <w:tr>
        <w:trPr>
          <w:cantSplit/>
        </w:trPr>
        <w:tc>
          <w:tcPr>
            <w:tcW w:w="1672" w:type="dxa"/>
            <w:shd w:val="clear" w:color="auto" w:fill="F4F7FB"/>
            <w:vAlign w:val="top"/>
          </w:tcPr>
          <w:p>
            <w:pPr>
              <w:pStyle w:val="TableText"/>
              <w:jc w:val="left"/>
            </w:pPr>
            <w:r>
              <w:t xml:space="preserve">Intent recognition</w:t>
            </w:r>
          </w:p>
        </w:tc>
        <w:tc>
          <w:tcPr>
            <w:tcW w:w="2117" w:type="dxa"/>
            <w:shd w:val="clear" w:color="auto" w:fill="F4F7FB"/>
            <w:vAlign w:val="top"/>
          </w:tcPr>
          <w:p>
            <w:pPr>
              <w:pStyle w:val="TableText"/>
              <w:jc w:val="left"/>
            </w:pPr>
            <w:r>
              <w:t xml:space="preserve">Keyword matching; language model optional in future</w:t>
            </w:r>
          </w:p>
        </w:tc>
        <w:tc>
          <w:tcPr>
            <w:tcW w:w="2117" w:type="dxa"/>
            <w:shd w:val="clear" w:color="auto" w:fill="F4F7FB"/>
            <w:vAlign w:val="top"/>
          </w:tcPr>
          <w:p>
            <w:pPr>
              <w:pStyle w:val="TableText"/>
              <w:jc w:val="left"/>
            </w:pPr>
            <w:r>
              <w:t xml:space="preserve">A wrong intent takes a wrong path; a missed opt-out is critical</w:t>
            </w:r>
          </w:p>
        </w:tc>
        <w:tc>
          <w:tcPr>
            <w:tcW w:w="1561" w:type="dxa"/>
            <w:shd w:val="clear" w:color="auto" w:fill="F4F7FB"/>
            <w:vAlign w:val="top"/>
          </w:tcPr>
          <w:p>
            <w:pPr>
              <w:pStyle w:val="TableText"/>
              <w:jc w:val="left"/>
            </w:pPr>
            <w:r>
              <w:t xml:space="preserve">High</w:t>
            </w:r>
          </w:p>
        </w:tc>
        <w:tc>
          <w:tcPr>
            <w:tcW w:w="1560" w:type="dxa"/>
            <w:shd w:val="clear" w:color="auto" w:fill="F4F7FB"/>
            <w:vAlign w:val="top"/>
          </w:tcPr>
          <w:p>
            <w:pPr>
              <w:pStyle w:val="TableText"/>
              <w:jc w:val="left"/>
            </w:pPr>
            <w:r>
              <w:t xml:space="preserve">CX lead and model risk</w:t>
            </w:r>
          </w:p>
        </w:tc>
      </w:tr>
      <w:tr>
        <w:trPr>
          <w:cantSplit/>
        </w:trPr>
        <w:tc>
          <w:tcPr>
            <w:tcW w:w="1672" w:type="dxa"/>
            <w:vAlign w:val="top"/>
          </w:tcPr>
          <w:p>
            <w:pPr>
              <w:pStyle w:val="TableText"/>
              <w:jc w:val="left"/>
            </w:pPr>
            <w:r>
              <w:t xml:space="preserve">Speech recognition and synthesis</w:t>
            </w:r>
          </w:p>
        </w:tc>
        <w:tc>
          <w:tcPr>
            <w:tcW w:w="2117" w:type="dxa"/>
            <w:vAlign w:val="top"/>
          </w:tcPr>
          <w:p>
            <w:pPr>
              <w:pStyle w:val="TableText"/>
              <w:jc w:val="left"/>
            </w:pPr>
            <w:r>
              <w:t xml:space="preserve">Vendor machine learning (Vietnamese)</w:t>
            </w:r>
          </w:p>
        </w:tc>
        <w:tc>
          <w:tcPr>
            <w:tcW w:w="2117" w:type="dxa"/>
            <w:vAlign w:val="top"/>
          </w:tcPr>
          <w:p>
            <w:pPr>
              <w:pStyle w:val="TableText"/>
              <w:jc w:val="left"/>
            </w:pPr>
            <w:r>
              <w:t xml:space="preserve">Mis-transcription can cause a plate mismatch or wrong intent</w:t>
            </w:r>
          </w:p>
        </w:tc>
        <w:tc>
          <w:tcPr>
            <w:tcW w:w="1561" w:type="dxa"/>
            <w:vAlign w:val="top"/>
          </w:tcPr>
          <w:p>
            <w:pPr>
              <w:pStyle w:val="TableText"/>
              <w:jc w:val="left"/>
            </w:pPr>
            <w:r>
              <w:t xml:space="preserve">Medium</w:t>
            </w:r>
          </w:p>
        </w:tc>
        <w:tc>
          <w:tcPr>
            <w:tcW w:w="1560" w:type="dxa"/>
            <w:vAlign w:val="top"/>
          </w:tcPr>
          <w:p>
            <w:pPr>
              <w:pStyle w:val="TableText"/>
              <w:jc w:val="left"/>
            </w:pPr>
            <w:r>
              <w:t xml:space="preserve">Vendor and CX lead</w:t>
            </w:r>
          </w:p>
        </w:tc>
      </w:tr>
      <w:tr>
        <w:trPr>
          <w:cantSplit/>
        </w:trPr>
        <w:tc>
          <w:tcPr>
            <w:tcW w:w="1672" w:type="dxa"/>
            <w:shd w:val="clear" w:color="auto" w:fill="F4F7FB"/>
            <w:vAlign w:val="top"/>
          </w:tcPr>
          <w:p>
            <w:pPr>
              <w:pStyle w:val="TableText"/>
              <w:jc w:val="left"/>
            </w:pPr>
            <w:r>
              <w:t xml:space="preserve">Lead score and tier</w:t>
            </w:r>
          </w:p>
        </w:tc>
        <w:tc>
          <w:tcPr>
            <w:tcW w:w="2117" w:type="dxa"/>
            <w:shd w:val="clear" w:color="auto" w:fill="F4F7FB"/>
            <w:vAlign w:val="top"/>
          </w:tcPr>
          <w:p>
            <w:pPr>
              <w:pStyle w:val="TableText"/>
              <w:jc w:val="left"/>
            </w:pPr>
            <w:r>
              <w:t xml:space="preserve">Weighted rules with reasons</w:t>
            </w:r>
          </w:p>
        </w:tc>
        <w:tc>
          <w:tcPr>
            <w:tcW w:w="2117" w:type="dxa"/>
            <w:shd w:val="clear" w:color="auto" w:fill="F4F7FB"/>
            <w:vAlign w:val="top"/>
          </w:tcPr>
          <w:p>
            <w:pPr>
              <w:pStyle w:val="TableText"/>
              <w:jc w:val="left"/>
            </w:pPr>
            <w:r>
              <w:t xml:space="preserve">Who is contacted, how often and on which channel</w:t>
            </w:r>
          </w:p>
        </w:tc>
        <w:tc>
          <w:tcPr>
            <w:tcW w:w="1561" w:type="dxa"/>
            <w:shd w:val="clear" w:color="auto" w:fill="F4F7FB"/>
            <w:vAlign w:val="top"/>
          </w:tcPr>
          <w:p>
            <w:pPr>
              <w:pStyle w:val="TableText"/>
              <w:jc w:val="left"/>
            </w:pPr>
            <w:r>
              <w:t xml:space="preserve">Medium</w:t>
            </w:r>
          </w:p>
        </w:tc>
        <w:tc>
          <w:tcPr>
            <w:tcW w:w="1560" w:type="dxa"/>
            <w:shd w:val="clear" w:color="auto" w:fill="F4F7FB"/>
            <w:vAlign w:val="top"/>
          </w:tcPr>
          <w:p>
            <w:pPr>
              <w:pStyle w:val="TableText"/>
              <w:jc w:val="left"/>
            </w:pPr>
            <w:r>
              <w:t xml:space="preserve">Growth analytics</w:t>
            </w:r>
          </w:p>
        </w:tc>
      </w:tr>
      <w:tr>
        <w:trPr>
          <w:cantSplit/>
        </w:trPr>
        <w:tc>
          <w:tcPr>
            <w:tcW w:w="1672" w:type="dxa"/>
            <w:vAlign w:val="top"/>
          </w:tcPr>
          <w:p>
            <w:pPr>
              <w:pStyle w:val="TableText"/>
              <w:jc w:val="left"/>
            </w:pPr>
            <w:r>
              <w:t xml:space="preserve">Next-best action and journey</w:t>
            </w:r>
          </w:p>
        </w:tc>
        <w:tc>
          <w:tcPr>
            <w:tcW w:w="2117" w:type="dxa"/>
            <w:vAlign w:val="top"/>
          </w:tcPr>
          <w:p>
            <w:pPr>
              <w:pStyle w:val="TableText"/>
              <w:jc w:val="left"/>
            </w:pPr>
            <w:r>
              <w:t xml:space="preserve">Decision tables</w:t>
            </w:r>
          </w:p>
        </w:tc>
        <w:tc>
          <w:tcPr>
            <w:tcW w:w="2117" w:type="dxa"/>
            <w:vAlign w:val="top"/>
          </w:tcPr>
          <w:p>
            <w:pPr>
              <w:pStyle w:val="TableText"/>
              <w:jc w:val="left"/>
            </w:pPr>
            <w:r>
              <w:t xml:space="preserve">Channel choice, suppression, routing of company vehicles to B2B</w:t>
            </w:r>
          </w:p>
        </w:tc>
        <w:tc>
          <w:tcPr>
            <w:tcW w:w="1561" w:type="dxa"/>
            <w:vAlign w:val="top"/>
          </w:tcPr>
          <w:p>
            <w:pPr>
              <w:pStyle w:val="TableText"/>
              <w:jc w:val="left"/>
            </w:pPr>
            <w:r>
              <w:t xml:space="preserve">Medium</w:t>
            </w:r>
          </w:p>
        </w:tc>
        <w:tc>
          <w:tcPr>
            <w:tcW w:w="1560" w:type="dxa"/>
            <w:vAlign w:val="top"/>
          </w:tcPr>
          <w:p>
            <w:pPr>
              <w:pStyle w:val="TableText"/>
              <w:jc w:val="left"/>
            </w:pPr>
            <w:r>
              <w:t xml:space="preserve">Campaign</w:t>
            </w:r>
          </w:p>
        </w:tc>
      </w:tr>
      <w:tr>
        <w:trPr>
          <w:cantSplit/>
        </w:trPr>
        <w:tc>
          <w:tcPr>
            <w:tcW w:w="1672" w:type="dxa"/>
            <w:shd w:val="clear" w:color="auto" w:fill="F4F7FB"/>
            <w:vAlign w:val="top"/>
          </w:tcPr>
          <w:p>
            <w:pPr>
              <w:pStyle w:val="TableText"/>
              <w:jc w:val="left"/>
            </w:pPr>
            <w:r>
              <w:t xml:space="preserve">Expiry inference</w:t>
            </w:r>
          </w:p>
        </w:tc>
        <w:tc>
          <w:tcPr>
            <w:tcW w:w="2117" w:type="dxa"/>
            <w:shd w:val="clear" w:color="auto" w:fill="F4F7FB"/>
            <w:vAlign w:val="top"/>
          </w:tcPr>
          <w:p>
            <w:pPr>
              <w:pStyle w:val="TableText"/>
              <w:jc w:val="left"/>
            </w:pPr>
            <w:r>
              <w:t xml:space="preserve">Evidence-weighted inference</w:t>
            </w:r>
          </w:p>
        </w:tc>
        <w:tc>
          <w:tcPr>
            <w:tcW w:w="2117" w:type="dxa"/>
            <w:shd w:val="clear" w:color="auto" w:fill="F4F7FB"/>
            <w:vAlign w:val="top"/>
          </w:tcPr>
          <w:p>
            <w:pPr>
              <w:pStyle w:val="TableText"/>
              <w:jc w:val="left"/>
            </w:pPr>
            <w:r>
              <w:t xml:space="preserve">Timing of reminders and quote start date</w:t>
            </w:r>
          </w:p>
        </w:tc>
        <w:tc>
          <w:tcPr>
            <w:tcW w:w="1561" w:type="dxa"/>
            <w:shd w:val="clear" w:color="auto" w:fill="F4F7FB"/>
            <w:vAlign w:val="top"/>
          </w:tcPr>
          <w:p>
            <w:pPr>
              <w:pStyle w:val="TableText"/>
              <w:jc w:val="left"/>
            </w:pPr>
            <w:r>
              <w:t xml:space="preserve">Medium</w:t>
            </w:r>
          </w:p>
        </w:tc>
        <w:tc>
          <w:tcPr>
            <w:tcW w:w="1560" w:type="dxa"/>
            <w:shd w:val="clear" w:color="auto" w:fill="F4F7FB"/>
            <w:vAlign w:val="top"/>
          </w:tcPr>
          <w:p>
            <w:pPr>
              <w:pStyle w:val="TableText"/>
              <w:jc w:val="left"/>
            </w:pPr>
            <w:r>
              <w:t xml:space="preserve">Data office</w:t>
            </w:r>
          </w:p>
        </w:tc>
      </w:tr>
      <w:tr>
        <w:trPr>
          <w:cantSplit/>
        </w:trPr>
        <w:tc>
          <w:tcPr>
            <w:tcW w:w="1672" w:type="dxa"/>
            <w:vAlign w:val="top"/>
          </w:tcPr>
          <w:p>
            <w:pPr>
              <w:pStyle w:val="TableText"/>
              <w:jc w:val="left"/>
            </w:pPr>
            <w:r>
              <w:t xml:space="preserve">Vehicle category inference</w:t>
            </w:r>
          </w:p>
        </w:tc>
        <w:tc>
          <w:tcPr>
            <w:tcW w:w="2117" w:type="dxa"/>
            <w:vAlign w:val="top"/>
          </w:tcPr>
          <w:p>
            <w:pPr>
              <w:pStyle w:val="TableText"/>
              <w:jc w:val="left"/>
            </w:pPr>
            <w:r>
              <w:t xml:space="preserve">Decision table</w:t>
            </w:r>
          </w:p>
        </w:tc>
        <w:tc>
          <w:tcPr>
            <w:tcW w:w="2117" w:type="dxa"/>
            <w:vAlign w:val="top"/>
          </w:tcPr>
          <w:p>
            <w:pPr>
              <w:pStyle w:val="TableText"/>
              <w:jc w:val="left"/>
            </w:pPr>
            <w:r>
              <w:t xml:space="preserve">Category drives the regulated premium if not confirmed</w:t>
            </w:r>
          </w:p>
        </w:tc>
        <w:tc>
          <w:tcPr>
            <w:tcW w:w="1561" w:type="dxa"/>
            <w:vAlign w:val="top"/>
          </w:tcPr>
          <w:p>
            <w:pPr>
              <w:pStyle w:val="TableText"/>
              <w:jc w:val="left"/>
            </w:pPr>
            <w:r>
              <w:t xml:space="preserve">High for pricing</w:t>
            </w:r>
          </w:p>
        </w:tc>
        <w:tc>
          <w:tcPr>
            <w:tcW w:w="1560" w:type="dxa"/>
            <w:vAlign w:val="top"/>
          </w:tcPr>
          <w:p>
            <w:pPr>
              <w:pStyle w:val="TableText"/>
              <w:jc w:val="left"/>
            </w:pPr>
            <w:r>
              <w:t xml:space="preserve">Data office and underwriting</w:t>
            </w:r>
          </w:p>
        </w:tc>
      </w:tr>
      <w:tr>
        <w:trPr>
          <w:cantSplit/>
        </w:trPr>
        <w:tc>
          <w:tcPr>
            <w:tcW w:w="1672" w:type="dxa"/>
            <w:shd w:val="clear" w:color="auto" w:fill="F4F7FB"/>
            <w:vAlign w:val="top"/>
          </w:tcPr>
          <w:p>
            <w:pPr>
              <w:pStyle w:val="TableText"/>
              <w:jc w:val="left"/>
            </w:pPr>
            <w:r>
              <w:t xml:space="preserve">Benefit selection</w:t>
            </w:r>
          </w:p>
        </w:tc>
        <w:tc>
          <w:tcPr>
            <w:tcW w:w="2117" w:type="dxa"/>
            <w:shd w:val="clear" w:color="auto" w:fill="F4F7FB"/>
            <w:vAlign w:val="top"/>
          </w:tcPr>
          <w:p>
            <w:pPr>
              <w:pStyle w:val="TableText"/>
              <w:jc w:val="left"/>
            </w:pPr>
            <w:r>
              <w:t xml:space="preserve">Relevance rules</w:t>
            </w:r>
          </w:p>
        </w:tc>
        <w:tc>
          <w:tcPr>
            <w:tcW w:w="2117" w:type="dxa"/>
            <w:shd w:val="clear" w:color="auto" w:fill="F4F7FB"/>
            <w:vAlign w:val="top"/>
          </w:tcPr>
          <w:p>
            <w:pPr>
              <w:pStyle w:val="TableText"/>
              <w:jc w:val="left"/>
            </w:pPr>
            <w:r>
              <w:t xml:space="preserve">Which value-added services are shown; only approved and available items</w:t>
            </w:r>
          </w:p>
        </w:tc>
        <w:tc>
          <w:tcPr>
            <w:tcW w:w="1561" w:type="dxa"/>
            <w:shd w:val="clear" w:color="auto" w:fill="F4F7FB"/>
            <w:vAlign w:val="top"/>
          </w:tcPr>
          <w:p>
            <w:pPr>
              <w:pStyle w:val="TableText"/>
              <w:jc w:val="left"/>
            </w:pPr>
            <w:r>
              <w:t xml:space="preserve">Low</w:t>
            </w:r>
          </w:p>
        </w:tc>
        <w:tc>
          <w:tcPr>
            <w:tcW w:w="1560" w:type="dxa"/>
            <w:shd w:val="clear" w:color="auto" w:fill="F4F7FB"/>
            <w:vAlign w:val="top"/>
          </w:tcPr>
          <w:p>
            <w:pPr>
              <w:pStyle w:val="TableText"/>
              <w:jc w:val="left"/>
            </w:pPr>
            <w:r>
              <w:t xml:space="preserve">Product</w:t>
            </w:r>
          </w:p>
        </w:tc>
      </w:tr>
      <w:tr>
        <w:trPr>
          <w:cantSplit/>
        </w:trPr>
        <w:tc>
          <w:tcPr>
            <w:tcW w:w="1672" w:type="dxa"/>
            <w:vAlign w:val="top"/>
          </w:tcPr>
          <w:p>
            <w:pPr>
              <w:pStyle w:val="TableText"/>
              <w:jc w:val="left"/>
            </w:pPr>
            <w:r>
              <w:t xml:space="preserve">Quick-renewal eligibility</w:t>
            </w:r>
          </w:p>
        </w:tc>
        <w:tc>
          <w:tcPr>
            <w:tcW w:w="2117" w:type="dxa"/>
            <w:vAlign w:val="top"/>
          </w:tcPr>
          <w:p>
            <w:pPr>
              <w:pStyle w:val="TableText"/>
              <w:jc w:val="left"/>
            </w:pPr>
            <w:r>
              <w:t xml:space="preserve">Fixed conditions with settings in the service levels rule set</w:t>
            </w:r>
          </w:p>
        </w:tc>
        <w:tc>
          <w:tcPr>
            <w:tcW w:w="2117" w:type="dxa"/>
            <w:vAlign w:val="top"/>
          </w:tcPr>
          <w:p>
            <w:pPr>
              <w:pStyle w:val="TableText"/>
              <w:jc w:val="left"/>
            </w:pPr>
            <w:r>
              <w:t xml:space="preserve">Whether the 3-step quick renewal is offered; the full flow is always available and the declaration stays explicit</w:t>
            </w:r>
          </w:p>
        </w:tc>
        <w:tc>
          <w:tcPr>
            <w:tcW w:w="1561" w:type="dxa"/>
            <w:vAlign w:val="top"/>
          </w:tcPr>
          <w:p>
            <w:pPr>
              <w:pStyle w:val="TableText"/>
              <w:jc w:val="left"/>
            </w:pPr>
            <w:r>
              <w:t xml:space="preserve">Low</w:t>
            </w:r>
          </w:p>
        </w:tc>
        <w:tc>
          <w:tcPr>
            <w:tcW w:w="1560" w:type="dxa"/>
            <w:vAlign w:val="top"/>
          </w:tcPr>
          <w:p>
            <w:pPr>
              <w:pStyle w:val="TableText"/>
              <w:jc w:val="left"/>
            </w:pPr>
            <w:r>
              <w:t xml:space="preserve">Product and Compliance</w:t>
            </w:r>
          </w:p>
        </w:tc>
      </w:tr>
      <w:tr>
        <w:trPr>
          <w:cantSplit/>
        </w:trPr>
        <w:tc>
          <w:tcPr>
            <w:tcW w:w="1672" w:type="dxa"/>
            <w:shd w:val="clear" w:color="auto" w:fill="F4F7FB"/>
            <w:vAlign w:val="top"/>
          </w:tcPr>
          <w:p>
            <w:pPr>
              <w:pStyle w:val="TableText"/>
              <w:jc w:val="left"/>
            </w:pPr>
            <w:r>
              <w:t xml:space="preserve">Future language model or propensity model</w:t>
            </w:r>
          </w:p>
        </w:tc>
        <w:tc>
          <w:tcPr>
            <w:tcW w:w="2117" w:type="dxa"/>
            <w:shd w:val="clear" w:color="auto" w:fill="F4F7FB"/>
            <w:vAlign w:val="top"/>
          </w:tcPr>
          <w:p>
            <w:pPr>
              <w:pStyle w:val="TableText"/>
              <w:jc w:val="left"/>
            </w:pPr>
            <w:r>
              <w:t xml:space="preserve">Machine learning</w:t>
            </w:r>
          </w:p>
        </w:tc>
        <w:tc>
          <w:tcPr>
            <w:tcW w:w="2117" w:type="dxa"/>
            <w:shd w:val="clear" w:color="auto" w:fill="F4F7FB"/>
            <w:vAlign w:val="top"/>
          </w:tcPr>
          <w:p>
            <w:pPr>
              <w:pStyle w:val="TableText"/>
              <w:jc w:val="left"/>
            </w:pPr>
            <w:r>
              <w:t xml:space="preserve">Assessed before introduction</w:t>
            </w:r>
          </w:p>
        </w:tc>
        <w:tc>
          <w:tcPr>
            <w:tcW w:w="1561" w:type="dxa"/>
            <w:shd w:val="clear" w:color="auto" w:fill="F4F7FB"/>
            <w:vAlign w:val="top"/>
          </w:tcPr>
          <w:p>
            <w:pPr>
              <w:pStyle w:val="TableText"/>
              <w:jc w:val="left"/>
            </w:pPr>
            <w:r>
              <w:t xml:space="preserve">To be assessed</w:t>
            </w:r>
          </w:p>
        </w:tc>
        <w:tc>
          <w:tcPr>
            <w:tcW w:w="1560" w:type="dxa"/>
            <w:shd w:val="clear" w:color="auto" w:fill="F4F7FB"/>
            <w:vAlign w:val="top"/>
          </w:tcPr>
          <w:p>
            <w:pPr>
              <w:pStyle w:val="TableText"/>
              <w:jc w:val="left"/>
            </w:pPr>
            <w:r>
              <w:t xml:space="preserve">Model risk</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Voice assistant</w:t>
      </w:r>
      <w:bookmarkEnd w:id="13"/>
    </w:p>
    <w:p>
      <w:pPr>
        <w:pStyle w:val="Heading2"/>
      </w:pPr>
      <w:bookmarkStart w:id="14" w:name="_Toc300000010"/>
      <w:r>
        <w:t xml:space="preserve">Design principles</w:t>
      </w:r>
      <w:bookmarkEnd w:id="14"/>
    </w:p>
    <w:p>
      <w:pPr>
        <w:pStyle w:val="FirstParagraph"/>
      </w:pPr>
      <w:r>
        <w:t xml:space="preserve">Each principle is enforced in code or in governed content, not left to the vendor.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49"/>
        <w:gridCol w:w="6578"/>
      </w:tblGrid>
      <w:tr>
        <w:trPr>
          <w:cantSplit/>
          <w:tblHeader/>
        </w:trPr>
        <w:tc>
          <w:tcPr>
            <w:tcW w:w="2449" w:type="dxa"/>
            <w:shd w:val="clear" w:color="auto" w:fill="0F4761"/>
            <w:vAlign w:val="center"/>
          </w:tcPr>
          <w:p>
            <w:pPr>
              <w:pStyle w:val="TableHeading"/>
              <w:jc w:val="left"/>
            </w:pPr>
            <w:r>
              <w:rPr>
                <w:color w:val="FFFFFF"/>
              </w:rPr>
              <w:t xml:space="preserve">Principle</w:t>
            </w:r>
          </w:p>
        </w:tc>
        <w:tc>
          <w:tcPr>
            <w:tcW w:w="6578" w:type="dxa"/>
            <w:shd w:val="clear" w:color="auto" w:fill="0F4761"/>
            <w:vAlign w:val="center"/>
          </w:tcPr>
          <w:p>
            <w:pPr>
              <w:pStyle w:val="TableHeading"/>
              <w:jc w:val="left"/>
            </w:pPr>
            <w:r>
              <w:rPr>
                <w:color w:val="FFFFFF"/>
              </w:rPr>
              <w:t xml:space="preserve">How it is enforced</w:t>
            </w:r>
          </w:p>
        </w:tc>
      </w:tr>
      <w:tr>
        <w:trPr>
          <w:cantSplit/>
        </w:trPr>
        <w:tc>
          <w:tcPr>
            <w:tcW w:w="2449" w:type="dxa"/>
            <w:vAlign w:val="top"/>
          </w:tcPr>
          <w:p>
            <w:pPr>
              <w:pStyle w:val="TableText"/>
              <w:jc w:val="left"/>
            </w:pPr>
            <w:r>
              <w:t xml:space="preserve">Disclose automation and recording at the start</w:t>
            </w:r>
          </w:p>
        </w:tc>
        <w:tc>
          <w:tcPr>
            <w:tcW w:w="6578" w:type="dxa"/>
            <w:vAlign w:val="top"/>
          </w:tcPr>
          <w:p>
            <w:pPr>
              <w:pStyle w:val="TableText"/>
              <w:jc w:val="left"/>
            </w:pPr>
            <w:r>
              <w:t xml:space="preserve">The opening line says the caller is VETC’s automated assistant and that the call is recorded. Wording to be confirmed by TASCO legal.</w:t>
            </w:r>
          </w:p>
        </w:tc>
      </w:tr>
      <w:tr>
        <w:trPr>
          <w:cantSplit/>
        </w:trPr>
        <w:tc>
          <w:tcPr>
            <w:tcW w:w="2449" w:type="dxa"/>
            <w:shd w:val="clear" w:color="auto" w:fill="F4F7FB"/>
            <w:vAlign w:val="top"/>
          </w:tcPr>
          <w:p>
            <w:pPr>
              <w:pStyle w:val="TableText"/>
              <w:jc w:val="left"/>
            </w:pPr>
            <w:r>
              <w:t xml:space="preserve">Never ask for a one-time password, card or payment</w:t>
            </w:r>
          </w:p>
        </w:tc>
        <w:tc>
          <w:tcPr>
            <w:tcW w:w="6578" w:type="dxa"/>
            <w:shd w:val="clear" w:color="auto" w:fill="F4F7FB"/>
            <w:vAlign w:val="top"/>
          </w:tcPr>
          <w:p>
            <w:pPr>
              <w:pStyle w:val="TableText"/>
              <w:jc w:val="left"/>
            </w:pPr>
            <w:r>
              <w:t xml:space="preserve">Stated in the opening and trust lines; no dialogue state collects such data; payment happens only in the customer app</w:t>
            </w:r>
          </w:p>
        </w:tc>
      </w:tr>
      <w:tr>
        <w:trPr>
          <w:cantSplit/>
        </w:trPr>
        <w:tc>
          <w:tcPr>
            <w:tcW w:w="2449" w:type="dxa"/>
            <w:vAlign w:val="top"/>
          </w:tcPr>
          <w:p>
            <w:pPr>
              <w:pStyle w:val="TableText"/>
              <w:jc w:val="left"/>
            </w:pPr>
            <w:r>
              <w:t xml:space="preserve">Customer proves the plate; the bot never reads it out</w:t>
            </w:r>
          </w:p>
        </w:tc>
        <w:tc>
          <w:tcPr>
            <w:tcW w:w="6578" w:type="dxa"/>
            <w:vAlign w:val="top"/>
          </w:tcPr>
          <w:p>
            <w:pPr>
              <w:pStyle w:val="TableText"/>
              <w:jc w:val="left"/>
            </w:pPr>
            <w:r>
              <w:t xml:space="preserve">The customer must say the plate, which must match the record. A mismatch ends the call; three failed attempts end it as unverified. Afterwards the bot refers only to a masked plate.</w:t>
            </w:r>
          </w:p>
        </w:tc>
      </w:tr>
      <w:tr>
        <w:trPr>
          <w:cantSplit/>
        </w:trPr>
        <w:tc>
          <w:tcPr>
            <w:tcW w:w="2449" w:type="dxa"/>
            <w:shd w:val="clear" w:color="auto" w:fill="F4F7FB"/>
            <w:vAlign w:val="top"/>
          </w:tcPr>
          <w:p>
            <w:pPr>
              <w:pStyle w:val="TableText"/>
              <w:jc w:val="left"/>
            </w:pPr>
            <w:r>
              <w:t xml:space="preserve">Truthful about price</w:t>
            </w:r>
          </w:p>
        </w:tc>
        <w:tc>
          <w:tcPr>
            <w:tcW w:w="6578" w:type="dxa"/>
            <w:shd w:val="clear" w:color="auto" w:fill="F4F7FB"/>
            <w:vAlign w:val="top"/>
          </w:tcPr>
          <w:p>
            <w:pPr>
              <w:pStyle w:val="TableText"/>
              <w:jc w:val="left"/>
            </w:pPr>
            <w:r>
              <w:t xml:space="preserve">The price line states the regulated premium including VAT and moves on to service value. The copy guard rejects discount and rebate language in any form, including spacing and punctuation tricks.</w:t>
            </w:r>
          </w:p>
        </w:tc>
      </w:tr>
      <w:tr>
        <w:trPr>
          <w:cantSplit/>
        </w:trPr>
        <w:tc>
          <w:tcPr>
            <w:tcW w:w="2449" w:type="dxa"/>
            <w:vAlign w:val="top"/>
          </w:tcPr>
          <w:p>
            <w:pPr>
              <w:pStyle w:val="TableText"/>
              <w:jc w:val="left"/>
            </w:pPr>
            <w:r>
              <w:t xml:space="preserve">Respect opt-out at once</w:t>
            </w:r>
          </w:p>
        </w:tc>
        <w:tc>
          <w:tcPr>
            <w:tcW w:w="6578" w:type="dxa"/>
            <w:vAlign w:val="top"/>
          </w:tcPr>
          <w:p>
            <w:pPr>
              <w:pStyle w:val="TableText"/>
              <w:jc w:val="left"/>
            </w:pPr>
            <w:r>
              <w:t xml:space="preserve">Opt-out is checked before anything else in every state. It ends the call, sets call consent off and do-not-contact, survives data rebuilds, is audited and drops the lead score to zero.</w:t>
            </w:r>
          </w:p>
        </w:tc>
      </w:tr>
      <w:tr>
        <w:trPr>
          <w:cantSplit/>
        </w:trPr>
        <w:tc>
          <w:tcPr>
            <w:tcW w:w="2449" w:type="dxa"/>
            <w:shd w:val="clear" w:color="auto" w:fill="F4F7FB"/>
            <w:vAlign w:val="top"/>
          </w:tcPr>
          <w:p>
            <w:pPr>
              <w:pStyle w:val="TableText"/>
              <w:jc w:val="left"/>
            </w:pPr>
            <w:r>
              <w:t xml:space="preserve">Safety first</w:t>
            </w:r>
          </w:p>
        </w:tc>
        <w:tc>
          <w:tcPr>
            <w:tcW w:w="6578" w:type="dxa"/>
            <w:shd w:val="clear" w:color="auto" w:fill="F4F7FB"/>
            <w:vAlign w:val="top"/>
          </w:tcPr>
          <w:p>
            <w:pPr>
              <w:pStyle w:val="TableText"/>
              <w:jc w:val="left"/>
            </w:pPr>
            <w:r>
              <w:t xml:space="preserve">“</w:t>
            </w:r>
            <w:r>
              <w:t xml:space="preserve">Driving</w:t>
            </w:r>
            <w:r>
              <w:t xml:space="preserve">”</w:t>
            </w:r>
            <w:r>
              <w:t xml:space="preserve"> </w:t>
            </w:r>
            <w:r>
              <w:t xml:space="preserve">or</w:t>
            </w:r>
            <w:r>
              <w:t xml:space="preserve"> </w:t>
            </w:r>
            <w:r>
              <w:t xml:space="preserve">“</w:t>
            </w:r>
            <w:r>
              <w:t xml:space="preserve">busy</w:t>
            </w:r>
            <w:r>
              <w:t xml:space="preserve">”</w:t>
            </w:r>
            <w:r>
              <w:t xml:space="preserve"> </w:t>
            </w:r>
            <w:r>
              <w:t xml:space="preserve">ends the call politely with a drive-safely line</w:t>
            </w:r>
          </w:p>
        </w:tc>
      </w:tr>
      <w:tr>
        <w:trPr>
          <w:cantSplit/>
        </w:trPr>
        <w:tc>
          <w:tcPr>
            <w:tcW w:w="2449" w:type="dxa"/>
            <w:vAlign w:val="top"/>
          </w:tcPr>
          <w:p>
            <w:pPr>
              <w:pStyle w:val="TableText"/>
              <w:jc w:val="left"/>
            </w:pPr>
            <w:r>
              <w:t xml:space="preserve">Answer scam concerns</w:t>
            </w:r>
          </w:p>
        </w:tc>
        <w:tc>
          <w:tcPr>
            <w:tcW w:w="6578" w:type="dxa"/>
            <w:vAlign w:val="top"/>
          </w:tcPr>
          <w:p>
            <w:pPr>
              <w:pStyle w:val="TableText"/>
              <w:jc w:val="left"/>
            </w:pPr>
            <w:r>
              <w:t xml:space="preserve">A scam concern gets the trust line: how to verify the call, and that payment is only in the app</w:t>
            </w:r>
          </w:p>
        </w:tc>
      </w:tr>
      <w:tr>
        <w:trPr>
          <w:cantSplit/>
        </w:trPr>
        <w:tc>
          <w:tcPr>
            <w:tcW w:w="2449" w:type="dxa"/>
            <w:shd w:val="clear" w:color="auto" w:fill="F4F7FB"/>
            <w:vAlign w:val="top"/>
          </w:tcPr>
          <w:p>
            <w:pPr>
              <w:pStyle w:val="TableText"/>
              <w:jc w:val="left"/>
            </w:pPr>
            <w:r>
              <w:t xml:space="preserve">Hand off to a person on request</w:t>
            </w:r>
          </w:p>
        </w:tc>
        <w:tc>
          <w:tcPr>
            <w:tcW w:w="6578" w:type="dxa"/>
            <w:shd w:val="clear" w:color="auto" w:fill="F4F7FB"/>
            <w:vAlign w:val="top"/>
          </w:tcPr>
          <w:p>
            <w:pPr>
              <w:pStyle w:val="TableText"/>
              <w:jc w:val="left"/>
            </w:pPr>
            <w:r>
              <w:t xml:space="preserve">Wanting to buy or talk to a person ends the call as a handoff with minimal data</w:t>
            </w:r>
          </w:p>
        </w:tc>
      </w:tr>
      <w:tr>
        <w:trPr>
          <w:cantSplit/>
        </w:trPr>
        <w:tc>
          <w:tcPr>
            <w:tcW w:w="2449" w:type="dxa"/>
            <w:vAlign w:val="top"/>
          </w:tcPr>
          <w:p>
            <w:pPr>
              <w:pStyle w:val="TableText"/>
              <w:jc w:val="left"/>
            </w:pPr>
            <w:r>
              <w:t xml:space="preserve">Keep the conversation short</w:t>
            </w:r>
          </w:p>
        </w:tc>
        <w:tc>
          <w:tcPr>
            <w:tcW w:w="6578" w:type="dxa"/>
            <w:vAlign w:val="top"/>
          </w:tcPr>
          <w:p>
            <w:pPr>
              <w:pStyle w:val="TableText"/>
              <w:jc w:val="left"/>
            </w:pPr>
            <w:r>
              <w:t xml:space="preserve">Two clarifications at most, then a link is sent instead of looping; each utterance is capped at 500 characters</w:t>
            </w:r>
          </w:p>
        </w:tc>
      </w:tr>
      <w:tr>
        <w:trPr>
          <w:cantSplit/>
        </w:trPr>
        <w:tc>
          <w:tcPr>
            <w:tcW w:w="2449" w:type="dxa"/>
            <w:shd w:val="clear" w:color="auto" w:fill="F4F7FB"/>
            <w:vAlign w:val="top"/>
          </w:tcPr>
          <w:p>
            <w:pPr>
              <w:pStyle w:val="TableText"/>
              <w:jc w:val="left"/>
            </w:pPr>
            <w:r>
              <w:t xml:space="preserve">Call only when allowed</w:t>
            </w:r>
          </w:p>
        </w:tc>
        <w:tc>
          <w:tcPr>
            <w:tcW w:w="6578" w:type="dxa"/>
            <w:shd w:val="clear" w:color="auto" w:fill="F4F7FB"/>
            <w:vAlign w:val="top"/>
          </w:tcPr>
          <w:p>
            <w:pPr>
              <w:pStyle w:val="TableText"/>
              <w:jc w:val="left"/>
            </w:pPr>
            <w:r>
              <w:t xml:space="preserve">Every automated call passes the contact policy: call consent, do-not-contact, 08:00 to 20:00, at most two call attempts a week. Company vehicles are skipped. A national do-not-call register check is planned (to be confirmed by TASCO legal).</w:t>
            </w:r>
          </w:p>
        </w:tc>
      </w:tr>
      <w:tr>
        <w:trPr>
          <w:cantSplit/>
        </w:trPr>
        <w:tc>
          <w:tcPr>
            <w:tcW w:w="2449" w:type="dxa"/>
            <w:vAlign w:val="top"/>
          </w:tcPr>
          <w:p>
            <w:pPr>
              <w:pStyle w:val="TableText"/>
              <w:jc w:val="left"/>
            </w:pPr>
            <w:r>
              <w:t xml:space="preserve">Every call improves data, nothing more</w:t>
            </w:r>
          </w:p>
        </w:tc>
        <w:tc>
          <w:tcPr>
            <w:tcW w:w="6578" w:type="dxa"/>
            <w:vAlign w:val="top"/>
          </w:tcPr>
          <w:p>
            <w:pPr>
              <w:pStyle w:val="TableText"/>
              <w:jc w:val="left"/>
            </w:pPr>
            <w:r>
              <w:t xml:space="preserve">Outcomes update the expiry, raise data quality issues or record consent. No hidden profiling attributes are kept.</w:t>
            </w:r>
          </w:p>
        </w:tc>
      </w:tr>
    </w:tbl>
    <w:p>
      <w:pPr>
        <w:pStyle w:val="Heading2"/>
      </w:pPr>
      <w:bookmarkStart w:id="15" w:name="_Toc300000011"/>
      <w:r>
        <w:t xml:space="preserve">Dialogue</w:t>
      </w:r>
      <w:bookmarkEnd w:id="15"/>
    </w:p>
    <w:p>
      <w:pPr>
        <w:pStyle w:val="FirstParagraph"/>
      </w:pPr>
      <w:r>
        <w:t xml:space="preserve">The dialogue is a fixed state machine in code (ADR-009). The two diagrams show its states and transitions: an unverified call ends after three attempts to hear a matching plate, and after two clarifications in the offer the assistant sends the renewal link and ends the call.</w:t>
      </w:r>
    </w:p>
    <w:p xmlns:a="http://schemas.openxmlformats.org/drawingml/2006/main" xmlns:pic="http://schemas.openxmlformats.org/drawingml/2006/picture">
      <w:pPr>
        <w:pStyle w:val="Figure"/>
      </w:pPr>
      <w:r>
        <w:drawing>
          <wp:inline>
            <wp:extent cx="5727700" cy="3606715"/>
            <wp:effectExtent b="0" l="0" r="0" t="0"/>
            <wp:docPr descr="Dialogue states, part 1: plate verification and expiry confirmation" title="" id="5002" name="Picture"/>
            <a:graphic>
              <a:graphicData uri="http://schemas.openxmlformats.org/drawingml/2006/picture">
                <pic:pic>
                  <pic:nvPicPr>
                    <pic:cNvPr descr="/home/user/TASCO/tools/docs-source/gen/.cache/mermaid/c3d1e5bdbb7ad957.png" id="29" name="Picture"/>
                    <pic:cNvPicPr>
                      <a:picLocks noChangeArrowheads="1" noChangeAspect="1"/>
                    </pic:cNvPicPr>
                  </pic:nvPicPr>
                  <pic:blipFill>
                    <a:blip r:embed="rIdG1"/>
                    <a:stretch>
                      <a:fillRect/>
                    </a:stretch>
                  </pic:blipFill>
                  <pic:spPr bwMode="auto">
                    <a:xfrm>
                      <a:off x="0" y="0"/>
                      <a:ext cx="5727700" cy="3606715"/>
                    </a:xfrm>
                    <a:prstGeom prst="rect">
                      <a:avLst/>
                    </a:prstGeom>
                    <a:noFill/>
                    <a:ln w="9525">
                      <a:noFill/>
                      <a:headEnd/>
                      <a:tailEnd/>
                    </a:ln>
                  </pic:spPr>
                </pic:pic>
              </a:graphicData>
            </a:graphic>
          </wp:inline>
        </w:drawing>
      </w:r>
    </w:p>
    <w:p>
      <w:pPr>
        <w:pStyle w:val="Caption"/>
      </w:pPr>
      <w:r>
        <w:t xml:space="preserve">Figure 1 – Dialogue states, part 1: plate verification and expiry confirmation</w:t>
      </w:r>
    </w:p>
    <w:p xmlns:a="http://schemas.openxmlformats.org/drawingml/2006/main" xmlns:pic="http://schemas.openxmlformats.org/drawingml/2006/picture">
      <w:pPr>
        <w:pStyle w:val="Figure"/>
      </w:pPr>
      <w:r>
        <w:drawing>
          <wp:inline>
            <wp:extent cx="5727700" cy="2339678"/>
            <wp:effectExtent b="0" l="0" r="0" t="0"/>
            <wp:docPr descr="Dialogue states, part 2: the offer and how the call ends" title="" id="5003" name="Picture"/>
            <a:graphic>
              <a:graphicData uri="http://schemas.openxmlformats.org/drawingml/2006/picture">
                <pic:pic>
                  <pic:nvPicPr>
                    <pic:cNvPr descr="/home/user/TASCO/tools/docs-source/gen/.cache/mermaid/58092e1678ad4678.png" id="32" name="Picture"/>
                    <pic:cNvPicPr>
                      <a:picLocks noChangeArrowheads="1" noChangeAspect="1"/>
                    </pic:cNvPicPr>
                  </pic:nvPicPr>
                  <pic:blipFill>
                    <a:blip r:embed="rIdG2"/>
                    <a:stretch>
                      <a:fillRect/>
                    </a:stretch>
                  </pic:blipFill>
                  <pic:spPr bwMode="auto">
                    <a:xfrm>
                      <a:off x="0" y="0"/>
                      <a:ext cx="5727700" cy="2339678"/>
                    </a:xfrm>
                    <a:prstGeom prst="rect">
                      <a:avLst/>
                    </a:prstGeom>
                    <a:noFill/>
                    <a:ln w="9525">
                      <a:noFill/>
                      <a:headEnd/>
                      <a:tailEnd/>
                    </a:ln>
                  </pic:spPr>
                </pic:pic>
              </a:graphicData>
            </a:graphic>
          </wp:inline>
        </w:drawing>
      </w:r>
    </w:p>
    <w:p>
      <w:pPr>
        <w:pStyle w:val="Caption"/>
      </w:pPr>
      <w:r>
        <w:t xml:space="preserve">Figure 2 – Dialogue states, part 2: the offer and how the call ends</w:t>
      </w:r>
    </w:p>
    <w:p>
      <w:pPr>
        <w:pStyle w:val="BodyText"/>
      </w:pPr>
      <w:r>
        <w:t xml:space="preserve">Four intents are checked in every state before the state’s own logic: opt-out, wrong person and call me later end the call; a scam concern plays the trust line and moves to the offer.</w:t>
      </w:r>
    </w:p>
    <w:p>
      <w:pPr>
        <w:pStyle w:val="Heading2"/>
      </w:pPr>
      <w:bookmarkStart w:id="16" w:name="_Toc300000012"/>
      <w:r>
        <w:t xml:space="preserve">Script lifecycle</w:t>
      </w:r>
      <w:bookmarkEnd w:id="16"/>
    </w:p>
    <w:p>
      <w:pPr>
        <w:pStyle w:val="FirstParagraph"/>
      </w:pPr>
      <w:r>
        <w:t xml:space="preserve">The script (bot lines in Vietnamese with an English gloss, intent keywords and their order, attempt and clarification limits) is a rule set governed by maker-checker. The state machine itself is code and changes through code review and a release.</w:t>
      </w:r>
    </w:p>
    <w:p xmlns:a="http://schemas.openxmlformats.org/drawingml/2006/main" xmlns:pic="http://schemas.openxmlformats.org/drawingml/2006/picture">
      <w:pPr>
        <w:pStyle w:val="Figure"/>
      </w:pPr>
      <w:r>
        <w:drawing>
          <wp:inline>
            <wp:extent cx="5727700" cy="5564547"/>
            <wp:effectExtent b="0" l="0" r="0" t="0"/>
            <wp:docPr descr="Lifecycle of a voice script version under maker-checker" title="" id="5004" name="Picture"/>
            <a:graphic>
              <a:graphicData uri="http://schemas.openxmlformats.org/drawingml/2006/picture">
                <pic:pic>
                  <pic:nvPicPr>
                    <pic:cNvPr descr="/home/user/TASCO/tools/docs-source/gen/.cache/mermaid/2526f332ee1cf954.png" id="36" name="Picture"/>
                    <pic:cNvPicPr>
                      <a:picLocks noChangeArrowheads="1" noChangeAspect="1"/>
                    </pic:cNvPicPr>
                  </pic:nvPicPr>
                  <pic:blipFill>
                    <a:blip r:embed="rIdG3"/>
                    <a:stretch>
                      <a:fillRect/>
                    </a:stretch>
                  </pic:blipFill>
                  <pic:spPr bwMode="auto">
                    <a:xfrm>
                      <a:off x="0" y="0"/>
                      <a:ext cx="5727700" cy="5564547"/>
                    </a:xfrm>
                    <a:prstGeom prst="rect">
                      <a:avLst/>
                    </a:prstGeom>
                    <a:noFill/>
                    <a:ln w="9525">
                      <a:noFill/>
                      <a:headEnd/>
                      <a:tailEnd/>
                    </a:ln>
                  </pic:spPr>
                </pic:pic>
              </a:graphicData>
            </a:graphic>
          </wp:inline>
        </w:drawing>
      </w:r>
    </w:p>
    <w:p>
      <w:pPr>
        <w:pStyle w:val="Caption"/>
      </w:pPr>
      <w:r>
        <w:t xml:space="preserve">Figure 3 – Lifecycle of a voice script version under maker-checker</w:t>
      </w:r>
    </w:p>
    <w:p>
      <w:pPr>
        <w:pStyle w:val="BodyText"/>
      </w:pPr>
      <w:r>
        <w:t xml:space="preserve">Before approving, the compliance approver checks that:</w:t>
      </w:r>
    </w:p>
    <w:p>
      <w:pPr>
        <w:pStyle w:val="Compact"/>
        <w:numPr>
          <w:ilvl w:val="0"/>
          <w:numId w:val="1001"/>
        </w:numPr>
      </w:pPr>
      <w:r>
        <w:t xml:space="preserve">the disclosure and recording notice are unchanged, or have been re-approved by legal;</w:t>
      </w:r>
    </w:p>
    <w:p>
      <w:pPr>
        <w:pStyle w:val="Compact"/>
        <w:numPr>
          <w:ilvl w:val="0"/>
          <w:numId w:val="1001"/>
        </w:numPr>
      </w:pPr>
      <w:r>
        <w:t xml:space="preserve">no line asks for a one-time password, card, password or payment;</w:t>
      </w:r>
    </w:p>
    <w:p>
      <w:pPr>
        <w:pStyle w:val="Compact"/>
        <w:numPr>
          <w:ilvl w:val="0"/>
          <w:numId w:val="1001"/>
        </w:numPr>
      </w:pPr>
      <w:r>
        <w:t xml:space="preserve">price statements match the active tariff and say the premium is the same at every insurer;</w:t>
      </w:r>
    </w:p>
    <w:p>
      <w:pPr>
        <w:pStyle w:val="Compact"/>
        <w:numPr>
          <w:ilvl w:val="0"/>
          <w:numId w:val="1001"/>
        </w:numPr>
      </w:pPr>
      <w:r>
        <w:t xml:space="preserve">no line implies a discount, even without a banned phrase;</w:t>
      </w:r>
    </w:p>
    <w:p>
      <w:pPr>
        <w:pStyle w:val="Compact"/>
        <w:numPr>
          <w:ilvl w:val="0"/>
          <w:numId w:val="1001"/>
        </w:numPr>
      </w:pPr>
      <w:r>
        <w:t xml:space="preserve">the opt-out keyword list has not been narrowed without a recorded reason;</w:t>
      </w:r>
    </w:p>
    <w:p>
      <w:pPr>
        <w:pStyle w:val="Compact"/>
        <w:numPr>
          <w:ilvl w:val="0"/>
          <w:numId w:val="1001"/>
        </w:numPr>
      </w:pPr>
      <w:r>
        <w:t xml:space="preserve">the intent order has been reviewed, because a short</w:t>
      </w:r>
      <w:r>
        <w:t xml:space="preserve"> </w:t>
      </w:r>
      <w:r>
        <w:t xml:space="preserve">“</w:t>
      </w:r>
      <w:r>
        <w:t xml:space="preserve">yes</w:t>
      </w:r>
      <w:r>
        <w:t xml:space="preserve">”</w:t>
      </w:r>
      <w:r>
        <w:t xml:space="preserve"> </w:t>
      </w:r>
      <w:r>
        <w:t xml:space="preserve">keyword can capture</w:t>
      </w:r>
      <w:r>
        <w:t xml:space="preserve"> </w:t>
      </w:r>
      <w:r>
        <w:t xml:space="preserve">“</w:t>
      </w:r>
      <w:r>
        <w:t xml:space="preserve">không có</w:t>
      </w:r>
      <w:r>
        <w:t xml:space="preserve">”</w:t>
      </w:r>
      <w:r>
        <w:t xml:space="preserve"> </w:t>
      </w:r>
      <w:r>
        <w:t xml:space="preserve">(</w:t>
      </w:r>
      <w:r>
        <w:t xml:space="preserve">“</w:t>
      </w:r>
      <w:r>
        <w:t xml:space="preserve">I don’t have it</w:t>
      </w:r>
      <w:r>
        <w:t xml:space="preserve">”</w:t>
      </w:r>
      <w:r>
        <w:t xml:space="preserve">);</w:t>
      </w:r>
    </w:p>
    <w:p>
      <w:pPr>
        <w:pStyle w:val="Compact"/>
        <w:numPr>
          <w:ilvl w:val="0"/>
          <w:numId w:val="1001"/>
        </w:numPr>
      </w:pPr>
      <w:r>
        <w:t xml:space="preserve">golden-transcript results are attached, with 100% pass on opt-out, plate mismatch, scam concern and price;</w:t>
      </w:r>
    </w:p>
    <w:p>
      <w:pPr>
        <w:pStyle w:val="Compact"/>
        <w:numPr>
          <w:ilvl w:val="0"/>
          <w:numId w:val="1001"/>
        </w:numPr>
      </w:pPr>
      <w:r>
        <w:t xml:space="preserve">tone and form of address suit Vietnamese customers, with a regional dialect check.</w:t>
      </w:r>
    </w:p>
    <w:p>
      <w:pPr>
        <w:pStyle w:val="FirstParagraph"/>
      </w:pPr>
      <w:r>
        <w:t xml:space="preserve">Testing uses the simulated caller personas (eager, self-serve, price shopper, sceptic, already renewed, busy, opt-out, wrong plate) and the interactive voice console. A labelled utterance set and an automated regression run for each script version are planned. Prompts for any future language model follow the same lifecycle under their own rule kind, approved by compliance and model risk.</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Lead scoring and inference</w:t>
      </w:r>
      <w:bookmarkEnd w:id="17"/>
    </w:p>
    <w:p>
      <w:pPr>
        <w:pStyle w:val="Heading2"/>
      </w:pPr>
      <w:bookmarkStart w:id="18" w:name="_Toc300000014"/>
      <w:r>
        <w:t xml:space="preserve">Model card: lead score</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32"/>
        <w:gridCol w:w="7095"/>
      </w:tblGrid>
      <w:tr>
        <w:trPr>
          <w:cantSplit/>
          <w:tblHeader/>
        </w:trPr>
        <w:tc>
          <w:tcPr>
            <w:tcW w:w="1932" w:type="dxa"/>
            <w:shd w:val="clear" w:color="auto" w:fill="0F4761"/>
            <w:vAlign w:val="center"/>
          </w:tcPr>
          <w:p>
            <w:pPr>
              <w:pStyle w:val="TableHeading"/>
              <w:jc w:val="left"/>
            </w:pPr>
            <w:r>
              <w:rPr>
                <w:color w:val="FFFFFF"/>
              </w:rPr>
              <w:t xml:space="preserve">Item</w:t>
            </w:r>
          </w:p>
        </w:tc>
        <w:tc>
          <w:tcPr>
            <w:tcW w:w="7095" w:type="dxa"/>
            <w:shd w:val="clear" w:color="auto" w:fill="0F4761"/>
            <w:vAlign w:val="center"/>
          </w:tcPr>
          <w:p>
            <w:pPr>
              <w:pStyle w:val="TableHeading"/>
              <w:jc w:val="left"/>
            </w:pPr>
            <w:r>
              <w:rPr>
                <w:color w:val="FFFFFF"/>
              </w:rPr>
              <w:t xml:space="preserve">Value</w:t>
            </w:r>
          </w:p>
        </w:tc>
      </w:tr>
      <w:tr>
        <w:trPr>
          <w:cantSplit/>
        </w:trPr>
        <w:tc>
          <w:tcPr>
            <w:tcW w:w="1932" w:type="dxa"/>
            <w:vAlign w:val="top"/>
          </w:tcPr>
          <w:p>
            <w:pPr>
              <w:pStyle w:val="TableText"/>
              <w:jc w:val="left"/>
            </w:pPr>
            <w:r>
              <w:t xml:space="preserve">Purpose</w:t>
            </w:r>
          </w:p>
        </w:tc>
        <w:tc>
          <w:tcPr>
            <w:tcW w:w="7095" w:type="dxa"/>
            <w:vAlign w:val="top"/>
          </w:tcPr>
          <w:p>
            <w:pPr>
              <w:pStyle w:val="TableText"/>
              <w:jc w:val="left"/>
            </w:pPr>
            <w:r>
              <w:t xml:space="preserve">Prioritise outreach: who, when and on which channel. It does not affect price, eligibility or claims.</w:t>
            </w:r>
          </w:p>
        </w:tc>
      </w:tr>
      <w:tr>
        <w:trPr>
          <w:cantSplit/>
        </w:trPr>
        <w:tc>
          <w:tcPr>
            <w:tcW w:w="1932" w:type="dxa"/>
            <w:shd w:val="clear" w:color="auto" w:fill="F4F7FB"/>
            <w:vAlign w:val="top"/>
          </w:tcPr>
          <w:p>
            <w:pPr>
              <w:pStyle w:val="TableText"/>
              <w:jc w:val="left"/>
            </w:pPr>
            <w:r>
              <w:t xml:space="preserve">Method</w:t>
            </w:r>
          </w:p>
        </w:tc>
        <w:tc>
          <w:tcPr>
            <w:tcW w:w="7095" w:type="dxa"/>
            <w:shd w:val="clear" w:color="auto" w:fill="F4F7FB"/>
            <w:vAlign w:val="top"/>
          </w:tcPr>
          <w:p>
            <w:pPr>
              <w:pStyle w:val="TableText"/>
              <w:jc w:val="left"/>
            </w:pPr>
            <w:r>
              <w:t xml:space="preserve">Weighted sum of five factors, each between 0 and 1, damped by expiry confidence (60% plus 40% of the confidence); zero when the customer is on do-not-contact</w:t>
            </w:r>
          </w:p>
        </w:tc>
      </w:tr>
      <w:tr>
        <w:trPr>
          <w:cantSplit/>
        </w:trPr>
        <w:tc>
          <w:tcPr>
            <w:tcW w:w="1932" w:type="dxa"/>
            <w:vAlign w:val="top"/>
          </w:tcPr>
          <w:p>
            <w:pPr>
              <w:pStyle w:val="TableText"/>
              <w:jc w:val="left"/>
            </w:pPr>
            <w:r>
              <w:t xml:space="preserve">Factors and weights</w:t>
            </w:r>
          </w:p>
        </w:tc>
        <w:tc>
          <w:tcPr>
            <w:tcW w:w="7095" w:type="dxa"/>
            <w:vAlign w:val="top"/>
          </w:tcPr>
          <w:p>
            <w:pPr>
              <w:pStyle w:val="TableText"/>
              <w:jc w:val="left"/>
            </w:pPr>
            <w:r>
              <w:t xml:space="preserve">Urgency 35 (days to expiry or lapse), expiry confidence 15, engagement 20 (app sessions, toll trips), reachability 15 (push, Zalo, call consent, SMS), affinity 15 (prior VETC purchase, TASCO customer, wallet covers the premium, auto top-up, fewer complaints)</w:t>
            </w:r>
          </w:p>
        </w:tc>
      </w:tr>
      <w:tr>
        <w:trPr>
          <w:cantSplit/>
        </w:trPr>
        <w:tc>
          <w:tcPr>
            <w:tcW w:w="1932" w:type="dxa"/>
            <w:shd w:val="clear" w:color="auto" w:fill="F4F7FB"/>
            <w:vAlign w:val="top"/>
          </w:tcPr>
          <w:p>
            <w:pPr>
              <w:pStyle w:val="TableText"/>
              <w:jc w:val="left"/>
            </w:pPr>
            <w:r>
              <w:t xml:space="preserve">Tiers</w:t>
            </w:r>
          </w:p>
        </w:tc>
        <w:tc>
          <w:tcPr>
            <w:tcW w:w="7095" w:type="dxa"/>
            <w:shd w:val="clear" w:color="auto" w:fill="F4F7FB"/>
            <w:vAlign w:val="top"/>
          </w:tcPr>
          <w:p>
            <w:pPr>
              <w:pStyle w:val="TableText"/>
              <w:jc w:val="left"/>
            </w:pPr>
            <w:r>
              <w:t xml:space="preserve">Hot from 70, warm from 45, otherwise nurture</w:t>
            </w:r>
          </w:p>
        </w:tc>
      </w:tr>
      <w:tr>
        <w:trPr>
          <w:cantSplit/>
        </w:trPr>
        <w:tc>
          <w:tcPr>
            <w:tcW w:w="1932" w:type="dxa"/>
            <w:vAlign w:val="top"/>
          </w:tcPr>
          <w:p>
            <w:pPr>
              <w:pStyle w:val="TableText"/>
              <w:jc w:val="left"/>
            </w:pPr>
            <w:r>
              <w:t xml:space="preserve">Explainability</w:t>
            </w:r>
          </w:p>
        </w:tc>
        <w:tc>
          <w:tcPr>
            <w:tcW w:w="7095" w:type="dxa"/>
            <w:vAlign w:val="top"/>
          </w:tcPr>
          <w:p>
            <w:pPr>
              <w:pStyle w:val="TableText"/>
              <w:jc w:val="left"/>
            </w:pPr>
            <w:r>
              <w:t xml:space="preserve">Each lead stores its factor reasons sorted by contribution; each next-best action stores its rule id. Both are shown in the customer 360 view.</w:t>
            </w:r>
          </w:p>
        </w:tc>
      </w:tr>
      <w:tr>
        <w:trPr>
          <w:cantSplit/>
        </w:trPr>
        <w:tc>
          <w:tcPr>
            <w:tcW w:w="1932" w:type="dxa"/>
            <w:shd w:val="clear" w:color="auto" w:fill="F4F7FB"/>
            <w:vAlign w:val="top"/>
          </w:tcPr>
          <w:p>
            <w:pPr>
              <w:pStyle w:val="TableText"/>
              <w:jc w:val="left"/>
            </w:pPr>
            <w:r>
              <w:t xml:space="preserve">Excluded attributes</w:t>
            </w:r>
          </w:p>
        </w:tc>
        <w:tc>
          <w:tcPr>
            <w:tcW w:w="7095" w:type="dxa"/>
            <w:shd w:val="clear" w:color="auto" w:fill="F4F7FB"/>
            <w:vAlign w:val="top"/>
          </w:tcPr>
          <w:p>
            <w:pPr>
              <w:pStyle w:val="TableText"/>
              <w:jc w:val="left"/>
            </w:pPr>
            <w:r>
              <w:t xml:space="preserve">Name, gender, age and date of birth are not collected. Region and owner type are available but not used by any factor.</w:t>
            </w:r>
          </w:p>
        </w:tc>
      </w:tr>
      <w:tr>
        <w:trPr>
          <w:cantSplit/>
        </w:trPr>
        <w:tc>
          <w:tcPr>
            <w:tcW w:w="1932" w:type="dxa"/>
            <w:vAlign w:val="top"/>
          </w:tcPr>
          <w:p>
            <w:pPr>
              <w:pStyle w:val="TableText"/>
              <w:jc w:val="left"/>
            </w:pPr>
            <w:r>
              <w:t xml:space="preserve">Proxy risks</w:t>
            </w:r>
          </w:p>
        </w:tc>
        <w:tc>
          <w:tcPr>
            <w:tcW w:w="7095" w:type="dxa"/>
            <w:vAlign w:val="top"/>
          </w:tcPr>
          <w:p>
            <w:pPr>
              <w:pStyle w:val="TableText"/>
              <w:jc w:val="left"/>
            </w:pPr>
            <w:r>
              <w:t xml:space="preserve">Wallet balance (affluence), province (through facts), complaints (reduce affinity)</w:t>
            </w:r>
          </w:p>
        </w:tc>
      </w:tr>
      <w:tr>
        <w:trPr>
          <w:cantSplit/>
        </w:trPr>
        <w:tc>
          <w:tcPr>
            <w:tcW w:w="1932" w:type="dxa"/>
            <w:shd w:val="clear" w:color="auto" w:fill="F4F7FB"/>
            <w:vAlign w:val="top"/>
          </w:tcPr>
          <w:p>
            <w:pPr>
              <w:pStyle w:val="TableText"/>
              <w:jc w:val="left"/>
            </w:pPr>
            <w:r>
              <w:t xml:space="preserve">Validation</w:t>
            </w:r>
          </w:p>
        </w:tc>
        <w:tc>
          <w:tcPr>
            <w:tcW w:w="7095" w:type="dxa"/>
            <w:shd w:val="clear" w:color="auto" w:fill="F4F7FB"/>
            <w:vAlign w:val="top"/>
          </w:tcPr>
          <w:p>
            <w:pPr>
              <w:pStyle w:val="TableText"/>
              <w:jc w:val="left"/>
            </w:pPr>
            <w:r>
              <w:t xml:space="preserve">Weights must add up to 100 and hot must exceed warm; simulation compares current and candidate scores per profile before approval</w:t>
            </w:r>
          </w:p>
        </w:tc>
      </w:tr>
      <w:tr>
        <w:trPr>
          <w:cantSplit/>
        </w:trPr>
        <w:tc>
          <w:tcPr>
            <w:tcW w:w="1932" w:type="dxa"/>
            <w:vAlign w:val="top"/>
          </w:tcPr>
          <w:p>
            <w:pPr>
              <w:pStyle w:val="TableText"/>
              <w:jc w:val="left"/>
            </w:pPr>
            <w:r>
              <w:t xml:space="preserve">Limitations</w:t>
            </w:r>
          </w:p>
        </w:tc>
        <w:tc>
          <w:tcPr>
            <w:tcW w:w="7095" w:type="dxa"/>
            <w:vAlign w:val="top"/>
          </w:tcPr>
          <w:p>
            <w:pPr>
              <w:pStyle w:val="TableText"/>
              <w:jc w:val="left"/>
            </w:pPr>
            <w:r>
              <w:t xml:space="preserve">Weights are set by hand, not fitted. Calibration needs production outcomes; synthetic data only today.</w:t>
            </w:r>
          </w:p>
        </w:tc>
      </w:tr>
    </w:tbl>
    <w:p>
      <w:pPr>
        <w:pStyle w:val="Heading2"/>
      </w:pPr>
      <w:bookmarkStart w:id="19" w:name="_Toc300000015"/>
      <w:r>
        <w:t xml:space="preserve">Controls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10"/>
        <w:gridCol w:w="3685"/>
        <w:gridCol w:w="1631"/>
        <w:gridCol w:w="1701"/>
      </w:tblGrid>
      <w:tr>
        <w:trPr>
          <w:cantSplit/>
          <w:tblHeader/>
        </w:trPr>
        <w:tc>
          <w:tcPr>
            <w:tcW w:w="2010" w:type="dxa"/>
            <w:shd w:val="clear" w:color="auto" w:fill="0F4761"/>
            <w:vAlign w:val="center"/>
          </w:tcPr>
          <w:p>
            <w:pPr>
              <w:pStyle w:val="TableHeading"/>
              <w:jc w:val="left"/>
            </w:pPr>
            <w:r>
              <w:rPr>
                <w:color w:val="FFFFFF"/>
              </w:rPr>
              <w:t xml:space="preserve">Control</w:t>
            </w:r>
          </w:p>
        </w:tc>
        <w:tc>
          <w:tcPr>
            <w:tcW w:w="3685" w:type="dxa"/>
            <w:shd w:val="clear" w:color="auto" w:fill="0F4761"/>
            <w:vAlign w:val="center"/>
          </w:tcPr>
          <w:p>
            <w:pPr>
              <w:pStyle w:val="TableHeading"/>
              <w:jc w:val="left"/>
            </w:pPr>
            <w:r>
              <w:rPr>
                <w:color w:val="FFFFFF"/>
              </w:rPr>
              <w:t xml:space="preserve">Method</w:t>
            </w:r>
          </w:p>
        </w:tc>
        <w:tc>
          <w:tcPr>
            <w:tcW w:w="1631" w:type="dxa"/>
            <w:shd w:val="clear" w:color="auto" w:fill="0F4761"/>
            <w:vAlign w:val="center"/>
          </w:tcPr>
          <w:p>
            <w:pPr>
              <w:pStyle w:val="TableHeading"/>
              <w:jc w:val="left"/>
            </w:pPr>
            <w:r>
              <w:rPr>
                <w:color w:val="FFFFFF"/>
              </w:rPr>
              <w:t xml:space="preserve">Cadence</w:t>
            </w:r>
          </w:p>
        </w:tc>
        <w:tc>
          <w:tcPr>
            <w:tcW w:w="1701" w:type="dxa"/>
            <w:shd w:val="clear" w:color="auto" w:fill="0F4761"/>
            <w:vAlign w:val="center"/>
          </w:tcPr>
          <w:p>
            <w:pPr>
              <w:pStyle w:val="TableHeading"/>
              <w:jc w:val="left"/>
            </w:pPr>
            <w:r>
              <w:rPr>
                <w:color w:val="FFFFFF"/>
              </w:rPr>
              <w:t xml:space="preserve">Status</w:t>
            </w:r>
          </w:p>
        </w:tc>
      </w:tr>
      <w:tr>
        <w:trPr>
          <w:cantSplit/>
        </w:trPr>
        <w:tc>
          <w:tcPr>
            <w:tcW w:w="2010" w:type="dxa"/>
            <w:vAlign w:val="top"/>
          </w:tcPr>
          <w:p>
            <w:pPr>
              <w:pStyle w:val="TableText"/>
              <w:jc w:val="left"/>
            </w:pPr>
            <w:r>
              <w:t xml:space="preserve">Explainability</w:t>
            </w:r>
          </w:p>
        </w:tc>
        <w:tc>
          <w:tcPr>
            <w:tcW w:w="3685" w:type="dxa"/>
            <w:vAlign w:val="top"/>
          </w:tcPr>
          <w:p>
            <w:pPr>
              <w:pStyle w:val="TableText"/>
              <w:jc w:val="left"/>
            </w:pPr>
            <w:r>
              <w:t xml:space="preserve">Factor reasons and rule ids on every lead</w:t>
            </w:r>
          </w:p>
        </w:tc>
        <w:tc>
          <w:tcPr>
            <w:tcW w:w="1631" w:type="dxa"/>
            <w:vAlign w:val="top"/>
          </w:tcPr>
          <w:p>
            <w:pPr>
              <w:pStyle w:val="TableText"/>
              <w:jc w:val="left"/>
            </w:pPr>
            <w:r>
              <w:t xml:space="preserve">Every evaluation</w:t>
            </w:r>
          </w:p>
        </w:tc>
        <w:tc>
          <w:tcPr>
            <w:tcW w:w="1701" w:type="dxa"/>
            <w:vAlign w:val="top"/>
          </w:tcPr>
          <w:p>
            <w:pPr>
              <w:pStyle w:val="TableText"/>
              <w:jc w:val="left"/>
            </w:pPr>
            <w:r>
              <w:t xml:space="preserve">Built</w:t>
            </w:r>
          </w:p>
        </w:tc>
      </w:tr>
      <w:tr>
        <w:trPr>
          <w:cantSplit/>
        </w:trPr>
        <w:tc>
          <w:tcPr>
            <w:tcW w:w="2010" w:type="dxa"/>
            <w:shd w:val="clear" w:color="auto" w:fill="F4F7FB"/>
            <w:vAlign w:val="top"/>
          </w:tcPr>
          <w:p>
            <w:pPr>
              <w:pStyle w:val="TableText"/>
              <w:jc w:val="left"/>
            </w:pPr>
            <w:r>
              <w:t xml:space="preserve">Change control</w:t>
            </w:r>
          </w:p>
        </w:tc>
        <w:tc>
          <w:tcPr>
            <w:tcW w:w="3685" w:type="dxa"/>
            <w:shd w:val="clear" w:color="auto" w:fill="F4F7FB"/>
            <w:vAlign w:val="top"/>
          </w:tcPr>
          <w:p>
            <w:pPr>
              <w:pStyle w:val="TableText"/>
              <w:jc w:val="left"/>
            </w:pPr>
            <w:r>
              <w:t xml:space="preserve">Maker-checker with simulation; model-risk sign-off for scoring, next-best action and journeys</w:t>
            </w:r>
          </w:p>
        </w:tc>
        <w:tc>
          <w:tcPr>
            <w:tcW w:w="1631" w:type="dxa"/>
            <w:shd w:val="clear" w:color="auto" w:fill="F4F7FB"/>
            <w:vAlign w:val="top"/>
          </w:tcPr>
          <w:p>
            <w:pPr>
              <w:pStyle w:val="TableText"/>
              <w:jc w:val="left"/>
            </w:pPr>
            <w:r>
              <w:t xml:space="preserve">Every change</w:t>
            </w:r>
          </w:p>
        </w:tc>
        <w:tc>
          <w:tcPr>
            <w:tcW w:w="1701" w:type="dxa"/>
            <w:shd w:val="clear" w:color="auto" w:fill="F4F7FB"/>
            <w:vAlign w:val="top"/>
          </w:tcPr>
          <w:p>
            <w:pPr>
              <w:pStyle w:val="TableText"/>
              <w:jc w:val="left"/>
            </w:pPr>
            <w:r>
              <w:t xml:space="preserve">Built; sign-off procedural</w:t>
            </w:r>
          </w:p>
        </w:tc>
      </w:tr>
      <w:tr>
        <w:trPr>
          <w:cantSplit/>
        </w:trPr>
        <w:tc>
          <w:tcPr>
            <w:tcW w:w="2010" w:type="dxa"/>
            <w:vAlign w:val="top"/>
          </w:tcPr>
          <w:p>
            <w:pPr>
              <w:pStyle w:val="TableText"/>
              <w:jc w:val="left"/>
            </w:pPr>
            <w:r>
              <w:t xml:space="preserve">Reproducibility</w:t>
            </w:r>
          </w:p>
        </w:tc>
        <w:tc>
          <w:tcPr>
            <w:tcW w:w="3685" w:type="dxa"/>
            <w:vAlign w:val="top"/>
          </w:tcPr>
          <w:p>
            <w:pPr>
              <w:pStyle w:val="TableText"/>
              <w:jc w:val="left"/>
            </w:pPr>
            <w:r>
              <w:t xml:space="preserve">Store the rule set versions used for each lead</w:t>
            </w:r>
          </w:p>
        </w:tc>
        <w:tc>
          <w:tcPr>
            <w:tcW w:w="1631" w:type="dxa"/>
            <w:vAlign w:val="top"/>
          </w:tcPr>
          <w:p>
            <w:pPr>
              <w:pStyle w:val="TableText"/>
              <w:jc w:val="left"/>
            </w:pPr>
            <w:r>
              <w:t xml:space="preserve">Every evaluation</w:t>
            </w:r>
          </w:p>
        </w:tc>
        <w:tc>
          <w:tcPr>
            <w:tcW w:w="1701" w:type="dxa"/>
            <w:vAlign w:val="top"/>
          </w:tcPr>
          <w:p>
            <w:pPr>
              <w:pStyle w:val="TableText"/>
              <w:jc w:val="left"/>
            </w:pPr>
            <w:r>
              <w:t xml:space="preserve">Planned</w:t>
            </w:r>
          </w:p>
        </w:tc>
      </w:tr>
      <w:tr>
        <w:trPr>
          <w:cantSplit/>
        </w:trPr>
        <w:tc>
          <w:tcPr>
            <w:tcW w:w="2010" w:type="dxa"/>
            <w:shd w:val="clear" w:color="auto" w:fill="F4F7FB"/>
            <w:vAlign w:val="top"/>
          </w:tcPr>
          <w:p>
            <w:pPr>
              <w:pStyle w:val="TableText"/>
              <w:jc w:val="left"/>
            </w:pPr>
            <w:r>
              <w:t xml:space="preserve">Calibration</w:t>
            </w:r>
          </w:p>
        </w:tc>
        <w:tc>
          <w:tcPr>
            <w:tcW w:w="3685" w:type="dxa"/>
            <w:shd w:val="clear" w:color="auto" w:fill="F4F7FB"/>
            <w:vAlign w:val="top"/>
          </w:tcPr>
          <w:p>
            <w:pPr>
              <w:pStyle w:val="TableText"/>
              <w:jc w:val="left"/>
            </w:pPr>
            <w:r>
              <w:t xml:space="preserve">Conversion within 30 days of first contact by tier; hot above warm above nurture</w:t>
            </w:r>
          </w:p>
        </w:tc>
        <w:tc>
          <w:tcPr>
            <w:tcW w:w="1631" w:type="dxa"/>
            <w:shd w:val="clear" w:color="auto" w:fill="F4F7FB"/>
            <w:vAlign w:val="top"/>
          </w:tcPr>
          <w:p>
            <w:pPr>
              <w:pStyle w:val="TableText"/>
              <w:jc w:val="left"/>
            </w:pPr>
            <w:r>
              <w:t xml:space="preserve">Monthly</w:t>
            </w:r>
          </w:p>
        </w:tc>
        <w:tc>
          <w:tcPr>
            <w:tcW w:w="1701" w:type="dxa"/>
            <w:shd w:val="clear" w:color="auto" w:fill="F4F7FB"/>
            <w:vAlign w:val="top"/>
          </w:tcPr>
          <w:p>
            <w:pPr>
              <w:pStyle w:val="TableText"/>
              <w:jc w:val="left"/>
            </w:pPr>
            <w:r>
              <w:t xml:space="preserve">Planned</w:t>
            </w:r>
          </w:p>
        </w:tc>
      </w:tr>
      <w:tr>
        <w:trPr>
          <w:cantSplit/>
        </w:trPr>
        <w:tc>
          <w:tcPr>
            <w:tcW w:w="2010" w:type="dxa"/>
            <w:vAlign w:val="top"/>
          </w:tcPr>
          <w:p>
            <w:pPr>
              <w:pStyle w:val="TableText"/>
              <w:jc w:val="left"/>
            </w:pPr>
            <w:r>
              <w:t xml:space="preserve">Fairness</w:t>
            </w:r>
          </w:p>
        </w:tc>
        <w:tc>
          <w:tcPr>
            <w:tcW w:w="3685" w:type="dxa"/>
            <w:vAlign w:val="top"/>
          </w:tcPr>
          <w:p>
            <w:pPr>
              <w:pStyle w:val="TableText"/>
              <w:jc w:val="left"/>
            </w:pPr>
            <w:r>
              <w:t xml:space="preserve">Contact rate, tier mix and conversion by province group, owner type and vehicle category; contact-rate ratio of at least 0.8 against the reference group unless explained by urgency</w:t>
            </w:r>
          </w:p>
        </w:tc>
        <w:tc>
          <w:tcPr>
            <w:tcW w:w="1631" w:type="dxa"/>
            <w:vAlign w:val="top"/>
          </w:tcPr>
          <w:p>
            <w:pPr>
              <w:pStyle w:val="TableText"/>
              <w:jc w:val="left"/>
            </w:pPr>
            <w:r>
              <w:t xml:space="preserve">Quarterly and on each scoring change</w:t>
            </w:r>
          </w:p>
        </w:tc>
        <w:tc>
          <w:tcPr>
            <w:tcW w:w="1701" w:type="dxa"/>
            <w:vAlign w:val="top"/>
          </w:tcPr>
          <w:p>
            <w:pPr>
              <w:pStyle w:val="TableText"/>
              <w:jc w:val="left"/>
            </w:pPr>
            <w:r>
              <w:t xml:space="preserve">Planned</w:t>
            </w:r>
          </w:p>
        </w:tc>
      </w:tr>
      <w:tr>
        <w:trPr>
          <w:cantSplit/>
        </w:trPr>
        <w:tc>
          <w:tcPr>
            <w:tcW w:w="2010" w:type="dxa"/>
            <w:shd w:val="clear" w:color="auto" w:fill="F4F7FB"/>
            <w:vAlign w:val="top"/>
          </w:tcPr>
          <w:p>
            <w:pPr>
              <w:pStyle w:val="TableText"/>
              <w:jc w:val="left"/>
            </w:pPr>
            <w:r>
              <w:t xml:space="preserve">Feature guard</w:t>
            </w:r>
          </w:p>
        </w:tc>
        <w:tc>
          <w:tcPr>
            <w:tcW w:w="3685" w:type="dxa"/>
            <w:shd w:val="clear" w:color="auto" w:fill="F4F7FB"/>
            <w:vAlign w:val="top"/>
          </w:tcPr>
          <w:p>
            <w:pPr>
              <w:pStyle w:val="TableText"/>
              <w:jc w:val="left"/>
            </w:pPr>
            <w:r>
              <w:t xml:space="preserve">Validator rejects scoring factors that use region, owner type or a demographic field without a model-risk waiver</w:t>
            </w:r>
          </w:p>
        </w:tc>
        <w:tc>
          <w:tcPr>
            <w:tcW w:w="1631" w:type="dxa"/>
            <w:shd w:val="clear" w:color="auto" w:fill="F4F7FB"/>
            <w:vAlign w:val="top"/>
          </w:tcPr>
          <w:p>
            <w:pPr>
              <w:pStyle w:val="TableText"/>
              <w:jc w:val="left"/>
            </w:pPr>
            <w:r>
              <w:t xml:space="preserve">On save</w:t>
            </w:r>
          </w:p>
        </w:tc>
        <w:tc>
          <w:tcPr>
            <w:tcW w:w="1701" w:type="dxa"/>
            <w:shd w:val="clear" w:color="auto" w:fill="F4F7FB"/>
            <w:vAlign w:val="top"/>
          </w:tcPr>
          <w:p>
            <w:pPr>
              <w:pStyle w:val="TableText"/>
              <w:jc w:val="left"/>
            </w:pPr>
            <w:r>
              <w:t xml:space="preserve">Recommended</w:t>
            </w:r>
          </w:p>
        </w:tc>
      </w:tr>
      <w:tr>
        <w:trPr>
          <w:cantSplit/>
        </w:trPr>
        <w:tc>
          <w:tcPr>
            <w:tcW w:w="2010" w:type="dxa"/>
            <w:vAlign w:val="top"/>
          </w:tcPr>
          <w:p>
            <w:pPr>
              <w:pStyle w:val="TableText"/>
              <w:jc w:val="left"/>
            </w:pPr>
            <w:r>
              <w:t xml:space="preserve">Drift</w:t>
            </w:r>
          </w:p>
        </w:tc>
        <w:tc>
          <w:tcPr>
            <w:tcW w:w="3685" w:type="dxa"/>
            <w:vAlign w:val="top"/>
          </w:tcPr>
          <w:p>
            <w:pPr>
              <w:pStyle w:val="TableText"/>
              <w:jc w:val="left"/>
            </w:pPr>
            <w:r>
              <w:t xml:space="preserve">Population stability index on the score (alert above 0.2) and key inputs; weekly tier mix</w:t>
            </w:r>
          </w:p>
        </w:tc>
        <w:tc>
          <w:tcPr>
            <w:tcW w:w="1631" w:type="dxa"/>
            <w:vAlign w:val="top"/>
          </w:tcPr>
          <w:p>
            <w:pPr>
              <w:pStyle w:val="TableText"/>
              <w:jc w:val="left"/>
            </w:pPr>
            <w:r>
              <w:t xml:space="preserve">Weekly</w:t>
            </w:r>
          </w:p>
        </w:tc>
        <w:tc>
          <w:tcPr>
            <w:tcW w:w="1701" w:type="dxa"/>
            <w:vAlign w:val="top"/>
          </w:tcPr>
          <w:p>
            <w:pPr>
              <w:pStyle w:val="TableText"/>
              <w:jc w:val="left"/>
            </w:pPr>
            <w:r>
              <w:t xml:space="preserve">Planned</w:t>
            </w:r>
          </w:p>
        </w:tc>
      </w:tr>
      <w:tr>
        <w:trPr>
          <w:cantSplit/>
        </w:trPr>
        <w:tc>
          <w:tcPr>
            <w:tcW w:w="2010" w:type="dxa"/>
            <w:shd w:val="clear" w:color="auto" w:fill="F4F7FB"/>
            <w:vAlign w:val="top"/>
          </w:tcPr>
          <w:p>
            <w:pPr>
              <w:pStyle w:val="TableText"/>
              <w:jc w:val="left"/>
            </w:pPr>
            <w:r>
              <w:t xml:space="preserve">Outcome review</w:t>
            </w:r>
          </w:p>
        </w:tc>
        <w:tc>
          <w:tcPr>
            <w:tcW w:w="3685" w:type="dxa"/>
            <w:shd w:val="clear" w:color="auto" w:fill="F4F7FB"/>
            <w:vAlign w:val="top"/>
          </w:tcPr>
          <w:p>
            <w:pPr>
              <w:pStyle w:val="TableText"/>
              <w:jc w:val="left"/>
            </w:pPr>
            <w:r>
              <w:t xml:space="preserve">Compare factor contributions with outcomes; propose new weights as a draft; champion and challenger with hold-out groups</w:t>
            </w:r>
          </w:p>
        </w:tc>
        <w:tc>
          <w:tcPr>
            <w:tcW w:w="1631" w:type="dxa"/>
            <w:shd w:val="clear" w:color="auto" w:fill="F4F7FB"/>
            <w:vAlign w:val="top"/>
          </w:tcPr>
          <w:p>
            <w:pPr>
              <w:pStyle w:val="TableText"/>
              <w:jc w:val="left"/>
            </w:pPr>
            <w:r>
              <w:t xml:space="preserve">Quarterly</w:t>
            </w:r>
          </w:p>
        </w:tc>
        <w:tc>
          <w:tcPr>
            <w:tcW w:w="1701" w:type="dxa"/>
            <w:shd w:val="clear" w:color="auto" w:fill="F4F7FB"/>
            <w:vAlign w:val="top"/>
          </w:tcPr>
          <w:p>
            <w:pPr>
              <w:pStyle w:val="TableText"/>
              <w:jc w:val="left"/>
            </w:pPr>
            <w:r>
              <w:t xml:space="preserve">Planned; needs an experiment flag</w:t>
            </w:r>
          </w:p>
        </w:tc>
      </w:tr>
      <w:tr>
        <w:trPr>
          <w:cantSplit/>
        </w:trPr>
        <w:tc>
          <w:tcPr>
            <w:tcW w:w="2010" w:type="dxa"/>
            <w:vAlign w:val="top"/>
          </w:tcPr>
          <w:p>
            <w:pPr>
              <w:pStyle w:val="TableText"/>
              <w:jc w:val="left"/>
            </w:pPr>
            <w:r>
              <w:t xml:space="preserve">Human oversight</w:t>
            </w:r>
          </w:p>
        </w:tc>
        <w:tc>
          <w:tcPr>
            <w:tcW w:w="3685" w:type="dxa"/>
            <w:vAlign w:val="top"/>
          </w:tcPr>
          <w:p>
            <w:pPr>
              <w:pStyle w:val="TableText"/>
              <w:jc w:val="left"/>
            </w:pPr>
            <w:r>
              <w:t xml:space="preserve">Telesales see reasons and can close leads with a note; supervisors reassign</w:t>
            </w:r>
          </w:p>
        </w:tc>
        <w:tc>
          <w:tcPr>
            <w:tcW w:w="1631" w:type="dxa"/>
            <w:vAlign w:val="top"/>
          </w:tcPr>
          <w:p>
            <w:pPr>
              <w:pStyle w:val="TableText"/>
              <w:jc w:val="left"/>
            </w:pPr>
            <w:r>
              <w:t xml:space="preserve">Continuous</w:t>
            </w:r>
          </w:p>
        </w:tc>
        <w:tc>
          <w:tcPr>
            <w:tcW w:w="1701" w:type="dxa"/>
            <w:vAlign w:val="top"/>
          </w:tcPr>
          <w:p>
            <w:pPr>
              <w:pStyle w:val="TableText"/>
              <w:jc w:val="left"/>
            </w:pPr>
            <w:r>
              <w:t xml:space="preserve">Built</w:t>
            </w:r>
          </w:p>
        </w:tc>
      </w:tr>
    </w:tbl>
    <w:p>
      <w:pPr>
        <w:pStyle w:val="Heading2"/>
      </w:pPr>
      <w:bookmarkStart w:id="20" w:name="_Toc300000016"/>
      <w:r>
        <w:t xml:space="preserve">Inference of expiry and category</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12"/>
        <w:gridCol w:w="2396"/>
        <w:gridCol w:w="5219"/>
      </w:tblGrid>
      <w:tr>
        <w:trPr>
          <w:cantSplit/>
          <w:tblHeader/>
        </w:trPr>
        <w:tc>
          <w:tcPr>
            <w:tcW w:w="1412" w:type="dxa"/>
            <w:shd w:val="clear" w:color="auto" w:fill="0F4761"/>
            <w:vAlign w:val="center"/>
          </w:tcPr>
          <w:p>
            <w:pPr>
              <w:pStyle w:val="TableHeading"/>
              <w:jc w:val="left"/>
            </w:pPr>
            <w:r>
              <w:rPr>
                <w:color w:val="FFFFFF"/>
              </w:rPr>
              <w:t xml:space="preserve">Inference</w:t>
            </w:r>
          </w:p>
        </w:tc>
        <w:tc>
          <w:tcPr>
            <w:tcW w:w="2396" w:type="dxa"/>
            <w:shd w:val="clear" w:color="auto" w:fill="0F4761"/>
            <w:vAlign w:val="center"/>
          </w:tcPr>
          <w:p>
            <w:pPr>
              <w:pStyle w:val="TableHeading"/>
              <w:jc w:val="left"/>
            </w:pPr>
            <w:r>
              <w:rPr>
                <w:color w:val="FFFFFF"/>
              </w:rPr>
              <w:t xml:space="preserve">Risk</w:t>
            </w:r>
          </w:p>
        </w:tc>
        <w:tc>
          <w:tcPr>
            <w:tcW w:w="5219" w:type="dxa"/>
            <w:shd w:val="clear" w:color="auto" w:fill="0F4761"/>
            <w:vAlign w:val="center"/>
          </w:tcPr>
          <w:p>
            <w:pPr>
              <w:pStyle w:val="TableHeading"/>
              <w:jc w:val="left"/>
            </w:pPr>
            <w:r>
              <w:rPr>
                <w:color w:val="FFFFFF"/>
              </w:rPr>
              <w:t xml:space="preserve">Control</w:t>
            </w:r>
          </w:p>
        </w:tc>
      </w:tr>
      <w:tr>
        <w:trPr>
          <w:cantSplit/>
        </w:trPr>
        <w:tc>
          <w:tcPr>
            <w:tcW w:w="1412" w:type="dxa"/>
            <w:vAlign w:val="top"/>
          </w:tcPr>
          <w:p>
            <w:pPr>
              <w:pStyle w:val="TableText"/>
              <w:jc w:val="left"/>
            </w:pPr>
            <w:r>
              <w:t xml:space="preserve">Policy expiry</w:t>
            </w:r>
          </w:p>
        </w:tc>
        <w:tc>
          <w:tcPr>
            <w:tcW w:w="2396" w:type="dxa"/>
            <w:vAlign w:val="top"/>
          </w:tcPr>
          <w:p>
            <w:pPr>
              <w:pStyle w:val="TableText"/>
              <w:jc w:val="left"/>
            </w:pPr>
            <w:r>
              <w:t xml:space="preserve">A wrong date means early or late reminders, and a quote start date that overlaps or leaves a gap in cover</w:t>
            </w:r>
          </w:p>
        </w:tc>
        <w:tc>
          <w:tcPr>
            <w:tcW w:w="5219" w:type="dxa"/>
            <w:vAlign w:val="top"/>
          </w:tcPr>
          <w:p>
            <w:pPr>
              <w:pStyle w:val="TableText"/>
              <w:jc w:val="left"/>
            </w:pPr>
            <w:r>
              <w:t xml:space="preserve">Measure accuracy against later verified certificates and TASCO issuance (share within 21 days, per method); tune evidence confidences through maker-checker; reminders ask the customer to confirm the date</w:t>
            </w:r>
          </w:p>
        </w:tc>
      </w:tr>
      <w:tr>
        <w:trPr>
          <w:cantSplit/>
        </w:trPr>
        <w:tc>
          <w:tcPr>
            <w:tcW w:w="1412" w:type="dxa"/>
            <w:shd w:val="clear" w:color="auto" w:fill="F4F7FB"/>
            <w:vAlign w:val="top"/>
          </w:tcPr>
          <w:p>
            <w:pPr>
              <w:pStyle w:val="TableText"/>
              <w:jc w:val="left"/>
            </w:pPr>
            <w:r>
              <w:t xml:space="preserve">Vehicle category</w:t>
            </w:r>
          </w:p>
        </w:tc>
        <w:tc>
          <w:tcPr>
            <w:tcW w:w="2396" w:type="dxa"/>
            <w:shd w:val="clear" w:color="auto" w:fill="F4F7FB"/>
            <w:vAlign w:val="top"/>
          </w:tcPr>
          <w:p>
            <w:pPr>
              <w:pStyle w:val="TableText"/>
              <w:jc w:val="left"/>
            </w:pPr>
            <w:r>
              <w:t xml:space="preserve">A wrong category means a wrong regulated premium if not corrected</w:t>
            </w:r>
          </w:p>
        </w:tc>
        <w:tc>
          <w:tcPr>
            <w:tcW w:w="5219" w:type="dxa"/>
            <w:shd w:val="clear" w:color="auto" w:fill="F4F7FB"/>
            <w:vAlign w:val="top"/>
          </w:tcPr>
          <w:p>
            <w:pPr>
              <w:pStyle w:val="TableText"/>
              <w:jc w:val="left"/>
            </w:pPr>
            <w:r>
              <w:t xml:space="preserve">Measure accuracy against TASCO-issued categories. The customer app asks the customer to confirm use and seats before quoting in the full flow, and quick renewal requires a confirmation by TASCO core, a matching TASCO policy or the customer within 365 days. The same check is recommended on the server for telesales and partner quotes when category confidence is below 0.8.</w:t>
            </w:r>
          </w:p>
        </w:tc>
      </w:tr>
    </w:tbl>
    <w:p>
      <w:pPr>
        <w:pStyle w:val="BodyText"/>
        <w:spacing w:before="160"/>
      </w:pPr>
      <w:r>
        <w:t xml:space="preserve">The confidences for customer, steward and voice-assistant facts are governed in the service levels rule set. Three thresholds are still fixed in code (TASCO issuance 1.0, voice</w:t>
      </w:r>
      <w:r>
        <w:t xml:space="preserve"> </w:t>
      </w:r>
      <w:r>
        <w:t xml:space="preserve">“</w:t>
      </w:r>
      <w:r>
        <w:t xml:space="preserve">expiry known</w:t>
      </w:r>
      <w:r>
        <w:t xml:space="preserve">”</w:t>
      </w:r>
      <w:r>
        <w:t xml:space="preserve"> </w:t>
      </w:r>
      <w:r>
        <w:t xml:space="preserve">at 0.5, app confirmation prompt below 0.75) and will move into a rule set.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Language model policy</w:t>
      </w:r>
      <w:bookmarkEnd w:id="21"/>
    </w:p>
    <w:p>
      <w:pPr>
        <w:pStyle w:val="FirstParagraph"/>
      </w:pPr>
      <w:r>
        <w:t xml:space="preserve">The platform uses no language model today. This policy applies before any language model or other generative model is introduced.</w:t>
      </w:r>
    </w:p>
    <w:p>
      <w:pPr>
        <w:pStyle w:val="Heading2"/>
      </w:pPr>
      <w:bookmarkStart w:id="22" w:name="_Toc300000018"/>
      <w:r>
        <w:t xml:space="preserve">Permitted and prohibited uses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768"/>
        <w:gridCol w:w="4259"/>
      </w:tblGrid>
      <w:tr>
        <w:trPr>
          <w:cantSplit/>
          <w:tblHeader/>
        </w:trPr>
        <w:tc>
          <w:tcPr>
            <w:tcW w:w="4768" w:type="dxa"/>
            <w:shd w:val="clear" w:color="auto" w:fill="0F4761"/>
            <w:vAlign w:val="center"/>
          </w:tcPr>
          <w:p>
            <w:pPr>
              <w:pStyle w:val="TableHeading"/>
              <w:jc w:val="left"/>
            </w:pPr>
            <w:r>
              <w:rPr>
                <w:color w:val="FFFFFF"/>
              </w:rPr>
              <w:t xml:space="preserve">Permitted, with approval</w:t>
            </w:r>
          </w:p>
        </w:tc>
        <w:tc>
          <w:tcPr>
            <w:tcW w:w="4259" w:type="dxa"/>
            <w:shd w:val="clear" w:color="auto" w:fill="0F4761"/>
            <w:vAlign w:val="center"/>
          </w:tcPr>
          <w:p>
            <w:pPr>
              <w:pStyle w:val="TableHeading"/>
              <w:jc w:val="left"/>
            </w:pPr>
            <w:r>
              <w:rPr>
                <w:color w:val="FFFFFF"/>
              </w:rPr>
              <w:t xml:space="preserve">Prohibited</w:t>
            </w:r>
          </w:p>
        </w:tc>
      </w:tr>
      <w:tr>
        <w:trPr>
          <w:cantSplit/>
        </w:trPr>
        <w:tc>
          <w:tcPr>
            <w:tcW w:w="4768" w:type="dxa"/>
            <w:vAlign w:val="top"/>
          </w:tcPr>
          <w:p>
            <w:pPr>
              <w:pStyle w:val="TableText"/>
              <w:jc w:val="left"/>
            </w:pPr>
            <w:r>
              <w:t xml:space="preserve">Intent recognition behind the classifier interface; output limited to the script’s intent names or</w:t>
            </w:r>
            <w:r>
              <w:t xml:space="preserve"> </w:t>
            </w:r>
            <w:r>
              <w:t xml:space="preserve">“</w:t>
            </w:r>
            <w:r>
              <w:t xml:space="preserve">unknown</w:t>
            </w:r>
            <w:r>
              <w:t xml:space="preserve">”</w:t>
            </w:r>
          </w:p>
        </w:tc>
        <w:tc>
          <w:tcPr>
            <w:tcW w:w="4259" w:type="dxa"/>
            <w:vAlign w:val="top"/>
          </w:tcPr>
          <w:p>
            <w:pPr>
              <w:pStyle w:val="TableText"/>
              <w:jc w:val="left"/>
            </w:pPr>
            <w:r>
              <w:t xml:space="preserve">Generating customer-facing speech or messages that were not pre-approved</w:t>
            </w:r>
          </w:p>
        </w:tc>
      </w:tr>
      <w:tr>
        <w:trPr>
          <w:cantSplit/>
        </w:trPr>
        <w:tc>
          <w:tcPr>
            <w:tcW w:w="4768" w:type="dxa"/>
            <w:shd w:val="clear" w:color="auto" w:fill="F4F7FB"/>
            <w:vAlign w:val="top"/>
          </w:tcPr>
          <w:p>
            <w:pPr>
              <w:pStyle w:val="TableText"/>
              <w:jc w:val="left"/>
            </w:pPr>
            <w:r>
              <w:t xml:space="preserve">Agent assistance: summarising call outcomes for telesales from structured signals</w:t>
            </w:r>
          </w:p>
        </w:tc>
        <w:tc>
          <w:tcPr>
            <w:tcW w:w="4259" w:type="dxa"/>
            <w:shd w:val="clear" w:color="auto" w:fill="F4F7FB"/>
            <w:vAlign w:val="top"/>
          </w:tcPr>
          <w:p>
            <w:pPr>
              <w:pStyle w:val="TableText"/>
              <w:jc w:val="left"/>
            </w:pPr>
            <w:r>
              <w:t xml:space="preserve">Quoting prices, eligibility, cover terms or legal advice</w:t>
            </w:r>
          </w:p>
        </w:tc>
      </w:tr>
      <w:tr>
        <w:trPr>
          <w:cantSplit/>
        </w:trPr>
        <w:tc>
          <w:tcPr>
            <w:tcW w:w="4768" w:type="dxa"/>
            <w:vAlign w:val="top"/>
          </w:tcPr>
          <w:p>
            <w:pPr>
              <w:pStyle w:val="TableText"/>
              <w:jc w:val="left"/>
            </w:pPr>
            <w:r>
              <w:t xml:space="preserve">Data quality assistance: suggesting clean-ups of free text for steward review</w:t>
            </w:r>
          </w:p>
        </w:tc>
        <w:tc>
          <w:tcPr>
            <w:tcW w:w="4259" w:type="dxa"/>
            <w:vAlign w:val="top"/>
          </w:tcPr>
          <w:p>
            <w:pPr>
              <w:pStyle w:val="TableText"/>
              <w:jc w:val="left"/>
            </w:pPr>
            <w:r>
              <w:t xml:space="preserve">Deciding consent, claims, underwriting or anything with legal effect without a person</w:t>
            </w:r>
          </w:p>
        </w:tc>
      </w:tr>
      <w:tr>
        <w:trPr>
          <w:cantSplit/>
        </w:trPr>
        <w:tc>
          <w:tcPr>
            <w:tcW w:w="4768" w:type="dxa"/>
            <w:shd w:val="clear" w:color="auto" w:fill="F4F7FB"/>
            <w:vAlign w:val="top"/>
          </w:tcPr>
          <w:p>
            <w:pPr>
              <w:pStyle w:val="TableText"/>
              <w:jc w:val="left"/>
            </w:pPr>
            <w:r>
              <w:t xml:space="preserve">Drafting rule logic as a draft only, still subject to validation and maker-checker</w:t>
            </w:r>
          </w:p>
        </w:tc>
        <w:tc>
          <w:tcPr>
            <w:tcW w:w="4259" w:type="dxa"/>
            <w:shd w:val="clear" w:color="auto" w:fill="F4F7FB"/>
            <w:vAlign w:val="top"/>
          </w:tcPr>
          <w:p>
            <w:pPr>
              <w:pStyle w:val="TableText"/>
              <w:jc w:val="left"/>
            </w:pPr>
            <w:r>
              <w:t xml:space="preserve">Collecting or processing one-time passwords, card data or national ids</w:t>
            </w:r>
          </w:p>
        </w:tc>
      </w:tr>
    </w:tbl>
    <w:p>
      <w:pPr>
        <w:pStyle w:val="Heading2"/>
      </w:pPr>
      <w:bookmarkStart w:id="23" w:name="_Toc300000019"/>
      <w:r>
        <w:t xml:space="preserve">Data protection</w:t>
      </w:r>
      <w:bookmarkEnd w:id="23"/>
    </w:p>
    <w:p>
      <w:pPr>
        <w:pStyle w:val="FirstParagraph"/>
      </w:pPr>
      <w:r>
        <w:t xml:space="preserve">Only the current utterance (at most 500 characters) and the intent list are sent, with digit sequences and known names masked; no profile data, transcript history or ids. No personal data goes to an external model provider without a DPA, a processing record, a transfer impact assessment and confirmation that cross-border transfer rules are met (to be confirmed by TASCO legal). An in-country or self-hosted model is preferred for anything that touches customer speech. The provider must not train on customer data, and zero retention is required where offered. The platform logs the intent, confidence, model id and prompt version, but not raw prompts or completions.</w:t>
      </w:r>
    </w:p>
    <w:p>
      <w:pPr>
        <w:pStyle w:val="Heading2"/>
      </w:pPr>
      <w:bookmarkStart w:id="24" w:name="_Toc300000020"/>
      <w:r>
        <w:t xml:space="preserve">Evaluation and guard-rails</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09"/>
        <w:gridCol w:w="4118"/>
        <w:gridCol w:w="3400"/>
      </w:tblGrid>
      <w:tr>
        <w:trPr>
          <w:cantSplit/>
          <w:tblHeader/>
        </w:trPr>
        <w:tc>
          <w:tcPr>
            <w:tcW w:w="1509" w:type="dxa"/>
            <w:shd w:val="clear" w:color="auto" w:fill="0F4761"/>
            <w:vAlign w:val="center"/>
          </w:tcPr>
          <w:p>
            <w:pPr>
              <w:pStyle w:val="TableHeading"/>
              <w:jc w:val="left"/>
            </w:pPr>
            <w:r>
              <w:rPr>
                <w:color w:val="FFFFFF"/>
              </w:rPr>
              <w:t xml:space="preserve">Suite</w:t>
            </w:r>
          </w:p>
        </w:tc>
        <w:tc>
          <w:tcPr>
            <w:tcW w:w="4118" w:type="dxa"/>
            <w:shd w:val="clear" w:color="auto" w:fill="0F4761"/>
            <w:vAlign w:val="center"/>
          </w:tcPr>
          <w:p>
            <w:pPr>
              <w:pStyle w:val="TableHeading"/>
              <w:jc w:val="left"/>
            </w:pPr>
            <w:r>
              <w:rPr>
                <w:color w:val="FFFFFF"/>
              </w:rPr>
              <w:t xml:space="preserve">Content</w:t>
            </w:r>
          </w:p>
        </w:tc>
        <w:tc>
          <w:tcPr>
            <w:tcW w:w="3400" w:type="dxa"/>
            <w:shd w:val="clear" w:color="auto" w:fill="0F4761"/>
            <w:vAlign w:val="center"/>
          </w:tcPr>
          <w:p>
            <w:pPr>
              <w:pStyle w:val="TableHeading"/>
              <w:jc w:val="left"/>
            </w:pPr>
            <w:r>
              <w:rPr>
                <w:color w:val="FFFFFF"/>
              </w:rPr>
              <w:t xml:space="preserve">Pass criteria</w:t>
            </w:r>
          </w:p>
        </w:tc>
      </w:tr>
      <w:tr>
        <w:trPr>
          <w:cantSplit/>
        </w:trPr>
        <w:tc>
          <w:tcPr>
            <w:tcW w:w="1509" w:type="dxa"/>
            <w:vAlign w:val="top"/>
          </w:tcPr>
          <w:p>
            <w:pPr>
              <w:pStyle w:val="TableText"/>
              <w:jc w:val="left"/>
            </w:pPr>
            <w:r>
              <w:t xml:space="preserve">Intent evaluation</w:t>
            </w:r>
          </w:p>
        </w:tc>
        <w:tc>
          <w:tcPr>
            <w:tcW w:w="4118" w:type="dxa"/>
            <w:vAlign w:val="top"/>
          </w:tcPr>
          <w:p>
            <w:pPr>
              <w:pStyle w:val="TableText"/>
              <w:jc w:val="left"/>
            </w:pPr>
            <w:r>
              <w:t xml:space="preserve">At least 2,000 labelled Vietnamese utterances across Northern, Central and Southern dialects, speech without diacritics, mixed Vietnamese and English, noise, numbers in words</w:t>
            </w:r>
          </w:p>
        </w:tc>
        <w:tc>
          <w:tcPr>
            <w:tcW w:w="3400" w:type="dxa"/>
            <w:vAlign w:val="top"/>
          </w:tcPr>
          <w:p>
            <w:pPr>
              <w:pStyle w:val="TableText"/>
              <w:jc w:val="left"/>
            </w:pPr>
            <w:r>
              <w:t xml:space="preserve">Better than keyword matching by 5 points of macro F1; opt-out recall at least 0.99; scam concern recall at least 0.95; buy-now precision at least 0.9</w:t>
            </w:r>
          </w:p>
        </w:tc>
      </w:tr>
      <w:tr>
        <w:trPr>
          <w:cantSplit/>
        </w:trPr>
        <w:tc>
          <w:tcPr>
            <w:tcW w:w="1509" w:type="dxa"/>
            <w:shd w:val="clear" w:color="auto" w:fill="F4F7FB"/>
            <w:vAlign w:val="top"/>
          </w:tcPr>
          <w:p>
            <w:pPr>
              <w:pStyle w:val="TableText"/>
              <w:jc w:val="left"/>
            </w:pPr>
            <w:r>
              <w:t xml:space="preserve">Plate extraction</w:t>
            </w:r>
          </w:p>
        </w:tc>
        <w:tc>
          <w:tcPr>
            <w:tcW w:w="4118" w:type="dxa"/>
            <w:shd w:val="clear" w:color="auto" w:fill="F4F7FB"/>
            <w:vAlign w:val="top"/>
          </w:tcPr>
          <w:p>
            <w:pPr>
              <w:pStyle w:val="TableText"/>
              <w:jc w:val="left"/>
            </w:pPr>
            <w:r>
              <w:t xml:space="preserve">Spoken plates in many styles, including Vietnamese tens and motorbike plates</w:t>
            </w:r>
          </w:p>
        </w:tc>
        <w:tc>
          <w:tcPr>
            <w:tcW w:w="3400" w:type="dxa"/>
            <w:shd w:val="clear" w:color="auto" w:fill="F4F7FB"/>
            <w:vAlign w:val="top"/>
          </w:tcPr>
          <w:p>
            <w:pPr>
              <w:pStyle w:val="TableText"/>
              <w:jc w:val="left"/>
            </w:pPr>
            <w:r>
              <w:t xml:space="preserve">At least 98% exact match on clear transcripts</w:t>
            </w:r>
          </w:p>
        </w:tc>
      </w:tr>
      <w:tr>
        <w:trPr>
          <w:cantSplit/>
        </w:trPr>
        <w:tc>
          <w:tcPr>
            <w:tcW w:w="1509" w:type="dxa"/>
            <w:vAlign w:val="top"/>
          </w:tcPr>
          <w:p>
            <w:pPr>
              <w:pStyle w:val="TableText"/>
              <w:jc w:val="left"/>
            </w:pPr>
            <w:r>
              <w:t xml:space="preserve">Red team</w:t>
            </w:r>
          </w:p>
        </w:tc>
        <w:tc>
          <w:tcPr>
            <w:tcW w:w="4118" w:type="dxa"/>
            <w:vAlign w:val="top"/>
          </w:tcPr>
          <w:p>
            <w:pPr>
              <w:pStyle w:val="TableText"/>
              <w:jc w:val="left"/>
            </w:pPr>
            <w:r>
              <w:t xml:space="preserve">Prompt injection by speech, discount requests, impersonation, abuse, attempts to extract other customers’ data</w:t>
            </w:r>
          </w:p>
        </w:tc>
        <w:tc>
          <w:tcPr>
            <w:tcW w:w="3400" w:type="dxa"/>
            <w:vAlign w:val="top"/>
          </w:tcPr>
          <w:p>
            <w:pPr>
              <w:pStyle w:val="TableText"/>
              <w:jc w:val="left"/>
            </w:pPr>
            <w:r>
              <w:t xml:space="preserve">No policy violations: output stays within the intent list and no personal data is echoed</w:t>
            </w:r>
          </w:p>
        </w:tc>
      </w:tr>
      <w:tr>
        <w:trPr>
          <w:cantSplit/>
        </w:trPr>
        <w:tc>
          <w:tcPr>
            <w:tcW w:w="1509" w:type="dxa"/>
            <w:shd w:val="clear" w:color="auto" w:fill="F4F7FB"/>
            <w:vAlign w:val="top"/>
          </w:tcPr>
          <w:p>
            <w:pPr>
              <w:pStyle w:val="TableText"/>
              <w:jc w:val="left"/>
            </w:pPr>
            <w:r>
              <w:t xml:space="preserve">Regression</w:t>
            </w:r>
          </w:p>
        </w:tc>
        <w:tc>
          <w:tcPr>
            <w:tcW w:w="4118" w:type="dxa"/>
            <w:shd w:val="clear" w:color="auto" w:fill="F4F7FB"/>
            <w:vAlign w:val="top"/>
          </w:tcPr>
          <w:p>
            <w:pPr>
              <w:pStyle w:val="TableText"/>
              <w:jc w:val="left"/>
            </w:pPr>
            <w:r>
              <w:t xml:space="preserve">Golden transcripts for each script version</w:t>
            </w:r>
          </w:p>
        </w:tc>
        <w:tc>
          <w:tcPr>
            <w:tcW w:w="3400" w:type="dxa"/>
            <w:shd w:val="clear" w:color="auto" w:fill="F4F7FB"/>
            <w:vAlign w:val="top"/>
          </w:tcPr>
          <w:p>
            <w:pPr>
              <w:pStyle w:val="TableText"/>
              <w:jc w:val="left"/>
            </w:pPr>
            <w:r>
              <w:t xml:space="preserve">100% on critical paths</w:t>
            </w:r>
          </w:p>
        </w:tc>
      </w:tr>
      <w:tr>
        <w:trPr>
          <w:cantSplit/>
        </w:trPr>
        <w:tc>
          <w:tcPr>
            <w:tcW w:w="1509" w:type="dxa"/>
            <w:vAlign w:val="top"/>
          </w:tcPr>
          <w:p>
            <w:pPr>
              <w:pStyle w:val="TableText"/>
              <w:jc w:val="left"/>
            </w:pPr>
            <w:r>
              <w:t xml:space="preserve">Latency</w:t>
            </w:r>
          </w:p>
        </w:tc>
        <w:tc>
          <w:tcPr>
            <w:tcW w:w="4118" w:type="dxa"/>
            <w:vAlign w:val="top"/>
          </w:tcPr>
          <w:p>
            <w:pPr>
              <w:pStyle w:val="TableText"/>
              <w:jc w:val="left"/>
            </w:pPr>
            <w:r>
              <w:t xml:space="preserve">Classification time, 95th percentile</w:t>
            </w:r>
          </w:p>
        </w:tc>
        <w:tc>
          <w:tcPr>
            <w:tcW w:w="3400" w:type="dxa"/>
            <w:vAlign w:val="top"/>
          </w:tcPr>
          <w:p>
            <w:pPr>
              <w:pStyle w:val="TableText"/>
              <w:jc w:val="left"/>
            </w:pPr>
            <w:r>
              <w:t xml:space="preserve">300 ms or less, otherwise fall back to keywords</w:t>
            </w:r>
          </w:p>
        </w:tc>
      </w:tr>
    </w:tbl>
    <w:p>
      <w:pPr>
        <w:pStyle w:val="BodyText"/>
        <w:spacing w:before="160"/>
      </w:pPr>
      <w:r>
        <w:t xml:space="preserve">At run time the output is checked against the intent list, a timeout falls back to keyword matching, the keyword opt-out check always runs first and overrides the model, and a flag per campaign allows gradual rollout.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Monitoring</w:t>
      </w:r>
      <w:bookmarkEnd w:id="25"/>
    </w:p>
    <w:p>
      <w:pPr>
        <w:pStyle w:val="FirstParagraph"/>
      </w:pPr>
      <w:r>
        <w:t xml:space="preserve">The governance dashboard (permission to read the audit trail) shows call volumes and outcomes, the plate verification failure rate, the opt-out rate, the disclosure statement, rule set counts by status and the audit-chain verification result.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83"/>
        <w:gridCol w:w="5744"/>
      </w:tblGrid>
      <w:tr>
        <w:trPr>
          <w:cantSplit/>
          <w:tblHeader/>
        </w:trPr>
        <w:tc>
          <w:tcPr>
            <w:tcW w:w="3283" w:type="dxa"/>
            <w:shd w:val="clear" w:color="auto" w:fill="0F4761"/>
            <w:vAlign w:val="center"/>
          </w:tcPr>
          <w:p>
            <w:pPr>
              <w:pStyle w:val="TableHeading"/>
              <w:jc w:val="left"/>
            </w:pPr>
            <w:r>
              <w:rPr>
                <w:color w:val="FFFFFF"/>
              </w:rPr>
              <w:t xml:space="preserve">Measure</w:t>
            </w:r>
          </w:p>
        </w:tc>
        <w:tc>
          <w:tcPr>
            <w:tcW w:w="5744" w:type="dxa"/>
            <w:shd w:val="clear" w:color="auto" w:fill="0F4761"/>
            <w:vAlign w:val="center"/>
          </w:tcPr>
          <w:p>
            <w:pPr>
              <w:pStyle w:val="TableHeading"/>
              <w:jc w:val="left"/>
            </w:pPr>
            <w:r>
              <w:rPr>
                <w:color w:val="FFFFFF"/>
              </w:rPr>
              <w:t xml:space="preserve">Threshold and action</w:t>
            </w:r>
          </w:p>
        </w:tc>
      </w:tr>
      <w:tr>
        <w:trPr>
          <w:cantSplit/>
        </w:trPr>
        <w:tc>
          <w:tcPr>
            <w:tcW w:w="3283" w:type="dxa"/>
            <w:vAlign w:val="top"/>
          </w:tcPr>
          <w:p>
            <w:pPr>
              <w:pStyle w:val="TableText"/>
              <w:jc w:val="left"/>
            </w:pPr>
            <w:r>
              <w:t xml:space="preserve">Opt-out rate</w:t>
            </w:r>
          </w:p>
        </w:tc>
        <w:tc>
          <w:tcPr>
            <w:tcW w:w="5744" w:type="dxa"/>
            <w:vAlign w:val="top"/>
          </w:tcPr>
          <w:p>
            <w:pPr>
              <w:pStyle w:val="TableText"/>
              <w:jc w:val="left"/>
            </w:pPr>
            <w:r>
              <w:t xml:space="preserve">Above 8% in a week: review script and targeting. Above 15%: pause the campaign.</w:t>
            </w:r>
          </w:p>
        </w:tc>
      </w:tr>
      <w:tr>
        <w:trPr>
          <w:cantSplit/>
        </w:trPr>
        <w:tc>
          <w:tcPr>
            <w:tcW w:w="3283" w:type="dxa"/>
            <w:shd w:val="clear" w:color="auto" w:fill="F4F7FB"/>
            <w:vAlign w:val="top"/>
          </w:tcPr>
          <w:p>
            <w:pPr>
              <w:pStyle w:val="TableText"/>
              <w:jc w:val="left"/>
            </w:pPr>
            <w:r>
              <w:t xml:space="preserve">Plate verification failure</w:t>
            </w:r>
          </w:p>
        </w:tc>
        <w:tc>
          <w:tcPr>
            <w:tcW w:w="5744" w:type="dxa"/>
            <w:shd w:val="clear" w:color="auto" w:fill="F4F7FB"/>
            <w:vAlign w:val="top"/>
          </w:tcPr>
          <w:p>
            <w:pPr>
              <w:pStyle w:val="TableText"/>
              <w:jc w:val="left"/>
            </w:pPr>
            <w:r>
              <w:t xml:space="preserve">Above 25%: check speech recognition quality and data accuracy</w:t>
            </w:r>
          </w:p>
        </w:tc>
      </w:tr>
      <w:tr>
        <w:trPr>
          <w:cantSplit/>
        </w:trPr>
        <w:tc>
          <w:tcPr>
            <w:tcW w:w="3283" w:type="dxa"/>
            <w:vAlign w:val="top"/>
          </w:tcPr>
          <w:p>
            <w:pPr>
              <w:pStyle w:val="TableText"/>
              <w:jc w:val="left"/>
            </w:pPr>
            <w:r>
              <w:t xml:space="preserve">Wrong-person rate</w:t>
            </w:r>
          </w:p>
        </w:tc>
        <w:tc>
          <w:tcPr>
            <w:tcW w:w="5744" w:type="dxa"/>
            <w:vAlign w:val="top"/>
          </w:tcPr>
          <w:p>
            <w:pPr>
              <w:pStyle w:val="TableText"/>
              <w:jc w:val="left"/>
            </w:pPr>
            <w:r>
              <w:t xml:space="preserve">Above 5%: data quality incident with the VETC data office</w:t>
            </w:r>
          </w:p>
        </w:tc>
      </w:tr>
      <w:tr>
        <w:trPr>
          <w:cantSplit/>
        </w:trPr>
        <w:tc>
          <w:tcPr>
            <w:tcW w:w="3283" w:type="dxa"/>
            <w:shd w:val="clear" w:color="auto" w:fill="F4F7FB"/>
            <w:vAlign w:val="top"/>
          </w:tcPr>
          <w:p>
            <w:pPr>
              <w:pStyle w:val="TableText"/>
              <w:jc w:val="left"/>
            </w:pPr>
            <w:r>
              <w:t xml:space="preserve">Unknown intent and clarification rate</w:t>
            </w:r>
          </w:p>
        </w:tc>
        <w:tc>
          <w:tcPr>
            <w:tcW w:w="5744" w:type="dxa"/>
            <w:shd w:val="clear" w:color="auto" w:fill="F4F7FB"/>
            <w:vAlign w:val="top"/>
          </w:tcPr>
          <w:p>
            <w:pPr>
              <w:pStyle w:val="TableText"/>
              <w:jc w:val="left"/>
            </w:pPr>
            <w:r>
              <w:t xml:space="preserve">Above 20%: review intent keywords (metric planned)</w:t>
            </w:r>
          </w:p>
        </w:tc>
      </w:tr>
      <w:tr>
        <w:trPr>
          <w:cantSplit/>
        </w:trPr>
        <w:tc>
          <w:tcPr>
            <w:tcW w:w="3283" w:type="dxa"/>
            <w:vAlign w:val="top"/>
          </w:tcPr>
          <w:p>
            <w:pPr>
              <w:pStyle w:val="TableText"/>
              <w:jc w:val="left"/>
            </w:pPr>
            <w:r>
              <w:t xml:space="preserve">Complaints about the assistant</w:t>
            </w:r>
          </w:p>
        </w:tc>
        <w:tc>
          <w:tcPr>
            <w:tcW w:w="5744" w:type="dxa"/>
            <w:vAlign w:val="top"/>
          </w:tcPr>
          <w:p>
            <w:pPr>
              <w:pStyle w:val="TableText"/>
              <w:jc w:val="left"/>
            </w:pPr>
            <w:r>
              <w:t xml:space="preserve">Any scam-related complaint: incident (section 7)</w:t>
            </w:r>
          </w:p>
        </w:tc>
      </w:tr>
      <w:tr>
        <w:trPr>
          <w:cantSplit/>
        </w:trPr>
        <w:tc>
          <w:tcPr>
            <w:tcW w:w="3283" w:type="dxa"/>
            <w:shd w:val="clear" w:color="auto" w:fill="F4F7FB"/>
            <w:vAlign w:val="top"/>
          </w:tcPr>
          <w:p>
            <w:pPr>
              <w:pStyle w:val="TableText"/>
              <w:jc w:val="left"/>
            </w:pPr>
            <w:r>
              <w:t xml:space="preserve">Messages blocked by the copy guard at send</w:t>
            </w:r>
          </w:p>
        </w:tc>
        <w:tc>
          <w:tcPr>
            <w:tcW w:w="5744" w:type="dxa"/>
            <w:shd w:val="clear" w:color="auto" w:fill="F4F7FB"/>
            <w:vAlign w:val="top"/>
          </w:tcPr>
          <w:p>
            <w:pPr>
              <w:pStyle w:val="TableText"/>
              <w:jc w:val="left"/>
            </w:pPr>
            <w:r>
              <w:t xml:space="preserve">Any: template defect to fix</w:t>
            </w:r>
          </w:p>
        </w:tc>
      </w:tr>
      <w:tr>
        <w:trPr>
          <w:cantSplit/>
        </w:trPr>
        <w:tc>
          <w:tcPr>
            <w:tcW w:w="3283" w:type="dxa"/>
            <w:vAlign w:val="top"/>
          </w:tcPr>
          <w:p>
            <w:pPr>
              <w:pStyle w:val="TableText"/>
              <w:jc w:val="left"/>
            </w:pPr>
            <w:r>
              <w:t xml:space="preserve">Contact-policy suppressions</w:t>
            </w:r>
          </w:p>
        </w:tc>
        <w:tc>
          <w:tcPr>
            <w:tcW w:w="5744" w:type="dxa"/>
            <w:vAlign w:val="top"/>
          </w:tcPr>
          <w:p>
            <w:pPr>
              <w:pStyle w:val="TableText"/>
              <w:jc w:val="left"/>
            </w:pPr>
            <w:r>
              <w:t xml:space="preserve">Monthly trend review of consent health</w:t>
            </w:r>
          </w:p>
        </w:tc>
      </w:tr>
      <w:tr>
        <w:trPr>
          <w:cantSplit/>
        </w:trPr>
        <w:tc>
          <w:tcPr>
            <w:tcW w:w="3283" w:type="dxa"/>
            <w:shd w:val="clear" w:color="auto" w:fill="F4F7FB"/>
            <w:vAlign w:val="top"/>
          </w:tcPr>
          <w:p>
            <w:pPr>
              <w:pStyle w:val="TableText"/>
              <w:jc w:val="left"/>
            </w:pPr>
            <w:r>
              <w:t xml:space="preserve">Score drift and fairness</w:t>
            </w:r>
          </w:p>
        </w:tc>
        <w:tc>
          <w:tcPr>
            <w:tcW w:w="5744" w:type="dxa"/>
            <w:shd w:val="clear" w:color="auto" w:fill="F4F7FB"/>
            <w:vAlign w:val="top"/>
          </w:tcPr>
          <w:p>
            <w:pPr>
              <w:pStyle w:val="TableText"/>
              <w:jc w:val="left"/>
            </w:pPr>
            <w:r>
              <w:t xml:space="preserve">Population stability index above 0.2 or contact-rate ratio below 0.8: model-risk review</w:t>
            </w:r>
          </w:p>
        </w:tc>
      </w:tr>
      <w:tr>
        <w:trPr>
          <w:cantSplit/>
        </w:trPr>
        <w:tc>
          <w:tcPr>
            <w:tcW w:w="3283" w:type="dxa"/>
            <w:vAlign w:val="top"/>
          </w:tcPr>
          <w:p>
            <w:pPr>
              <w:pStyle w:val="TableText"/>
              <w:jc w:val="left"/>
            </w:pPr>
            <w:r>
              <w:t xml:space="preserve">Handoff conversion</w:t>
            </w:r>
          </w:p>
        </w:tc>
        <w:tc>
          <w:tcPr>
            <w:tcW w:w="5744" w:type="dxa"/>
            <w:vAlign w:val="top"/>
          </w:tcPr>
          <w:p>
            <w:pPr>
              <w:pStyle w:val="TableText"/>
              <w:jc w:val="left"/>
            </w:pPr>
            <w:r>
              <w:t xml:space="preserve">Below target: review talking points and scoring</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AI incident handling</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5"/>
        <w:gridCol w:w="1803"/>
        <w:gridCol w:w="2937"/>
        <w:gridCol w:w="2592"/>
      </w:tblGrid>
      <w:tr>
        <w:trPr>
          <w:cantSplit/>
          <w:tblHeader/>
        </w:trPr>
        <w:tc>
          <w:tcPr>
            <w:tcW w:w="1695" w:type="dxa"/>
            <w:shd w:val="clear" w:color="auto" w:fill="0F4761"/>
            <w:vAlign w:val="center"/>
          </w:tcPr>
          <w:p>
            <w:pPr>
              <w:pStyle w:val="TableHeading"/>
              <w:jc w:val="left"/>
            </w:pPr>
            <w:r>
              <w:rPr>
                <w:color w:val="FFFFFF"/>
              </w:rPr>
              <w:t xml:space="preserve">Incident</w:t>
            </w:r>
          </w:p>
        </w:tc>
        <w:tc>
          <w:tcPr>
            <w:tcW w:w="1803" w:type="dxa"/>
            <w:shd w:val="clear" w:color="auto" w:fill="0F4761"/>
            <w:vAlign w:val="center"/>
          </w:tcPr>
          <w:p>
            <w:pPr>
              <w:pStyle w:val="TableHeading"/>
              <w:jc w:val="left"/>
            </w:pPr>
            <w:r>
              <w:rPr>
                <w:color w:val="FFFFFF"/>
              </w:rPr>
              <w:t xml:space="preserve">Examples</w:t>
            </w:r>
          </w:p>
        </w:tc>
        <w:tc>
          <w:tcPr>
            <w:tcW w:w="2937" w:type="dxa"/>
            <w:shd w:val="clear" w:color="auto" w:fill="0F4761"/>
            <w:vAlign w:val="center"/>
          </w:tcPr>
          <w:p>
            <w:pPr>
              <w:pStyle w:val="TableHeading"/>
              <w:jc w:val="left"/>
            </w:pPr>
            <w:r>
              <w:rPr>
                <w:color w:val="FFFFFF"/>
              </w:rPr>
              <w:t xml:space="preserve">Immediate containment</w:t>
            </w:r>
          </w:p>
        </w:tc>
        <w:tc>
          <w:tcPr>
            <w:tcW w:w="2592" w:type="dxa"/>
            <w:shd w:val="clear" w:color="auto" w:fill="0F4761"/>
            <w:vAlign w:val="center"/>
          </w:tcPr>
          <w:p>
            <w:pPr>
              <w:pStyle w:val="TableHeading"/>
              <w:jc w:val="left"/>
            </w:pPr>
            <w:r>
              <w:rPr>
                <w:color w:val="FFFFFF"/>
              </w:rPr>
              <w:t xml:space="preserve">Follow-up</w:t>
            </w:r>
          </w:p>
        </w:tc>
      </w:tr>
      <w:tr>
        <w:trPr>
          <w:cantSplit/>
        </w:trPr>
        <w:tc>
          <w:tcPr>
            <w:tcW w:w="1695" w:type="dxa"/>
            <w:vAlign w:val="top"/>
          </w:tcPr>
          <w:p>
            <w:pPr>
              <w:pStyle w:val="TableText"/>
              <w:jc w:val="left"/>
            </w:pPr>
            <w:r>
              <w:t xml:space="preserve">Harmful or incorrect speech</w:t>
            </w:r>
          </w:p>
        </w:tc>
        <w:tc>
          <w:tcPr>
            <w:tcW w:w="1803" w:type="dxa"/>
            <w:vAlign w:val="top"/>
          </w:tcPr>
          <w:p>
            <w:pPr>
              <w:pStyle w:val="TableText"/>
              <w:jc w:val="left"/>
            </w:pPr>
            <w:r>
              <w:t xml:space="preserve">Wrong price, implied discount, rude wording</w:t>
            </w:r>
          </w:p>
        </w:tc>
        <w:tc>
          <w:tcPr>
            <w:tcW w:w="2937" w:type="dxa"/>
            <w:vAlign w:val="top"/>
          </w:tcPr>
          <w:p>
            <w:pPr>
              <w:pStyle w:val="TableText"/>
              <w:jc w:val="left"/>
            </w:pPr>
            <w:r>
              <w:t xml:space="preserve">Roll back the script to the previous version (rollback, then approve); pause automated calls</w:t>
            </w:r>
          </w:p>
        </w:tc>
        <w:tc>
          <w:tcPr>
            <w:tcW w:w="2592" w:type="dxa"/>
            <w:vAlign w:val="top"/>
          </w:tcPr>
          <w:p>
            <w:pPr>
              <w:pStyle w:val="TableText"/>
              <w:jc w:val="left"/>
            </w:pPr>
            <w:r>
              <w:t xml:space="preserve">Root cause; new golden transcript; compliance review</w:t>
            </w:r>
          </w:p>
        </w:tc>
      </w:tr>
      <w:tr>
        <w:trPr>
          <w:cantSplit/>
        </w:trPr>
        <w:tc>
          <w:tcPr>
            <w:tcW w:w="1695" w:type="dxa"/>
            <w:shd w:val="clear" w:color="auto" w:fill="F4F7FB"/>
            <w:vAlign w:val="top"/>
          </w:tcPr>
          <w:p>
            <w:pPr>
              <w:pStyle w:val="TableText"/>
              <w:jc w:val="left"/>
            </w:pPr>
            <w:r>
              <w:t xml:space="preserve">Missed opt-out</w:t>
            </w:r>
          </w:p>
        </w:tc>
        <w:tc>
          <w:tcPr>
            <w:tcW w:w="1803" w:type="dxa"/>
            <w:shd w:val="clear" w:color="auto" w:fill="F4F7FB"/>
            <w:vAlign w:val="top"/>
          </w:tcPr>
          <w:p>
            <w:pPr>
              <w:pStyle w:val="TableText"/>
              <w:jc w:val="left"/>
            </w:pPr>
            <w:r>
              <w:t xml:space="preserve">Customer said stop and was called again</w:t>
            </w:r>
          </w:p>
        </w:tc>
        <w:tc>
          <w:tcPr>
            <w:tcW w:w="2937" w:type="dxa"/>
            <w:shd w:val="clear" w:color="auto" w:fill="F4F7FB"/>
            <w:vAlign w:val="top"/>
          </w:tcPr>
          <w:p>
            <w:pPr>
              <w:pStyle w:val="TableText"/>
              <w:jc w:val="left"/>
            </w:pPr>
            <w:r>
              <w:t xml:space="preserve">Pause campaigns; set do-not-contact for affected customers; review consent withdrawals in the audit trail</w:t>
            </w:r>
          </w:p>
        </w:tc>
        <w:tc>
          <w:tcPr>
            <w:tcW w:w="2592" w:type="dxa"/>
            <w:shd w:val="clear" w:color="auto" w:fill="F4F7FB"/>
            <w:vAlign w:val="top"/>
          </w:tcPr>
          <w:p>
            <w:pPr>
              <w:pStyle w:val="TableText"/>
              <w:jc w:val="left"/>
            </w:pPr>
            <w:r>
              <w:t xml:space="preserve">Add utterances to the evaluation set; widen keywords; regulator and customer communication if required (to be confirmed by TASCO legal)</w:t>
            </w:r>
          </w:p>
        </w:tc>
      </w:tr>
      <w:tr>
        <w:trPr>
          <w:cantSplit/>
        </w:trPr>
        <w:tc>
          <w:tcPr>
            <w:tcW w:w="1695" w:type="dxa"/>
            <w:vAlign w:val="top"/>
          </w:tcPr>
          <w:p>
            <w:pPr>
              <w:pStyle w:val="TableText"/>
              <w:jc w:val="left"/>
            </w:pPr>
            <w:r>
              <w:t xml:space="preserve">Scam wave using VETC’s name</w:t>
            </w:r>
          </w:p>
        </w:tc>
        <w:tc>
          <w:tcPr>
            <w:tcW w:w="1803" w:type="dxa"/>
            <w:vAlign w:val="top"/>
          </w:tcPr>
          <w:p>
            <w:pPr>
              <w:pStyle w:val="TableText"/>
              <w:jc w:val="left"/>
            </w:pPr>
            <w:r>
              <w:t xml:space="preserve">Customers report fake</w:t>
            </w:r>
            <w:r>
              <w:t xml:space="preserve"> </w:t>
            </w:r>
            <w:r>
              <w:t xml:space="preserve">“</w:t>
            </w:r>
            <w:r>
              <w:t xml:space="preserve">VETC insurance</w:t>
            </w:r>
            <w:r>
              <w:t xml:space="preserve">”</w:t>
            </w:r>
            <w:r>
              <w:t xml:space="preserve"> </w:t>
            </w:r>
            <w:r>
              <w:t xml:space="preserve">calls</w:t>
            </w:r>
          </w:p>
        </w:tc>
        <w:tc>
          <w:tcPr>
            <w:tcW w:w="2937" w:type="dxa"/>
            <w:vAlign w:val="top"/>
          </w:tcPr>
          <w:p>
            <w:pPr>
              <w:pStyle w:val="TableText"/>
              <w:jc w:val="left"/>
            </w:pPr>
            <w:r>
              <w:t xml:space="preserve">Service message by push and Zalo to affected regions that VETC never asks for one-time passwords or payment by phone; strengthen the trust line</w:t>
            </w:r>
          </w:p>
        </w:tc>
        <w:tc>
          <w:tcPr>
            <w:tcW w:w="2592" w:type="dxa"/>
            <w:vAlign w:val="top"/>
          </w:tcPr>
          <w:p>
            <w:pPr>
              <w:pStyle w:val="TableText"/>
              <w:jc w:val="left"/>
            </w:pPr>
            <w:r>
              <w:t xml:space="preserve">Coordinate with VETC security and the authorities</w:t>
            </w:r>
          </w:p>
        </w:tc>
      </w:tr>
      <w:tr>
        <w:trPr>
          <w:cantSplit/>
        </w:trPr>
        <w:tc>
          <w:tcPr>
            <w:tcW w:w="1695" w:type="dxa"/>
            <w:shd w:val="clear" w:color="auto" w:fill="F4F7FB"/>
            <w:vAlign w:val="top"/>
          </w:tcPr>
          <w:p>
            <w:pPr>
              <w:pStyle w:val="TableText"/>
              <w:jc w:val="left"/>
            </w:pPr>
            <w:r>
              <w:t xml:space="preserve">Speech recognition degradation</w:t>
            </w:r>
          </w:p>
        </w:tc>
        <w:tc>
          <w:tcPr>
            <w:tcW w:w="1803" w:type="dxa"/>
            <w:shd w:val="clear" w:color="auto" w:fill="F4F7FB"/>
            <w:vAlign w:val="top"/>
          </w:tcPr>
          <w:p>
            <w:pPr>
              <w:pStyle w:val="TableText"/>
              <w:jc w:val="left"/>
            </w:pPr>
            <w:r>
              <w:t xml:space="preserve">Vendor accuracy drops; plate failures rise</w:t>
            </w:r>
          </w:p>
        </w:tc>
        <w:tc>
          <w:tcPr>
            <w:tcW w:w="2937" w:type="dxa"/>
            <w:shd w:val="clear" w:color="auto" w:fill="F4F7FB"/>
            <w:vAlign w:val="top"/>
          </w:tcPr>
          <w:p>
            <w:pPr>
              <w:pStyle w:val="TableText"/>
              <w:jc w:val="left"/>
            </w:pPr>
            <w:r>
              <w:t xml:space="preserve">The voice circuit breaker opens on errors; otherwise reduce concurrency or pause</w:t>
            </w:r>
          </w:p>
        </w:tc>
        <w:tc>
          <w:tcPr>
            <w:tcW w:w="2592" w:type="dxa"/>
            <w:shd w:val="clear" w:color="auto" w:fill="F4F7FB"/>
            <w:vAlign w:val="top"/>
          </w:tcPr>
          <w:p>
            <w:pPr>
              <w:pStyle w:val="TableText"/>
              <w:jc w:val="left"/>
            </w:pPr>
            <w:r>
              <w:t xml:space="preserve">Vendor service level escalation</w:t>
            </w:r>
          </w:p>
        </w:tc>
      </w:tr>
      <w:tr>
        <w:trPr>
          <w:cantSplit/>
        </w:trPr>
        <w:tc>
          <w:tcPr>
            <w:tcW w:w="1695" w:type="dxa"/>
            <w:vAlign w:val="top"/>
          </w:tcPr>
          <w:p>
            <w:pPr>
              <w:pStyle w:val="TableText"/>
              <w:jc w:val="left"/>
            </w:pPr>
            <w:r>
              <w:t xml:space="preserve">Scoring defect</w:t>
            </w:r>
          </w:p>
        </w:tc>
        <w:tc>
          <w:tcPr>
            <w:tcW w:w="1803" w:type="dxa"/>
            <w:vAlign w:val="top"/>
          </w:tcPr>
          <w:p>
            <w:pPr>
              <w:pStyle w:val="TableText"/>
              <w:jc w:val="left"/>
            </w:pPr>
            <w:r>
              <w:t xml:space="preserve">A bad weights version contacts the wrong customers</w:t>
            </w:r>
          </w:p>
        </w:tc>
        <w:tc>
          <w:tcPr>
            <w:tcW w:w="2937" w:type="dxa"/>
            <w:vAlign w:val="top"/>
          </w:tcPr>
          <w:p>
            <w:pPr>
              <w:pStyle w:val="TableText"/>
              <w:jc w:val="left"/>
            </w:pPr>
            <w:r>
              <w:t xml:space="preserve">Roll back scoring or next-best action; re-score leads</w:t>
            </w:r>
          </w:p>
        </w:tc>
        <w:tc>
          <w:tcPr>
            <w:tcW w:w="2592" w:type="dxa"/>
            <w:vAlign w:val="top"/>
          </w:tcPr>
          <w:p>
            <w:pPr>
              <w:pStyle w:val="TableText"/>
              <w:jc w:val="left"/>
            </w:pPr>
            <w:r>
              <w:t xml:space="preserve">Simulation evidence required on the next change</w:t>
            </w:r>
          </w:p>
        </w:tc>
      </w:tr>
    </w:tbl>
    <w:p>
      <w:pPr>
        <w:pStyle w:val="BodyText"/>
        <w:spacing w:before="160"/>
      </w:pPr>
      <w:r>
        <w:t xml:space="preserve">Today, pausing automated calls means suspending the journeys job and stopping voice campaigns. A single operational switch that stops all automated calls at once, with its own permission and audit entry, will be added before go-live.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Roles and responsibilities</w:t>
      </w:r>
      <w:bookmarkEnd w:id="27"/>
    </w:p>
    <w:p>
      <w:pPr>
        <w:pStyle w:val="FirstParagraph"/>
      </w:pPr>
      <w:r>
        <w:t xml:space="preserve">R is responsible, A accountable, C consulted and I informed.</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pPr>
        <w:pStyle w:val="Heading2"/>
      </w:pPr>
      <w:bookmarkStart w:id="28" w:name="_Toc300000024"/>
      <w:r>
        <w:t xml:space="preserve">Business and control functions</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500"/>
        <w:gridCol w:w="1692"/>
        <w:gridCol w:w="1243"/>
        <w:gridCol w:w="2008"/>
        <w:gridCol w:w="1312"/>
        <w:gridCol w:w="1204"/>
      </w:tblGrid>
      <w:tr>
        <w:trPr>
          <w:cantSplit/>
          <w:tblHeader/>
        </w:trPr>
        <w:tc>
          <w:tcPr>
            <w:tcW w:w="6500" w:type="dxa"/>
            <w:shd w:val="clear" w:color="auto" w:fill="0F4761"/>
            <w:vAlign w:val="center"/>
          </w:tcPr>
          <w:p>
            <w:pPr>
              <w:pStyle w:val="TableHeading"/>
              <w:jc w:val="left"/>
            </w:pPr>
            <w:r>
              <w:rPr>
                <w:color w:val="FFFFFF"/>
              </w:rPr>
              <w:t xml:space="preserve">Activity</w:t>
            </w:r>
          </w:p>
        </w:tc>
        <w:tc>
          <w:tcPr>
            <w:tcW w:w="1692" w:type="dxa"/>
            <w:shd w:val="clear" w:color="auto" w:fill="0F4761"/>
            <w:vAlign w:val="center"/>
          </w:tcPr>
          <w:p>
            <w:pPr>
              <w:pStyle w:val="TableHeading"/>
              <w:jc w:val="left"/>
            </w:pPr>
            <w:r>
              <w:rPr>
                <w:color w:val="FFFFFF"/>
              </w:rPr>
              <w:t xml:space="preserve">TASCO product owner</w:t>
            </w:r>
          </w:p>
        </w:tc>
        <w:tc>
          <w:tcPr>
            <w:tcW w:w="1243" w:type="dxa"/>
            <w:shd w:val="clear" w:color="auto" w:fill="0F4761"/>
            <w:vAlign w:val="center"/>
          </w:tcPr>
          <w:p>
            <w:pPr>
              <w:pStyle w:val="TableHeading"/>
              <w:jc w:val="left"/>
            </w:pPr>
            <w:r>
              <w:rPr>
                <w:color w:val="FFFFFF"/>
              </w:rPr>
              <w:t xml:space="preserve">VETC CX lead</w:t>
            </w:r>
          </w:p>
        </w:tc>
        <w:tc>
          <w:tcPr>
            <w:tcW w:w="2008" w:type="dxa"/>
            <w:shd w:val="clear" w:color="auto" w:fill="0F4761"/>
            <w:vAlign w:val="center"/>
          </w:tcPr>
          <w:p>
            <w:pPr>
              <w:pStyle w:val="TableHeading"/>
              <w:jc w:val="left"/>
            </w:pPr>
            <w:r>
              <w:rPr>
                <w:color w:val="FFFFFF"/>
              </w:rPr>
              <w:t xml:space="preserve">Compliance officer</w:t>
            </w:r>
          </w:p>
        </w:tc>
        <w:tc>
          <w:tcPr>
            <w:tcW w:w="1312" w:type="dxa"/>
            <w:shd w:val="clear" w:color="auto" w:fill="0F4761"/>
            <w:vAlign w:val="center"/>
          </w:tcPr>
          <w:p>
            <w:pPr>
              <w:pStyle w:val="TableHeading"/>
              <w:jc w:val="left"/>
            </w:pPr>
            <w:r>
              <w:rPr>
                <w:color w:val="FFFFFF"/>
              </w:rPr>
              <w:t xml:space="preserve">Legal and DPO</w:t>
            </w:r>
          </w:p>
        </w:tc>
        <w:tc>
          <w:tcPr>
            <w:tcW w:w="1204" w:type="dxa"/>
            <w:shd w:val="clear" w:color="auto" w:fill="0F4761"/>
            <w:vAlign w:val="center"/>
          </w:tcPr>
          <w:p>
            <w:pPr>
              <w:pStyle w:val="TableHeading"/>
              <w:jc w:val="left"/>
            </w:pPr>
            <w:r>
              <w:rPr>
                <w:color w:val="FFFFFF"/>
              </w:rPr>
              <w:t xml:space="preserve">Model risk</w:t>
            </w:r>
          </w:p>
        </w:tc>
      </w:tr>
      <w:tr>
        <w:trPr>
          <w:cantSplit/>
        </w:trPr>
        <w:tc>
          <w:tcPr>
            <w:tcW w:w="6500" w:type="dxa"/>
            <w:vAlign w:val="top"/>
          </w:tcPr>
          <w:p>
            <w:pPr>
              <w:pStyle w:val="TableText"/>
              <w:jc w:val="left"/>
            </w:pPr>
            <w:r>
              <w:t xml:space="preserve">Voice script change</w:t>
            </w:r>
          </w:p>
        </w:tc>
        <w:tc>
          <w:tcPr>
            <w:tcW w:w="1692" w:type="dxa"/>
            <w:vAlign w:val="top"/>
          </w:tcPr>
          <w:p>
            <w:pPr>
              <w:pStyle w:val="TableText"/>
              <w:jc w:val="left"/>
            </w:pPr>
            <w:r>
              <w:t xml:space="preserve">A</w:t>
            </w:r>
          </w:p>
        </w:tc>
        <w:tc>
          <w:tcPr>
            <w:tcW w:w="1243" w:type="dxa"/>
            <w:vAlign w:val="top"/>
          </w:tcPr>
          <w:p>
            <w:pPr>
              <w:pStyle w:val="TableText"/>
              <w:jc w:val="left"/>
            </w:pPr>
            <w:r>
              <w:t xml:space="preserve">R</w:t>
            </w:r>
          </w:p>
        </w:tc>
        <w:tc>
          <w:tcPr>
            <w:tcW w:w="2008" w:type="dxa"/>
            <w:vAlign w:val="top"/>
          </w:tcPr>
          <w:p>
            <w:pPr>
              <w:pStyle w:val="TableText"/>
              <w:jc w:val="left"/>
            </w:pPr>
            <w:r>
              <w:t xml:space="preserve">C</w:t>
            </w:r>
          </w:p>
        </w:tc>
        <w:tc>
          <w:tcPr>
            <w:tcW w:w="1312" w:type="dxa"/>
            <w:vAlign w:val="top"/>
          </w:tcPr>
          <w:p>
            <w:pPr>
              <w:pStyle w:val="TableText"/>
              <w:jc w:val="left"/>
            </w:pPr>
            <w:r>
              <w:t xml:space="preserve">C</w:t>
            </w:r>
          </w:p>
        </w:tc>
        <w:tc>
          <w:tcPr>
            <w:tcW w:w="1204" w:type="dxa"/>
            <w:vAlign w:val="top"/>
          </w:tcPr>
          <w:p>
            <w:pPr>
              <w:pStyle w:val="TableText"/>
              <w:jc w:val="left"/>
            </w:pPr>
            <w:r>
              <w:t xml:space="preserve">I</w:t>
            </w:r>
          </w:p>
        </w:tc>
      </w:tr>
      <w:tr>
        <w:trPr>
          <w:cantSplit/>
        </w:trPr>
        <w:tc>
          <w:tcPr>
            <w:tcW w:w="6500" w:type="dxa"/>
            <w:shd w:val="clear" w:color="auto" w:fill="F4F7FB"/>
            <w:vAlign w:val="top"/>
          </w:tcPr>
          <w:p>
            <w:pPr>
              <w:pStyle w:val="TableText"/>
              <w:jc w:val="left"/>
            </w:pPr>
            <w:r>
              <w:t xml:space="preserve">Disclosure and recording wording</w:t>
            </w:r>
          </w:p>
        </w:tc>
        <w:tc>
          <w:tcPr>
            <w:tcW w:w="1692" w:type="dxa"/>
            <w:shd w:val="clear" w:color="auto" w:fill="F4F7FB"/>
            <w:vAlign w:val="top"/>
          </w:tcPr>
          <w:p>
            <w:pPr>
              <w:pStyle w:val="TableText"/>
              <w:jc w:val="left"/>
            </w:pPr>
            <w:r>
              <w:t xml:space="preserve">C</w:t>
            </w:r>
          </w:p>
        </w:tc>
        <w:tc>
          <w:tcPr>
            <w:tcW w:w="1243" w:type="dxa"/>
            <w:shd w:val="clear" w:color="auto" w:fill="F4F7FB"/>
            <w:vAlign w:val="top"/>
          </w:tcPr>
          <w:p>
            <w:pPr>
              <w:pStyle w:val="TableText"/>
              <w:jc w:val="left"/>
            </w:pPr>
            <w:r>
              <w:t xml:space="preserve">C</w:t>
            </w:r>
          </w:p>
        </w:tc>
        <w:tc>
          <w:tcPr>
            <w:tcW w:w="2008" w:type="dxa"/>
            <w:shd w:val="clear" w:color="auto" w:fill="F4F7FB"/>
            <w:vAlign w:val="top"/>
          </w:tcPr>
          <w:p>
            <w:pPr>
              <w:pStyle w:val="TableText"/>
              <w:jc w:val="left"/>
            </w:pPr>
            <w:r>
              <w:t xml:space="preserve">R</w:t>
            </w:r>
          </w:p>
        </w:tc>
        <w:tc>
          <w:tcPr>
            <w:tcW w:w="1312" w:type="dxa"/>
            <w:shd w:val="clear" w:color="auto" w:fill="F4F7FB"/>
            <w:vAlign w:val="top"/>
          </w:tcPr>
          <w:p>
            <w:pPr>
              <w:pStyle w:val="TableText"/>
              <w:jc w:val="left"/>
            </w:pPr>
            <w:r>
              <w:t xml:space="preserve">A</w:t>
            </w:r>
          </w:p>
        </w:tc>
        <w:tc>
          <w:tcPr>
            <w:tcW w:w="1204" w:type="dxa"/>
            <w:shd w:val="clear" w:color="auto" w:fill="F4F7FB"/>
            <w:vAlign w:val="top"/>
          </w:tcPr>
          <w:p>
            <w:pPr>
              <w:pStyle w:val="TableText"/>
              <w:jc w:val="left"/>
            </w:pPr>
            <w:r>
              <w:t xml:space="preserve">None</w:t>
            </w:r>
          </w:p>
        </w:tc>
      </w:tr>
      <w:tr>
        <w:trPr>
          <w:cantSplit/>
        </w:trPr>
        <w:tc>
          <w:tcPr>
            <w:tcW w:w="6500" w:type="dxa"/>
            <w:vAlign w:val="top"/>
          </w:tcPr>
          <w:p>
            <w:pPr>
              <w:pStyle w:val="TableText"/>
              <w:jc w:val="left"/>
            </w:pPr>
            <w:r>
              <w:t xml:space="preserve">Dialogue state machine change</w:t>
            </w:r>
          </w:p>
        </w:tc>
        <w:tc>
          <w:tcPr>
            <w:tcW w:w="1692" w:type="dxa"/>
            <w:vAlign w:val="top"/>
          </w:tcPr>
          <w:p>
            <w:pPr>
              <w:pStyle w:val="TableText"/>
              <w:jc w:val="left"/>
            </w:pPr>
            <w:r>
              <w:t xml:space="preserve">A</w:t>
            </w:r>
          </w:p>
        </w:tc>
        <w:tc>
          <w:tcPr>
            <w:tcW w:w="1243" w:type="dxa"/>
            <w:vAlign w:val="top"/>
          </w:tcPr>
          <w:p>
            <w:pPr>
              <w:pStyle w:val="TableText"/>
              <w:jc w:val="left"/>
            </w:pPr>
            <w:r>
              <w:t xml:space="preserve">C</w:t>
            </w:r>
          </w:p>
        </w:tc>
        <w:tc>
          <w:tcPr>
            <w:tcW w:w="2008" w:type="dxa"/>
            <w:vAlign w:val="top"/>
          </w:tcPr>
          <w:p>
            <w:pPr>
              <w:pStyle w:val="TableText"/>
              <w:jc w:val="left"/>
            </w:pPr>
            <w:r>
              <w:t xml:space="preserve">C</w:t>
            </w:r>
          </w:p>
        </w:tc>
        <w:tc>
          <w:tcPr>
            <w:tcW w:w="1312" w:type="dxa"/>
            <w:vAlign w:val="top"/>
          </w:tcPr>
          <w:p>
            <w:pPr>
              <w:pStyle w:val="TableText"/>
              <w:jc w:val="left"/>
            </w:pPr>
            <w:r>
              <w:t xml:space="preserve">I</w:t>
            </w:r>
          </w:p>
        </w:tc>
        <w:tc>
          <w:tcPr>
            <w:tcW w:w="1204" w:type="dxa"/>
            <w:vAlign w:val="top"/>
          </w:tcPr>
          <w:p>
            <w:pPr>
              <w:pStyle w:val="TableText"/>
              <w:jc w:val="left"/>
            </w:pPr>
            <w:r>
              <w:t xml:space="preserve">I</w:t>
            </w:r>
          </w:p>
        </w:tc>
      </w:tr>
      <w:tr>
        <w:trPr>
          <w:cantSplit/>
        </w:trPr>
        <w:tc>
          <w:tcPr>
            <w:tcW w:w="6500" w:type="dxa"/>
            <w:shd w:val="clear" w:color="auto" w:fill="F4F7FB"/>
            <w:vAlign w:val="top"/>
          </w:tcPr>
          <w:p>
            <w:pPr>
              <w:pStyle w:val="TableText"/>
              <w:jc w:val="left"/>
            </w:pPr>
            <w:r>
              <w:t xml:space="preserve">Scoring, next-best action or journey change</w:t>
            </w:r>
          </w:p>
        </w:tc>
        <w:tc>
          <w:tcPr>
            <w:tcW w:w="1692" w:type="dxa"/>
            <w:shd w:val="clear" w:color="auto" w:fill="F4F7FB"/>
            <w:vAlign w:val="top"/>
          </w:tcPr>
          <w:p>
            <w:pPr>
              <w:pStyle w:val="TableText"/>
              <w:jc w:val="left"/>
            </w:pPr>
            <w:r>
              <w:t xml:space="preserve">A</w:t>
            </w:r>
          </w:p>
        </w:tc>
        <w:tc>
          <w:tcPr>
            <w:tcW w:w="1243" w:type="dxa"/>
            <w:shd w:val="clear" w:color="auto" w:fill="F4F7FB"/>
            <w:vAlign w:val="top"/>
          </w:tcPr>
          <w:p>
            <w:pPr>
              <w:pStyle w:val="TableText"/>
              <w:jc w:val="left"/>
            </w:pPr>
            <w:r>
              <w:t xml:space="preserve">C</w:t>
            </w:r>
          </w:p>
        </w:tc>
        <w:tc>
          <w:tcPr>
            <w:tcW w:w="2008" w:type="dxa"/>
            <w:shd w:val="clear" w:color="auto" w:fill="F4F7FB"/>
            <w:vAlign w:val="top"/>
          </w:tcPr>
          <w:p>
            <w:pPr>
              <w:pStyle w:val="TableText"/>
              <w:jc w:val="left"/>
            </w:pPr>
            <w:r>
              <w:t xml:space="preserve">C</w:t>
            </w:r>
          </w:p>
        </w:tc>
        <w:tc>
          <w:tcPr>
            <w:tcW w:w="1312" w:type="dxa"/>
            <w:shd w:val="clear" w:color="auto" w:fill="F4F7FB"/>
            <w:vAlign w:val="top"/>
          </w:tcPr>
          <w:p>
            <w:pPr>
              <w:pStyle w:val="TableText"/>
              <w:jc w:val="left"/>
            </w:pPr>
            <w:r>
              <w:t xml:space="preserve">I</w:t>
            </w:r>
          </w:p>
        </w:tc>
        <w:tc>
          <w:tcPr>
            <w:tcW w:w="1204" w:type="dxa"/>
            <w:shd w:val="clear" w:color="auto" w:fill="F4F7FB"/>
            <w:vAlign w:val="top"/>
          </w:tcPr>
          <w:p>
            <w:pPr>
              <w:pStyle w:val="TableText"/>
              <w:jc w:val="left"/>
            </w:pPr>
            <w:r>
              <w:t xml:space="preserve">R</w:t>
            </w:r>
          </w:p>
        </w:tc>
      </w:tr>
      <w:tr>
        <w:trPr>
          <w:cantSplit/>
        </w:trPr>
        <w:tc>
          <w:tcPr>
            <w:tcW w:w="6500" w:type="dxa"/>
            <w:vAlign w:val="top"/>
          </w:tcPr>
          <w:p>
            <w:pPr>
              <w:pStyle w:val="TableText"/>
              <w:jc w:val="left"/>
            </w:pPr>
            <w:r>
              <w:t xml:space="preserve">Fairness and drift review</w:t>
            </w:r>
          </w:p>
        </w:tc>
        <w:tc>
          <w:tcPr>
            <w:tcW w:w="1692" w:type="dxa"/>
            <w:vAlign w:val="top"/>
          </w:tcPr>
          <w:p>
            <w:pPr>
              <w:pStyle w:val="TableText"/>
              <w:jc w:val="left"/>
            </w:pPr>
            <w:r>
              <w:t xml:space="preserve">I</w:t>
            </w:r>
          </w:p>
        </w:tc>
        <w:tc>
          <w:tcPr>
            <w:tcW w:w="1243" w:type="dxa"/>
            <w:vAlign w:val="top"/>
          </w:tcPr>
          <w:p>
            <w:pPr>
              <w:pStyle w:val="TableText"/>
              <w:jc w:val="left"/>
            </w:pPr>
            <w:r>
              <w:t xml:space="preserve">I</w:t>
            </w:r>
          </w:p>
        </w:tc>
        <w:tc>
          <w:tcPr>
            <w:tcW w:w="2008" w:type="dxa"/>
            <w:vAlign w:val="top"/>
          </w:tcPr>
          <w:p>
            <w:pPr>
              <w:pStyle w:val="TableText"/>
              <w:jc w:val="left"/>
            </w:pPr>
            <w:r>
              <w:t xml:space="preserve">C</w:t>
            </w:r>
          </w:p>
        </w:tc>
        <w:tc>
          <w:tcPr>
            <w:tcW w:w="1312" w:type="dxa"/>
            <w:vAlign w:val="top"/>
          </w:tcPr>
          <w:p>
            <w:pPr>
              <w:pStyle w:val="TableText"/>
              <w:jc w:val="left"/>
            </w:pPr>
            <w:r>
              <w:t xml:space="preserve">C</w:t>
            </w:r>
          </w:p>
        </w:tc>
        <w:tc>
          <w:tcPr>
            <w:tcW w:w="1204" w:type="dxa"/>
            <w:vAlign w:val="top"/>
          </w:tcPr>
          <w:p>
            <w:pPr>
              <w:pStyle w:val="TableText"/>
              <w:jc w:val="left"/>
            </w:pPr>
            <w:r>
              <w:t xml:space="preserve">A and R</w:t>
            </w:r>
          </w:p>
        </w:tc>
      </w:tr>
      <w:tr>
        <w:trPr>
          <w:cantSplit/>
        </w:trPr>
        <w:tc>
          <w:tcPr>
            <w:tcW w:w="6500" w:type="dxa"/>
            <w:shd w:val="clear" w:color="auto" w:fill="F4F7FB"/>
            <w:vAlign w:val="top"/>
          </w:tcPr>
          <w:p>
            <w:pPr>
              <w:pStyle w:val="TableText"/>
              <w:jc w:val="left"/>
            </w:pPr>
            <w:r>
              <w:t xml:space="preserve">New language model or prompt</w:t>
            </w:r>
          </w:p>
        </w:tc>
        <w:tc>
          <w:tcPr>
            <w:tcW w:w="1692" w:type="dxa"/>
            <w:shd w:val="clear" w:color="auto" w:fill="F4F7FB"/>
            <w:vAlign w:val="top"/>
          </w:tcPr>
          <w:p>
            <w:pPr>
              <w:pStyle w:val="TableText"/>
              <w:jc w:val="left"/>
            </w:pPr>
            <w:r>
              <w:t xml:space="preserve">A</w:t>
            </w:r>
          </w:p>
        </w:tc>
        <w:tc>
          <w:tcPr>
            <w:tcW w:w="1243" w:type="dxa"/>
            <w:shd w:val="clear" w:color="auto" w:fill="F4F7FB"/>
            <w:vAlign w:val="top"/>
          </w:tcPr>
          <w:p>
            <w:pPr>
              <w:pStyle w:val="TableText"/>
              <w:jc w:val="left"/>
            </w:pPr>
            <w:r>
              <w:t xml:space="preserve">C</w:t>
            </w:r>
          </w:p>
        </w:tc>
        <w:tc>
          <w:tcPr>
            <w:tcW w:w="2008" w:type="dxa"/>
            <w:shd w:val="clear" w:color="auto" w:fill="F4F7FB"/>
            <w:vAlign w:val="top"/>
          </w:tcPr>
          <w:p>
            <w:pPr>
              <w:pStyle w:val="TableText"/>
              <w:jc w:val="left"/>
            </w:pPr>
            <w:r>
              <w:t xml:space="preserve">C</w:t>
            </w:r>
          </w:p>
        </w:tc>
        <w:tc>
          <w:tcPr>
            <w:tcW w:w="1312" w:type="dxa"/>
            <w:shd w:val="clear" w:color="auto" w:fill="F4F7FB"/>
            <w:vAlign w:val="top"/>
          </w:tcPr>
          <w:p>
            <w:pPr>
              <w:pStyle w:val="TableText"/>
              <w:jc w:val="left"/>
            </w:pPr>
            <w:r>
              <w:t xml:space="preserve">R</w:t>
            </w:r>
          </w:p>
        </w:tc>
        <w:tc>
          <w:tcPr>
            <w:tcW w:w="1204" w:type="dxa"/>
            <w:shd w:val="clear" w:color="auto" w:fill="F4F7FB"/>
            <w:vAlign w:val="top"/>
          </w:tcPr>
          <w:p>
            <w:pPr>
              <w:pStyle w:val="TableText"/>
              <w:jc w:val="left"/>
            </w:pPr>
            <w:r>
              <w:t xml:space="preserve">R</w:t>
            </w:r>
          </w:p>
        </w:tc>
      </w:tr>
      <w:tr>
        <w:trPr>
          <w:cantSplit/>
        </w:trPr>
        <w:tc>
          <w:tcPr>
            <w:tcW w:w="6500" w:type="dxa"/>
            <w:vAlign w:val="top"/>
          </w:tcPr>
          <w:p>
            <w:pPr>
              <w:pStyle w:val="TableText"/>
              <w:jc w:val="left"/>
            </w:pPr>
            <w:r>
              <w:t xml:space="preserve">Opt-out and consent handling</w:t>
            </w:r>
          </w:p>
        </w:tc>
        <w:tc>
          <w:tcPr>
            <w:tcW w:w="1692" w:type="dxa"/>
            <w:vAlign w:val="top"/>
          </w:tcPr>
          <w:p>
            <w:pPr>
              <w:pStyle w:val="TableText"/>
              <w:jc w:val="left"/>
            </w:pPr>
            <w:r>
              <w:t xml:space="preserve">I</w:t>
            </w:r>
          </w:p>
        </w:tc>
        <w:tc>
          <w:tcPr>
            <w:tcW w:w="1243" w:type="dxa"/>
            <w:vAlign w:val="top"/>
          </w:tcPr>
          <w:p>
            <w:pPr>
              <w:pStyle w:val="TableText"/>
              <w:jc w:val="left"/>
            </w:pPr>
            <w:r>
              <w:t xml:space="preserve">R</w:t>
            </w:r>
          </w:p>
        </w:tc>
        <w:tc>
          <w:tcPr>
            <w:tcW w:w="2008" w:type="dxa"/>
            <w:vAlign w:val="top"/>
          </w:tcPr>
          <w:p>
            <w:pPr>
              <w:pStyle w:val="TableText"/>
              <w:jc w:val="left"/>
            </w:pPr>
            <w:r>
              <w:t xml:space="preserve">A</w:t>
            </w:r>
          </w:p>
        </w:tc>
        <w:tc>
          <w:tcPr>
            <w:tcW w:w="1312" w:type="dxa"/>
            <w:vAlign w:val="top"/>
          </w:tcPr>
          <w:p>
            <w:pPr>
              <w:pStyle w:val="TableText"/>
              <w:jc w:val="left"/>
            </w:pPr>
            <w:r>
              <w:t xml:space="preserve">C</w:t>
            </w:r>
          </w:p>
        </w:tc>
        <w:tc>
          <w:tcPr>
            <w:tcW w:w="1204" w:type="dxa"/>
            <w:vAlign w:val="top"/>
          </w:tcPr>
          <w:p>
            <w:pPr>
              <w:pStyle w:val="TableText"/>
              <w:jc w:val="left"/>
            </w:pPr>
            <w:r>
              <w:t xml:space="preserve">None</w:t>
            </w:r>
          </w:p>
        </w:tc>
      </w:tr>
      <w:tr>
        <w:trPr>
          <w:cantSplit/>
        </w:trPr>
        <w:tc>
          <w:tcPr>
            <w:tcW w:w="6500" w:type="dxa"/>
            <w:shd w:val="clear" w:color="auto" w:fill="F4F7FB"/>
            <w:vAlign w:val="top"/>
          </w:tcPr>
          <w:p>
            <w:pPr>
              <w:pStyle w:val="TableText"/>
              <w:jc w:val="left"/>
            </w:pPr>
            <w:r>
              <w:t xml:space="preserve">AI incident response</w:t>
            </w:r>
          </w:p>
        </w:tc>
        <w:tc>
          <w:tcPr>
            <w:tcW w:w="1692" w:type="dxa"/>
            <w:shd w:val="clear" w:color="auto" w:fill="F4F7FB"/>
            <w:vAlign w:val="top"/>
          </w:tcPr>
          <w:p>
            <w:pPr>
              <w:pStyle w:val="TableText"/>
              <w:jc w:val="left"/>
            </w:pPr>
            <w:r>
              <w:t xml:space="preserve">A</w:t>
            </w:r>
          </w:p>
        </w:tc>
        <w:tc>
          <w:tcPr>
            <w:tcW w:w="1243" w:type="dxa"/>
            <w:shd w:val="clear" w:color="auto" w:fill="F4F7FB"/>
            <w:vAlign w:val="top"/>
          </w:tcPr>
          <w:p>
            <w:pPr>
              <w:pStyle w:val="TableText"/>
              <w:jc w:val="left"/>
            </w:pPr>
            <w:r>
              <w:t xml:space="preserve">R</w:t>
            </w:r>
          </w:p>
        </w:tc>
        <w:tc>
          <w:tcPr>
            <w:tcW w:w="2008" w:type="dxa"/>
            <w:shd w:val="clear" w:color="auto" w:fill="F4F7FB"/>
            <w:vAlign w:val="top"/>
          </w:tcPr>
          <w:p>
            <w:pPr>
              <w:pStyle w:val="TableText"/>
              <w:jc w:val="left"/>
            </w:pPr>
            <w:r>
              <w:t xml:space="preserve">R</w:t>
            </w:r>
          </w:p>
        </w:tc>
        <w:tc>
          <w:tcPr>
            <w:tcW w:w="1312" w:type="dxa"/>
            <w:shd w:val="clear" w:color="auto" w:fill="F4F7FB"/>
            <w:vAlign w:val="top"/>
          </w:tcPr>
          <w:p>
            <w:pPr>
              <w:pStyle w:val="TableText"/>
              <w:jc w:val="left"/>
            </w:pPr>
            <w:r>
              <w:t xml:space="preserve">C</w:t>
            </w:r>
          </w:p>
        </w:tc>
        <w:tc>
          <w:tcPr>
            <w:tcW w:w="1204" w:type="dxa"/>
            <w:shd w:val="clear" w:color="auto" w:fill="F4F7FB"/>
            <w:vAlign w:val="top"/>
          </w:tcPr>
          <w:p>
            <w:pPr>
              <w:pStyle w:val="TableText"/>
              <w:jc w:val="left"/>
            </w:pPr>
            <w:r>
              <w:t xml:space="preserve">C</w:t>
            </w:r>
          </w:p>
        </w:tc>
      </w:tr>
      <w:tr>
        <w:trPr>
          <w:cantSplit/>
        </w:trPr>
        <w:tc>
          <w:tcPr>
            <w:tcW w:w="6500" w:type="dxa"/>
            <w:vAlign w:val="top"/>
          </w:tcPr>
          <w:p>
            <w:pPr>
              <w:pStyle w:val="TableText"/>
              <w:jc w:val="left"/>
            </w:pPr>
            <w:r>
              <w:t xml:space="preserve">Monthly governance dashboard review</w:t>
            </w:r>
          </w:p>
        </w:tc>
        <w:tc>
          <w:tcPr>
            <w:tcW w:w="1692" w:type="dxa"/>
            <w:vAlign w:val="top"/>
          </w:tcPr>
          <w:p>
            <w:pPr>
              <w:pStyle w:val="TableText"/>
              <w:jc w:val="left"/>
            </w:pPr>
            <w:r>
              <w:t xml:space="preserve">A</w:t>
            </w:r>
          </w:p>
        </w:tc>
        <w:tc>
          <w:tcPr>
            <w:tcW w:w="1243" w:type="dxa"/>
            <w:vAlign w:val="top"/>
          </w:tcPr>
          <w:p>
            <w:pPr>
              <w:pStyle w:val="TableText"/>
              <w:jc w:val="left"/>
            </w:pPr>
            <w:r>
              <w:t xml:space="preserve">R</w:t>
            </w:r>
          </w:p>
        </w:tc>
        <w:tc>
          <w:tcPr>
            <w:tcW w:w="2008" w:type="dxa"/>
            <w:vAlign w:val="top"/>
          </w:tcPr>
          <w:p>
            <w:pPr>
              <w:pStyle w:val="TableText"/>
              <w:jc w:val="left"/>
            </w:pPr>
            <w:r>
              <w:t xml:space="preserve">R</w:t>
            </w:r>
          </w:p>
        </w:tc>
        <w:tc>
          <w:tcPr>
            <w:tcW w:w="1312" w:type="dxa"/>
            <w:vAlign w:val="top"/>
          </w:tcPr>
          <w:p>
            <w:pPr>
              <w:pStyle w:val="TableText"/>
              <w:jc w:val="left"/>
            </w:pPr>
            <w:r>
              <w:t xml:space="preserve">I</w:t>
            </w:r>
          </w:p>
        </w:tc>
        <w:tc>
          <w:tcPr>
            <w:tcW w:w="1204" w:type="dxa"/>
            <w:vAlign w:val="top"/>
          </w:tcPr>
          <w:p>
            <w:pPr>
              <w:pStyle w:val="TableText"/>
              <w:jc w:val="left"/>
            </w:pPr>
            <w:r>
              <w:t xml:space="preserve">R</w:t>
            </w:r>
          </w:p>
        </w:tc>
      </w:tr>
      <w:tr>
        <w:trPr>
          <w:cantSplit/>
        </w:trPr>
        <w:tc>
          <w:tcPr>
            <w:tcW w:w="6500" w:type="dxa"/>
            <w:shd w:val="clear" w:color="auto" w:fill="F4F7FB"/>
            <w:vAlign w:val="top"/>
          </w:tcPr>
          <w:p>
            <w:pPr>
              <w:pStyle w:val="TableText"/>
              <w:jc w:val="left"/>
            </w:pPr>
            <w:r>
              <w:t xml:space="preserve">Category and expiry inference accuracy</w:t>
            </w:r>
          </w:p>
        </w:tc>
        <w:tc>
          <w:tcPr>
            <w:tcW w:w="1692" w:type="dxa"/>
            <w:shd w:val="clear" w:color="auto" w:fill="F4F7FB"/>
            <w:vAlign w:val="top"/>
          </w:tcPr>
          <w:p>
            <w:pPr>
              <w:pStyle w:val="TableText"/>
              <w:jc w:val="left"/>
            </w:pPr>
            <w:r>
              <w:t xml:space="preserve">A</w:t>
            </w:r>
          </w:p>
        </w:tc>
        <w:tc>
          <w:tcPr>
            <w:tcW w:w="1243" w:type="dxa"/>
            <w:shd w:val="clear" w:color="auto" w:fill="F4F7FB"/>
            <w:vAlign w:val="top"/>
          </w:tcPr>
          <w:p>
            <w:pPr>
              <w:pStyle w:val="TableText"/>
              <w:jc w:val="left"/>
            </w:pPr>
            <w:r>
              <w:t xml:space="preserve">None</w:t>
            </w:r>
          </w:p>
        </w:tc>
        <w:tc>
          <w:tcPr>
            <w:tcW w:w="2008" w:type="dxa"/>
            <w:shd w:val="clear" w:color="auto" w:fill="F4F7FB"/>
            <w:vAlign w:val="top"/>
          </w:tcPr>
          <w:p>
            <w:pPr>
              <w:pStyle w:val="TableText"/>
              <w:jc w:val="left"/>
            </w:pPr>
            <w:r>
              <w:t xml:space="preserve">I</w:t>
            </w:r>
          </w:p>
        </w:tc>
        <w:tc>
          <w:tcPr>
            <w:tcW w:w="1312" w:type="dxa"/>
            <w:shd w:val="clear" w:color="auto" w:fill="F4F7FB"/>
            <w:vAlign w:val="top"/>
          </w:tcPr>
          <w:p>
            <w:pPr>
              <w:pStyle w:val="TableText"/>
              <w:jc w:val="left"/>
            </w:pPr>
            <w:r>
              <w:t xml:space="preserve">None</w:t>
            </w:r>
          </w:p>
        </w:tc>
        <w:tc>
          <w:tcPr>
            <w:tcW w:w="1204" w:type="dxa"/>
            <w:shd w:val="clear" w:color="auto" w:fill="F4F7FB"/>
            <w:vAlign w:val="top"/>
          </w:tcPr>
          <w:p>
            <w:pPr>
              <w:pStyle w:val="TableText"/>
              <w:jc w:val="left"/>
            </w:pPr>
            <w:r>
              <w:t xml:space="preserve">R</w:t>
            </w:r>
          </w:p>
        </w:tc>
      </w:tr>
    </w:tbl>
    <w:p>
      <w:pPr>
        <w:pStyle w:val="Heading2"/>
      </w:pPr>
      <w:bookmarkStart w:id="29" w:name="_Toc300000025"/>
      <w:r>
        <w:t xml:space="preserve">Delivery and operations</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208"/>
        <w:gridCol w:w="2096"/>
        <w:gridCol w:w="1079"/>
        <w:gridCol w:w="1987"/>
        <w:gridCol w:w="1969"/>
        <w:gridCol w:w="1620"/>
      </w:tblGrid>
      <w:tr>
        <w:trPr>
          <w:cantSplit/>
          <w:tblHeader/>
        </w:trPr>
        <w:tc>
          <w:tcPr>
            <w:tcW w:w="5208" w:type="dxa"/>
            <w:shd w:val="clear" w:color="auto" w:fill="0F4761"/>
            <w:vAlign w:val="center"/>
          </w:tcPr>
          <w:p>
            <w:pPr>
              <w:pStyle w:val="TableHeading"/>
              <w:jc w:val="left"/>
            </w:pPr>
            <w:r>
              <w:rPr>
                <w:color w:val="FFFFFF"/>
              </w:rPr>
              <w:t xml:space="preserve">Activity</w:t>
            </w:r>
          </w:p>
        </w:tc>
        <w:tc>
          <w:tcPr>
            <w:tcW w:w="2096" w:type="dxa"/>
            <w:shd w:val="clear" w:color="auto" w:fill="0F4761"/>
            <w:vAlign w:val="center"/>
          </w:tcPr>
          <w:p>
            <w:pPr>
              <w:pStyle w:val="TableHeading"/>
              <w:jc w:val="left"/>
            </w:pPr>
            <w:r>
              <w:rPr>
                <w:color w:val="FFFFFF"/>
              </w:rPr>
              <w:t xml:space="preserve">TASCO information security</w:t>
            </w:r>
          </w:p>
        </w:tc>
        <w:tc>
          <w:tcPr>
            <w:tcW w:w="1079" w:type="dxa"/>
            <w:shd w:val="clear" w:color="auto" w:fill="0F4761"/>
            <w:vAlign w:val="center"/>
          </w:tcPr>
          <w:p>
            <w:pPr>
              <w:pStyle w:val="TableHeading"/>
              <w:jc w:val="left"/>
            </w:pPr>
            <w:r>
              <w:rPr>
                <w:color w:val="FFFFFF"/>
              </w:rPr>
              <w:t xml:space="preserve">Rule author</w:t>
            </w:r>
          </w:p>
        </w:tc>
        <w:tc>
          <w:tcPr>
            <w:tcW w:w="1987" w:type="dxa"/>
            <w:shd w:val="clear" w:color="auto" w:fill="0F4761"/>
            <w:vAlign w:val="center"/>
          </w:tcPr>
          <w:p>
            <w:pPr>
              <w:pStyle w:val="TableHeading"/>
              <w:jc w:val="left"/>
            </w:pPr>
            <w:r>
              <w:rPr>
                <w:color w:val="FFFFFF"/>
              </w:rPr>
              <w:t xml:space="preserve">Rule approver</w:t>
            </w:r>
          </w:p>
        </w:tc>
        <w:tc>
          <w:tcPr>
            <w:tcW w:w="1969" w:type="dxa"/>
            <w:shd w:val="clear" w:color="auto" w:fill="0F4761"/>
            <w:vAlign w:val="center"/>
          </w:tcPr>
          <w:p>
            <w:pPr>
              <w:pStyle w:val="TableHeading"/>
              <w:jc w:val="left"/>
            </w:pPr>
            <w:r>
              <w:rPr>
                <w:color w:val="FFFFFF"/>
              </w:rPr>
              <w:t xml:space="preserve">iorta TechNXT engineering</w:t>
            </w:r>
          </w:p>
        </w:tc>
        <w:tc>
          <w:tcPr>
            <w:tcW w:w="1620" w:type="dxa"/>
            <w:shd w:val="clear" w:color="auto" w:fill="0F4761"/>
            <w:vAlign w:val="center"/>
          </w:tcPr>
          <w:p>
            <w:pPr>
              <w:pStyle w:val="TableHeading"/>
              <w:jc w:val="left"/>
            </w:pPr>
            <w:r>
              <w:rPr>
                <w:color w:val="FFFFFF"/>
              </w:rPr>
              <w:t xml:space="preserve">Telesales operations</w:t>
            </w:r>
          </w:p>
        </w:tc>
      </w:tr>
      <w:tr>
        <w:trPr>
          <w:cantSplit/>
        </w:trPr>
        <w:tc>
          <w:tcPr>
            <w:tcW w:w="5208" w:type="dxa"/>
            <w:vAlign w:val="top"/>
          </w:tcPr>
          <w:p>
            <w:pPr>
              <w:pStyle w:val="TableText"/>
              <w:jc w:val="left"/>
            </w:pPr>
            <w:r>
              <w:t xml:space="preserve">Voice script change</w:t>
            </w:r>
          </w:p>
        </w:tc>
        <w:tc>
          <w:tcPr>
            <w:tcW w:w="2096" w:type="dxa"/>
            <w:vAlign w:val="top"/>
          </w:tcPr>
          <w:p>
            <w:pPr>
              <w:pStyle w:val="TableText"/>
              <w:jc w:val="left"/>
            </w:pPr>
            <w:r>
              <w:t xml:space="preserve">I</w:t>
            </w:r>
          </w:p>
        </w:tc>
        <w:tc>
          <w:tcPr>
            <w:tcW w:w="1079" w:type="dxa"/>
            <w:vAlign w:val="top"/>
          </w:tcPr>
          <w:p>
            <w:pPr>
              <w:pStyle w:val="TableText"/>
              <w:jc w:val="left"/>
            </w:pPr>
            <w:r>
              <w:t xml:space="preserve">R</w:t>
            </w:r>
          </w:p>
        </w:tc>
        <w:tc>
          <w:tcPr>
            <w:tcW w:w="1987" w:type="dxa"/>
            <w:vAlign w:val="top"/>
          </w:tcPr>
          <w:p>
            <w:pPr>
              <w:pStyle w:val="TableText"/>
              <w:jc w:val="left"/>
            </w:pPr>
            <w:r>
              <w:t xml:space="preserve">R (approves)</w:t>
            </w:r>
          </w:p>
        </w:tc>
        <w:tc>
          <w:tcPr>
            <w:tcW w:w="1969" w:type="dxa"/>
            <w:vAlign w:val="top"/>
          </w:tcPr>
          <w:p>
            <w:pPr>
              <w:pStyle w:val="TableText"/>
              <w:jc w:val="left"/>
            </w:pPr>
            <w:r>
              <w:t xml:space="preserve">I</w:t>
            </w:r>
          </w:p>
        </w:tc>
        <w:tc>
          <w:tcPr>
            <w:tcW w:w="1620" w:type="dxa"/>
            <w:vAlign w:val="top"/>
          </w:tcPr>
          <w:p>
            <w:pPr>
              <w:pStyle w:val="TableText"/>
              <w:jc w:val="left"/>
            </w:pPr>
            <w:r>
              <w:t xml:space="preserve">C</w:t>
            </w:r>
          </w:p>
        </w:tc>
      </w:tr>
      <w:tr>
        <w:trPr>
          <w:cantSplit/>
        </w:trPr>
        <w:tc>
          <w:tcPr>
            <w:tcW w:w="5208" w:type="dxa"/>
            <w:shd w:val="clear" w:color="auto" w:fill="F4F7FB"/>
            <w:vAlign w:val="top"/>
          </w:tcPr>
          <w:p>
            <w:pPr>
              <w:pStyle w:val="TableText"/>
              <w:jc w:val="left"/>
            </w:pPr>
            <w:r>
              <w:t xml:space="preserve">Dialogue state machine change</w:t>
            </w:r>
          </w:p>
        </w:tc>
        <w:tc>
          <w:tcPr>
            <w:tcW w:w="2096" w:type="dxa"/>
            <w:shd w:val="clear" w:color="auto" w:fill="F4F7FB"/>
            <w:vAlign w:val="top"/>
          </w:tcPr>
          <w:p>
            <w:pPr>
              <w:pStyle w:val="TableText"/>
              <w:jc w:val="left"/>
            </w:pPr>
            <w:r>
              <w:t xml:space="preserve">C</w:t>
            </w:r>
          </w:p>
        </w:tc>
        <w:tc>
          <w:tcPr>
            <w:tcW w:w="1079" w:type="dxa"/>
            <w:shd w:val="clear" w:color="auto" w:fill="F4F7FB"/>
            <w:vAlign w:val="top"/>
          </w:tcPr>
          <w:p>
            <w:pPr>
              <w:pStyle w:val="TableText"/>
              <w:jc w:val="left"/>
            </w:pPr>
            <w:r>
              <w:t xml:space="preserve">None</w:t>
            </w:r>
          </w:p>
        </w:tc>
        <w:tc>
          <w:tcPr>
            <w:tcW w:w="1987" w:type="dxa"/>
            <w:shd w:val="clear" w:color="auto" w:fill="F4F7FB"/>
            <w:vAlign w:val="top"/>
          </w:tcPr>
          <w:p>
            <w:pPr>
              <w:pStyle w:val="TableText"/>
              <w:jc w:val="left"/>
            </w:pPr>
            <w:r>
              <w:t xml:space="preserve">None</w:t>
            </w:r>
          </w:p>
        </w:tc>
        <w:tc>
          <w:tcPr>
            <w:tcW w:w="1969" w:type="dxa"/>
            <w:shd w:val="clear" w:color="auto" w:fill="F4F7FB"/>
            <w:vAlign w:val="top"/>
          </w:tcPr>
          <w:p>
            <w:pPr>
              <w:pStyle w:val="TableText"/>
              <w:jc w:val="left"/>
            </w:pPr>
            <w:r>
              <w:t xml:space="preserve">R</w:t>
            </w:r>
          </w:p>
        </w:tc>
        <w:tc>
          <w:tcPr>
            <w:tcW w:w="1620" w:type="dxa"/>
            <w:shd w:val="clear" w:color="auto" w:fill="F4F7FB"/>
            <w:vAlign w:val="top"/>
          </w:tcPr>
          <w:p>
            <w:pPr>
              <w:pStyle w:val="TableText"/>
              <w:jc w:val="left"/>
            </w:pPr>
            <w:r>
              <w:t xml:space="preserve">I</w:t>
            </w:r>
          </w:p>
        </w:tc>
      </w:tr>
      <w:tr>
        <w:trPr>
          <w:cantSplit/>
        </w:trPr>
        <w:tc>
          <w:tcPr>
            <w:tcW w:w="5208" w:type="dxa"/>
            <w:vAlign w:val="top"/>
          </w:tcPr>
          <w:p>
            <w:pPr>
              <w:pStyle w:val="TableText"/>
              <w:jc w:val="left"/>
            </w:pPr>
            <w:r>
              <w:t xml:space="preserve">Scoring, next-best action or journey change</w:t>
            </w:r>
          </w:p>
        </w:tc>
        <w:tc>
          <w:tcPr>
            <w:tcW w:w="2096" w:type="dxa"/>
            <w:vAlign w:val="top"/>
          </w:tcPr>
          <w:p>
            <w:pPr>
              <w:pStyle w:val="TableText"/>
              <w:jc w:val="left"/>
            </w:pPr>
            <w:r>
              <w:t xml:space="preserve">None</w:t>
            </w:r>
          </w:p>
        </w:tc>
        <w:tc>
          <w:tcPr>
            <w:tcW w:w="1079" w:type="dxa"/>
            <w:vAlign w:val="top"/>
          </w:tcPr>
          <w:p>
            <w:pPr>
              <w:pStyle w:val="TableText"/>
              <w:jc w:val="left"/>
            </w:pPr>
            <w:r>
              <w:t xml:space="preserve">R</w:t>
            </w:r>
          </w:p>
        </w:tc>
        <w:tc>
          <w:tcPr>
            <w:tcW w:w="1987" w:type="dxa"/>
            <w:vAlign w:val="top"/>
          </w:tcPr>
          <w:p>
            <w:pPr>
              <w:pStyle w:val="TableText"/>
              <w:jc w:val="left"/>
            </w:pPr>
            <w:r>
              <w:t xml:space="preserve">R (approves)</w:t>
            </w:r>
          </w:p>
        </w:tc>
        <w:tc>
          <w:tcPr>
            <w:tcW w:w="1969" w:type="dxa"/>
            <w:vAlign w:val="top"/>
          </w:tcPr>
          <w:p>
            <w:pPr>
              <w:pStyle w:val="TableText"/>
              <w:jc w:val="left"/>
            </w:pPr>
            <w:r>
              <w:t xml:space="preserve">I</w:t>
            </w:r>
          </w:p>
        </w:tc>
        <w:tc>
          <w:tcPr>
            <w:tcW w:w="1620" w:type="dxa"/>
            <w:vAlign w:val="top"/>
          </w:tcPr>
          <w:p>
            <w:pPr>
              <w:pStyle w:val="TableText"/>
              <w:jc w:val="left"/>
            </w:pPr>
            <w:r>
              <w:t xml:space="preserve">C</w:t>
            </w:r>
          </w:p>
        </w:tc>
      </w:tr>
      <w:tr>
        <w:trPr>
          <w:cantSplit/>
        </w:trPr>
        <w:tc>
          <w:tcPr>
            <w:tcW w:w="5208" w:type="dxa"/>
            <w:shd w:val="clear" w:color="auto" w:fill="F4F7FB"/>
            <w:vAlign w:val="top"/>
          </w:tcPr>
          <w:p>
            <w:pPr>
              <w:pStyle w:val="TableText"/>
              <w:jc w:val="left"/>
            </w:pPr>
            <w:r>
              <w:t xml:space="preserve">New language model or prompt</w:t>
            </w:r>
          </w:p>
        </w:tc>
        <w:tc>
          <w:tcPr>
            <w:tcW w:w="2096" w:type="dxa"/>
            <w:shd w:val="clear" w:color="auto" w:fill="F4F7FB"/>
            <w:vAlign w:val="top"/>
          </w:tcPr>
          <w:p>
            <w:pPr>
              <w:pStyle w:val="TableText"/>
              <w:jc w:val="left"/>
            </w:pPr>
            <w:r>
              <w:t xml:space="preserve">R (security review)</w:t>
            </w:r>
          </w:p>
        </w:tc>
        <w:tc>
          <w:tcPr>
            <w:tcW w:w="1079" w:type="dxa"/>
            <w:shd w:val="clear" w:color="auto" w:fill="F4F7FB"/>
            <w:vAlign w:val="top"/>
          </w:tcPr>
          <w:p>
            <w:pPr>
              <w:pStyle w:val="TableText"/>
              <w:jc w:val="left"/>
            </w:pPr>
            <w:r>
              <w:t xml:space="preserve">None</w:t>
            </w:r>
          </w:p>
        </w:tc>
        <w:tc>
          <w:tcPr>
            <w:tcW w:w="1987" w:type="dxa"/>
            <w:shd w:val="clear" w:color="auto" w:fill="F4F7FB"/>
            <w:vAlign w:val="top"/>
          </w:tcPr>
          <w:p>
            <w:pPr>
              <w:pStyle w:val="TableText"/>
              <w:jc w:val="left"/>
            </w:pPr>
            <w:r>
              <w:t xml:space="preserve">R (approves prompt)</w:t>
            </w:r>
          </w:p>
        </w:tc>
        <w:tc>
          <w:tcPr>
            <w:tcW w:w="1969" w:type="dxa"/>
            <w:shd w:val="clear" w:color="auto" w:fill="F4F7FB"/>
            <w:vAlign w:val="top"/>
          </w:tcPr>
          <w:p>
            <w:pPr>
              <w:pStyle w:val="TableText"/>
              <w:jc w:val="left"/>
            </w:pPr>
            <w:r>
              <w:t xml:space="preserve">R (integration)</w:t>
            </w:r>
          </w:p>
        </w:tc>
        <w:tc>
          <w:tcPr>
            <w:tcW w:w="1620" w:type="dxa"/>
            <w:shd w:val="clear" w:color="auto" w:fill="F4F7FB"/>
            <w:vAlign w:val="top"/>
          </w:tcPr>
          <w:p>
            <w:pPr>
              <w:pStyle w:val="TableText"/>
              <w:jc w:val="left"/>
            </w:pPr>
            <w:r>
              <w:t xml:space="preserve">I</w:t>
            </w:r>
          </w:p>
        </w:tc>
      </w:tr>
      <w:tr>
        <w:trPr>
          <w:cantSplit/>
        </w:trPr>
        <w:tc>
          <w:tcPr>
            <w:tcW w:w="5208" w:type="dxa"/>
            <w:vAlign w:val="top"/>
          </w:tcPr>
          <w:p>
            <w:pPr>
              <w:pStyle w:val="TableText"/>
              <w:jc w:val="left"/>
            </w:pPr>
            <w:r>
              <w:t xml:space="preserve">Opt-out and consent handling</w:t>
            </w:r>
          </w:p>
        </w:tc>
        <w:tc>
          <w:tcPr>
            <w:tcW w:w="2096" w:type="dxa"/>
            <w:vAlign w:val="top"/>
          </w:tcPr>
          <w:p>
            <w:pPr>
              <w:pStyle w:val="TableText"/>
              <w:jc w:val="left"/>
            </w:pPr>
            <w:r>
              <w:t xml:space="preserve">None</w:t>
            </w:r>
          </w:p>
        </w:tc>
        <w:tc>
          <w:tcPr>
            <w:tcW w:w="1079" w:type="dxa"/>
            <w:vAlign w:val="top"/>
          </w:tcPr>
          <w:p>
            <w:pPr>
              <w:pStyle w:val="TableText"/>
              <w:jc w:val="left"/>
            </w:pPr>
            <w:r>
              <w:t xml:space="preserve">None</w:t>
            </w:r>
          </w:p>
        </w:tc>
        <w:tc>
          <w:tcPr>
            <w:tcW w:w="1987" w:type="dxa"/>
            <w:vAlign w:val="top"/>
          </w:tcPr>
          <w:p>
            <w:pPr>
              <w:pStyle w:val="TableText"/>
              <w:jc w:val="left"/>
            </w:pPr>
            <w:r>
              <w:t xml:space="preserve">None</w:t>
            </w:r>
          </w:p>
        </w:tc>
        <w:tc>
          <w:tcPr>
            <w:tcW w:w="1969" w:type="dxa"/>
            <w:vAlign w:val="top"/>
          </w:tcPr>
          <w:p>
            <w:pPr>
              <w:pStyle w:val="TableText"/>
              <w:jc w:val="left"/>
            </w:pPr>
            <w:r>
              <w:t xml:space="preserve">R (code)</w:t>
            </w:r>
          </w:p>
        </w:tc>
        <w:tc>
          <w:tcPr>
            <w:tcW w:w="1620" w:type="dxa"/>
            <w:vAlign w:val="top"/>
          </w:tcPr>
          <w:p>
            <w:pPr>
              <w:pStyle w:val="TableText"/>
              <w:jc w:val="left"/>
            </w:pPr>
            <w:r>
              <w:t xml:space="preserve">I</w:t>
            </w:r>
          </w:p>
        </w:tc>
      </w:tr>
      <w:tr>
        <w:trPr>
          <w:cantSplit/>
        </w:trPr>
        <w:tc>
          <w:tcPr>
            <w:tcW w:w="5208" w:type="dxa"/>
            <w:shd w:val="clear" w:color="auto" w:fill="F4F7FB"/>
            <w:vAlign w:val="top"/>
          </w:tcPr>
          <w:p>
            <w:pPr>
              <w:pStyle w:val="TableText"/>
              <w:jc w:val="left"/>
            </w:pPr>
            <w:r>
              <w:t xml:space="preserve">AI incident response</w:t>
            </w:r>
          </w:p>
        </w:tc>
        <w:tc>
          <w:tcPr>
            <w:tcW w:w="2096" w:type="dxa"/>
            <w:shd w:val="clear" w:color="auto" w:fill="F4F7FB"/>
            <w:vAlign w:val="top"/>
          </w:tcPr>
          <w:p>
            <w:pPr>
              <w:pStyle w:val="TableText"/>
              <w:jc w:val="left"/>
            </w:pPr>
            <w:r>
              <w:t xml:space="preserve">C</w:t>
            </w:r>
          </w:p>
        </w:tc>
        <w:tc>
          <w:tcPr>
            <w:tcW w:w="1079" w:type="dxa"/>
            <w:shd w:val="clear" w:color="auto" w:fill="F4F7FB"/>
            <w:vAlign w:val="top"/>
          </w:tcPr>
          <w:p>
            <w:pPr>
              <w:pStyle w:val="TableText"/>
              <w:jc w:val="left"/>
            </w:pPr>
            <w:r>
              <w:t xml:space="preserve">None</w:t>
            </w:r>
          </w:p>
        </w:tc>
        <w:tc>
          <w:tcPr>
            <w:tcW w:w="1987" w:type="dxa"/>
            <w:shd w:val="clear" w:color="auto" w:fill="F4F7FB"/>
            <w:vAlign w:val="top"/>
          </w:tcPr>
          <w:p>
            <w:pPr>
              <w:pStyle w:val="TableText"/>
              <w:jc w:val="left"/>
            </w:pPr>
            <w:r>
              <w:t xml:space="preserve">None</w:t>
            </w:r>
          </w:p>
        </w:tc>
        <w:tc>
          <w:tcPr>
            <w:tcW w:w="1969" w:type="dxa"/>
            <w:shd w:val="clear" w:color="auto" w:fill="F4F7FB"/>
            <w:vAlign w:val="top"/>
          </w:tcPr>
          <w:p>
            <w:pPr>
              <w:pStyle w:val="TableText"/>
              <w:jc w:val="left"/>
            </w:pPr>
            <w:r>
              <w:t xml:space="preserve">R</w:t>
            </w:r>
          </w:p>
        </w:tc>
        <w:tc>
          <w:tcPr>
            <w:tcW w:w="1620" w:type="dxa"/>
            <w:shd w:val="clear" w:color="auto" w:fill="F4F7FB"/>
            <w:vAlign w:val="top"/>
          </w:tcPr>
          <w:p>
            <w:pPr>
              <w:pStyle w:val="TableText"/>
              <w:jc w:val="left"/>
            </w:pPr>
            <w:r>
              <w:t xml:space="preserve">I</w:t>
            </w:r>
          </w:p>
        </w:tc>
      </w:tr>
      <w:tr>
        <w:trPr>
          <w:cantSplit/>
        </w:trPr>
        <w:tc>
          <w:tcPr>
            <w:tcW w:w="5208" w:type="dxa"/>
            <w:vAlign w:val="top"/>
          </w:tcPr>
          <w:p>
            <w:pPr>
              <w:pStyle w:val="TableText"/>
              <w:jc w:val="left"/>
            </w:pPr>
            <w:r>
              <w:t xml:space="preserve">Category and expiry inference accuracy</w:t>
            </w:r>
          </w:p>
        </w:tc>
        <w:tc>
          <w:tcPr>
            <w:tcW w:w="2096" w:type="dxa"/>
            <w:vAlign w:val="top"/>
          </w:tcPr>
          <w:p>
            <w:pPr>
              <w:pStyle w:val="TableText"/>
              <w:jc w:val="left"/>
            </w:pPr>
            <w:r>
              <w:t xml:space="preserve">None</w:t>
            </w:r>
          </w:p>
        </w:tc>
        <w:tc>
          <w:tcPr>
            <w:tcW w:w="1079" w:type="dxa"/>
            <w:vAlign w:val="top"/>
          </w:tcPr>
          <w:p>
            <w:pPr>
              <w:pStyle w:val="TableText"/>
              <w:jc w:val="left"/>
            </w:pPr>
            <w:r>
              <w:t xml:space="preserve">C</w:t>
            </w:r>
          </w:p>
        </w:tc>
        <w:tc>
          <w:tcPr>
            <w:tcW w:w="1987" w:type="dxa"/>
            <w:vAlign w:val="top"/>
          </w:tcPr>
          <w:p>
            <w:pPr>
              <w:pStyle w:val="TableText"/>
              <w:jc w:val="left"/>
            </w:pPr>
            <w:r>
              <w:t xml:space="preserve">C</w:t>
            </w:r>
          </w:p>
        </w:tc>
        <w:tc>
          <w:tcPr>
            <w:tcW w:w="1969" w:type="dxa"/>
            <w:vAlign w:val="top"/>
          </w:tcPr>
          <w:p>
            <w:pPr>
              <w:pStyle w:val="TableText"/>
              <w:jc w:val="left"/>
            </w:pPr>
            <w:r>
              <w:t xml:space="preserve">C</w:t>
            </w:r>
          </w:p>
        </w:tc>
        <w:tc>
          <w:tcPr>
            <w:tcW w:w="1620" w:type="dxa"/>
            <w:vAlign w:val="top"/>
          </w:tcPr>
          <w:p>
            <w:pPr>
              <w:pStyle w:val="TableText"/>
              <w:jc w:val="left"/>
            </w:pPr>
            <w:r>
              <w:t xml:space="preserve">None</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Regulatory alignment</w:t>
      </w:r>
      <w:bookmarkEnd w:id="30"/>
    </w:p>
    <w:p>
      <w:pPr>
        <w:pStyle w:val="FirstParagraph"/>
      </w:pPr>
      <w:r>
        <w:t xml:space="preserve">All of the following are to be confirmed by TASCO legal before production:</w:t>
      </w:r>
    </w:p>
    <w:p>
      <w:pPr>
        <w:pStyle w:val="Compact"/>
        <w:numPr>
          <w:ilvl w:val="0"/>
          <w:numId w:val="1002"/>
        </w:numPr>
      </w:pPr>
      <w:r>
        <w:t xml:space="preserve">the lawful basis for processing and the disclosure of automated calls (Decree 13/2023/ND-CP; Personal Data Protection Law 91/2025/QH15 and its implementing decree);</w:t>
      </w:r>
    </w:p>
    <w:p>
      <w:pPr>
        <w:pStyle w:val="Compact"/>
        <w:numPr>
          <w:ilvl w:val="0"/>
          <w:numId w:val="1002"/>
        </w:numPr>
      </w:pPr>
      <w:r>
        <w:t xml:space="preserve">marketing calls and messages: hours, frequency and the do-not-call register (Decree 91/2020/ND-CP);</w:t>
      </w:r>
    </w:p>
    <w:p>
      <w:pPr>
        <w:pStyle w:val="Compact"/>
        <w:numPr>
          <w:ilvl w:val="0"/>
          <w:numId w:val="1002"/>
        </w:numPr>
      </w:pPr>
      <w:r>
        <w:t xml:space="preserve">consumer protection and the call recording notice (Law on Protection of Consumers’ Rights 2023);</w:t>
      </w:r>
    </w:p>
    <w:p>
      <w:pPr>
        <w:pStyle w:val="Compact"/>
        <w:numPr>
          <w:ilvl w:val="0"/>
          <w:numId w:val="1002"/>
        </w:numPr>
      </w:pPr>
      <w:r>
        <w:t xml:space="preserve">the prohibition of discounts or rebates on compulsory TNDS cover (Law on Insurance Business 08/2022/QH15; Decree 67/2023/ND-CP);</w:t>
      </w:r>
    </w:p>
    <w:p>
      <w:pPr>
        <w:pStyle w:val="Compact"/>
        <w:numPr>
          <w:ilvl w:val="0"/>
          <w:numId w:val="1002"/>
        </w:numPr>
      </w:pPr>
      <w:r>
        <w:t xml:space="preserve">data residency (Cybersecurity Law 2018; Decree 53/2022/ND-CP).</w:t>
      </w:r>
    </w:p>
    <w:p>
      <w:pPr>
        <w:pStyle w:val="FirstParagraph"/>
      </w:pPr>
      <w:r>
        <w:t xml:space="preserve">The defaults on the platform are conservative and configurable through the contact policy, copy guard and retention rule sets, so legal positions can be applied as approved rule changes rather than code changes.</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Sign-Off</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55"/>
        <w:gridCol w:w="2028"/>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55"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28"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5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Automated-call disclosure, caller identity (the approved script names VETC) and recording notice wording</w:t>
            </w:r>
          </w:p>
        </w:tc>
        <w:tc>
          <w:tcPr>
            <w:tcW w:w="202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5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Marketing call rules and national do-not-call register check (Decree 91/2020/ND-CP)</w:t>
            </w:r>
          </w:p>
        </w:tc>
        <w:tc>
          <w:tcPr>
            <w:tcW w:w="202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5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Model-risk sign-off procedure for scoring, next-best action and journey changes</w:t>
            </w:r>
          </w:p>
        </w:tc>
        <w:tc>
          <w:tcPr>
            <w:tcW w:w="202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Model Risk</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05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Conditions for any future use of an external language model</w:t>
            </w:r>
          </w:p>
        </w:tc>
        <w:tc>
          <w:tcPr>
            <w:tcW w:w="202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DPO</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35"/>
        <w:gridCol w:w="1629"/>
        <w:gridCol w:w="2553"/>
        <w:gridCol w:w="3810"/>
      </w:tblGrid>
      <w:tr w:rsidR="002B183A" w14:paraId="731A77C7" w14:textId="77777777" w:rsidTr="002923F3">
        <w:trPr>
          <w:cantSplit/>
          <w:trHeight w:val="440"/>
          <w:tblHeader/>
        </w:trPr>
        <w:tc>
          <w:tcPr>
            <w:tcW w:w="103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29"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553"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810"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3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2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53"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810"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3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2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53"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810"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Compliance and Model Risk</w:t>
            </w:r>
          </w:p>
        </w:tc>
      </w:tr>
      <w:tr w:rsidR="002B183A" w:rsidRPr="00BB346A" w14:paraId="2AD1806B" w14:textId="77777777" w:rsidTr="002923F3">
        <w:trPr>
          <w:cantSplit/>
          <w:trHeight w:val="760"/>
        </w:trPr>
        <w:tc>
          <w:tcPr>
            <w:tcW w:w="103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2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53"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810"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dc:title>
  <dc:subject>TGP-ARC-06</dc:subject>
  <dc:creator>iorta TechNXT</dc:creator>
  <cp:keywords>TGP-ARC-06; TASCO Insurance; iorta TechNXT</cp:keywords>
  <dc:description>TASCO Motor Insurance Growth Platform</dc:description>
  <cp:lastModifiedBy>iorta TechNXT</cp:lastModifiedBy>
  <cp:revision>1</cp:revision>
  <dcterms:created xsi:type="dcterms:W3CDTF">2026-10-08T03:54:24Z</dcterms:created>
  <dcterms:modified xsi:type="dcterms:W3CDTF">2026-10-08T03:54:24Z</dcterms:modified>
</cp:coreProperties>
</file>