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TGP-BUS-01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Business Context and Growth Strategy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4</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4</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4.</w:t>
        </w:r>
        <w:r>
          <w:rPr>
            <w:noProof/>
          </w:rPr>
          <w:tab/>
        </w:r>
        <w:r>
          <w:rPr>
            <w:noProof/>
          </w:rPr>
          <w:t xml:space="preserve">Executive summary</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5.</w:t>
        </w:r>
        <w:r>
          <w:rPr>
            <w:noProof/>
          </w:rPr>
          <w:tab/>
        </w:r>
        <w:r>
          <w:rPr>
            <w:noProof/>
          </w:rPr>
          <w:t xml:space="preserve">Market and context</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7</w:t>
        </w:r>
        <w:r>
          <w:rPr>
            <w:noProof/>
            <w:webHidden/>
          </w:rPr>
          <w:fldChar w:fldCharType="end"/>
        </w:r>
      </w:hyperlink>
    </w:p>
    <w:p>
      <w:pPr>
        <w:pStyle w:val="TOC2"/>
      </w:pPr>
      <w:hyperlink w:anchor="_Toc300000010" w:history="1">
        <w:r>
          <w:rPr>
            <w:noProof/>
          </w:rPr>
          <w:t>5.1.</w:t>
        </w:r>
        <w:r>
          <w:rPr>
            <w:noProof/>
          </w:rPr>
          <w:tab/>
        </w:r>
        <w:r>
          <w:rPr>
            <w:noProof/>
          </w:rPr>
          <w:t xml:space="preserve">The parties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2"/>
      </w:pPr>
      <w:hyperlink w:anchor="_Toc300000011" w:history="1">
        <w:r>
          <w:rPr>
            <w:noProof/>
          </w:rPr>
          <w:t>5.2.</w:t>
        </w:r>
        <w:r>
          <w:rPr>
            <w:noProof/>
          </w:rPr>
          <w:tab/>
        </w:r>
        <w:r>
          <w:rPr>
            <w:noProof/>
          </w:rPr>
          <w:t xml:space="preserve">Product and regulatory frame</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2"/>
      </w:pPr>
      <w:hyperlink w:anchor="_Toc300000012" w:history="1">
        <w:r>
          <w:rPr>
            <w:noProof/>
          </w:rPr>
          <w:t>5.3.</w:t>
        </w:r>
        <w:r>
          <w:rPr>
            <w:noProof/>
          </w:rPr>
          <w:tab/>
        </w:r>
        <w:r>
          <w:rPr>
            <w:noProof/>
          </w:rPr>
          <w:t xml:space="preserve">Strategic assets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7</w:t>
        </w:r>
        <w:r>
          <w:rPr>
            <w:noProof/>
            <w:webHidden/>
          </w:rPr>
          <w:fldChar w:fldCharType="end"/>
        </w:r>
      </w:hyperlink>
    </w:p>
    <w:p>
      <w:pPr>
        <w:pStyle w:val="TOC2"/>
      </w:pPr>
      <w:hyperlink w:anchor="_Toc300000013" w:history="1">
        <w:r>
          <w:rPr>
            <w:noProof/>
          </w:rPr>
          <w:t>5.4.</w:t>
        </w:r>
        <w:r>
          <w:rPr>
            <w:noProof/>
          </w:rPr>
          <w:tab/>
        </w:r>
        <w:r>
          <w:rPr>
            <w:noProof/>
          </w:rPr>
          <w:t xml:space="preserve">TASCO’s digital channels today</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1"/>
      </w:pPr>
      <w:hyperlink w:anchor="_Toc300000014" w:history="1">
        <w:r>
          <w:rPr>
            <w:noProof/>
          </w:rPr>
          <w:t>6.</w:t>
        </w:r>
        <w:r>
          <w:rPr>
            <w:noProof/>
          </w:rPr>
          <w:tab/>
        </w:r>
        <w:r>
          <w:rPr>
            <w:noProof/>
          </w:rPr>
          <w:t xml:space="preserve">Why own-channel sales are close to zero</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8</w:t>
        </w:r>
        <w:r>
          <w:rPr>
            <w:noProof/>
            <w:webHidden/>
          </w:rPr>
          <w:fldChar w:fldCharType="end"/>
        </w:r>
      </w:hyperlink>
    </w:p>
    <w:p>
      <w:pPr>
        <w:pStyle w:val="TOC2"/>
      </w:pPr>
      <w:hyperlink w:anchor="_Toc300000015" w:history="1">
        <w:r>
          <w:rPr>
            <w:noProof/>
          </w:rPr>
          <w:t>6.1.</w:t>
        </w:r>
        <w:r>
          <w:rPr>
            <w:noProof/>
          </w:rPr>
          <w:tab/>
        </w:r>
        <w:r>
          <w:rPr>
            <w:noProof/>
          </w:rPr>
          <w:t xml:space="preserve">Symptoms reported in the brief</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8</w:t>
        </w:r>
        <w:r>
          <w:rPr>
            <w:noProof/>
            <w:webHidden/>
          </w:rPr>
          <w:fldChar w:fldCharType="end"/>
        </w:r>
      </w:hyperlink>
    </w:p>
    <w:p>
      <w:pPr>
        <w:pStyle w:val="TOC2"/>
      </w:pPr>
      <w:hyperlink w:anchor="_Toc300000016" w:history="1">
        <w:r>
          <w:rPr>
            <w:noProof/>
          </w:rPr>
          <w:t>6.2.</w:t>
        </w:r>
        <w:r>
          <w:rPr>
            <w:noProof/>
          </w:rPr>
          <w:tab/>
        </w:r>
        <w:r>
          <w:rPr>
            <w:noProof/>
          </w:rPr>
          <w:t xml:space="preserve">Root causes and design responses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8</w:t>
        </w:r>
        <w:r>
          <w:rPr>
            <w:noProof/>
            <w:webHidden/>
          </w:rPr>
          <w:fldChar w:fldCharType="end"/>
        </w:r>
      </w:hyperlink>
    </w:p>
    <w:p>
      <w:pPr>
        <w:pStyle w:val="TOC1"/>
      </w:pPr>
      <w:hyperlink w:anchor="_Toc300000017" w:history="1">
        <w:r>
          <w:rPr>
            <w:noProof/>
          </w:rPr>
          <w:t>7.</w:t>
        </w:r>
        <w:r>
          <w:rPr>
            <w:noProof/>
          </w:rPr>
          <w:tab/>
        </w:r>
        <w:r>
          <w:rPr>
            <w:noProof/>
          </w:rPr>
          <w:t xml:space="preserve">Growth strategy</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10</w:t>
        </w:r>
        <w:r>
          <w:rPr>
            <w:noProof/>
            <w:webHidden/>
          </w:rPr>
          <w:fldChar w:fldCharType="end"/>
        </w:r>
      </w:hyperlink>
    </w:p>
    <w:p>
      <w:pPr>
        <w:pStyle w:val="TOC2"/>
      </w:pPr>
      <w:hyperlink w:anchor="_Toc300000018" w:history="1">
        <w:r>
          <w:rPr>
            <w:noProof/>
          </w:rPr>
          <w:t>7.1.</w:t>
        </w:r>
        <w:r>
          <w:rPr>
            <w:noProof/>
          </w:rPr>
          <w:tab/>
        </w:r>
        <w:r>
          <w:rPr>
            <w:noProof/>
          </w:rPr>
          <w:t xml:space="preserve">Segments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10</w:t>
        </w:r>
        <w:r>
          <w:rPr>
            <w:noProof/>
            <w:webHidden/>
          </w:rPr>
          <w:fldChar w:fldCharType="end"/>
        </w:r>
      </w:hyperlink>
    </w:p>
    <w:p>
      <w:pPr>
        <w:pStyle w:val="TOC2"/>
      </w:pPr>
      <w:hyperlink w:anchor="_Toc300000019" w:history="1">
        <w:r>
          <w:rPr>
            <w:noProof/>
          </w:rPr>
          <w:t>7.2.</w:t>
        </w:r>
        <w:r>
          <w:rPr>
            <w:noProof/>
          </w:rPr>
          <w:tab/>
        </w:r>
        <w:r>
          <w:rPr>
            <w:noProof/>
          </w:rPr>
          <w:t xml:space="preserve">Plays by segment</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11</w:t>
        </w:r>
        <w:r>
          <w:rPr>
            <w:noProof/>
            <w:webHidden/>
          </w:rPr>
          <w:fldChar w:fldCharType="end"/>
        </w:r>
      </w:hyperlink>
    </w:p>
    <w:p>
      <w:pPr>
        <w:pStyle w:val="TOC2"/>
      </w:pPr>
      <w:hyperlink w:anchor="_Toc300000020" w:history="1">
        <w:r>
          <w:rPr>
            <w:noProof/>
          </w:rPr>
          <w:t>7.3.</w:t>
        </w:r>
        <w:r>
          <w:rPr>
            <w:noProof/>
          </w:rPr>
          <w:tab/>
        </w:r>
        <w:r>
          <w:rPr>
            <w:noProof/>
          </w:rPr>
          <w:t xml:space="preserve">Moments of truth from the VETC ecosystem</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12</w:t>
        </w:r>
        <w:r>
          <w:rPr>
            <w:noProof/>
            <w:webHidden/>
          </w:rPr>
          <w:fldChar w:fldCharType="end"/>
        </w:r>
      </w:hyperlink>
    </w:p>
    <w:p>
      <w:pPr>
        <w:pStyle w:val="TOC1"/>
      </w:pPr>
      <w:hyperlink w:anchor="_Toc300000021" w:history="1">
        <w:r>
          <w:rPr>
            <w:noProof/>
          </w:rPr>
          <w:t>8.</w:t>
        </w:r>
        <w:r>
          <w:rPr>
            <w:noProof/>
          </w:rPr>
          <w:tab/>
        </w:r>
        <w:r>
          <w:rPr>
            <w:noProof/>
          </w:rPr>
          <w:t xml:space="preserve">Channel strategy</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12</w:t>
        </w:r>
        <w:r>
          <w:rPr>
            <w:noProof/>
            <w:webHidden/>
          </w:rPr>
          <w:fldChar w:fldCharType="end"/>
        </w:r>
      </w:hyperlink>
    </w:p>
    <w:p>
      <w:pPr>
        <w:pStyle w:val="TOC2"/>
      </w:pPr>
      <w:hyperlink w:anchor="_Toc300000022" w:history="1">
        <w:r>
          <w:rPr>
            <w:noProof/>
          </w:rPr>
          <w:t>8.1.</w:t>
        </w:r>
        <w:r>
          <w:rPr>
            <w:noProof/>
          </w:rPr>
          <w:tab/>
        </w:r>
        <w:r>
          <w:rPr>
            <w:noProof/>
          </w:rPr>
          <w:t xml:space="preserve">Principle</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12</w:t>
        </w:r>
        <w:r>
          <w:rPr>
            <w:noProof/>
            <w:webHidden/>
          </w:rPr>
          <w:fldChar w:fldCharType="end"/>
        </w:r>
      </w:hyperlink>
    </w:p>
    <w:p>
      <w:pPr>
        <w:pStyle w:val="TOC2"/>
      </w:pPr>
      <w:hyperlink w:anchor="_Toc300000023" w:history="1">
        <w:r>
          <w:rPr>
            <w:noProof/>
          </w:rPr>
          <w:t>8.2.</w:t>
        </w:r>
        <w:r>
          <w:rPr>
            <w:noProof/>
          </w:rPr>
          <w:tab/>
        </w:r>
        <w:r>
          <w:rPr>
            <w:noProof/>
          </w:rPr>
          <w:t xml:space="preserve">Channel roles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12</w:t>
        </w:r>
        <w:r>
          <w:rPr>
            <w:noProof/>
            <w:webHidden/>
          </w:rPr>
          <w:fldChar w:fldCharType="end"/>
        </w:r>
      </w:hyperlink>
    </w:p>
    <w:p>
      <w:pPr>
        <w:pStyle w:val="TOC2"/>
      </w:pPr>
      <w:hyperlink w:anchor="_Toc300000024" w:history="1">
        <w:r>
          <w:rPr>
            <w:noProof/>
          </w:rPr>
          <w:t>8.3.</w:t>
        </w:r>
        <w:r>
          <w:rPr>
            <w:noProof/>
          </w:rPr>
          <w:tab/>
        </w:r>
        <w:r>
          <w:rPr>
            <w:noProof/>
          </w:rPr>
          <w:t xml:space="preserve">Channel waterfall</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13</w:t>
        </w:r>
        <w:r>
          <w:rPr>
            <w:noProof/>
            <w:webHidden/>
          </w:rPr>
          <w:fldChar w:fldCharType="end"/>
        </w:r>
      </w:hyperlink>
    </w:p>
    <w:p>
      <w:pPr>
        <w:pStyle w:val="TOC2"/>
      </w:pPr>
      <w:hyperlink w:anchor="_Toc300000025" w:history="1">
        <w:r>
          <w:rPr>
            <w:noProof/>
          </w:rPr>
          <w:t>8.4.</w:t>
        </w:r>
        <w:r>
          <w:rPr>
            <w:noProof/>
          </w:rPr>
          <w:tab/>
        </w:r>
        <w:r>
          <w:rPr>
            <w:noProof/>
          </w:rPr>
          <w:t xml:space="preserve">Partner enablement</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13</w:t>
        </w:r>
        <w:r>
          <w:rPr>
            <w:noProof/>
            <w:webHidden/>
          </w:rPr>
          <w:fldChar w:fldCharType="end"/>
        </w:r>
      </w:hyperlink>
    </w:p>
    <w:p>
      <w:pPr>
        <w:pStyle w:val="TOC1"/>
      </w:pPr>
      <w:hyperlink w:anchor="_Toc300000026" w:history="1">
        <w:r>
          <w:rPr>
            <w:noProof/>
          </w:rPr>
          <w:t>9.</w:t>
        </w:r>
        <w:r>
          <w:rPr>
            <w:noProof/>
          </w:rPr>
          <w:tab/>
        </w:r>
        <w:r>
          <w:rPr>
            <w:noProof/>
          </w:rPr>
          <w:t xml:space="preserve">Value beyond discount</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13</w:t>
        </w:r>
        <w:r>
          <w:rPr>
            <w:noProof/>
            <w:webHidden/>
          </w:rPr>
          <w:fldChar w:fldCharType="end"/>
        </w:r>
      </w:hyperlink>
    </w:p>
    <w:p>
      <w:pPr>
        <w:pStyle w:val="TOC1"/>
      </w:pPr>
      <w:hyperlink w:anchor="_Toc300000027" w:history="1">
        <w:r>
          <w:rPr>
            <w:noProof/>
          </w:rPr>
          <w:t>10.</w:t>
        </w:r>
        <w:r>
          <w:rPr>
            <w:noProof/>
          </w:rPr>
          <w:tab/>
        </w:r>
        <w:r>
          <w:rPr>
            <w:noProof/>
          </w:rPr>
          <w:t xml:space="preserve">Trust strategy</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14</w:t>
        </w:r>
        <w:r>
          <w:rPr>
            <w:noProof/>
            <w:webHidden/>
          </w:rPr>
          <w:fldChar w:fldCharType="end"/>
        </w:r>
      </w:hyperlink>
    </w:p>
    <w:p>
      <w:pPr>
        <w:pStyle w:val="TOC1"/>
      </w:pPr>
      <w:hyperlink w:anchor="_Toc300000028" w:history="1">
        <w:r>
          <w:rPr>
            <w:noProof/>
          </w:rPr>
          <w:t>11.</w:t>
        </w:r>
        <w:r>
          <w:rPr>
            <w:noProof/>
          </w:rPr>
          <w:tab/>
        </w:r>
        <w:r>
          <w:rPr>
            <w:noProof/>
          </w:rPr>
          <w:t xml:space="preserve">Data strategy</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15</w:t>
        </w:r>
        <w:r>
          <w:rPr>
            <w:noProof/>
            <w:webHidden/>
          </w:rPr>
          <w:fldChar w:fldCharType="end"/>
        </w:r>
      </w:hyperlink>
    </w:p>
    <w:p>
      <w:pPr>
        <w:pStyle w:val="TOC2"/>
      </w:pPr>
      <w:hyperlink w:anchor="_Toc300000029" w:history="1">
        <w:r>
          <w:rPr>
            <w:noProof/>
          </w:rPr>
          <w:t>11.1.</w:t>
        </w:r>
        <w:r>
          <w:rPr>
            <w:noProof/>
          </w:rPr>
          <w:tab/>
        </w:r>
        <w:r>
          <w:rPr>
            <w:noProof/>
          </w:rPr>
          <w:t xml:space="preserve">The data-repair loop</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15</w:t>
        </w:r>
        <w:r>
          <w:rPr>
            <w:noProof/>
            <w:webHidden/>
          </w:rPr>
          <w:fldChar w:fldCharType="end"/>
        </w:r>
      </w:hyperlink>
    </w:p>
    <w:p>
      <w:pPr>
        <w:pStyle w:val="TOC2"/>
      </w:pPr>
      <w:hyperlink w:anchor="_Toc300000030" w:history="1">
        <w:r>
          <w:rPr>
            <w:noProof/>
          </w:rPr>
          <w:t>11.2.</w:t>
        </w:r>
        <w:r>
          <w:rPr>
            <w:noProof/>
          </w:rPr>
          <w:tab/>
        </w:r>
        <w:r>
          <w:rPr>
            <w:noProof/>
          </w:rPr>
          <w:t xml:space="preserve">Expiry evidence and confidence</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16</w:t>
        </w:r>
        <w:r>
          <w:rPr>
            <w:noProof/>
            <w:webHidden/>
          </w:rPr>
          <w:fldChar w:fldCharType="end"/>
        </w:r>
      </w:hyperlink>
    </w:p>
    <w:p>
      <w:pPr>
        <w:pStyle w:val="TOC2"/>
      </w:pPr>
      <w:hyperlink w:anchor="_Toc300000031" w:history="1">
        <w:r>
          <w:rPr>
            <w:noProof/>
          </w:rPr>
          <w:t>11.3.</w:t>
        </w:r>
        <w:r>
          <w:rPr>
            <w:noProof/>
          </w:rPr>
          <w:tab/>
        </w:r>
        <w:r>
          <w:rPr>
            <w:noProof/>
          </w:rPr>
          <w:t xml:space="preserve">Data-quality model</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17</w:t>
        </w:r>
        <w:r>
          <w:rPr>
            <w:noProof/>
            <w:webHidden/>
          </w:rPr>
          <w:fldChar w:fldCharType="end"/>
        </w:r>
      </w:hyperlink>
    </w:p>
    <w:p>
      <w:pPr>
        <w:pStyle w:val="TOC2"/>
      </w:pPr>
      <w:hyperlink w:anchor="_Toc300000032" w:history="1">
        <w:r>
          <w:rPr>
            <w:noProof/>
          </w:rPr>
          <w:t>11.4.</w:t>
        </w:r>
        <w:r>
          <w:rPr>
            <w:noProof/>
          </w:rPr>
          <w:tab/>
        </w:r>
        <w:r>
          <w:rPr>
            <w:noProof/>
          </w:rPr>
          <w:t xml:space="preserve">Data governance principles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17</w:t>
        </w:r>
        <w:r>
          <w:rPr>
            <w:noProof/>
            <w:webHidden/>
          </w:rPr>
          <w:fldChar w:fldCharType="end"/>
        </w:r>
      </w:hyperlink>
    </w:p>
    <w:p>
      <w:pPr>
        <w:pStyle w:val="TOC1"/>
      </w:pPr>
      <w:hyperlink w:anchor="_Toc300000033" w:history="1">
        <w:r>
          <w:rPr>
            <w:noProof/>
          </w:rPr>
          <w:t>12.</w:t>
        </w:r>
        <w:r>
          <w:rPr>
            <w:noProof/>
          </w:rPr>
          <w:tab/>
        </w:r>
        <w:r>
          <w:rPr>
            <w:noProof/>
          </w:rPr>
          <w:t xml:space="preserve">Roadmap</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17</w:t>
        </w:r>
        <w:r>
          <w:rPr>
            <w:noProof/>
            <w:webHidden/>
          </w:rPr>
          <w:fldChar w:fldCharType="end"/>
        </w:r>
      </w:hyperlink>
    </w:p>
    <w:p>
      <w:pPr>
        <w:pStyle w:val="TOC1"/>
      </w:pPr>
      <w:hyperlink w:anchor="_Toc300000034" w:history="1">
        <w:r>
          <w:rPr>
            <w:noProof/>
          </w:rPr>
          <w:t>13.</w:t>
        </w:r>
        <w:r>
          <w:rPr>
            <w:noProof/>
          </w:rPr>
          <w:tab/>
        </w:r>
        <w:r>
          <w:rPr>
            <w:noProof/>
          </w:rPr>
          <w:t xml:space="preserve">KPIs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19</w:t>
        </w:r>
        <w:r>
          <w:rPr>
            <w:noProof/>
            <w:webHidden/>
          </w:rPr>
          <w:fldChar w:fldCharType="end"/>
        </w:r>
      </w:hyperlink>
    </w:p>
    <w:p>
      <w:pPr>
        <w:pStyle w:val="TOC2"/>
      </w:pPr>
      <w:hyperlink w:anchor="_Toc300000035" w:history="1">
        <w:r>
          <w:rPr>
            <w:noProof/>
          </w:rPr>
          <w:t>13.1.</w:t>
        </w:r>
        <w:r>
          <w:rPr>
            <w:noProof/>
          </w:rPr>
          <w:tab/>
        </w:r>
        <w:r>
          <w:rPr>
            <w:noProof/>
          </w:rPr>
          <w:t xml:space="preserve">KPI structure</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19</w:t>
        </w:r>
        <w:r>
          <w:rPr>
            <w:noProof/>
            <w:webHidden/>
          </w:rPr>
          <w:fldChar w:fldCharType="end"/>
        </w:r>
      </w:hyperlink>
    </w:p>
    <w:p>
      <w:pPr>
        <w:pStyle w:val="TOC2"/>
      </w:pPr>
      <w:hyperlink w:anchor="_Toc300000036" w:history="1">
        <w:r>
          <w:rPr>
            <w:noProof/>
          </w:rPr>
          <w:t>13.2.</w:t>
        </w:r>
        <w:r>
          <w:rPr>
            <w:noProof/>
          </w:rPr>
          <w:tab/>
        </w:r>
        <w:r>
          <w:rPr>
            <w:noProof/>
          </w:rPr>
          <w:t xml:space="preserve">Definitions and targets</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19</w:t>
        </w:r>
        <w:r>
          <w:rPr>
            <w:noProof/>
            <w:webHidden/>
          </w:rPr>
          <w:fldChar w:fldCharType="end"/>
        </w:r>
      </w:hyperlink>
    </w:p>
    <w:p>
      <w:pPr>
        <w:pStyle w:val="TOC1"/>
      </w:pPr>
      <w:hyperlink w:anchor="_Toc300000037" w:history="1">
        <w:r>
          <w:rPr>
            <w:noProof/>
          </w:rPr>
          <w:t>14.</w:t>
        </w:r>
        <w:r>
          <w:rPr>
            <w:noProof/>
          </w:rPr>
          <w:tab/>
        </w:r>
        <w:r>
          <w:rPr>
            <w:noProof/>
          </w:rPr>
          <w:t xml:space="preserve">Business case</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20</w:t>
        </w:r>
        <w:r>
          <w:rPr>
            <w:noProof/>
            <w:webHidden/>
          </w:rPr>
          <w:fldChar w:fldCharType="end"/>
        </w:r>
      </w:hyperlink>
    </w:p>
    <w:p>
      <w:pPr>
        <w:pStyle w:val="TOC2"/>
      </w:pPr>
      <w:hyperlink w:anchor="_Toc300000038" w:history="1">
        <w:r>
          <w:rPr>
            <w:noProof/>
          </w:rPr>
          <w:t>14.1.</w:t>
        </w:r>
        <w:r>
          <w:rPr>
            <w:noProof/>
          </w:rPr>
          <w:tab/>
        </w:r>
        <w:r>
          <w:rPr>
            <w:noProof/>
          </w:rPr>
          <w:t xml:space="preserve">Model</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20</w:t>
        </w:r>
        <w:r>
          <w:rPr>
            <w:noProof/>
            <w:webHidden/>
          </w:rPr>
          <w:fldChar w:fldCharType="end"/>
        </w:r>
      </w:hyperlink>
    </w:p>
    <w:p>
      <w:pPr>
        <w:pStyle w:val="TOC2"/>
      </w:pPr>
      <w:hyperlink w:anchor="_Toc300000039" w:history="1">
        <w:r>
          <w:rPr>
            <w:noProof/>
          </w:rPr>
          <w:t>14.2.</w:t>
        </w:r>
        <w:r>
          <w:rPr>
            <w:noProof/>
          </w:rPr>
          <w:tab/>
        </w:r>
        <w:r>
          <w:rPr>
            <w:noProof/>
          </w:rPr>
          <w:t xml:space="preserve">Scenario inputs</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21</w:t>
        </w:r>
        <w:r>
          <w:rPr>
            <w:noProof/>
            <w:webHidden/>
          </w:rPr>
          <w:fldChar w:fldCharType="end"/>
        </w:r>
      </w:hyperlink>
    </w:p>
    <w:p>
      <w:pPr>
        <w:pStyle w:val="TOC2"/>
      </w:pPr>
      <w:hyperlink w:anchor="_Toc300000040" w:history="1">
        <w:r>
          <w:rPr>
            <w:noProof/>
          </w:rPr>
          <w:t>14.3.</w:t>
        </w:r>
        <w:r>
          <w:rPr>
            <w:noProof/>
          </w:rPr>
          <w:tab/>
        </w:r>
        <w:r>
          <w:rPr>
            <w:noProof/>
          </w:rPr>
          <w:t xml:space="preserve">Outputs, year 1 at full scale</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22</w:t>
        </w:r>
        <w:r>
          <w:rPr>
            <w:noProof/>
            <w:webHidden/>
          </w:rPr>
          <w:fldChar w:fldCharType="end"/>
        </w:r>
      </w:hyperlink>
    </w:p>
    <w:p>
      <w:pPr>
        <w:pStyle w:val="TOC2"/>
      </w:pPr>
      <w:hyperlink w:anchor="_Toc300000041" w:history="1">
        <w:r>
          <w:rPr>
            <w:noProof/>
          </w:rPr>
          <w:t>14.4.</w:t>
        </w:r>
        <w:r>
          <w:rPr>
            <w:noProof/>
          </w:rPr>
          <w:tab/>
        </w:r>
        <w:r>
          <w:rPr>
            <w:noProof/>
          </w:rPr>
          <w:t xml:space="preserve">Reading the numbers</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22</w:t>
        </w:r>
        <w:r>
          <w:rPr>
            <w:noProof/>
            <w:webHidden/>
          </w:rPr>
          <w:fldChar w:fldCharType="end"/>
        </w:r>
      </w:hyperlink>
    </w:p>
    <w:p>
      <w:pPr>
        <w:pStyle w:val="TOC2"/>
      </w:pPr>
      <w:hyperlink w:anchor="_Toc300000042" w:history="1">
        <w:r>
          <w:rPr>
            <w:noProof/>
          </w:rPr>
          <w:t>14.5.</w:t>
        </w:r>
        <w:r>
          <w:rPr>
            <w:noProof/>
          </w:rPr>
          <w:tab/>
        </w:r>
        <w:r>
          <w:rPr>
            <w:noProof/>
          </w:rPr>
          <w:t xml:space="preserve">Sensitivity</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23</w:t>
        </w:r>
        <w:r>
          <w:rPr>
            <w:noProof/>
            <w:webHidden/>
          </w:rPr>
          <w:fldChar w:fldCharType="end"/>
        </w:r>
      </w:hyperlink>
    </w:p>
    <w:p>
      <w:pPr>
        <w:pStyle w:val="TOC1"/>
      </w:pPr>
      <w:hyperlink w:anchor="_Toc300000043" w:history="1">
        <w:r>
          <w:rPr>
            <w:noProof/>
          </w:rPr>
          <w:t>15.</w:t>
        </w:r>
        <w:r>
          <w:rPr>
            <w:noProof/>
          </w:rPr>
          <w:tab/>
        </w:r>
        <w:r>
          <w:rPr>
            <w:noProof/>
          </w:rPr>
          <w:t xml:space="preserve">Assumptions register</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23</w:t>
        </w:r>
        <w:r>
          <w:rPr>
            <w:noProof/>
            <w:webHidden/>
          </w:rPr>
          <w:fldChar w:fldCharType="end"/>
        </w:r>
      </w:hyperlink>
    </w:p>
    <w:p>
      <w:pPr>
        <w:pStyle w:val="TOC1"/>
      </w:pPr>
      <w:hyperlink w:anchor="_Toc300000044" w:history="1">
        <w:r>
          <w:rPr>
            <w:noProof/>
          </w:rPr>
          <w:t>16.</w:t>
        </w:r>
        <w:r>
          <w:rPr>
            <w:noProof/>
          </w:rPr>
          <w:tab/>
        </w:r>
        <w:r>
          <w:rPr>
            <w:noProof/>
          </w:rPr>
          <w:t xml:space="preserve">Key risks</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24</w:t>
        </w:r>
        <w:r>
          <w:rPr>
            <w:noProof/>
            <w:webHidden/>
          </w:rPr>
          <w:fldChar w:fldCharType="end"/>
        </w:r>
      </w:hyperlink>
    </w:p>
    <w:p>
      <w:pPr>
        <w:pStyle w:val="TOC1"/>
      </w:pPr>
      <w:hyperlink w:anchor="_Toc300000045" w:history="1">
        <w:r>
          <w:rPr>
            <w:noProof/>
          </w:rPr>
          <w:t>17.</w:t>
        </w:r>
        <w:r>
          <w:rPr>
            <w:noProof/>
          </w:rPr>
          <w:tab/>
        </w:r>
        <w:r>
          <w:rPr>
            <w:noProof/>
          </w:rPr>
          <w:t xml:space="preserve">Appendix</w:t>
        </w:r>
        <w:r>
          <w:rPr>
            <w:noProof/>
            <w:webHidden/>
          </w:rPr>
          <w:tab/>
        </w:r>
        <w:r>
          <w:rPr>
            <w:noProof/>
            <w:webHidden/>
          </w:rPr>
          <w:fldChar w:fldCharType="begin"/>
        </w:r>
        <w:r>
          <w:rPr>
            <w:noProof/>
            <w:webHidden/>
          </w:rPr>
          <w:instrText xml:space="preserve"> PAGEREF _Toc300000045 \h </w:instrText>
        </w:r>
        <w:r>
          <w:rPr>
            <w:noProof/>
            <w:webHidden/>
          </w:rPr>
          <w:fldChar w:fldCharType="separate"/>
        </w:r>
        <w:r>
          <w:rPr>
            <w:noProof/>
            <w:webHidden/>
          </w:rPr>
          <w:t>25</w:t>
        </w:r>
        <w:r>
          <w:rPr>
            <w:noProof/>
            <w:webHidden/>
          </w:rPr>
          <w:fldChar w:fldCharType="end"/>
        </w:r>
      </w:hyperlink>
    </w:p>
    <w:p>
      <w:pPr>
        <w:pStyle w:val="TOC2"/>
      </w:pPr>
      <w:hyperlink w:anchor="_Toc300000046" w:history="1">
        <w:r>
          <w:rPr>
            <w:noProof/>
          </w:rPr>
          <w:t>17.1.</w:t>
        </w:r>
        <w:r>
          <w:rPr>
            <w:noProof/>
          </w:rPr>
          <w:tab/>
        </w:r>
        <w:r>
          <w:rPr>
            <w:noProof/>
          </w:rPr>
          <w:t xml:space="preserve">Mapping to the four challenge tracks</w:t>
        </w:r>
        <w:r>
          <w:rPr>
            <w:noProof/>
            <w:webHidden/>
          </w:rPr>
          <w:tab/>
        </w:r>
        <w:r>
          <w:rPr>
            <w:noProof/>
            <w:webHidden/>
          </w:rPr>
          <w:fldChar w:fldCharType="begin"/>
        </w:r>
        <w:r>
          <w:rPr>
            <w:noProof/>
            <w:webHidden/>
          </w:rPr>
          <w:instrText xml:space="preserve"> PAGEREF _Toc300000046 \h </w:instrText>
        </w:r>
        <w:r>
          <w:rPr>
            <w:noProof/>
            <w:webHidden/>
          </w:rPr>
          <w:fldChar w:fldCharType="separate"/>
        </w:r>
        <w:r>
          <w:rPr>
            <w:noProof/>
            <w:webHidden/>
          </w:rPr>
          <w:t>25</w:t>
        </w:r>
        <w:r>
          <w:rPr>
            <w:noProof/>
            <w:webHidden/>
          </w:rPr>
          <w:fldChar w:fldCharType="end"/>
        </w:r>
      </w:hyperlink>
    </w:p>
    <w:p>
      <w:pPr>
        <w:pStyle w:val="TOC2"/>
      </w:pPr>
      <w:hyperlink w:anchor="_Toc300000047" w:history="1">
        <w:r>
          <w:rPr>
            <w:noProof/>
          </w:rPr>
          <w:t>17.2.</w:t>
        </w:r>
        <w:r>
          <w:rPr>
            <w:noProof/>
          </w:rPr>
          <w:tab/>
        </w:r>
        <w:r>
          <w:rPr>
            <w:noProof/>
          </w:rPr>
          <w:t xml:space="preserve">Fit with TASCO’s evaluation criteria</w:t>
        </w:r>
        <w:r>
          <w:rPr>
            <w:noProof/>
            <w:webHidden/>
          </w:rPr>
          <w:tab/>
        </w:r>
        <w:r>
          <w:rPr>
            <w:noProof/>
            <w:webHidden/>
          </w:rPr>
          <w:fldChar w:fldCharType="begin"/>
        </w:r>
        <w:r>
          <w:rPr>
            <w:noProof/>
            <w:webHidden/>
          </w:rPr>
          <w:instrText xml:space="preserve"> PAGEREF _Toc300000047 \h </w:instrText>
        </w:r>
        <w:r>
          <w:rPr>
            <w:noProof/>
            <w:webHidden/>
          </w:rPr>
          <w:fldChar w:fldCharType="separate"/>
        </w:r>
        <w:r>
          <w:rPr>
            <w:noProof/>
            <w:webHidden/>
          </w:rPr>
          <w:t>25</w:t>
        </w:r>
        <w:r>
          <w:rPr>
            <w:noProof/>
            <w:webHidden/>
          </w:rPr>
          <w:fldChar w:fldCharType="end"/>
        </w:r>
      </w:hyperlink>
    </w:p>
    <w:p>
      <w:pPr>
        <w:pStyle w:val="TOC2"/>
      </w:pPr>
      <w:hyperlink w:anchor="_Toc300000048" w:history="1">
        <w:r>
          <w:rPr>
            <w:noProof/>
          </w:rPr>
          <w:t>17.3.</w:t>
        </w:r>
        <w:r>
          <w:rPr>
            <w:noProof/>
          </w:rPr>
          <w:tab/>
        </w:r>
        <w:r>
          <w:rPr>
            <w:noProof/>
          </w:rPr>
          <w:t xml:space="preserve">Additions beyond the brief</w:t>
        </w:r>
        <w:r>
          <w:rPr>
            <w:noProof/>
            <w:webHidden/>
          </w:rPr>
          <w:tab/>
        </w:r>
        <w:r>
          <w:rPr>
            <w:noProof/>
            <w:webHidden/>
          </w:rPr>
          <w:fldChar w:fldCharType="begin"/>
        </w:r>
        <w:r>
          <w:rPr>
            <w:noProof/>
            <w:webHidden/>
          </w:rPr>
          <w:instrText xml:space="preserve"> PAGEREF _Toc300000048 \h </w:instrText>
        </w:r>
        <w:r>
          <w:rPr>
            <w:noProof/>
            <w:webHidden/>
          </w:rPr>
          <w:fldChar w:fldCharType="separate"/>
        </w:r>
        <w:r>
          <w:rPr>
            <w:noProof/>
            <w:webHidden/>
          </w:rPr>
          <w:t>26</w:t>
        </w:r>
        <w:r>
          <w:rPr>
            <w:noProof/>
            <w:webHidden/>
          </w:rPr>
          <w:fldChar w:fldCharType="end"/>
        </w:r>
      </w:hyperlink>
    </w:p>
    <w:p>
      <w:pPr>
        <w:pStyle w:val="TOC1"/>
      </w:pPr>
      <w:hyperlink w:anchor="_Toc300000049" w:history="1">
        <w:r>
          <w:rPr>
            <w:noProof/>
          </w:rPr>
          <w:t>18.</w:t>
        </w:r>
        <w:r>
          <w:rPr>
            <w:noProof/>
          </w:rPr>
          <w:tab/>
        </w:r>
        <w:r>
          <w:rPr>
            <w:noProof/>
          </w:rPr>
          <w:t xml:space="preserve">Sign-Off</w:t>
        </w:r>
        <w:r>
          <w:rPr>
            <w:noProof/>
            <w:webHidden/>
          </w:rPr>
          <w:tab/>
        </w:r>
        <w:r>
          <w:rPr>
            <w:noProof/>
            <w:webHidden/>
          </w:rPr>
          <w:fldChar w:fldCharType="begin"/>
        </w:r>
        <w:r>
          <w:rPr>
            <w:noProof/>
            <w:webHidden/>
          </w:rPr>
          <w:instrText xml:space="preserve"> PAGEREF _Toc300000049 \h </w:instrText>
        </w:r>
        <w:r>
          <w:rPr>
            <w:noProof/>
            <w:webHidden/>
          </w:rPr>
          <w:fldChar w:fldCharType="separate"/>
        </w:r>
        <w:r>
          <w:rPr>
            <w:noProof/>
            <w:webHidden/>
          </w:rPr>
          <w:t>27</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71"/>
        <w:gridCol w:w="980"/>
        <w:gridCol w:w="1800"/>
        <w:gridCol w:w="1588"/>
        <w:gridCol w:w="2117"/>
        <w:gridCol w:w="1271"/>
      </w:tblGrid>
      <w:tr w:rsidR="002B183A" w14:paraId="4E198CD6" w14:textId="77777777" w:rsidTr="002923F3">
        <w:trPr>
          <w:cantSplit/>
          <w:trHeight w:val="440"/>
          <w:tblHeader/>
        </w:trPr>
        <w:tc>
          <w:tcPr>
            <w:tcW w:w="1271"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80"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00"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88"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17"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71"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71"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80"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00"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Consulting</w:t>
            </w:r>
          </w:p>
        </w:tc>
        <w:tc>
          <w:tcPr>
            <w:tcW w:w="1588"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Head of Motor Distribution</w:t>
            </w:r>
          </w:p>
        </w:tc>
        <w:tc>
          <w:tcPr>
            <w:tcW w:w="2117"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71"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79"/>
        <w:gridCol w:w="7448"/>
      </w:tblGrid>
      <w:tr w:rsidR="002B183A" w14:paraId="388F227F" w14:textId="77777777" w:rsidTr="002923F3">
        <w:trPr>
          <w:cantSplit/>
          <w:trHeight w:val="440"/>
          <w:tblHeader/>
        </w:trPr>
        <w:tc>
          <w:tcPr>
            <w:tcW w:w="1579"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48"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A/B</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Split testing of two variants</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ETC</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Electronic toll collection</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FR</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Functional requirement</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SEG</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Growth segment</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TBM</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 be measured</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57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4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sets out why TASCO Insurance sells almost no motor policies through its own channels today, and the growth strategy the TASCO Growth Platform is built to deliver. It covers the target segments, the channel, value, trust and data strategies, the roadmap, the KPIs and an illustrative business case.</w:t>
      </w:r>
    </w:p>
    <w:p>
      <w:pPr>
        <w:pStyle w:val="Heading2"/>
      </w:pPr>
      <w:bookmarkStart w:id="9" w:name="_Toc300000005"/>
      <w:r>
        <w:t xml:space="preserve">Scope</w:t>
      </w:r>
      <w:bookmarkEnd w:id="9"/>
    </w:p>
    <w:p>
      <w:pPr>
        <w:pStyle w:val="FirstParagraph"/>
      </w:pPr>
      <w:r>
        <w:t xml:space="preserve">The strategy covers compulsory motor third-party liability insurance (TNDS) for cars and motorbikes, personal accident cover per seat and physical damage cover, sold to the VETC driver base through the VETC app, Zalo, SMS, an AI voice assistant, telesales and partners. It covers new business as well as renewals. Claims handling beyond the first notice of loss stays in TASCO core.</w:t>
      </w:r>
    </w:p>
    <w:p>
      <w:pPr>
        <w:pStyle w:val="BodyText"/>
      </w:pPr>
      <w:r>
        <w:t xml:space="preserve">Statements about TASCO, VETC and the market come from the client brief. Statements about the platform describe the software running today in the UAT environment. Every other figure is an assumption, labelled A-nn and listed in the Assumptions register section. All financial figures are illustrative until replaced with TASCO data during discovery.</w:t>
      </w:r>
    </w:p>
    <w:p>
      <w:pPr>
        <w:pStyle w:val="Heading2"/>
      </w:pPr>
      <w:bookmarkStart w:id="10" w:name="_Toc300000006"/>
      <w:r>
        <w:t xml:space="preserve">Audience</w:t>
      </w:r>
      <w:bookmarkEnd w:id="10"/>
    </w:p>
    <w:p>
      <w:pPr>
        <w:pStyle w:val="FirstParagraph"/>
      </w:pPr>
      <w:r>
        <w:t xml:space="preserve">TASCO Insurance and VETC executives, the steering committee, the TASCO product owner and the distribution, finance and compliance teams.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43"/>
        <w:gridCol w:w="6684"/>
      </w:tblGrid>
      <w:tr>
        <w:trPr>
          <w:cantSplit/>
          <w:tblHeader/>
        </w:trPr>
        <w:tc>
          <w:tcPr>
            <w:tcW w:w="2343" w:type="dxa"/>
            <w:shd w:val="clear" w:color="auto" w:fill="0F4761"/>
            <w:vAlign w:val="center"/>
          </w:tcPr>
          <w:p>
            <w:pPr>
              <w:pStyle w:val="TableHeading"/>
              <w:jc w:val="left"/>
            </w:pPr>
            <w:r>
              <w:rPr>
                <w:color w:val="FFFFFF"/>
              </w:rPr>
              <w:t xml:space="preserve">ID</w:t>
            </w:r>
          </w:p>
        </w:tc>
        <w:tc>
          <w:tcPr>
            <w:tcW w:w="6684" w:type="dxa"/>
            <w:shd w:val="clear" w:color="auto" w:fill="0F4761"/>
            <w:vAlign w:val="center"/>
          </w:tcPr>
          <w:p>
            <w:pPr>
              <w:pStyle w:val="TableHeading"/>
              <w:jc w:val="left"/>
            </w:pPr>
            <w:r>
              <w:rPr>
                <w:color w:val="FFFFFF"/>
              </w:rPr>
              <w:t xml:space="preserve">Title</w:t>
            </w:r>
          </w:p>
        </w:tc>
      </w:tr>
      <w:tr>
        <w:trPr>
          <w:cantSplit/>
        </w:trPr>
        <w:tc>
          <w:tcPr>
            <w:tcW w:w="2343" w:type="dxa"/>
            <w:noWrap/>
            <w:vAlign w:val="top"/>
          </w:tcPr>
          <w:p>
            <w:pPr>
              <w:pStyle w:val="TableText"/>
              <w:jc w:val="left"/>
            </w:pPr>
            <w:r>
              <w:t xml:space="preserve">TGP-BUS-02</w:t>
            </w:r>
          </w:p>
        </w:tc>
        <w:tc>
          <w:tcPr>
            <w:tcW w:w="6684" w:type="dxa"/>
            <w:vAlign w:val="top"/>
          </w:tcPr>
          <w:p>
            <w:pPr>
              <w:pStyle w:val="TableText"/>
              <w:jc w:val="left"/>
            </w:pPr>
            <w:r>
              <w:t xml:space="preserve">Functional Requirements Specification</w:t>
            </w:r>
          </w:p>
        </w:tc>
      </w:tr>
      <w:tr>
        <w:trPr>
          <w:cantSplit/>
        </w:trPr>
        <w:tc>
          <w:tcPr>
            <w:tcW w:w="2343" w:type="dxa"/>
            <w:shd w:val="clear" w:color="auto" w:fill="F4F7FB"/>
            <w:noWrap/>
            <w:vAlign w:val="top"/>
          </w:tcPr>
          <w:p>
            <w:pPr>
              <w:pStyle w:val="TableText"/>
              <w:jc w:val="left"/>
            </w:pPr>
            <w:r>
              <w:t xml:space="preserve">TGP-BUS-03</w:t>
            </w:r>
          </w:p>
        </w:tc>
        <w:tc>
          <w:tcPr>
            <w:tcW w:w="6684" w:type="dxa"/>
            <w:shd w:val="clear" w:color="auto" w:fill="F4F7FB"/>
            <w:vAlign w:val="top"/>
          </w:tcPr>
          <w:p>
            <w:pPr>
              <w:pStyle w:val="TableText"/>
              <w:jc w:val="left"/>
            </w:pPr>
            <w:r>
              <w:t xml:space="preserve">Non-Functional Requirements</w:t>
            </w:r>
          </w:p>
        </w:tc>
      </w:tr>
      <w:tr>
        <w:trPr>
          <w:cantSplit/>
        </w:trPr>
        <w:tc>
          <w:tcPr>
            <w:tcW w:w="2343" w:type="dxa"/>
            <w:noWrap/>
            <w:vAlign w:val="top"/>
          </w:tcPr>
          <w:p>
            <w:pPr>
              <w:pStyle w:val="TableText"/>
              <w:jc w:val="left"/>
            </w:pPr>
            <w:r>
              <w:t xml:space="preserve">TGP-BUS-05</w:t>
            </w:r>
          </w:p>
        </w:tc>
        <w:tc>
          <w:tcPr>
            <w:tcW w:w="6684" w:type="dxa"/>
            <w:vAlign w:val="top"/>
          </w:tcPr>
          <w:p>
            <w:pPr>
              <w:pStyle w:val="TableText"/>
              <w:jc w:val="left"/>
            </w:pPr>
            <w:r>
              <w:t xml:space="preserve">Requirements Traceability Matrix</w:t>
            </w:r>
          </w:p>
        </w:tc>
      </w:tr>
      <w:tr>
        <w:trPr>
          <w:cantSplit/>
        </w:trPr>
        <w:tc>
          <w:tcPr>
            <w:tcW w:w="2343" w:type="dxa"/>
            <w:shd w:val="clear" w:color="auto" w:fill="F4F7FB"/>
            <w:noWrap/>
            <w:vAlign w:val="top"/>
          </w:tcPr>
          <w:p>
            <w:pPr>
              <w:pStyle w:val="TableText"/>
              <w:jc w:val="left"/>
            </w:pPr>
            <w:r>
              <w:t xml:space="preserve">TGP-BUS-06</w:t>
            </w:r>
          </w:p>
        </w:tc>
        <w:tc>
          <w:tcPr>
            <w:tcW w:w="6684" w:type="dxa"/>
            <w:shd w:val="clear" w:color="auto" w:fill="F4F7FB"/>
            <w:vAlign w:val="top"/>
          </w:tcPr>
          <w:p>
            <w:pPr>
              <w:pStyle w:val="TableText"/>
              <w:jc w:val="left"/>
            </w:pPr>
            <w:r>
              <w:t xml:space="preserve">Personas and Customer Journeys</w:t>
            </w:r>
          </w:p>
        </w:tc>
      </w:tr>
      <w:tr>
        <w:trPr>
          <w:cantSplit/>
        </w:trPr>
        <w:tc>
          <w:tcPr>
            <w:tcW w:w="2343" w:type="dxa"/>
            <w:noWrap/>
            <w:vAlign w:val="top"/>
          </w:tcPr>
          <w:p>
            <w:pPr>
              <w:pStyle w:val="TableText"/>
              <w:jc w:val="left"/>
            </w:pPr>
            <w:r>
              <w:t xml:space="preserve">TGP-BUS-07</w:t>
            </w:r>
          </w:p>
        </w:tc>
        <w:tc>
          <w:tcPr>
            <w:tcW w:w="6684" w:type="dxa"/>
            <w:vAlign w:val="top"/>
          </w:tcPr>
          <w:p>
            <w:pPr>
              <w:pStyle w:val="TableText"/>
              <w:jc w:val="left"/>
            </w:pPr>
            <w:r>
              <w:t xml:space="preserve">Commercials and Engagement Model</w:t>
            </w:r>
          </w:p>
        </w:tc>
      </w:tr>
      <w:tr>
        <w:trPr>
          <w:cantSplit/>
        </w:trPr>
        <w:tc>
          <w:tcPr>
            <w:tcW w:w="2343" w:type="dxa"/>
            <w:shd w:val="clear" w:color="auto" w:fill="F4F7FB"/>
            <w:noWrap/>
            <w:vAlign w:val="top"/>
          </w:tcPr>
          <w:p>
            <w:pPr>
              <w:pStyle w:val="TableText"/>
              <w:jc w:val="left"/>
            </w:pPr>
            <w:r>
              <w:t xml:space="preserve">TGP-ARC-02</w:t>
            </w:r>
          </w:p>
        </w:tc>
        <w:tc>
          <w:tcPr>
            <w:tcW w:w="6684" w:type="dxa"/>
            <w:shd w:val="clear" w:color="auto" w:fill="F4F7FB"/>
            <w:vAlign w:val="top"/>
          </w:tcPr>
          <w:p>
            <w:pPr>
              <w:pStyle w:val="TableText"/>
              <w:jc w:val="left"/>
            </w:pPr>
            <w:r>
              <w:t xml:space="preserve">Integration Architecture</w:t>
            </w:r>
          </w:p>
        </w:tc>
      </w:tr>
      <w:tr>
        <w:trPr>
          <w:cantSplit/>
        </w:trPr>
        <w:tc>
          <w:tcPr>
            <w:tcW w:w="2343" w:type="dxa"/>
            <w:noWrap/>
            <w:vAlign w:val="top"/>
          </w:tcPr>
          <w:p>
            <w:pPr>
              <w:pStyle w:val="TableText"/>
              <w:jc w:val="left"/>
            </w:pPr>
            <w:r>
              <w:t xml:space="preserve">TGP-DEL-04</w:t>
            </w:r>
          </w:p>
        </w:tc>
        <w:tc>
          <w:tcPr>
            <w:tcW w:w="6684" w:type="dxa"/>
            <w:vAlign w:val="top"/>
          </w:tcPr>
          <w:p>
            <w:pPr>
              <w:pStyle w:val="TableText"/>
              <w:jc w:val="left"/>
            </w:pPr>
            <w:r>
              <w:t xml:space="preserve">Risk Register</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Executive summary</w:t>
      </w:r>
      <w:bookmarkEnd w:id="12"/>
    </w:p>
    <w:p>
      <w:pPr>
        <w:pStyle w:val="FirstParagraph"/>
      </w:pPr>
      <w:r>
        <w:t xml:space="preserve">VETC, the electronic toll collection operator of the Tasco group, serves about 6 million car drivers, and 70 to 80% of them use the VETC app. Every one of those drivers must hold TNDS cover. Today TASCO sells motor insurance mainly through agents, banks, car showrooms and corporate partners. Its own channels (app push and telesales) are small, and no renewals have been closed through them this year.</w:t>
      </w:r>
    </w:p>
    <w:p>
      <w:pPr>
        <w:pStyle w:val="BodyText"/>
      </w:pPr>
      <w:r>
        <w:t xml:space="preserve">Demand is not the problem. TNDS is compulsory and drivers need a valid certificate at inspection (đăng kiểm) and at roadside checks. Own-channel sales are close to zero for four reasons that reinforce each other:</w:t>
      </w:r>
    </w:p>
    <w:p>
      <w:pPr>
        <w:pStyle w:val="Compact"/>
        <w:numPr>
          <w:ilvl w:val="0"/>
          <w:numId w:val="1001"/>
        </w:numPr>
      </w:pPr>
      <w:r>
        <w:t xml:space="preserve">Data. Only about one record in ten carries a reliable expiry date, so TASCO does not know when most drivers need to renew.</w:t>
      </w:r>
    </w:p>
    <w:p>
      <w:pPr>
        <w:pStyle w:val="Compact"/>
        <w:numPr>
          <w:ilvl w:val="0"/>
          <w:numId w:val="1001"/>
        </w:numPr>
      </w:pPr>
      <w:r>
        <w:t xml:space="preserve">Trust. Drivers screen out unknown callers offering insurance.</w:t>
      </w:r>
    </w:p>
    <w:p>
      <w:pPr>
        <w:pStyle w:val="Compact"/>
        <w:numPr>
          <w:ilvl w:val="0"/>
          <w:numId w:val="1001"/>
        </w:numPr>
      </w:pPr>
      <w:r>
        <w:t xml:space="preserve">Price. TNDS premiums are set by regulation and discounts are not permitted, yet most customers wait for one.</w:t>
      </w:r>
    </w:p>
    <w:p>
      <w:pPr>
        <w:pStyle w:val="Compact"/>
        <w:numPr>
          <w:ilvl w:val="0"/>
          <w:numId w:val="1001"/>
        </w:numPr>
      </w:pPr>
      <w:r>
        <w:t xml:space="preserve">Channel friction. The VETC app cannot complete a purchase, so a partner closes the sale.</w:t>
      </w:r>
    </w:p>
    <w:p>
      <w:pPr>
        <w:pStyle w:val="FirstParagraph"/>
      </w:pPr>
      <w:r>
        <w:t xml:space="preserve">The TASCO Growth Platform addresses all four together. It competes on data, trust and service, never on price, and it covers new business as well as retention.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11"/>
        <w:gridCol w:w="6816"/>
      </w:tblGrid>
      <w:tr>
        <w:trPr>
          <w:cantSplit/>
          <w:tblHeader/>
        </w:trPr>
        <w:tc>
          <w:tcPr>
            <w:tcW w:w="2211" w:type="dxa"/>
            <w:shd w:val="clear" w:color="auto" w:fill="0F4761"/>
            <w:vAlign w:val="center"/>
          </w:tcPr>
          <w:p>
            <w:pPr>
              <w:pStyle w:val="TableHeading"/>
              <w:jc w:val="left"/>
            </w:pPr>
            <w:r>
              <w:rPr>
                <w:color w:val="FFFFFF"/>
              </w:rPr>
              <w:t xml:space="preserve">Lever</w:t>
            </w:r>
          </w:p>
        </w:tc>
        <w:tc>
          <w:tcPr>
            <w:tcW w:w="6816" w:type="dxa"/>
            <w:shd w:val="clear" w:color="auto" w:fill="0F4761"/>
            <w:vAlign w:val="center"/>
          </w:tcPr>
          <w:p>
            <w:pPr>
              <w:pStyle w:val="TableHeading"/>
              <w:jc w:val="left"/>
            </w:pPr>
            <w:r>
              <w:rPr>
                <w:color w:val="FFFFFF"/>
              </w:rPr>
              <w:t xml:space="preserve">What the platform does</w:t>
            </w:r>
          </w:p>
        </w:tc>
      </w:tr>
      <w:tr>
        <w:trPr>
          <w:cantSplit/>
        </w:trPr>
        <w:tc>
          <w:tcPr>
            <w:tcW w:w="2211" w:type="dxa"/>
            <w:vAlign w:val="top"/>
          </w:tcPr>
          <w:p>
            <w:pPr>
              <w:pStyle w:val="TableText"/>
              <w:jc w:val="left"/>
            </w:pPr>
            <w:r>
              <w:t xml:space="preserve">Data-repair loop</w:t>
            </w:r>
          </w:p>
        </w:tc>
        <w:tc>
          <w:tcPr>
            <w:tcW w:w="6816" w:type="dxa"/>
            <w:vAlign w:val="top"/>
          </w:tcPr>
          <w:p>
            <w:pPr>
              <w:pStyle w:val="TableText"/>
              <w:jc w:val="left"/>
            </w:pPr>
            <w:r>
              <w:t xml:space="preserve">Merges records from all sources into one profile per plate, estimates the expiry date with a stated confidence and improves the record with every contact</w:t>
            </w:r>
          </w:p>
        </w:tc>
      </w:tr>
      <w:tr>
        <w:trPr>
          <w:cantSplit/>
        </w:trPr>
        <w:tc>
          <w:tcPr>
            <w:tcW w:w="2211" w:type="dxa"/>
            <w:shd w:val="clear" w:color="auto" w:fill="F4F7FB"/>
            <w:vAlign w:val="top"/>
          </w:tcPr>
          <w:p>
            <w:pPr>
              <w:pStyle w:val="TableText"/>
              <w:jc w:val="left"/>
            </w:pPr>
            <w:r>
              <w:t xml:space="preserve">Explainable prioritisation</w:t>
            </w:r>
          </w:p>
        </w:tc>
        <w:tc>
          <w:tcPr>
            <w:tcW w:w="6816" w:type="dxa"/>
            <w:shd w:val="clear" w:color="auto" w:fill="F4F7FB"/>
            <w:vAlign w:val="top"/>
          </w:tcPr>
          <w:p>
            <w:pPr>
              <w:pStyle w:val="TableText"/>
              <w:jc w:val="left"/>
            </w:pPr>
            <w:r>
              <w:t xml:space="preserve">Scores every vehicle from 0 to 100 with plain-language reasons and chooses a next best action and journey</w:t>
            </w:r>
          </w:p>
        </w:tc>
      </w:tr>
      <w:tr>
        <w:trPr>
          <w:cantSplit/>
        </w:trPr>
        <w:tc>
          <w:tcPr>
            <w:tcW w:w="2211" w:type="dxa"/>
            <w:vAlign w:val="top"/>
          </w:tcPr>
          <w:p>
            <w:pPr>
              <w:pStyle w:val="TableText"/>
              <w:jc w:val="left"/>
            </w:pPr>
            <w:r>
              <w:t xml:space="preserve">Trust-first contact</w:t>
            </w:r>
          </w:p>
        </w:tc>
        <w:tc>
          <w:tcPr>
            <w:tcW w:w="6816" w:type="dxa"/>
            <w:vAlign w:val="top"/>
          </w:tcPr>
          <w:p>
            <w:pPr>
              <w:pStyle w:val="TableText"/>
              <w:jc w:val="left"/>
            </w:pPr>
            <w:r>
              <w:t xml:space="preserve">The voice assistant says it is automated, asks the driver to state the plate before anything else and never takes payment</w:t>
            </w:r>
          </w:p>
        </w:tc>
      </w:tr>
      <w:tr>
        <w:trPr>
          <w:cantSplit/>
        </w:trPr>
        <w:tc>
          <w:tcPr>
            <w:tcW w:w="2211" w:type="dxa"/>
            <w:shd w:val="clear" w:color="auto" w:fill="F4F7FB"/>
            <w:vAlign w:val="top"/>
          </w:tcPr>
          <w:p>
            <w:pPr>
              <w:pStyle w:val="TableText"/>
              <w:jc w:val="left"/>
            </w:pPr>
            <w:r>
              <w:t xml:space="preserve">Purchase in the VETC app</w:t>
            </w:r>
          </w:p>
        </w:tc>
        <w:tc>
          <w:tcPr>
            <w:tcW w:w="6816" w:type="dxa"/>
            <w:shd w:val="clear" w:color="auto" w:fill="F4F7FB"/>
            <w:vAlign w:val="top"/>
          </w:tcPr>
          <w:p>
            <w:pPr>
              <w:pStyle w:val="TableText"/>
              <w:jc w:val="left"/>
            </w:pPr>
            <w:r>
              <w:t xml:space="preserve">A signed link opens a quote priced by TASCO core; the customer pays from the VETC wallet and receives the e-certificate within seconds. A returning TASCO customer whose details are confirmed renews in three steps</w:t>
            </w:r>
          </w:p>
        </w:tc>
      </w:tr>
      <w:tr>
        <w:trPr>
          <w:cantSplit/>
        </w:trPr>
        <w:tc>
          <w:tcPr>
            <w:tcW w:w="2211" w:type="dxa"/>
            <w:vAlign w:val="top"/>
          </w:tcPr>
          <w:p>
            <w:pPr>
              <w:pStyle w:val="TableText"/>
              <w:jc w:val="left"/>
            </w:pPr>
            <w:r>
              <w:t xml:space="preserve">Value beyond discount</w:t>
            </w:r>
          </w:p>
        </w:tc>
        <w:tc>
          <w:tcPr>
            <w:tcW w:w="6816" w:type="dxa"/>
            <w:vAlign w:val="top"/>
          </w:tcPr>
          <w:p>
            <w:pPr>
              <w:pStyle w:val="TableText"/>
              <w:jc w:val="left"/>
            </w:pPr>
            <w:r>
              <w:t xml:space="preserve">Roadside assistance, a QR-verifiable e-certificate, inspection reminders, accident reporting in the app and multi-year cover</w:t>
            </w:r>
          </w:p>
        </w:tc>
      </w:tr>
      <w:tr>
        <w:trPr>
          <w:cantSplit/>
        </w:trPr>
        <w:tc>
          <w:tcPr>
            <w:tcW w:w="2211" w:type="dxa"/>
            <w:shd w:val="clear" w:color="auto" w:fill="F4F7FB"/>
            <w:vAlign w:val="top"/>
          </w:tcPr>
          <w:p>
            <w:pPr>
              <w:pStyle w:val="TableText"/>
              <w:jc w:val="left"/>
            </w:pPr>
            <w:r>
              <w:t xml:space="preserve">Partners as a channel</w:t>
            </w:r>
          </w:p>
        </w:tc>
        <w:tc>
          <w:tcPr>
            <w:tcW w:w="6816" w:type="dxa"/>
            <w:shd w:val="clear" w:color="auto" w:fill="F4F7FB"/>
            <w:vAlign w:val="top"/>
          </w:tcPr>
          <w:p>
            <w:pPr>
              <w:pStyle w:val="TableText"/>
              <w:jc w:val="left"/>
            </w:pPr>
            <w:r>
              <w:t xml:space="preserve">A partner API to quote and bind by plate, with commission capped by rule; partners collect the premium and remit it to TASCO</w:t>
            </w:r>
          </w:p>
        </w:tc>
      </w:tr>
    </w:tbl>
    <w:p>
      <w:pPr>
        <w:pStyle w:val="BodyText"/>
        <w:spacing w:before="160"/>
      </w:pPr>
      <w:r>
        <w:t xml:space="preserve">In the illustrative base case, own channels and the partner API issue about 140,000 TNDS policies in the first year at full scale, worth about VND 79.4 billion of net premium (USD 3.05 million). Cross-sell adds about VND 6.9 billion. The voice assistant does the qualifying work for about VND 1.2 billion, against about VND 13.4 billion for the same calls by telesales.</w:t>
      </w:r>
    </w:p>
    <w:p>
      <w:pPr>
        <w:pStyle w:val="BodyText"/>
      </w:pPr>
      <w:r>
        <w:t xml:space="preserve">We recommend a fixed-price MVP of USD 94,800 within TASCO’s USD 100,000 budget, live with a pilot cohort 13 weeks after contract signature. The pilot should cover 50,000 to 100,000 vehicles in one or two provinces, measured against a control group, so that the decision to scale rests on measured conversion, data repair and trust.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Market and context</w:t>
      </w:r>
      <w:bookmarkEnd w:id="13"/>
    </w:p>
    <w:p>
      <w:pPr>
        <w:pStyle w:val="Heading2"/>
      </w:pPr>
      <w:bookmarkStart w:id="14" w:name="_Toc300000010"/>
      <w:r>
        <w:t xml:space="preserve">The parties</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89"/>
        <w:gridCol w:w="3763"/>
        <w:gridCol w:w="3775"/>
      </w:tblGrid>
      <w:tr>
        <w:trPr>
          <w:cantSplit/>
          <w:tblHeader/>
        </w:trPr>
        <w:tc>
          <w:tcPr>
            <w:tcW w:w="1489" w:type="dxa"/>
            <w:shd w:val="clear" w:color="auto" w:fill="0F4761"/>
            <w:vAlign w:val="center"/>
          </w:tcPr>
          <w:p>
            <w:pPr>
              <w:pStyle w:val="TableHeading"/>
              <w:jc w:val="left"/>
            </w:pPr>
            <w:r>
              <w:rPr>
                <w:color w:val="FFFFFF"/>
              </w:rPr>
              <w:t xml:space="preserve">Party</w:t>
            </w:r>
          </w:p>
        </w:tc>
        <w:tc>
          <w:tcPr>
            <w:tcW w:w="3763" w:type="dxa"/>
            <w:shd w:val="clear" w:color="auto" w:fill="0F4761"/>
            <w:vAlign w:val="center"/>
          </w:tcPr>
          <w:p>
            <w:pPr>
              <w:pStyle w:val="TableHeading"/>
              <w:jc w:val="left"/>
            </w:pPr>
            <w:r>
              <w:rPr>
                <w:color w:val="FFFFFF"/>
              </w:rPr>
              <w:t xml:space="preserve">Role</w:t>
            </w:r>
          </w:p>
        </w:tc>
        <w:tc>
          <w:tcPr>
            <w:tcW w:w="3775" w:type="dxa"/>
            <w:shd w:val="clear" w:color="auto" w:fill="0F4761"/>
            <w:vAlign w:val="center"/>
          </w:tcPr>
          <w:p>
            <w:pPr>
              <w:pStyle w:val="TableHeading"/>
              <w:jc w:val="left"/>
            </w:pPr>
            <w:r>
              <w:rPr>
                <w:color w:val="FFFFFF"/>
              </w:rPr>
              <w:t xml:space="preserve">Relevance to the strategy</w:t>
            </w:r>
          </w:p>
        </w:tc>
      </w:tr>
      <w:tr>
        <w:trPr>
          <w:cantSplit/>
        </w:trPr>
        <w:tc>
          <w:tcPr>
            <w:tcW w:w="1489" w:type="dxa"/>
            <w:vAlign w:val="top"/>
          </w:tcPr>
          <w:p>
            <w:pPr>
              <w:pStyle w:val="TableText"/>
              <w:jc w:val="left"/>
            </w:pPr>
            <w:r>
              <w:t xml:space="preserve">TASCO Insurance</w:t>
            </w:r>
          </w:p>
        </w:tc>
        <w:tc>
          <w:tcPr>
            <w:tcW w:w="3763" w:type="dxa"/>
            <w:vAlign w:val="top"/>
          </w:tcPr>
          <w:p>
            <w:pPr>
              <w:pStyle w:val="TableText"/>
              <w:jc w:val="left"/>
            </w:pPr>
            <w:r>
              <w:t xml:space="preserve">Non-life insurer, subsidiary of Tasco Joint Stock Company, which acquired Groupama Vietnam General Insurance in 2022</w:t>
            </w:r>
          </w:p>
        </w:tc>
        <w:tc>
          <w:tcPr>
            <w:tcW w:w="3775" w:type="dxa"/>
            <w:vAlign w:val="top"/>
          </w:tcPr>
          <w:p>
            <w:pPr>
              <w:pStyle w:val="TableText"/>
              <w:jc w:val="left"/>
            </w:pPr>
            <w:r>
              <w:t xml:space="preserve">Carries the risk, owns products, tariffs, rating, policies and claims</w:t>
            </w:r>
          </w:p>
        </w:tc>
      </w:tr>
      <w:tr>
        <w:trPr>
          <w:cantSplit/>
        </w:trPr>
        <w:tc>
          <w:tcPr>
            <w:tcW w:w="1489" w:type="dxa"/>
            <w:shd w:val="clear" w:color="auto" w:fill="F4F7FB"/>
            <w:vAlign w:val="top"/>
          </w:tcPr>
          <w:p>
            <w:pPr>
              <w:pStyle w:val="TableText"/>
              <w:jc w:val="left"/>
            </w:pPr>
            <w:r>
              <w:t xml:space="preserve">Tasco JSC</w:t>
            </w:r>
          </w:p>
        </w:tc>
        <w:tc>
          <w:tcPr>
            <w:tcW w:w="3763" w:type="dxa"/>
            <w:shd w:val="clear" w:color="auto" w:fill="F4F7FB"/>
            <w:vAlign w:val="top"/>
          </w:tcPr>
          <w:p>
            <w:pPr>
              <w:pStyle w:val="TableText"/>
              <w:jc w:val="left"/>
            </w:pPr>
            <w:r>
              <w:t xml:space="preserve">Group parent</w:t>
            </w:r>
          </w:p>
        </w:tc>
        <w:tc>
          <w:tcPr>
            <w:tcW w:w="3775" w:type="dxa"/>
            <w:shd w:val="clear" w:color="auto" w:fill="F4F7FB"/>
            <w:vAlign w:val="top"/>
          </w:tcPr>
          <w:p>
            <w:pPr>
              <w:pStyle w:val="TableText"/>
              <w:jc w:val="left"/>
            </w:pPr>
            <w:r>
              <w:t xml:space="preserve">Owns both TASCO Insurance and VETC, so the group already holds a captive distribution opportunity</w:t>
            </w:r>
          </w:p>
        </w:tc>
      </w:tr>
      <w:tr>
        <w:trPr>
          <w:cantSplit/>
        </w:trPr>
        <w:tc>
          <w:tcPr>
            <w:tcW w:w="1489" w:type="dxa"/>
            <w:vAlign w:val="top"/>
          </w:tcPr>
          <w:p>
            <w:pPr>
              <w:pStyle w:val="TableText"/>
              <w:jc w:val="left"/>
            </w:pPr>
            <w:r>
              <w:t xml:space="preserve">VETC</w:t>
            </w:r>
          </w:p>
        </w:tc>
        <w:tc>
          <w:tcPr>
            <w:tcW w:w="3763" w:type="dxa"/>
            <w:vAlign w:val="top"/>
          </w:tcPr>
          <w:p>
            <w:pPr>
              <w:pStyle w:val="TableText"/>
              <w:jc w:val="left"/>
            </w:pPr>
            <w:r>
              <w:t xml:space="preserve">Electronic toll operator with a wallet. About 6 million car drivers; 70 to 80% use the app</w:t>
            </w:r>
          </w:p>
        </w:tc>
        <w:tc>
          <w:tcPr>
            <w:tcW w:w="3775" w:type="dxa"/>
            <w:vAlign w:val="top"/>
          </w:tcPr>
          <w:p>
            <w:pPr>
              <w:pStyle w:val="TableText"/>
              <w:jc w:val="left"/>
            </w:pPr>
            <w:r>
              <w:t xml:space="preserve">Owns the driver relationship, the app, the wallet, trip signals and tag activation events</w:t>
            </w:r>
          </w:p>
        </w:tc>
      </w:tr>
      <w:tr>
        <w:trPr>
          <w:cantSplit/>
        </w:trPr>
        <w:tc>
          <w:tcPr>
            <w:tcW w:w="1489" w:type="dxa"/>
            <w:shd w:val="clear" w:color="auto" w:fill="F4F7FB"/>
            <w:vAlign w:val="top"/>
          </w:tcPr>
          <w:p>
            <w:pPr>
              <w:pStyle w:val="TableText"/>
              <w:jc w:val="left"/>
            </w:pPr>
            <w:r>
              <w:t xml:space="preserve">Other insurers on VETC</w:t>
            </w:r>
          </w:p>
        </w:tc>
        <w:tc>
          <w:tcPr>
            <w:tcW w:w="3763" w:type="dxa"/>
            <w:shd w:val="clear" w:color="auto" w:fill="F4F7FB"/>
            <w:vAlign w:val="top"/>
          </w:tcPr>
          <w:p>
            <w:pPr>
              <w:pStyle w:val="TableText"/>
              <w:jc w:val="left"/>
            </w:pPr>
            <w:r>
              <w:t xml:space="preserve">VETC is a multi-insurer platform (TASCO, PVI and PTI through ADD Solutions)</w:t>
            </w:r>
          </w:p>
        </w:tc>
        <w:tc>
          <w:tcPr>
            <w:tcW w:w="3775" w:type="dxa"/>
            <w:shd w:val="clear" w:color="auto" w:fill="F4F7FB"/>
            <w:vAlign w:val="top"/>
          </w:tcPr>
          <w:p>
            <w:pPr>
              <w:pStyle w:val="TableText"/>
              <w:jc w:val="left"/>
            </w:pPr>
            <w:r>
              <w:t xml:space="preserve">TASCO must earn the customer’s choice through service and respect VETC’s neutrality</w:t>
            </w:r>
          </w:p>
        </w:tc>
      </w:tr>
      <w:tr>
        <w:trPr>
          <w:cantSplit/>
        </w:trPr>
        <w:tc>
          <w:tcPr>
            <w:tcW w:w="1489" w:type="dxa"/>
            <w:vAlign w:val="top"/>
          </w:tcPr>
          <w:p>
            <w:pPr>
              <w:pStyle w:val="TableText"/>
              <w:jc w:val="left"/>
            </w:pPr>
            <w:r>
              <w:t xml:space="preserve">Partners</w:t>
            </w:r>
          </w:p>
        </w:tc>
        <w:tc>
          <w:tcPr>
            <w:tcW w:w="3763" w:type="dxa"/>
            <w:vAlign w:val="top"/>
          </w:tcPr>
          <w:p>
            <w:pPr>
              <w:pStyle w:val="TableText"/>
              <w:jc w:val="left"/>
            </w:pPr>
            <w:r>
              <w:t xml:space="preserve">Agents, banks, car showrooms, corporate and fleet accounts</w:t>
            </w:r>
          </w:p>
        </w:tc>
        <w:tc>
          <w:tcPr>
            <w:tcW w:w="3775" w:type="dxa"/>
            <w:vAlign w:val="top"/>
          </w:tcPr>
          <w:p>
            <w:pPr>
              <w:pStyle w:val="TableText"/>
              <w:jc w:val="left"/>
            </w:pPr>
            <w:r>
              <w:t xml:space="preserve">Close most sales today; the strategy equips them rather than displacing them</w:t>
            </w:r>
          </w:p>
        </w:tc>
      </w:tr>
    </w:tbl>
    <w:p>
      <w:pPr>
        <w:pStyle w:val="Heading2"/>
      </w:pPr>
      <w:bookmarkStart w:id="15" w:name="_Toc300000011"/>
      <w:r>
        <w:t xml:space="preserve">Product and regulatory frame</w:t>
      </w:r>
      <w:bookmarkEnd w:id="15"/>
    </w:p>
    <w:p>
      <w:pPr>
        <w:pStyle w:val="FirstParagraph"/>
      </w:pPr>
      <w:r>
        <w:t xml:space="preserve">TNDS is compulsory and its price is regulated. The platform’s tariff tables carry the annual premiums from Decree 67/2023/ND-CP Appendix I, for example VND 437,000 plus 10% VAT, VND 480,700, for a non-commercial car under 6 seats. In production TASCO core prices every quote; the platform’s tables are used only for indicative quotes when core is unavailable and for testing. TASCO underwriting must confirm the figures before go-live.</w:t>
      </w:r>
    </w:p>
    <w:p>
      <w:pPr>
        <w:pStyle w:val="BodyText"/>
      </w:pPr>
      <w:r>
        <w:t xml:space="preserve">Premium discounts and rebates are prohibited under the Law on Insurance Business 08/2022/QH15, so the platform competes on service and convenience. Partner commission is capped by law; the platform holds caps per product (for example 5% of net premium for TNDS), to be confirmed by TASCO finance and legal.</w:t>
      </w:r>
    </w:p>
    <w:p>
      <w:pPr>
        <w:pStyle w:val="BodyText"/>
      </w:pPr>
      <w:r>
        <w:t xml:space="preserve">Contact and privacy obligations come from the advertising and spam rules (Decree 91/2020/ND-CP), Decree 13/2023/ND-CP on personal data protection and the Personal Data Protection Law 91/2025/QH15, effective 1 January 2026. The platform applies them conservatively through its contact policy and retention rules. Each position is to be confirmed by TASCO legal.</w:t>
      </w:r>
    </w:p>
    <w:p>
      <w:pPr>
        <w:pStyle w:val="Heading2"/>
      </w:pPr>
      <w:bookmarkStart w:id="16" w:name="_Toc300000012"/>
      <w:r>
        <w:t xml:space="preserve">Strategic assets</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73"/>
        <w:gridCol w:w="1231"/>
        <w:gridCol w:w="4523"/>
      </w:tblGrid>
      <w:tr>
        <w:trPr>
          <w:cantSplit/>
          <w:tblHeader/>
        </w:trPr>
        <w:tc>
          <w:tcPr>
            <w:tcW w:w="3273" w:type="dxa"/>
            <w:shd w:val="clear" w:color="auto" w:fill="0F4761"/>
            <w:vAlign w:val="center"/>
          </w:tcPr>
          <w:p>
            <w:pPr>
              <w:pStyle w:val="TableHeading"/>
              <w:jc w:val="left"/>
            </w:pPr>
            <w:r>
              <w:rPr>
                <w:color w:val="FFFFFF"/>
              </w:rPr>
              <w:t xml:space="preserve">Asset</w:t>
            </w:r>
          </w:p>
        </w:tc>
        <w:tc>
          <w:tcPr>
            <w:tcW w:w="1231" w:type="dxa"/>
            <w:shd w:val="clear" w:color="auto" w:fill="0F4761"/>
            <w:vAlign w:val="center"/>
          </w:tcPr>
          <w:p>
            <w:pPr>
              <w:pStyle w:val="TableHeading"/>
              <w:jc w:val="left"/>
            </w:pPr>
            <w:r>
              <w:rPr>
                <w:color w:val="FFFFFF"/>
              </w:rPr>
              <w:t xml:space="preserve">Owner</w:t>
            </w:r>
          </w:p>
        </w:tc>
        <w:tc>
          <w:tcPr>
            <w:tcW w:w="4523" w:type="dxa"/>
            <w:shd w:val="clear" w:color="auto" w:fill="0F4761"/>
            <w:vAlign w:val="center"/>
          </w:tcPr>
          <w:p>
            <w:pPr>
              <w:pStyle w:val="TableHeading"/>
              <w:jc w:val="left"/>
            </w:pPr>
            <w:r>
              <w:rPr>
                <w:color w:val="FFFFFF"/>
              </w:rPr>
              <w:t xml:space="preserve">How the platform uses it</w:t>
            </w:r>
          </w:p>
        </w:tc>
      </w:tr>
      <w:tr>
        <w:trPr>
          <w:cantSplit/>
        </w:trPr>
        <w:tc>
          <w:tcPr>
            <w:tcW w:w="3273" w:type="dxa"/>
            <w:vAlign w:val="top"/>
          </w:tcPr>
          <w:p>
            <w:pPr>
              <w:pStyle w:val="TableText"/>
              <w:jc w:val="left"/>
            </w:pPr>
            <w:r>
              <w:t xml:space="preserve">6 million driver relationships, 70 to 80% app reach</w:t>
            </w:r>
          </w:p>
        </w:tc>
        <w:tc>
          <w:tcPr>
            <w:tcW w:w="1231" w:type="dxa"/>
            <w:vAlign w:val="top"/>
          </w:tcPr>
          <w:p>
            <w:pPr>
              <w:pStyle w:val="TableText"/>
              <w:jc w:val="left"/>
            </w:pPr>
            <w:r>
              <w:t xml:space="preserve">VETC</w:t>
            </w:r>
          </w:p>
        </w:tc>
        <w:tc>
          <w:tcPr>
            <w:tcW w:w="4523" w:type="dxa"/>
            <w:vAlign w:val="top"/>
          </w:tcPr>
          <w:p>
            <w:pPr>
              <w:pStyle w:val="TableText"/>
              <w:jc w:val="left"/>
            </w:pPr>
            <w:r>
              <w:t xml:space="preserve">Primary reach; an app push costs nothing to send</w:t>
            </w:r>
          </w:p>
        </w:tc>
      </w:tr>
      <w:tr>
        <w:trPr>
          <w:cantSplit/>
        </w:trPr>
        <w:tc>
          <w:tcPr>
            <w:tcW w:w="3273" w:type="dxa"/>
            <w:shd w:val="clear" w:color="auto" w:fill="F4F7FB"/>
            <w:vAlign w:val="top"/>
          </w:tcPr>
          <w:p>
            <w:pPr>
              <w:pStyle w:val="TableText"/>
              <w:jc w:val="left"/>
            </w:pPr>
            <w:r>
              <w:t xml:space="preserve">ETC tag activation events</w:t>
            </w:r>
          </w:p>
        </w:tc>
        <w:tc>
          <w:tcPr>
            <w:tcW w:w="1231" w:type="dxa"/>
            <w:shd w:val="clear" w:color="auto" w:fill="F4F7FB"/>
            <w:vAlign w:val="top"/>
          </w:tcPr>
          <w:p>
            <w:pPr>
              <w:pStyle w:val="TableText"/>
              <w:jc w:val="left"/>
            </w:pPr>
            <w:r>
              <w:t xml:space="preserve">VETC</w:t>
            </w:r>
          </w:p>
        </w:tc>
        <w:tc>
          <w:tcPr>
            <w:tcW w:w="4523" w:type="dxa"/>
            <w:shd w:val="clear" w:color="auto" w:fill="F4F7FB"/>
            <w:vAlign w:val="top"/>
          </w:tcPr>
          <w:p>
            <w:pPr>
              <w:pStyle w:val="TableText"/>
              <w:jc w:val="left"/>
            </w:pPr>
            <w:r>
              <w:t xml:space="preserve">Signals a new vehicle and starts the new-vehicle journey</w:t>
            </w:r>
          </w:p>
        </w:tc>
      </w:tr>
      <w:tr>
        <w:trPr>
          <w:cantSplit/>
        </w:trPr>
        <w:tc>
          <w:tcPr>
            <w:tcW w:w="3273" w:type="dxa"/>
            <w:vAlign w:val="top"/>
          </w:tcPr>
          <w:p>
            <w:pPr>
              <w:pStyle w:val="TableText"/>
              <w:jc w:val="left"/>
            </w:pPr>
            <w:r>
              <w:t xml:space="preserve">Toll trips, long trips, app sessions</w:t>
            </w:r>
          </w:p>
        </w:tc>
        <w:tc>
          <w:tcPr>
            <w:tcW w:w="1231" w:type="dxa"/>
            <w:vAlign w:val="top"/>
          </w:tcPr>
          <w:p>
            <w:pPr>
              <w:pStyle w:val="TableText"/>
              <w:jc w:val="left"/>
            </w:pPr>
            <w:r>
              <w:t xml:space="preserve">VETC</w:t>
            </w:r>
          </w:p>
        </w:tc>
        <w:tc>
          <w:tcPr>
            <w:tcW w:w="4523" w:type="dxa"/>
            <w:vAlign w:val="top"/>
          </w:tcPr>
          <w:p>
            <w:pPr>
              <w:pStyle w:val="TableText"/>
              <w:jc w:val="left"/>
            </w:pPr>
            <w:r>
              <w:t xml:space="preserve">Drive the engagement score and the relevance of benefits</w:t>
            </w:r>
          </w:p>
        </w:tc>
      </w:tr>
      <w:tr>
        <w:trPr>
          <w:cantSplit/>
        </w:trPr>
        <w:tc>
          <w:tcPr>
            <w:tcW w:w="3273" w:type="dxa"/>
            <w:shd w:val="clear" w:color="auto" w:fill="F4F7FB"/>
            <w:vAlign w:val="top"/>
          </w:tcPr>
          <w:p>
            <w:pPr>
              <w:pStyle w:val="TableText"/>
              <w:jc w:val="left"/>
            </w:pPr>
            <w:r>
              <w:t xml:space="preserve">VETC wallet and auto top-up</w:t>
            </w:r>
          </w:p>
        </w:tc>
        <w:tc>
          <w:tcPr>
            <w:tcW w:w="1231" w:type="dxa"/>
            <w:shd w:val="clear" w:color="auto" w:fill="F4F7FB"/>
            <w:vAlign w:val="top"/>
          </w:tcPr>
          <w:p>
            <w:pPr>
              <w:pStyle w:val="TableText"/>
              <w:jc w:val="left"/>
            </w:pPr>
            <w:r>
              <w:t xml:space="preserve">VETC</w:t>
            </w:r>
          </w:p>
        </w:tc>
        <w:tc>
          <w:tcPr>
            <w:tcW w:w="4523" w:type="dxa"/>
            <w:shd w:val="clear" w:color="auto" w:fill="F4F7FB"/>
            <w:vAlign w:val="top"/>
          </w:tcPr>
          <w:p>
            <w:pPr>
              <w:pStyle w:val="TableText"/>
              <w:jc w:val="left"/>
            </w:pPr>
            <w:r>
              <w:t xml:space="preserve">Payment in the app;</w:t>
            </w:r>
            <w:r>
              <w:t xml:space="preserve"> </w:t>
            </w:r>
            <w:r>
              <w:t xml:space="preserve">“</w:t>
            </w:r>
            <w:r>
              <w:t xml:space="preserve">wallet covers the premium</w:t>
            </w:r>
            <w:r>
              <w:t xml:space="preserve">”</w:t>
            </w:r>
            <w:r>
              <w:t xml:space="preserve"> </w:t>
            </w:r>
            <w:r>
              <w:t xml:space="preserve">is a buying signal</w:t>
            </w:r>
          </w:p>
        </w:tc>
      </w:tr>
      <w:tr>
        <w:trPr>
          <w:cantSplit/>
        </w:trPr>
        <w:tc>
          <w:tcPr>
            <w:tcW w:w="3273" w:type="dxa"/>
            <w:vAlign w:val="top"/>
          </w:tcPr>
          <w:p>
            <w:pPr>
              <w:pStyle w:val="TableText"/>
              <w:jc w:val="left"/>
            </w:pPr>
            <w:r>
              <w:t xml:space="preserve">Inspection booking</w:t>
            </w:r>
          </w:p>
        </w:tc>
        <w:tc>
          <w:tcPr>
            <w:tcW w:w="1231" w:type="dxa"/>
            <w:vAlign w:val="top"/>
          </w:tcPr>
          <w:p>
            <w:pPr>
              <w:pStyle w:val="TableText"/>
              <w:jc w:val="left"/>
            </w:pPr>
            <w:r>
              <w:t xml:space="preserve">VETC service</w:t>
            </w:r>
          </w:p>
        </w:tc>
        <w:tc>
          <w:tcPr>
            <w:tcW w:w="4523" w:type="dxa"/>
            <w:vAlign w:val="top"/>
          </w:tcPr>
          <w:p>
            <w:pPr>
              <w:pStyle w:val="TableText"/>
              <w:jc w:val="left"/>
            </w:pPr>
            <w:r>
              <w:t xml:space="preserve">A moment when a valid TNDS certificate is required</w:t>
            </w:r>
          </w:p>
        </w:tc>
      </w:tr>
      <w:tr>
        <w:trPr>
          <w:cantSplit/>
        </w:trPr>
        <w:tc>
          <w:tcPr>
            <w:tcW w:w="3273" w:type="dxa"/>
            <w:shd w:val="clear" w:color="auto" w:fill="F4F7FB"/>
            <w:vAlign w:val="top"/>
          </w:tcPr>
          <w:p>
            <w:pPr>
              <w:pStyle w:val="TableText"/>
              <w:jc w:val="left"/>
            </w:pPr>
            <w:r>
              <w:t xml:space="preserve">Products, rating, policies, e-certificates, claims</w:t>
            </w:r>
          </w:p>
        </w:tc>
        <w:tc>
          <w:tcPr>
            <w:tcW w:w="1231" w:type="dxa"/>
            <w:shd w:val="clear" w:color="auto" w:fill="F4F7FB"/>
            <w:vAlign w:val="top"/>
          </w:tcPr>
          <w:p>
            <w:pPr>
              <w:pStyle w:val="TableText"/>
              <w:jc w:val="left"/>
            </w:pPr>
            <w:r>
              <w:t xml:space="preserve">TASCO core</w:t>
            </w:r>
          </w:p>
        </w:tc>
        <w:tc>
          <w:tcPr>
            <w:tcW w:w="4523" w:type="dxa"/>
            <w:shd w:val="clear" w:color="auto" w:fill="F4F7FB"/>
            <w:vAlign w:val="top"/>
          </w:tcPr>
          <w:p>
            <w:pPr>
              <w:pStyle w:val="TableText"/>
              <w:jc w:val="left"/>
            </w:pPr>
            <w:r>
              <w:t xml:space="preserve">Every quote is rated and every policy issued by core; certificates are QR-verifiable</w:t>
            </w:r>
          </w:p>
        </w:tc>
      </w:tr>
      <w:tr>
        <w:trPr>
          <w:cantSplit/>
        </w:trPr>
        <w:tc>
          <w:tcPr>
            <w:tcW w:w="3273" w:type="dxa"/>
            <w:vAlign w:val="top"/>
          </w:tcPr>
          <w:p>
            <w:pPr>
              <w:pStyle w:val="TableText"/>
              <w:jc w:val="left"/>
            </w:pPr>
            <w:r>
              <w:t xml:space="preserve">Partner network</w:t>
            </w:r>
          </w:p>
        </w:tc>
        <w:tc>
          <w:tcPr>
            <w:tcW w:w="1231" w:type="dxa"/>
            <w:vAlign w:val="top"/>
          </w:tcPr>
          <w:p>
            <w:pPr>
              <w:pStyle w:val="TableText"/>
              <w:jc w:val="left"/>
            </w:pPr>
            <w:r>
              <w:t xml:space="preserve">VETC and TASCO</w:t>
            </w:r>
          </w:p>
        </w:tc>
        <w:tc>
          <w:tcPr>
            <w:tcW w:w="4523" w:type="dxa"/>
            <w:vAlign w:val="top"/>
          </w:tcPr>
          <w:p>
            <w:pPr>
              <w:pStyle w:val="TableText"/>
              <w:jc w:val="left"/>
            </w:pPr>
            <w:r>
              <w:t xml:space="preserve">Partner API, commission statements</w:t>
            </w:r>
          </w:p>
        </w:tc>
      </w:tr>
    </w:tbl>
    <w:p>
      <w:pPr>
        <w:pStyle w:val="Heading2"/>
      </w:pPr>
      <w:bookmarkStart w:id="17" w:name="_Toc300000013"/>
      <w:r>
        <w:t xml:space="preserve">TASCO’s digital channels today</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37"/>
        <w:gridCol w:w="2731"/>
        <w:gridCol w:w="3259"/>
      </w:tblGrid>
      <w:tr>
        <w:trPr>
          <w:cantSplit/>
          <w:tblHeader/>
        </w:trPr>
        <w:tc>
          <w:tcPr>
            <w:tcW w:w="3037" w:type="dxa"/>
            <w:shd w:val="clear" w:color="auto" w:fill="0F4761"/>
            <w:vAlign w:val="center"/>
          </w:tcPr>
          <w:p>
            <w:pPr>
              <w:pStyle w:val="TableHeading"/>
              <w:jc w:val="left"/>
            </w:pPr>
            <w:r>
              <w:rPr>
                <w:color w:val="FFFFFF"/>
              </w:rPr>
              <w:t xml:space="preserve">Channel</w:t>
            </w:r>
          </w:p>
        </w:tc>
        <w:tc>
          <w:tcPr>
            <w:tcW w:w="2731" w:type="dxa"/>
            <w:shd w:val="clear" w:color="auto" w:fill="0F4761"/>
            <w:vAlign w:val="center"/>
          </w:tcPr>
          <w:p>
            <w:pPr>
              <w:pStyle w:val="TableHeading"/>
              <w:jc w:val="left"/>
            </w:pPr>
            <w:r>
              <w:rPr>
                <w:color w:val="FFFFFF"/>
              </w:rPr>
              <w:t xml:space="preserve">What it does today</w:t>
            </w:r>
          </w:p>
        </w:tc>
        <w:tc>
          <w:tcPr>
            <w:tcW w:w="3259" w:type="dxa"/>
            <w:shd w:val="clear" w:color="auto" w:fill="0F4761"/>
            <w:vAlign w:val="center"/>
          </w:tcPr>
          <w:p>
            <w:pPr>
              <w:pStyle w:val="TableHeading"/>
              <w:jc w:val="left"/>
            </w:pPr>
            <w:r>
              <w:rPr>
                <w:color w:val="FFFFFF"/>
              </w:rPr>
              <w:t xml:space="preserve">Role in the strategy</w:t>
            </w:r>
          </w:p>
        </w:tc>
      </w:tr>
      <w:tr>
        <w:trPr>
          <w:cantSplit/>
        </w:trPr>
        <w:tc>
          <w:tcPr>
            <w:tcW w:w="3037" w:type="dxa"/>
            <w:vAlign w:val="top"/>
          </w:tcPr>
          <w:p>
            <w:pPr>
              <w:pStyle w:val="TableText"/>
              <w:jc w:val="left"/>
            </w:pPr>
            <w:r>
              <w:t xml:space="preserve">e.baohiemtasco.vn</w:t>
            </w:r>
          </w:p>
        </w:tc>
        <w:tc>
          <w:tcPr>
            <w:tcW w:w="2731" w:type="dxa"/>
            <w:vAlign w:val="top"/>
          </w:tcPr>
          <w:p>
            <w:pPr>
              <w:pStyle w:val="TableText"/>
              <w:jc w:val="left"/>
            </w:pPr>
            <w:r>
              <w:t xml:space="preserve">Online TNDS purchase for cars; asks business use, vehicle type, seats and phone. Physical damage is marked</w:t>
            </w:r>
            <w:r>
              <w:t xml:space="preserve"> </w:t>
            </w:r>
            <w:r>
              <w:t xml:space="preserve">“</w:t>
            </w:r>
            <w:r>
              <w:t xml:space="preserve">coming soon</w:t>
            </w:r>
            <w:r>
              <w:t xml:space="preserve">”</w:t>
            </w:r>
            <w:r>
              <w:t xml:space="preserve">.</w:t>
            </w:r>
          </w:p>
        </w:tc>
        <w:tc>
          <w:tcPr>
            <w:tcW w:w="3259" w:type="dxa"/>
            <w:vAlign w:val="top"/>
          </w:tcPr>
          <w:p>
            <w:pPr>
              <w:pStyle w:val="TableText"/>
              <w:jc w:val="left"/>
            </w:pPr>
            <w:r>
              <w:t xml:space="preserve">Stays the open web channel. It prices from the same core, so premiums match the VETC app. Physical damage with inspection, delivered in the MVP, can be offered there later.</w:t>
            </w:r>
          </w:p>
        </w:tc>
      </w:tr>
      <w:tr>
        <w:trPr>
          <w:cantSplit/>
        </w:trPr>
        <w:tc>
          <w:tcPr>
            <w:tcW w:w="3037" w:type="dxa"/>
            <w:shd w:val="clear" w:color="auto" w:fill="F4F7FB"/>
            <w:vAlign w:val="top"/>
          </w:tcPr>
          <w:p>
            <w:pPr>
              <w:pStyle w:val="TableText"/>
              <w:jc w:val="left"/>
            </w:pPr>
            <w:r>
              <w:t xml:space="preserve">Tasco360</w:t>
            </w:r>
          </w:p>
        </w:tc>
        <w:tc>
          <w:tcPr>
            <w:tcW w:w="2731" w:type="dxa"/>
            <w:shd w:val="clear" w:color="auto" w:fill="F4F7FB"/>
            <w:vAlign w:val="top"/>
          </w:tcPr>
          <w:p>
            <w:pPr>
              <w:pStyle w:val="TableText"/>
              <w:jc w:val="left"/>
            </w:pPr>
            <w:r>
              <w:t xml:space="preserve">TASCO’s app for partners and stakeholders: consultation, sales and after-sales</w:t>
            </w:r>
          </w:p>
        </w:tc>
        <w:tc>
          <w:tcPr>
            <w:tcW w:w="3259" w:type="dxa"/>
            <w:shd w:val="clear" w:color="auto" w:fill="F4F7FB"/>
            <w:vAlign w:val="top"/>
          </w:tcPr>
          <w:p>
            <w:pPr>
              <w:pStyle w:val="TableText"/>
              <w:jc w:val="left"/>
            </w:pPr>
            <w:r>
              <w:t xml:space="preserve">Becomes a consumer of the partner API, so partners quote by plate with VETC vehicle data and receive instant certificates</w:t>
            </w:r>
          </w:p>
        </w:tc>
      </w:tr>
      <w:tr>
        <w:trPr>
          <w:cantSplit/>
        </w:trPr>
        <w:tc>
          <w:tcPr>
            <w:tcW w:w="3037" w:type="dxa"/>
            <w:vAlign w:val="top"/>
          </w:tcPr>
          <w:p>
            <w:pPr>
              <w:pStyle w:val="TableText"/>
              <w:jc w:val="left"/>
            </w:pPr>
            <w:r>
              <w:t xml:space="preserve">Hotline 1900 1562,</w:t>
            </w:r>
            <w:r>
              <w:t xml:space="preserve"> </w:t>
            </w:r>
            <w:hyperlink r:id="rIdG1">
              <w:r>
                <w:rPr>
                  <w:rStyle w:val="Hyperlink"/>
                </w:rPr>
                <w:t xml:space="preserve">info@baohiemtasco.vn</w:t>
              </w:r>
            </w:hyperlink>
            <w:r>
              <w:t xml:space="preserve">, Zalo, Messenger, website chat</w:t>
            </w:r>
          </w:p>
        </w:tc>
        <w:tc>
          <w:tcPr>
            <w:tcW w:w="2731" w:type="dxa"/>
            <w:vAlign w:val="top"/>
          </w:tcPr>
          <w:p>
            <w:pPr>
              <w:pStyle w:val="TableText"/>
              <w:jc w:val="left"/>
            </w:pPr>
            <w:r>
              <w:t xml:space="preserve">Claims, support and enquiries</w:t>
            </w:r>
          </w:p>
        </w:tc>
        <w:tc>
          <w:tcPr>
            <w:tcW w:w="3259" w:type="dxa"/>
            <w:vAlign w:val="top"/>
          </w:tcPr>
          <w:p>
            <w:pPr>
              <w:pStyle w:val="TableText"/>
              <w:jc w:val="left"/>
            </w:pPr>
            <w:r>
              <w:t xml:space="preserve">The same official contacts appear in the customer app, so every touchpoint speaks with one TASCO voice</w:t>
            </w:r>
          </w:p>
        </w:tc>
      </w:tr>
    </w:tbl>
    <w:p>
      <w:pPr>
        <w:pStyle w:val="BodyText"/>
        <w:spacing w:before="160"/>
      </w:pPr>
      <w:r>
        <w:t xml:space="preserve">These channels serve customers who come looking for TASCO. What they cannot do is find the right VETC driver at the right moment. That is the job of the platform.</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Why own-channel sales are close to zero</w:t>
      </w:r>
      <w:bookmarkEnd w:id="18"/>
    </w:p>
    <w:p>
      <w:pPr>
        <w:pStyle w:val="Heading2"/>
      </w:pPr>
      <w:bookmarkStart w:id="19" w:name="_Toc300000015"/>
      <w:r>
        <w:t xml:space="preserve">Symptoms reported in the brief</w:t>
      </w:r>
      <w:bookmarkEnd w:id="19"/>
    </w:p>
    <w:p>
      <w:pPr>
        <w:pStyle w:val="Compact"/>
        <w:numPr>
          <w:ilvl w:val="0"/>
          <w:numId w:val="1002"/>
        </w:numPr>
      </w:pPr>
      <w:r>
        <w:t xml:space="preserve">Only about one record in ten has a valid policy stamp.</w:t>
      </w:r>
    </w:p>
    <w:p>
      <w:pPr>
        <w:pStyle w:val="Compact"/>
        <w:numPr>
          <w:ilvl w:val="0"/>
          <w:numId w:val="1002"/>
        </w:numPr>
      </w:pPr>
      <w:r>
        <w:t xml:space="preserve">No renewals were closed through own channels this year.</w:t>
      </w:r>
    </w:p>
    <w:p>
      <w:pPr>
        <w:pStyle w:val="Compact"/>
        <w:numPr>
          <w:ilvl w:val="0"/>
          <w:numId w:val="1002"/>
        </w:numPr>
      </w:pPr>
      <w:r>
        <w:t xml:space="preserve">Telesales converts poorly: customers distrust sales calls, discounts are illegal, partners close faster and the app cannot renew.</w:t>
      </w:r>
    </w:p>
    <w:p>
      <w:pPr>
        <w:pStyle w:val="Compact"/>
        <w:numPr>
          <w:ilvl w:val="0"/>
          <w:numId w:val="1002"/>
        </w:numPr>
      </w:pPr>
      <w:r>
        <w:t xml:space="preserve">Most customers look for a percentage discount.</w:t>
      </w:r>
    </w:p>
    <w:p>
      <w:pPr>
        <w:pStyle w:val="Heading2"/>
      </w:pPr>
      <w:bookmarkStart w:id="20" w:name="_Toc300000016"/>
      <w:r>
        <w:t xml:space="preserve">Root causes and design responses</w:t>
      </w:r>
      <w:bookmarkEnd w:id="20"/>
    </w:p>
    <w:p>
      <w:pPr>
        <w:pStyle w:val="FirstParagraph"/>
      </w:pPr>
      <w:r>
        <w:t xml:space="preserve">The diagram below links each of the four causes to the platform’s main response.</w:t>
      </w:r>
    </w:p>
    <w:p xmlns:a="http://schemas.openxmlformats.org/drawingml/2006/main" xmlns:pic="http://schemas.openxmlformats.org/drawingml/2006/picture">
      <w:pPr>
        <w:pStyle w:val="Figure"/>
      </w:pPr>
      <w:r>
        <w:drawing>
          <wp:inline>
            <wp:extent cx="5727700" cy="3933997"/>
            <wp:effectExtent b="0" l="0" r="0" t="0"/>
            <wp:docPr descr="Each root cause and the platform’s main response to it" title="" id="5002" name="Picture"/>
            <a:graphic>
              <a:graphicData uri="http://schemas.openxmlformats.org/drawingml/2006/picture">
                <pic:pic>
                  <pic:nvPicPr>
                    <pic:cNvPr descr="/home/user/TASCO/tools/docs-source/gen/.cache/mermaid/4c462570ef49d679.png" id="35" name="Picture"/>
                    <pic:cNvPicPr>
                      <a:picLocks noChangeArrowheads="1" noChangeAspect="1"/>
                    </pic:cNvPicPr>
                  </pic:nvPicPr>
                  <pic:blipFill>
                    <a:blip r:embed="rIdG2"/>
                    <a:stretch>
                      <a:fillRect/>
                    </a:stretch>
                  </pic:blipFill>
                  <pic:spPr bwMode="auto">
                    <a:xfrm>
                      <a:off x="0" y="0"/>
                      <a:ext cx="5727700" cy="3933997"/>
                    </a:xfrm>
                    <a:prstGeom prst="rect">
                      <a:avLst/>
                    </a:prstGeom>
                    <a:noFill/>
                    <a:ln w="9525">
                      <a:noFill/>
                      <a:headEnd/>
                      <a:tailEnd/>
                    </a:ln>
                  </pic:spPr>
                </pic:pic>
              </a:graphicData>
            </a:graphic>
          </wp:inline>
        </w:drawing>
      </w:r>
    </w:p>
    <w:p>
      <w:pPr>
        <w:pStyle w:val="Caption"/>
      </w:pPr>
      <w:r>
        <w:t xml:space="preserve">Figure 1 – Each root cause and the platform’s main response to it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4"/>
        <w:gridCol w:w="2522"/>
        <w:gridCol w:w="5791"/>
      </w:tblGrid>
      <w:tr>
        <w:trPr>
          <w:cantSplit/>
          <w:tblHeader/>
        </w:trPr>
        <w:tc>
          <w:tcPr>
            <w:tcW w:w="714" w:type="dxa"/>
            <w:shd w:val="clear" w:color="auto" w:fill="0F4761"/>
            <w:vAlign w:val="center"/>
          </w:tcPr>
          <w:p>
            <w:pPr>
              <w:pStyle w:val="TableHeading"/>
              <w:jc w:val="left"/>
            </w:pPr>
            <w:r>
              <w:rPr>
                <w:color w:val="FFFFFF"/>
              </w:rPr>
              <w:t xml:space="preserve">Ref</w:t>
            </w:r>
          </w:p>
        </w:tc>
        <w:tc>
          <w:tcPr>
            <w:tcW w:w="2522" w:type="dxa"/>
            <w:shd w:val="clear" w:color="auto" w:fill="0F4761"/>
            <w:vAlign w:val="center"/>
          </w:tcPr>
          <w:p>
            <w:pPr>
              <w:pStyle w:val="TableHeading"/>
              <w:jc w:val="left"/>
            </w:pPr>
            <w:r>
              <w:rPr>
                <w:color w:val="FFFFFF"/>
              </w:rPr>
              <w:t xml:space="preserve">Root cause</w:t>
            </w:r>
          </w:p>
        </w:tc>
        <w:tc>
          <w:tcPr>
            <w:tcW w:w="5791" w:type="dxa"/>
            <w:shd w:val="clear" w:color="auto" w:fill="0F4761"/>
            <w:vAlign w:val="center"/>
          </w:tcPr>
          <w:p>
            <w:pPr>
              <w:pStyle w:val="TableHeading"/>
              <w:jc w:val="left"/>
            </w:pPr>
            <w:r>
              <w:rPr>
                <w:color w:val="FFFFFF"/>
              </w:rPr>
              <w:t xml:space="preserve">Design response</w:t>
            </w:r>
          </w:p>
        </w:tc>
      </w:tr>
      <w:tr>
        <w:trPr>
          <w:cantSplit/>
        </w:trPr>
        <w:tc>
          <w:tcPr>
            <w:tcW w:w="714" w:type="dxa"/>
            <w:noWrap/>
            <w:vAlign w:val="top"/>
          </w:tcPr>
          <w:p>
            <w:pPr>
              <w:pStyle w:val="TableText"/>
              <w:jc w:val="left"/>
            </w:pPr>
            <w:r>
              <w:t xml:space="preserve">RC-1</w:t>
            </w:r>
          </w:p>
        </w:tc>
        <w:tc>
          <w:tcPr>
            <w:tcW w:w="2522" w:type="dxa"/>
            <w:vAlign w:val="top"/>
          </w:tcPr>
          <w:p>
            <w:pPr>
              <w:pStyle w:val="TableText"/>
              <w:jc w:val="left"/>
            </w:pPr>
            <w:r>
              <w:t xml:space="preserve">Expiry date unknown or unreliable for most vehicles</w:t>
            </w:r>
          </w:p>
        </w:tc>
        <w:tc>
          <w:tcPr>
            <w:tcW w:w="5791" w:type="dxa"/>
            <w:vAlign w:val="top"/>
          </w:tcPr>
          <w:p>
            <w:pPr>
              <w:pStyle w:val="TableText"/>
              <w:jc w:val="left"/>
            </w:pPr>
            <w:r>
              <w:t xml:space="preserve">Expiry estimated from evidence with a confidence score; vehicles below the usable threshold are asked to confirm their expiry before any selling</w:t>
            </w:r>
          </w:p>
        </w:tc>
      </w:tr>
      <w:tr>
        <w:trPr>
          <w:cantSplit/>
        </w:trPr>
        <w:tc>
          <w:tcPr>
            <w:tcW w:w="714" w:type="dxa"/>
            <w:shd w:val="clear" w:color="auto" w:fill="F4F7FB"/>
            <w:noWrap/>
            <w:vAlign w:val="top"/>
          </w:tcPr>
          <w:p>
            <w:pPr>
              <w:pStyle w:val="TableText"/>
              <w:jc w:val="left"/>
            </w:pPr>
            <w:r>
              <w:t xml:space="preserve">RC-2</w:t>
            </w:r>
          </w:p>
        </w:tc>
        <w:tc>
          <w:tcPr>
            <w:tcW w:w="2522" w:type="dxa"/>
            <w:shd w:val="clear" w:color="auto" w:fill="F4F7FB"/>
            <w:vAlign w:val="top"/>
          </w:tcPr>
          <w:p>
            <w:pPr>
              <w:pStyle w:val="TableText"/>
              <w:jc w:val="left"/>
            </w:pPr>
            <w:r>
              <w:t xml:space="preserve">Duplicate, inconsistent records from many sources</w:t>
            </w:r>
          </w:p>
        </w:tc>
        <w:tc>
          <w:tcPr>
            <w:tcW w:w="5791" w:type="dxa"/>
            <w:shd w:val="clear" w:color="auto" w:fill="F4F7FB"/>
            <w:vAlign w:val="top"/>
          </w:tcPr>
          <w:p>
            <w:pPr>
              <w:pStyle w:val="TableText"/>
              <w:jc w:val="left"/>
            </w:pPr>
            <w:r>
              <w:t xml:space="preserve">Plate and phone normalisation; one record per plate; the most trusted source wins; field-level lineage</w:t>
            </w:r>
          </w:p>
        </w:tc>
      </w:tr>
      <w:tr>
        <w:trPr>
          <w:cantSplit/>
        </w:trPr>
        <w:tc>
          <w:tcPr>
            <w:tcW w:w="714" w:type="dxa"/>
            <w:noWrap/>
            <w:vAlign w:val="top"/>
          </w:tcPr>
          <w:p>
            <w:pPr>
              <w:pStyle w:val="TableText"/>
              <w:jc w:val="left"/>
            </w:pPr>
            <w:r>
              <w:t xml:space="preserve">RC-3</w:t>
            </w:r>
          </w:p>
        </w:tc>
        <w:tc>
          <w:tcPr>
            <w:tcW w:w="2522" w:type="dxa"/>
            <w:vAlign w:val="top"/>
          </w:tcPr>
          <w:p>
            <w:pPr>
              <w:pStyle w:val="TableText"/>
              <w:jc w:val="left"/>
            </w:pPr>
            <w:r>
              <w:t xml:space="preserve">No way to capture what customers tell us</w:t>
            </w:r>
          </w:p>
        </w:tc>
        <w:tc>
          <w:tcPr>
            <w:tcW w:w="5791" w:type="dxa"/>
            <w:vAlign w:val="top"/>
          </w:tcPr>
          <w:p>
            <w:pPr>
              <w:pStyle w:val="TableText"/>
              <w:jc w:val="left"/>
            </w:pPr>
            <w:r>
              <w:t xml:space="preserve">Customer confirms expiry in the app; the assistant records</w:t>
            </w:r>
            <w:r>
              <w:t xml:space="preserve"> </w:t>
            </w:r>
            <w:r>
              <w:t xml:space="preserve">“</w:t>
            </w:r>
            <w:r>
              <w:t xml:space="preserve">already renewed</w:t>
            </w:r>
            <w:r>
              <w:t xml:space="preserve">”</w:t>
            </w:r>
            <w:r>
              <w:t xml:space="preserve">, the insurer and the next date; a TASCO issuance sets confidence to 1.0</w:t>
            </w:r>
          </w:p>
        </w:tc>
      </w:tr>
      <w:tr>
        <w:trPr>
          <w:cantSplit/>
        </w:trPr>
        <w:tc>
          <w:tcPr>
            <w:tcW w:w="714" w:type="dxa"/>
            <w:shd w:val="clear" w:color="auto" w:fill="F4F7FB"/>
            <w:noWrap/>
            <w:vAlign w:val="top"/>
          </w:tcPr>
          <w:p>
            <w:pPr>
              <w:pStyle w:val="TableText"/>
              <w:jc w:val="left"/>
            </w:pPr>
            <w:r>
              <w:t xml:space="preserve">RC-4</w:t>
            </w:r>
          </w:p>
        </w:tc>
        <w:tc>
          <w:tcPr>
            <w:tcW w:w="2522" w:type="dxa"/>
            <w:shd w:val="clear" w:color="auto" w:fill="F4F7FB"/>
            <w:vAlign w:val="top"/>
          </w:tcPr>
          <w:p>
            <w:pPr>
              <w:pStyle w:val="TableText"/>
              <w:jc w:val="left"/>
            </w:pPr>
            <w:r>
              <w:t xml:space="preserve">Distrust of calls</w:t>
            </w:r>
          </w:p>
        </w:tc>
        <w:tc>
          <w:tcPr>
            <w:tcW w:w="5791" w:type="dxa"/>
            <w:shd w:val="clear" w:color="auto" w:fill="F4F7FB"/>
            <w:vAlign w:val="top"/>
          </w:tcPr>
          <w:p>
            <w:pPr>
              <w:pStyle w:val="TableText"/>
              <w:jc w:val="left"/>
            </w:pPr>
            <w:r>
              <w:t xml:space="preserve">Automated-assistant disclosure, plate-first verification, a</w:t>
            </w:r>
            <w:r>
              <w:t xml:space="preserve"> </w:t>
            </w:r>
            <w:r>
              <w:t xml:space="preserve">“</w:t>
            </w:r>
            <w:r>
              <w:t xml:space="preserve">VETC never asks for OTP or payment</w:t>
            </w:r>
            <w:r>
              <w:t xml:space="preserve">”</w:t>
            </w:r>
            <w:r>
              <w:t xml:space="preserve"> </w:t>
            </w:r>
            <w:r>
              <w:t xml:space="preserve">statement, a scam-concern script, payment only in the app</w:t>
            </w:r>
          </w:p>
        </w:tc>
      </w:tr>
      <w:tr>
        <w:trPr>
          <w:cantSplit/>
        </w:trPr>
        <w:tc>
          <w:tcPr>
            <w:tcW w:w="714" w:type="dxa"/>
            <w:noWrap/>
            <w:vAlign w:val="top"/>
          </w:tcPr>
          <w:p>
            <w:pPr>
              <w:pStyle w:val="TableText"/>
              <w:jc w:val="left"/>
            </w:pPr>
            <w:r>
              <w:t xml:space="preserve">RC-5</w:t>
            </w:r>
          </w:p>
        </w:tc>
        <w:tc>
          <w:tcPr>
            <w:tcW w:w="2522" w:type="dxa"/>
            <w:vAlign w:val="top"/>
          </w:tcPr>
          <w:p>
            <w:pPr>
              <w:pStyle w:val="TableText"/>
              <w:jc w:val="left"/>
            </w:pPr>
            <w:r>
              <w:t xml:space="preserve">No independent proof of cover</w:t>
            </w:r>
          </w:p>
        </w:tc>
        <w:tc>
          <w:tcPr>
            <w:tcW w:w="5791" w:type="dxa"/>
            <w:vAlign w:val="top"/>
          </w:tcPr>
          <w:p>
            <w:pPr>
              <w:pStyle w:val="TableText"/>
              <w:jc w:val="left"/>
            </w:pPr>
            <w:r>
              <w:t xml:space="preserve">Public certificate verification by QR, with no personal data shown</w:t>
            </w:r>
          </w:p>
        </w:tc>
      </w:tr>
      <w:tr>
        <w:trPr>
          <w:cantSplit/>
        </w:trPr>
        <w:tc>
          <w:tcPr>
            <w:tcW w:w="714" w:type="dxa"/>
            <w:shd w:val="clear" w:color="auto" w:fill="F4F7FB"/>
            <w:noWrap/>
            <w:vAlign w:val="top"/>
          </w:tcPr>
          <w:p>
            <w:pPr>
              <w:pStyle w:val="TableText"/>
              <w:jc w:val="left"/>
            </w:pPr>
            <w:r>
              <w:t xml:space="preserve">RC-6</w:t>
            </w:r>
          </w:p>
        </w:tc>
        <w:tc>
          <w:tcPr>
            <w:tcW w:w="2522" w:type="dxa"/>
            <w:shd w:val="clear" w:color="auto" w:fill="F4F7FB"/>
            <w:vAlign w:val="top"/>
          </w:tcPr>
          <w:p>
            <w:pPr>
              <w:pStyle w:val="TableText"/>
              <w:jc w:val="left"/>
            </w:pPr>
            <w:r>
              <w:t xml:space="preserve">Price-only mindset</w:t>
            </w:r>
          </w:p>
        </w:tc>
        <w:tc>
          <w:tcPr>
            <w:tcW w:w="5791" w:type="dxa"/>
            <w:shd w:val="clear" w:color="auto" w:fill="F4F7FB"/>
            <w:vAlign w:val="top"/>
          </w:tcPr>
          <w:p>
            <w:pPr>
              <w:pStyle w:val="TableText"/>
              <w:jc w:val="left"/>
            </w:pPr>
            <w:r>
              <w:t xml:space="preserve">Benefits ranked by relevance to each driver; the assistant answers price truthfully and moves to service value</w:t>
            </w:r>
          </w:p>
        </w:tc>
      </w:tr>
      <w:tr>
        <w:trPr>
          <w:cantSplit/>
        </w:trPr>
        <w:tc>
          <w:tcPr>
            <w:tcW w:w="714" w:type="dxa"/>
            <w:noWrap/>
            <w:vAlign w:val="top"/>
          </w:tcPr>
          <w:p>
            <w:pPr>
              <w:pStyle w:val="TableText"/>
              <w:jc w:val="left"/>
            </w:pPr>
            <w:r>
              <w:t xml:space="preserve">RC-7</w:t>
            </w:r>
          </w:p>
        </w:tc>
        <w:tc>
          <w:tcPr>
            <w:tcW w:w="2522" w:type="dxa"/>
            <w:vAlign w:val="top"/>
          </w:tcPr>
          <w:p>
            <w:pPr>
              <w:pStyle w:val="TableText"/>
              <w:jc w:val="left"/>
            </w:pPr>
            <w:r>
              <w:t xml:space="preserve">Buying is harder than through a partner</w:t>
            </w:r>
          </w:p>
        </w:tc>
        <w:tc>
          <w:tcPr>
            <w:tcW w:w="5791" w:type="dxa"/>
            <w:vAlign w:val="top"/>
          </w:tcPr>
          <w:p>
            <w:pPr>
              <w:pStyle w:val="TableText"/>
              <w:jc w:val="left"/>
            </w:pPr>
            <w:r>
              <w:t xml:space="preserve">Signed link, quote priced by TASCO core, VETC wallet payment, e-certificate; telesales send quotes to the app for the customer to pay</w:t>
            </w:r>
          </w:p>
        </w:tc>
      </w:tr>
      <w:tr>
        <w:trPr>
          <w:cantSplit/>
        </w:trPr>
        <w:tc>
          <w:tcPr>
            <w:tcW w:w="714" w:type="dxa"/>
            <w:shd w:val="clear" w:color="auto" w:fill="F4F7FB"/>
            <w:noWrap/>
            <w:vAlign w:val="top"/>
          </w:tcPr>
          <w:p>
            <w:pPr>
              <w:pStyle w:val="TableText"/>
              <w:jc w:val="left"/>
            </w:pPr>
            <w:r>
              <w:t xml:space="preserve">RC-8</w:t>
            </w:r>
          </w:p>
        </w:tc>
        <w:tc>
          <w:tcPr>
            <w:tcW w:w="2522" w:type="dxa"/>
            <w:shd w:val="clear" w:color="auto" w:fill="F4F7FB"/>
            <w:vAlign w:val="top"/>
          </w:tcPr>
          <w:p>
            <w:pPr>
              <w:pStyle w:val="TableText"/>
              <w:jc w:val="left"/>
            </w:pPr>
            <w:r>
              <w:t xml:space="preserve">Partners hold the point of sale</w:t>
            </w:r>
          </w:p>
        </w:tc>
        <w:tc>
          <w:tcPr>
            <w:tcW w:w="5791" w:type="dxa"/>
            <w:shd w:val="clear" w:color="auto" w:fill="F4F7FB"/>
            <w:vAlign w:val="top"/>
          </w:tcPr>
          <w:p>
            <w:pPr>
              <w:pStyle w:val="TableText"/>
              <w:jc w:val="left"/>
            </w:pPr>
            <w:r>
              <w:t xml:space="preserve">Partner API to quote and bind by plate, with transparent commission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Growth strategy</w:t>
      </w:r>
      <w:bookmarkEnd w:id="21"/>
    </w:p>
    <w:p>
      <w:pPr>
        <w:pStyle w:val="FirstParagraph"/>
      </w:pPr>
      <w:r>
        <w:t xml:space="preserve">TASCO asked us not to limit the scope to TNDS renewals. The strategy therefore treats the VETC base as a portfolio of segments, each with its own objective, journey and economics. Each vehicle is placed in the first matching journey by priority, and all contact stops as soon as the vehicle is insured with TASCO.</w:t>
      </w:r>
    </w:p>
    <w:p>
      <w:pPr>
        <w:pStyle w:val="Heading2"/>
      </w:pPr>
      <w:bookmarkStart w:id="22" w:name="_Toc300000018"/>
      <w:r>
        <w:t xml:space="preserve">Segments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4"/>
        <w:gridCol w:w="1637"/>
        <w:gridCol w:w="2841"/>
        <w:gridCol w:w="1649"/>
        <w:gridCol w:w="2066"/>
      </w:tblGrid>
      <w:tr>
        <w:trPr>
          <w:cantSplit/>
          <w:tblHeader/>
        </w:trPr>
        <w:tc>
          <w:tcPr>
            <w:tcW w:w="834" w:type="dxa"/>
            <w:shd w:val="clear" w:color="auto" w:fill="0F4761"/>
            <w:vAlign w:val="center"/>
          </w:tcPr>
          <w:p>
            <w:pPr>
              <w:pStyle w:val="TableHeading"/>
              <w:jc w:val="left"/>
            </w:pPr>
            <w:r>
              <w:rPr>
                <w:color w:val="FFFFFF"/>
              </w:rPr>
              <w:t xml:space="preserve">Ref</w:t>
            </w:r>
          </w:p>
        </w:tc>
        <w:tc>
          <w:tcPr>
            <w:tcW w:w="1637" w:type="dxa"/>
            <w:shd w:val="clear" w:color="auto" w:fill="0F4761"/>
            <w:vAlign w:val="center"/>
          </w:tcPr>
          <w:p>
            <w:pPr>
              <w:pStyle w:val="TableHeading"/>
              <w:jc w:val="left"/>
            </w:pPr>
            <w:r>
              <w:rPr>
                <w:color w:val="FFFFFF"/>
              </w:rPr>
              <w:t xml:space="preserve">Segment</w:t>
            </w:r>
          </w:p>
        </w:tc>
        <w:tc>
          <w:tcPr>
            <w:tcW w:w="2841" w:type="dxa"/>
            <w:shd w:val="clear" w:color="auto" w:fill="0F4761"/>
            <w:vAlign w:val="center"/>
          </w:tcPr>
          <w:p>
            <w:pPr>
              <w:pStyle w:val="TableHeading"/>
              <w:jc w:val="left"/>
            </w:pPr>
            <w:r>
              <w:rPr>
                <w:color w:val="FFFFFF"/>
              </w:rPr>
              <w:t xml:space="preserve">Definition</w:t>
            </w:r>
          </w:p>
        </w:tc>
        <w:tc>
          <w:tcPr>
            <w:tcW w:w="1649" w:type="dxa"/>
            <w:shd w:val="clear" w:color="auto" w:fill="0F4761"/>
            <w:vAlign w:val="center"/>
          </w:tcPr>
          <w:p>
            <w:pPr>
              <w:pStyle w:val="TableHeading"/>
              <w:jc w:val="left"/>
            </w:pPr>
            <w:r>
              <w:rPr>
                <w:color w:val="FFFFFF"/>
              </w:rPr>
              <w:t xml:space="preserve">Objective</w:t>
            </w:r>
          </w:p>
        </w:tc>
        <w:tc>
          <w:tcPr>
            <w:tcW w:w="2066" w:type="dxa"/>
            <w:shd w:val="clear" w:color="auto" w:fill="0F4761"/>
            <w:vAlign w:val="center"/>
          </w:tcPr>
          <w:p>
            <w:pPr>
              <w:pStyle w:val="TableHeading"/>
              <w:jc w:val="left"/>
            </w:pPr>
            <w:r>
              <w:rPr>
                <w:color w:val="FFFFFF"/>
              </w:rPr>
              <w:t xml:space="preserve">Journey</w:t>
            </w:r>
          </w:p>
        </w:tc>
      </w:tr>
      <w:tr>
        <w:trPr>
          <w:cantSplit/>
        </w:trPr>
        <w:tc>
          <w:tcPr>
            <w:tcW w:w="834" w:type="dxa"/>
            <w:noWrap/>
            <w:vAlign w:val="top"/>
          </w:tcPr>
          <w:p>
            <w:pPr>
              <w:pStyle w:val="TableText"/>
              <w:jc w:val="left"/>
            </w:pPr>
            <w:r>
              <w:t xml:space="preserve">SEG-1</w:t>
            </w:r>
          </w:p>
        </w:tc>
        <w:tc>
          <w:tcPr>
            <w:tcW w:w="1637" w:type="dxa"/>
            <w:vAlign w:val="top"/>
          </w:tcPr>
          <w:p>
            <w:pPr>
              <w:pStyle w:val="TableText"/>
              <w:jc w:val="left"/>
            </w:pPr>
            <w:r>
              <w:t xml:space="preserve">Uninsured or lapsed</w:t>
            </w:r>
          </w:p>
        </w:tc>
        <w:tc>
          <w:tcPr>
            <w:tcW w:w="2841" w:type="dxa"/>
            <w:vAlign w:val="top"/>
          </w:tcPr>
          <w:p>
            <w:pPr>
              <w:pStyle w:val="TableText"/>
              <w:jc w:val="left"/>
            </w:pPr>
            <w:r>
              <w:t xml:space="preserve">Expiry passed within the last 60 days, confidence at least 0.5</w:t>
            </w:r>
          </w:p>
        </w:tc>
        <w:tc>
          <w:tcPr>
            <w:tcW w:w="1649" w:type="dxa"/>
            <w:vAlign w:val="top"/>
          </w:tcPr>
          <w:p>
            <w:pPr>
              <w:pStyle w:val="TableText"/>
              <w:jc w:val="left"/>
            </w:pPr>
            <w:r>
              <w:t xml:space="preserve">New business</w:t>
            </w:r>
          </w:p>
        </w:tc>
        <w:tc>
          <w:tcPr>
            <w:tcW w:w="2066" w:type="dxa"/>
            <w:vAlign w:val="top"/>
          </w:tcPr>
          <w:p>
            <w:pPr>
              <w:pStyle w:val="TableText"/>
              <w:jc w:val="left"/>
            </w:pPr>
            <w:r>
              <w:t xml:space="preserve">Uninsured recovery (priority 1)</w:t>
            </w:r>
          </w:p>
        </w:tc>
      </w:tr>
      <w:tr>
        <w:trPr>
          <w:cantSplit/>
        </w:trPr>
        <w:tc>
          <w:tcPr>
            <w:tcW w:w="834" w:type="dxa"/>
            <w:shd w:val="clear" w:color="auto" w:fill="F4F7FB"/>
            <w:noWrap/>
            <w:vAlign w:val="top"/>
          </w:tcPr>
          <w:p>
            <w:pPr>
              <w:pStyle w:val="TableText"/>
              <w:jc w:val="left"/>
            </w:pPr>
            <w:r>
              <w:t xml:space="preserve">SEG-2</w:t>
            </w:r>
          </w:p>
        </w:tc>
        <w:tc>
          <w:tcPr>
            <w:tcW w:w="1637" w:type="dxa"/>
            <w:shd w:val="clear" w:color="auto" w:fill="F4F7FB"/>
            <w:vAlign w:val="top"/>
          </w:tcPr>
          <w:p>
            <w:pPr>
              <w:pStyle w:val="TableText"/>
              <w:jc w:val="left"/>
            </w:pPr>
            <w:r>
              <w:t xml:space="preserve">New vehicle</w:t>
            </w:r>
          </w:p>
        </w:tc>
        <w:tc>
          <w:tcPr>
            <w:tcW w:w="2841" w:type="dxa"/>
            <w:shd w:val="clear" w:color="auto" w:fill="F4F7FB"/>
            <w:vAlign w:val="top"/>
          </w:tcPr>
          <w:p>
            <w:pPr>
              <w:pStyle w:val="TableText"/>
              <w:jc w:val="left"/>
            </w:pPr>
            <w:r>
              <w:t xml:space="preserve">Tag activated in the last 60 days, insurer not TASCO</w:t>
            </w:r>
          </w:p>
        </w:tc>
        <w:tc>
          <w:tcPr>
            <w:tcW w:w="1649" w:type="dxa"/>
            <w:shd w:val="clear" w:color="auto" w:fill="F4F7FB"/>
            <w:vAlign w:val="top"/>
          </w:tcPr>
          <w:p>
            <w:pPr>
              <w:pStyle w:val="TableText"/>
              <w:jc w:val="left"/>
            </w:pPr>
            <w:r>
              <w:t xml:space="preserve">New business</w:t>
            </w:r>
          </w:p>
        </w:tc>
        <w:tc>
          <w:tcPr>
            <w:tcW w:w="2066" w:type="dxa"/>
            <w:shd w:val="clear" w:color="auto" w:fill="F4F7FB"/>
            <w:vAlign w:val="top"/>
          </w:tcPr>
          <w:p>
            <w:pPr>
              <w:pStyle w:val="TableText"/>
              <w:jc w:val="left"/>
            </w:pPr>
            <w:r>
              <w:t xml:space="preserve">New vehicle (priority 2)</w:t>
            </w:r>
          </w:p>
        </w:tc>
      </w:tr>
      <w:tr>
        <w:trPr>
          <w:cantSplit/>
        </w:trPr>
        <w:tc>
          <w:tcPr>
            <w:tcW w:w="834" w:type="dxa"/>
            <w:noWrap/>
            <w:vAlign w:val="top"/>
          </w:tcPr>
          <w:p>
            <w:pPr>
              <w:pStyle w:val="TableText"/>
              <w:jc w:val="left"/>
            </w:pPr>
            <w:r>
              <w:t xml:space="preserve">SEG-3</w:t>
            </w:r>
          </w:p>
        </w:tc>
        <w:tc>
          <w:tcPr>
            <w:tcW w:w="1637" w:type="dxa"/>
            <w:vAlign w:val="top"/>
          </w:tcPr>
          <w:p>
            <w:pPr>
              <w:pStyle w:val="TableText"/>
              <w:jc w:val="left"/>
            </w:pPr>
            <w:r>
              <w:t xml:space="preserve">TASCO renewal</w:t>
            </w:r>
          </w:p>
        </w:tc>
        <w:tc>
          <w:tcPr>
            <w:tcW w:w="2841" w:type="dxa"/>
            <w:vAlign w:val="top"/>
          </w:tcPr>
          <w:p>
            <w:pPr>
              <w:pStyle w:val="TableText"/>
              <w:jc w:val="left"/>
            </w:pPr>
            <w:r>
              <w:t xml:space="preserve">Current insurer is TASCO</w:t>
            </w:r>
          </w:p>
        </w:tc>
        <w:tc>
          <w:tcPr>
            <w:tcW w:w="1649" w:type="dxa"/>
            <w:vAlign w:val="top"/>
          </w:tcPr>
          <w:p>
            <w:pPr>
              <w:pStyle w:val="TableText"/>
              <w:jc w:val="left"/>
            </w:pPr>
            <w:r>
              <w:t xml:space="preserve">Retention</w:t>
            </w:r>
          </w:p>
        </w:tc>
        <w:tc>
          <w:tcPr>
            <w:tcW w:w="2066" w:type="dxa"/>
            <w:vAlign w:val="top"/>
          </w:tcPr>
          <w:p>
            <w:pPr>
              <w:pStyle w:val="TableText"/>
              <w:jc w:val="left"/>
            </w:pPr>
            <w:r>
              <w:t xml:space="preserve">Renewal, TASCO book (priority 3)</w:t>
            </w:r>
          </w:p>
        </w:tc>
      </w:tr>
      <w:tr>
        <w:trPr>
          <w:cantSplit/>
        </w:trPr>
        <w:tc>
          <w:tcPr>
            <w:tcW w:w="834" w:type="dxa"/>
            <w:shd w:val="clear" w:color="auto" w:fill="F4F7FB"/>
            <w:noWrap/>
            <w:vAlign w:val="top"/>
          </w:tcPr>
          <w:p>
            <w:pPr>
              <w:pStyle w:val="TableText"/>
              <w:jc w:val="left"/>
            </w:pPr>
            <w:r>
              <w:t xml:space="preserve">SEG-4</w:t>
            </w:r>
          </w:p>
        </w:tc>
        <w:tc>
          <w:tcPr>
            <w:tcW w:w="1637" w:type="dxa"/>
            <w:shd w:val="clear" w:color="auto" w:fill="F4F7FB"/>
            <w:vAlign w:val="top"/>
          </w:tcPr>
          <w:p>
            <w:pPr>
              <w:pStyle w:val="TableText"/>
              <w:jc w:val="left"/>
            </w:pPr>
            <w:r>
              <w:t xml:space="preserve">Conquest</w:t>
            </w:r>
          </w:p>
        </w:tc>
        <w:tc>
          <w:tcPr>
            <w:tcW w:w="2841" w:type="dxa"/>
            <w:shd w:val="clear" w:color="auto" w:fill="F4F7FB"/>
            <w:vAlign w:val="top"/>
          </w:tcPr>
          <w:p>
            <w:pPr>
              <w:pStyle w:val="TableText"/>
              <w:jc w:val="left"/>
            </w:pPr>
            <w:r>
              <w:t xml:space="preserve">Insured elsewhere or insurer unknown</w:t>
            </w:r>
          </w:p>
        </w:tc>
        <w:tc>
          <w:tcPr>
            <w:tcW w:w="1649" w:type="dxa"/>
            <w:shd w:val="clear" w:color="auto" w:fill="F4F7FB"/>
            <w:vAlign w:val="top"/>
          </w:tcPr>
          <w:p>
            <w:pPr>
              <w:pStyle w:val="TableText"/>
              <w:jc w:val="left"/>
            </w:pPr>
            <w:r>
              <w:t xml:space="preserve">New business</w:t>
            </w:r>
          </w:p>
        </w:tc>
        <w:tc>
          <w:tcPr>
            <w:tcW w:w="2066" w:type="dxa"/>
            <w:shd w:val="clear" w:color="auto" w:fill="F4F7FB"/>
            <w:vAlign w:val="top"/>
          </w:tcPr>
          <w:p>
            <w:pPr>
              <w:pStyle w:val="TableText"/>
              <w:jc w:val="left"/>
            </w:pPr>
            <w:r>
              <w:t xml:space="preserve">Conquest, other insurer (priority 4)</w:t>
            </w:r>
          </w:p>
        </w:tc>
      </w:tr>
      <w:tr>
        <w:trPr>
          <w:cantSplit/>
        </w:trPr>
        <w:tc>
          <w:tcPr>
            <w:tcW w:w="834" w:type="dxa"/>
            <w:noWrap/>
            <w:vAlign w:val="top"/>
          </w:tcPr>
          <w:p>
            <w:pPr>
              <w:pStyle w:val="TableText"/>
              <w:jc w:val="left"/>
            </w:pPr>
            <w:r>
              <w:t xml:space="preserve">SEG-5</w:t>
            </w:r>
          </w:p>
        </w:tc>
        <w:tc>
          <w:tcPr>
            <w:tcW w:w="1637" w:type="dxa"/>
            <w:noWrap/>
            <w:vAlign w:val="top"/>
          </w:tcPr>
          <w:p>
            <w:pPr>
              <w:pStyle w:val="TableText"/>
              <w:jc w:val="left"/>
            </w:pPr>
            <w:r>
              <w:t xml:space="preserve">Cross-sell</w:t>
            </w:r>
          </w:p>
        </w:tc>
        <w:tc>
          <w:tcPr>
            <w:tcW w:w="2841" w:type="dxa"/>
            <w:vAlign w:val="top"/>
          </w:tcPr>
          <w:p>
            <w:pPr>
              <w:pStyle w:val="TableText"/>
              <w:jc w:val="left"/>
            </w:pPr>
            <w:r>
              <w:t xml:space="preserve">Bought TNDS only and gave marketing consent</w:t>
            </w:r>
          </w:p>
        </w:tc>
        <w:tc>
          <w:tcPr>
            <w:tcW w:w="1649" w:type="dxa"/>
            <w:noWrap/>
            <w:vAlign w:val="top"/>
          </w:tcPr>
          <w:p>
            <w:pPr>
              <w:pStyle w:val="TableText"/>
              <w:jc w:val="left"/>
            </w:pPr>
            <w:r>
              <w:t xml:space="preserve">Cross-sell</w:t>
            </w:r>
          </w:p>
        </w:tc>
        <w:tc>
          <w:tcPr>
            <w:tcW w:w="2066" w:type="dxa"/>
            <w:vAlign w:val="top"/>
          </w:tcPr>
          <w:p>
            <w:pPr>
              <w:pStyle w:val="TableText"/>
              <w:jc w:val="left"/>
            </w:pPr>
            <w:r>
              <w:t xml:space="preserve">Cross-sell, one day after purchase</w:t>
            </w:r>
          </w:p>
        </w:tc>
      </w:tr>
      <w:tr>
        <w:trPr>
          <w:cantSplit/>
        </w:trPr>
        <w:tc>
          <w:tcPr>
            <w:tcW w:w="834" w:type="dxa"/>
            <w:shd w:val="clear" w:color="auto" w:fill="F4F7FB"/>
            <w:noWrap/>
            <w:vAlign w:val="top"/>
          </w:tcPr>
          <w:p>
            <w:pPr>
              <w:pStyle w:val="TableText"/>
              <w:jc w:val="left"/>
            </w:pPr>
            <w:r>
              <w:t xml:space="preserve">SEG-6</w:t>
            </w:r>
          </w:p>
        </w:tc>
        <w:tc>
          <w:tcPr>
            <w:tcW w:w="1637" w:type="dxa"/>
            <w:shd w:val="clear" w:color="auto" w:fill="F4F7FB"/>
            <w:vAlign w:val="top"/>
          </w:tcPr>
          <w:p>
            <w:pPr>
              <w:pStyle w:val="TableText"/>
              <w:jc w:val="left"/>
            </w:pPr>
            <w:r>
              <w:t xml:space="preserve">Fleet</w:t>
            </w:r>
          </w:p>
        </w:tc>
        <w:tc>
          <w:tcPr>
            <w:tcW w:w="2841" w:type="dxa"/>
            <w:shd w:val="clear" w:color="auto" w:fill="F4F7FB"/>
            <w:vAlign w:val="top"/>
          </w:tcPr>
          <w:p>
            <w:pPr>
              <w:pStyle w:val="TableText"/>
              <w:jc w:val="left"/>
            </w:pPr>
            <w:r>
              <w:t xml:space="preserve">Company-owned vehicle</w:t>
            </w:r>
          </w:p>
        </w:tc>
        <w:tc>
          <w:tcPr>
            <w:tcW w:w="1649" w:type="dxa"/>
            <w:shd w:val="clear" w:color="auto" w:fill="F4F7FB"/>
            <w:vAlign w:val="top"/>
          </w:tcPr>
          <w:p>
            <w:pPr>
              <w:pStyle w:val="TableText"/>
              <w:jc w:val="left"/>
            </w:pPr>
            <w:r>
              <w:t xml:space="preserve">New business and retention</w:t>
            </w:r>
          </w:p>
        </w:tc>
        <w:tc>
          <w:tcPr>
            <w:tcW w:w="2066" w:type="dxa"/>
            <w:shd w:val="clear" w:color="auto" w:fill="F4F7FB"/>
            <w:vAlign w:val="top"/>
          </w:tcPr>
          <w:p>
            <w:pPr>
              <w:pStyle w:val="TableText"/>
              <w:jc w:val="left"/>
            </w:pPr>
            <w:r>
              <w:t xml:space="preserve">Routed to the B2B team</w:t>
            </w:r>
          </w:p>
        </w:tc>
      </w:tr>
      <w:tr>
        <w:trPr>
          <w:cantSplit/>
        </w:trPr>
        <w:tc>
          <w:tcPr>
            <w:tcW w:w="834" w:type="dxa"/>
            <w:noWrap/>
            <w:vAlign w:val="top"/>
          </w:tcPr>
          <w:p>
            <w:pPr>
              <w:pStyle w:val="TableText"/>
              <w:jc w:val="left"/>
            </w:pPr>
            <w:r>
              <w:t xml:space="preserve">SEG-7</w:t>
            </w:r>
          </w:p>
        </w:tc>
        <w:tc>
          <w:tcPr>
            <w:tcW w:w="1637" w:type="dxa"/>
            <w:noWrap/>
            <w:vAlign w:val="top"/>
          </w:tcPr>
          <w:p>
            <w:pPr>
              <w:pStyle w:val="TableText"/>
              <w:jc w:val="left"/>
            </w:pPr>
            <w:r>
              <w:t xml:space="preserve">Partner-led</w:t>
            </w:r>
          </w:p>
        </w:tc>
        <w:tc>
          <w:tcPr>
            <w:tcW w:w="2841" w:type="dxa"/>
            <w:vAlign w:val="top"/>
          </w:tcPr>
          <w:p>
            <w:pPr>
              <w:pStyle w:val="TableText"/>
              <w:jc w:val="left"/>
            </w:pPr>
            <w:r>
              <w:t xml:space="preserve">Sold by a bank, showroom, agent, fleet operator or inspection centre</w:t>
            </w:r>
          </w:p>
        </w:tc>
        <w:tc>
          <w:tcPr>
            <w:tcW w:w="1649" w:type="dxa"/>
            <w:vAlign w:val="top"/>
          </w:tcPr>
          <w:p>
            <w:pPr>
              <w:pStyle w:val="TableText"/>
              <w:jc w:val="left"/>
            </w:pPr>
            <w:r>
              <w:t xml:space="preserve">New business</w:t>
            </w:r>
          </w:p>
        </w:tc>
        <w:tc>
          <w:tcPr>
            <w:tcW w:w="2066" w:type="dxa"/>
            <w:vAlign w:val="top"/>
          </w:tcPr>
          <w:p>
            <w:pPr>
              <w:pStyle w:val="TableText"/>
              <w:jc w:val="left"/>
            </w:pPr>
            <w:r>
              <w:t xml:space="preserve">Partner API</w:t>
            </w:r>
          </w:p>
        </w:tc>
      </w:tr>
    </w:tbl>
    <w:p>
      <w:pPr>
        <w:pStyle w:val="BodyText"/>
        <w:spacing w:before="160"/>
      </w:pPr>
      <w:r>
        <w:t xml:space="preserve">The diagram shows how a vehicle reaches a journey. Separately, a vehicle whose expiry confidence is below 0.5 receives</w:t>
      </w:r>
      <w:r>
        <w:t xml:space="preserve"> </w:t>
      </w:r>
      <w:r>
        <w:t xml:space="preserve">“</w:t>
      </w:r>
      <w:r>
        <w:t xml:space="preserve">Ask customer to confirm expiry</w:t>
      </w:r>
      <w:r>
        <w:t xml:space="preserve">”</w:t>
      </w:r>
      <w:r>
        <w:t xml:space="preserve"> </w:t>
      </w:r>
      <w:r>
        <w:t xml:space="preserve">as its next best action, so data repair comes before selling.</w:t>
      </w:r>
    </w:p>
    <w:p xmlns:a="http://schemas.openxmlformats.org/drawingml/2006/main" xmlns:pic="http://schemas.openxmlformats.org/drawingml/2006/picture">
      <w:pPr>
        <w:pStyle w:val="Figure"/>
      </w:pPr>
      <w:r>
        <w:drawing>
          <wp:inline>
            <wp:extent cx="5727700" cy="6172030"/>
            <wp:effectExtent b="0" l="0" r="0" t="0"/>
            <wp:docPr descr="How a vehicle record is routed to a journey" title="" id="5003" name="Picture"/>
            <a:graphic>
              <a:graphicData uri="http://schemas.openxmlformats.org/drawingml/2006/picture">
                <pic:pic>
                  <pic:nvPicPr>
                    <pic:cNvPr descr="/home/user/TASCO/tools/docs-source/gen/.cache/mermaid/7b17ed5194878966.png" id="40" name="Picture"/>
                    <pic:cNvPicPr>
                      <a:picLocks noChangeArrowheads="1" noChangeAspect="1"/>
                    </pic:cNvPicPr>
                  </pic:nvPicPr>
                  <pic:blipFill>
                    <a:blip r:embed="rIdG3"/>
                    <a:stretch>
                      <a:fillRect/>
                    </a:stretch>
                  </pic:blipFill>
                  <pic:spPr bwMode="auto">
                    <a:xfrm>
                      <a:off x="0" y="0"/>
                      <a:ext cx="5727700" cy="6172030"/>
                    </a:xfrm>
                    <a:prstGeom prst="rect">
                      <a:avLst/>
                    </a:prstGeom>
                    <a:noFill/>
                    <a:ln w="9525">
                      <a:noFill/>
                      <a:headEnd/>
                      <a:tailEnd/>
                    </a:ln>
                  </pic:spPr>
                </pic:pic>
              </a:graphicData>
            </a:graphic>
          </wp:inline>
        </w:drawing>
      </w:r>
    </w:p>
    <w:p>
      <w:pPr>
        <w:pStyle w:val="Caption"/>
      </w:pPr>
      <w:r>
        <w:t xml:space="preserve">Figure 2 – How a vehicle record is routed to a journey</w:t>
      </w:r>
    </w:p>
    <w:p>
      <w:pPr>
        <w:pStyle w:val="Heading2"/>
      </w:pPr>
      <w:bookmarkStart w:id="23" w:name="_Toc300000019"/>
      <w:r>
        <w:t xml:space="preserve">Plays by segment</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42"/>
        <w:gridCol w:w="2050"/>
        <w:gridCol w:w="1848"/>
        <w:gridCol w:w="1231"/>
        <w:gridCol w:w="2356"/>
      </w:tblGrid>
      <w:tr>
        <w:trPr>
          <w:cantSplit/>
          <w:tblHeader/>
        </w:trPr>
        <w:tc>
          <w:tcPr>
            <w:tcW w:w="1542" w:type="dxa"/>
            <w:shd w:val="clear" w:color="auto" w:fill="0F4761"/>
            <w:vAlign w:val="center"/>
          </w:tcPr>
          <w:p>
            <w:pPr>
              <w:pStyle w:val="TableHeading"/>
              <w:jc w:val="left"/>
            </w:pPr>
            <w:r>
              <w:rPr>
                <w:color w:val="FFFFFF"/>
              </w:rPr>
              <w:t xml:space="preserve">Segment</w:t>
            </w:r>
          </w:p>
        </w:tc>
        <w:tc>
          <w:tcPr>
            <w:tcW w:w="2050" w:type="dxa"/>
            <w:shd w:val="clear" w:color="auto" w:fill="0F4761"/>
            <w:vAlign w:val="center"/>
          </w:tcPr>
          <w:p>
            <w:pPr>
              <w:pStyle w:val="TableHeading"/>
              <w:jc w:val="left"/>
            </w:pPr>
            <w:r>
              <w:rPr>
                <w:color w:val="FFFFFF"/>
              </w:rPr>
              <w:t xml:space="preserve">Why they buy here</w:t>
            </w:r>
          </w:p>
        </w:tc>
        <w:tc>
          <w:tcPr>
            <w:tcW w:w="1848" w:type="dxa"/>
            <w:shd w:val="clear" w:color="auto" w:fill="0F4761"/>
            <w:vAlign w:val="center"/>
          </w:tcPr>
          <w:p>
            <w:pPr>
              <w:pStyle w:val="TableHeading"/>
              <w:jc w:val="left"/>
            </w:pPr>
            <w:r>
              <w:rPr>
                <w:color w:val="FFFFFF"/>
              </w:rPr>
              <w:t xml:space="preserve">Lead message</w:t>
            </w:r>
          </w:p>
        </w:tc>
        <w:tc>
          <w:tcPr>
            <w:tcW w:w="1231" w:type="dxa"/>
            <w:shd w:val="clear" w:color="auto" w:fill="0F4761"/>
            <w:vAlign w:val="center"/>
          </w:tcPr>
          <w:p>
            <w:pPr>
              <w:pStyle w:val="TableHeading"/>
              <w:jc w:val="left"/>
            </w:pPr>
            <w:r>
              <w:rPr>
                <w:color w:val="FFFFFF"/>
              </w:rPr>
              <w:t xml:space="preserve">Channel order</w:t>
            </w:r>
          </w:p>
        </w:tc>
        <w:tc>
          <w:tcPr>
            <w:tcW w:w="2356" w:type="dxa"/>
            <w:shd w:val="clear" w:color="auto" w:fill="0F4761"/>
            <w:vAlign w:val="center"/>
          </w:tcPr>
          <w:p>
            <w:pPr>
              <w:pStyle w:val="TableHeading"/>
              <w:jc w:val="left"/>
            </w:pPr>
            <w:r>
              <w:rPr>
                <w:color w:val="FFFFFF"/>
              </w:rPr>
              <w:t xml:space="preserve">Escalation</w:t>
            </w:r>
          </w:p>
        </w:tc>
      </w:tr>
      <w:tr>
        <w:trPr>
          <w:cantSplit/>
        </w:trPr>
        <w:tc>
          <w:tcPr>
            <w:tcW w:w="1542" w:type="dxa"/>
            <w:vAlign w:val="top"/>
          </w:tcPr>
          <w:p>
            <w:pPr>
              <w:pStyle w:val="TableText"/>
              <w:jc w:val="left"/>
            </w:pPr>
            <w:r>
              <w:t xml:space="preserve">SEG-1 Lapsed</w:t>
            </w:r>
          </w:p>
        </w:tc>
        <w:tc>
          <w:tcPr>
            <w:tcW w:w="2050" w:type="dxa"/>
            <w:vAlign w:val="top"/>
          </w:tcPr>
          <w:p>
            <w:pPr>
              <w:pStyle w:val="TableText"/>
              <w:jc w:val="left"/>
            </w:pPr>
            <w:r>
              <w:t xml:space="preserve">Legal exposure; inspection blocked without TNDS</w:t>
            </w:r>
          </w:p>
        </w:tc>
        <w:tc>
          <w:tcPr>
            <w:tcW w:w="1848" w:type="dxa"/>
            <w:vAlign w:val="top"/>
          </w:tcPr>
          <w:p>
            <w:pPr>
              <w:pStyle w:val="TableText"/>
              <w:jc w:val="left"/>
            </w:pPr>
            <w:r>
              <w:t xml:space="preserve">Lapsed notice (service)</w:t>
            </w:r>
          </w:p>
        </w:tc>
        <w:tc>
          <w:tcPr>
            <w:tcW w:w="1231" w:type="dxa"/>
            <w:vAlign w:val="top"/>
          </w:tcPr>
          <w:p>
            <w:pPr>
              <w:pStyle w:val="TableText"/>
              <w:jc w:val="left"/>
            </w:pPr>
            <w:r>
              <w:t xml:space="preserve">Push, Zalo, SMS</w:t>
            </w:r>
          </w:p>
        </w:tc>
        <w:tc>
          <w:tcPr>
            <w:tcW w:w="2356" w:type="dxa"/>
            <w:vAlign w:val="top"/>
          </w:tcPr>
          <w:p>
            <w:pPr>
              <w:pStyle w:val="TableText"/>
              <w:jc w:val="left"/>
            </w:pPr>
            <w:r>
              <w:t xml:space="preserve">Assistant at day 2 (hot or warm); telesales at day 5 (hot)</w:t>
            </w:r>
          </w:p>
        </w:tc>
      </w:tr>
      <w:tr>
        <w:trPr>
          <w:cantSplit/>
        </w:trPr>
        <w:tc>
          <w:tcPr>
            <w:tcW w:w="1542" w:type="dxa"/>
            <w:shd w:val="clear" w:color="auto" w:fill="F4F7FB"/>
            <w:vAlign w:val="top"/>
          </w:tcPr>
          <w:p>
            <w:pPr>
              <w:pStyle w:val="TableText"/>
              <w:jc w:val="left"/>
            </w:pPr>
            <w:r>
              <w:t xml:space="preserve">SEG-2 New vehicle</w:t>
            </w:r>
          </w:p>
        </w:tc>
        <w:tc>
          <w:tcPr>
            <w:tcW w:w="2050" w:type="dxa"/>
            <w:shd w:val="clear" w:color="auto" w:fill="F4F7FB"/>
            <w:vAlign w:val="top"/>
          </w:tcPr>
          <w:p>
            <w:pPr>
              <w:pStyle w:val="TableText"/>
              <w:jc w:val="left"/>
            </w:pPr>
            <w:r>
              <w:t xml:space="preserve">First weeks in the ecosystem</w:t>
            </w:r>
          </w:p>
        </w:tc>
        <w:tc>
          <w:tcPr>
            <w:tcW w:w="1848" w:type="dxa"/>
            <w:shd w:val="clear" w:color="auto" w:fill="F4F7FB"/>
            <w:vAlign w:val="top"/>
          </w:tcPr>
          <w:p>
            <w:pPr>
              <w:pStyle w:val="TableText"/>
              <w:jc w:val="left"/>
            </w:pPr>
            <w:r>
              <w:t xml:space="preserve">Welcome; confirm expiry</w:t>
            </w:r>
          </w:p>
        </w:tc>
        <w:tc>
          <w:tcPr>
            <w:tcW w:w="1231" w:type="dxa"/>
            <w:shd w:val="clear" w:color="auto" w:fill="F4F7FB"/>
            <w:vAlign w:val="top"/>
          </w:tcPr>
          <w:p>
            <w:pPr>
              <w:pStyle w:val="TableText"/>
              <w:jc w:val="left"/>
            </w:pPr>
            <w:r>
              <w:t xml:space="preserve">Push, Zalo</w:t>
            </w:r>
          </w:p>
        </w:tc>
        <w:tc>
          <w:tcPr>
            <w:tcW w:w="2356" w:type="dxa"/>
            <w:shd w:val="clear" w:color="auto" w:fill="F4F7FB"/>
            <w:vAlign w:val="top"/>
          </w:tcPr>
          <w:p>
            <w:pPr>
              <w:pStyle w:val="TableText"/>
              <w:jc w:val="left"/>
            </w:pPr>
            <w:r>
              <w:t xml:space="preserve">Value reminder at day 14</w:t>
            </w:r>
          </w:p>
        </w:tc>
      </w:tr>
      <w:tr>
        <w:trPr>
          <w:cantSplit/>
        </w:trPr>
        <w:tc>
          <w:tcPr>
            <w:tcW w:w="1542" w:type="dxa"/>
            <w:vAlign w:val="top"/>
          </w:tcPr>
          <w:p>
            <w:pPr>
              <w:pStyle w:val="TableText"/>
              <w:jc w:val="left"/>
            </w:pPr>
            <w:r>
              <w:t xml:space="preserve">SEG-3 Renewal</w:t>
            </w:r>
          </w:p>
        </w:tc>
        <w:tc>
          <w:tcPr>
            <w:tcW w:w="2050" w:type="dxa"/>
            <w:vAlign w:val="top"/>
          </w:tcPr>
          <w:p>
            <w:pPr>
              <w:pStyle w:val="TableText"/>
              <w:jc w:val="left"/>
            </w:pPr>
            <w:r>
              <w:t xml:space="preserve">Already a TASCO customer</w:t>
            </w:r>
          </w:p>
        </w:tc>
        <w:tc>
          <w:tcPr>
            <w:tcW w:w="1848" w:type="dxa"/>
            <w:vAlign w:val="top"/>
          </w:tcPr>
          <w:p>
            <w:pPr>
              <w:pStyle w:val="TableText"/>
              <w:jc w:val="left"/>
            </w:pPr>
            <w:r>
              <w:t xml:space="preserve">First, urgent and expiry-day reminders</w:t>
            </w:r>
          </w:p>
        </w:tc>
        <w:tc>
          <w:tcPr>
            <w:tcW w:w="1231" w:type="dxa"/>
            <w:vAlign w:val="top"/>
          </w:tcPr>
          <w:p>
            <w:pPr>
              <w:pStyle w:val="TableText"/>
              <w:jc w:val="left"/>
            </w:pPr>
            <w:r>
              <w:t xml:space="preserve">Push, Zalo, SMS</w:t>
            </w:r>
          </w:p>
        </w:tc>
        <w:tc>
          <w:tcPr>
            <w:tcW w:w="2356" w:type="dxa"/>
            <w:vAlign w:val="top"/>
          </w:tcPr>
          <w:p>
            <w:pPr>
              <w:pStyle w:val="TableText"/>
              <w:jc w:val="left"/>
            </w:pPr>
            <w:r>
              <w:t xml:space="preserve">Assistant at 14 days before expiry (hot or warm); telesales at 3 days (hot)</w:t>
            </w:r>
          </w:p>
        </w:tc>
      </w:tr>
      <w:tr>
        <w:trPr>
          <w:cantSplit/>
        </w:trPr>
        <w:tc>
          <w:tcPr>
            <w:tcW w:w="1542" w:type="dxa"/>
            <w:shd w:val="clear" w:color="auto" w:fill="F4F7FB"/>
            <w:vAlign w:val="top"/>
          </w:tcPr>
          <w:p>
            <w:pPr>
              <w:pStyle w:val="TableText"/>
              <w:jc w:val="left"/>
            </w:pPr>
            <w:r>
              <w:t xml:space="preserve">SEG-4 Conquest</w:t>
            </w:r>
          </w:p>
        </w:tc>
        <w:tc>
          <w:tcPr>
            <w:tcW w:w="2050" w:type="dxa"/>
            <w:shd w:val="clear" w:color="auto" w:fill="F4F7FB"/>
            <w:vAlign w:val="top"/>
          </w:tcPr>
          <w:p>
            <w:pPr>
              <w:pStyle w:val="TableText"/>
              <w:jc w:val="left"/>
            </w:pPr>
            <w:r>
              <w:t xml:space="preserve">Same regulated price, better service</w:t>
            </w:r>
          </w:p>
        </w:tc>
        <w:tc>
          <w:tcPr>
            <w:tcW w:w="1848" w:type="dxa"/>
            <w:shd w:val="clear" w:color="auto" w:fill="F4F7FB"/>
            <w:vAlign w:val="top"/>
          </w:tcPr>
          <w:p>
            <w:pPr>
              <w:pStyle w:val="TableText"/>
              <w:jc w:val="left"/>
            </w:pPr>
            <w:r>
              <w:t xml:space="preserve">Conquest and value reminders</w:t>
            </w:r>
          </w:p>
        </w:tc>
        <w:tc>
          <w:tcPr>
            <w:tcW w:w="1231" w:type="dxa"/>
            <w:shd w:val="clear" w:color="auto" w:fill="F4F7FB"/>
            <w:vAlign w:val="top"/>
          </w:tcPr>
          <w:p>
            <w:pPr>
              <w:pStyle w:val="TableText"/>
              <w:jc w:val="left"/>
            </w:pPr>
            <w:r>
              <w:t xml:space="preserve">Push, Zalo, SMS</w:t>
            </w:r>
          </w:p>
        </w:tc>
        <w:tc>
          <w:tcPr>
            <w:tcW w:w="2356" w:type="dxa"/>
            <w:shd w:val="clear" w:color="auto" w:fill="F4F7FB"/>
            <w:vAlign w:val="top"/>
          </w:tcPr>
          <w:p>
            <w:pPr>
              <w:pStyle w:val="TableText"/>
              <w:jc w:val="left"/>
            </w:pPr>
            <w:r>
              <w:t xml:space="preserve">Assistant at 14 days before expiry (hot only)</w:t>
            </w:r>
          </w:p>
        </w:tc>
      </w:tr>
      <w:tr>
        <w:trPr>
          <w:cantSplit/>
        </w:trPr>
        <w:tc>
          <w:tcPr>
            <w:tcW w:w="1542" w:type="dxa"/>
            <w:vAlign w:val="top"/>
          </w:tcPr>
          <w:p>
            <w:pPr>
              <w:pStyle w:val="TableText"/>
              <w:jc w:val="left"/>
            </w:pPr>
            <w:r>
              <w:t xml:space="preserve">SEG-5 Cross-sell</w:t>
            </w:r>
          </w:p>
        </w:tc>
        <w:tc>
          <w:tcPr>
            <w:tcW w:w="2050" w:type="dxa"/>
            <w:vAlign w:val="top"/>
          </w:tcPr>
          <w:p>
            <w:pPr>
              <w:pStyle w:val="TableText"/>
              <w:jc w:val="left"/>
            </w:pPr>
            <w:r>
              <w:t xml:space="preserve">TNDS covers only third parties</w:t>
            </w:r>
          </w:p>
        </w:tc>
        <w:tc>
          <w:tcPr>
            <w:tcW w:w="1848" w:type="dxa"/>
            <w:noWrap/>
            <w:vAlign w:val="top"/>
          </w:tcPr>
          <w:p>
            <w:pPr>
              <w:pStyle w:val="TableText"/>
              <w:jc w:val="left"/>
            </w:pPr>
            <w:r>
              <w:t xml:space="preserve">Cross-sell</w:t>
            </w:r>
          </w:p>
        </w:tc>
        <w:tc>
          <w:tcPr>
            <w:tcW w:w="1231" w:type="dxa"/>
            <w:vAlign w:val="top"/>
          </w:tcPr>
          <w:p>
            <w:pPr>
              <w:pStyle w:val="TableText"/>
              <w:jc w:val="left"/>
            </w:pPr>
            <w:r>
              <w:t xml:space="preserve">Push, Zalo</w:t>
            </w:r>
          </w:p>
        </w:tc>
        <w:tc>
          <w:tcPr>
            <w:tcW w:w="2356" w:type="dxa"/>
            <w:vAlign w:val="top"/>
          </w:tcPr>
          <w:p>
            <w:pPr>
              <w:pStyle w:val="TableText"/>
              <w:jc w:val="left"/>
            </w:pPr>
            <w:r>
              <w:t xml:space="preserve">None; marketing consent required</w:t>
            </w:r>
          </w:p>
        </w:tc>
      </w:tr>
      <w:tr>
        <w:trPr>
          <w:cantSplit/>
        </w:trPr>
        <w:tc>
          <w:tcPr>
            <w:tcW w:w="1542" w:type="dxa"/>
            <w:shd w:val="clear" w:color="auto" w:fill="F4F7FB"/>
            <w:vAlign w:val="top"/>
          </w:tcPr>
          <w:p>
            <w:pPr>
              <w:pStyle w:val="TableText"/>
              <w:jc w:val="left"/>
            </w:pPr>
            <w:r>
              <w:t xml:space="preserve">SEG-6 Fleet</w:t>
            </w:r>
          </w:p>
        </w:tc>
        <w:tc>
          <w:tcPr>
            <w:tcW w:w="2050" w:type="dxa"/>
            <w:shd w:val="clear" w:color="auto" w:fill="F4F7FB"/>
            <w:vAlign w:val="top"/>
          </w:tcPr>
          <w:p>
            <w:pPr>
              <w:pStyle w:val="TableText"/>
              <w:jc w:val="left"/>
            </w:pPr>
            <w:r>
              <w:t xml:space="preserve">One view and one VAT invoice</w:t>
            </w:r>
          </w:p>
        </w:tc>
        <w:tc>
          <w:tcPr>
            <w:tcW w:w="1848" w:type="dxa"/>
            <w:shd w:val="clear" w:color="auto" w:fill="F4F7FB"/>
            <w:vAlign w:val="top"/>
          </w:tcPr>
          <w:p>
            <w:pPr>
              <w:pStyle w:val="TableText"/>
              <w:jc w:val="left"/>
            </w:pPr>
            <w:r>
              <w:t xml:space="preserve">Account management</w:t>
            </w:r>
          </w:p>
        </w:tc>
        <w:tc>
          <w:tcPr>
            <w:tcW w:w="1231" w:type="dxa"/>
            <w:shd w:val="clear" w:color="auto" w:fill="F4F7FB"/>
            <w:vAlign w:val="top"/>
          </w:tcPr>
          <w:p>
            <w:pPr>
              <w:pStyle w:val="TableText"/>
              <w:jc w:val="left"/>
            </w:pPr>
            <w:r>
              <w:t xml:space="preserve">B2B team</w:t>
            </w:r>
          </w:p>
        </w:tc>
        <w:tc>
          <w:tcPr>
            <w:tcW w:w="2356" w:type="dxa"/>
            <w:shd w:val="clear" w:color="auto" w:fill="F4F7FB"/>
            <w:vAlign w:val="top"/>
          </w:tcPr>
          <w:p>
            <w:pPr>
              <w:pStyle w:val="TableText"/>
              <w:jc w:val="left"/>
            </w:pPr>
            <w:r>
              <w:t xml:space="preserve">None</w:t>
            </w:r>
          </w:p>
        </w:tc>
      </w:tr>
      <w:tr>
        <w:trPr>
          <w:cantSplit/>
        </w:trPr>
        <w:tc>
          <w:tcPr>
            <w:tcW w:w="1542" w:type="dxa"/>
            <w:vAlign w:val="top"/>
          </w:tcPr>
          <w:p>
            <w:pPr>
              <w:pStyle w:val="TableText"/>
              <w:jc w:val="left"/>
            </w:pPr>
            <w:r>
              <w:t xml:space="preserve">SEG-7 Partner</w:t>
            </w:r>
          </w:p>
        </w:tc>
        <w:tc>
          <w:tcPr>
            <w:tcW w:w="2050" w:type="dxa"/>
            <w:vAlign w:val="top"/>
          </w:tcPr>
          <w:p>
            <w:pPr>
              <w:pStyle w:val="TableText"/>
              <w:jc w:val="left"/>
            </w:pPr>
            <w:r>
              <w:t xml:space="preserve">Partner closes faster with VETC data</w:t>
            </w:r>
          </w:p>
        </w:tc>
        <w:tc>
          <w:tcPr>
            <w:tcW w:w="1848" w:type="dxa"/>
            <w:vAlign w:val="top"/>
          </w:tcPr>
          <w:p>
            <w:pPr>
              <w:pStyle w:val="TableText"/>
              <w:jc w:val="left"/>
            </w:pPr>
            <w:r>
              <w:t xml:space="preserve">Partner’s own front end</w:t>
            </w:r>
          </w:p>
        </w:tc>
        <w:tc>
          <w:tcPr>
            <w:tcW w:w="1231" w:type="dxa"/>
            <w:vAlign w:val="top"/>
          </w:tcPr>
          <w:p>
            <w:pPr>
              <w:pStyle w:val="TableText"/>
              <w:jc w:val="left"/>
            </w:pPr>
            <w:r>
              <w:t xml:space="preserve">Partner API</w:t>
            </w:r>
          </w:p>
        </w:tc>
        <w:tc>
          <w:tcPr>
            <w:tcW w:w="2356" w:type="dxa"/>
            <w:vAlign w:val="top"/>
          </w:tcPr>
          <w:p>
            <w:pPr>
              <w:pStyle w:val="TableText"/>
              <w:jc w:val="left"/>
            </w:pPr>
            <w:r>
              <w:t xml:space="preserve">Commission</w:t>
            </w:r>
          </w:p>
        </w:tc>
      </w:tr>
    </w:tbl>
    <w:p>
      <w:pPr>
        <w:pStyle w:val="Heading2"/>
      </w:pPr>
      <w:bookmarkStart w:id="24" w:name="_Toc300000020"/>
      <w:r>
        <w:t xml:space="preserve">Moments of truth from the VETC ecosystem</w:t>
      </w:r>
      <w:bookmarkEnd w:id="24"/>
    </w:p>
    <w:p>
      <w:pPr>
        <w:pStyle w:val="FirstParagraph"/>
      </w:pPr>
      <w:r>
        <w:t xml:space="preserve">Calendar reminders are reinforced by VETC events, when a driver is most receptive.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2266"/>
        <w:gridCol w:w="3633"/>
        <w:gridCol w:w="1338"/>
      </w:tblGrid>
      <w:tr>
        <w:trPr>
          <w:cantSplit/>
          <w:tblHeader/>
        </w:trPr>
        <w:tc>
          <w:tcPr>
            <w:tcW w:w="1790" w:type="dxa"/>
            <w:shd w:val="clear" w:color="auto" w:fill="0F4761"/>
            <w:vAlign w:val="center"/>
          </w:tcPr>
          <w:p>
            <w:pPr>
              <w:pStyle w:val="TableHeading"/>
              <w:jc w:val="left"/>
            </w:pPr>
            <w:r>
              <w:rPr>
                <w:color w:val="FFFFFF"/>
              </w:rPr>
              <w:t xml:space="preserve">VETC event</w:t>
            </w:r>
          </w:p>
        </w:tc>
        <w:tc>
          <w:tcPr>
            <w:tcW w:w="2266" w:type="dxa"/>
            <w:shd w:val="clear" w:color="auto" w:fill="0F4761"/>
            <w:vAlign w:val="center"/>
          </w:tcPr>
          <w:p>
            <w:pPr>
              <w:pStyle w:val="TableHeading"/>
              <w:jc w:val="left"/>
            </w:pPr>
            <w:r>
              <w:rPr>
                <w:color w:val="FFFFFF"/>
              </w:rPr>
              <w:t xml:space="preserve">Condition</w:t>
            </w:r>
          </w:p>
        </w:tc>
        <w:tc>
          <w:tcPr>
            <w:tcW w:w="3633" w:type="dxa"/>
            <w:shd w:val="clear" w:color="auto" w:fill="0F4761"/>
            <w:vAlign w:val="center"/>
          </w:tcPr>
          <w:p>
            <w:pPr>
              <w:pStyle w:val="TableHeading"/>
              <w:jc w:val="left"/>
            </w:pPr>
            <w:r>
              <w:rPr>
                <w:color w:val="FFFFFF"/>
              </w:rPr>
              <w:t xml:space="preserve">Action</w:t>
            </w:r>
          </w:p>
        </w:tc>
        <w:tc>
          <w:tcPr>
            <w:tcW w:w="1338" w:type="dxa"/>
            <w:shd w:val="clear" w:color="auto" w:fill="0F4761"/>
            <w:vAlign w:val="center"/>
          </w:tcPr>
          <w:p>
            <w:pPr>
              <w:pStyle w:val="TableHeading"/>
              <w:jc w:val="left"/>
            </w:pPr>
            <w:r>
              <w:rPr>
                <w:color w:val="FFFFFF"/>
              </w:rPr>
              <w:t xml:space="preserve">Marketing</w:t>
            </w:r>
          </w:p>
        </w:tc>
      </w:tr>
      <w:tr>
        <w:trPr>
          <w:cantSplit/>
        </w:trPr>
        <w:tc>
          <w:tcPr>
            <w:tcW w:w="1790" w:type="dxa"/>
            <w:vAlign w:val="top"/>
          </w:tcPr>
          <w:p>
            <w:pPr>
              <w:pStyle w:val="TableText"/>
              <w:jc w:val="left"/>
            </w:pPr>
            <w:r>
              <w:t xml:space="preserve">Tag activated</w:t>
            </w:r>
          </w:p>
        </w:tc>
        <w:tc>
          <w:tcPr>
            <w:tcW w:w="2266" w:type="dxa"/>
            <w:vAlign w:val="top"/>
          </w:tcPr>
          <w:p>
            <w:pPr>
              <w:pStyle w:val="TableText"/>
              <w:jc w:val="left"/>
            </w:pPr>
            <w:r>
              <w:t xml:space="preserve">None</w:t>
            </w:r>
          </w:p>
        </w:tc>
        <w:tc>
          <w:tcPr>
            <w:tcW w:w="3633" w:type="dxa"/>
            <w:vAlign w:val="top"/>
          </w:tcPr>
          <w:p>
            <w:pPr>
              <w:pStyle w:val="TableText"/>
              <w:jc w:val="left"/>
            </w:pPr>
            <w:r>
              <w:t xml:space="preserve">Enrol in the new-vehicle journey</w:t>
            </w:r>
          </w:p>
        </w:tc>
        <w:tc>
          <w:tcPr>
            <w:tcW w:w="1338" w:type="dxa"/>
            <w:vAlign w:val="top"/>
          </w:tcPr>
          <w:p>
            <w:pPr>
              <w:pStyle w:val="TableText"/>
              <w:jc w:val="left"/>
            </w:pPr>
            <w:r>
              <w:t xml:space="preserve">No</w:t>
            </w:r>
          </w:p>
        </w:tc>
      </w:tr>
      <w:tr>
        <w:trPr>
          <w:cantSplit/>
        </w:trPr>
        <w:tc>
          <w:tcPr>
            <w:tcW w:w="1790" w:type="dxa"/>
            <w:shd w:val="clear" w:color="auto" w:fill="F4F7FB"/>
            <w:vAlign w:val="top"/>
          </w:tcPr>
          <w:p>
            <w:pPr>
              <w:pStyle w:val="TableText"/>
              <w:jc w:val="left"/>
            </w:pPr>
            <w:r>
              <w:t xml:space="preserve">Inspection booked</w:t>
            </w:r>
          </w:p>
        </w:tc>
        <w:tc>
          <w:tcPr>
            <w:tcW w:w="2266" w:type="dxa"/>
            <w:shd w:val="clear" w:color="auto" w:fill="F4F7FB"/>
            <w:vAlign w:val="top"/>
          </w:tcPr>
          <w:p>
            <w:pPr>
              <w:pStyle w:val="TableText"/>
              <w:jc w:val="left"/>
            </w:pPr>
            <w:r>
              <w:t xml:space="preserve">Expiry less than 60 days away</w:t>
            </w:r>
          </w:p>
        </w:tc>
        <w:tc>
          <w:tcPr>
            <w:tcW w:w="3633" w:type="dxa"/>
            <w:shd w:val="clear" w:color="auto" w:fill="F4F7FB"/>
            <w:vAlign w:val="top"/>
          </w:tcPr>
          <w:p>
            <w:pPr>
              <w:pStyle w:val="TableText"/>
              <w:jc w:val="left"/>
            </w:pPr>
            <w:r>
              <w:t xml:space="preserve">TNDS check message by push or Zalo</w:t>
            </w:r>
          </w:p>
        </w:tc>
        <w:tc>
          <w:tcPr>
            <w:tcW w:w="1338" w:type="dxa"/>
            <w:shd w:val="clear" w:color="auto" w:fill="F4F7FB"/>
            <w:vAlign w:val="top"/>
          </w:tcPr>
          <w:p>
            <w:pPr>
              <w:pStyle w:val="TableText"/>
              <w:jc w:val="left"/>
            </w:pPr>
            <w:r>
              <w:t xml:space="preserve">No (service)</w:t>
            </w:r>
          </w:p>
        </w:tc>
      </w:tr>
      <w:tr>
        <w:trPr>
          <w:cantSplit/>
        </w:trPr>
        <w:tc>
          <w:tcPr>
            <w:tcW w:w="1790" w:type="dxa"/>
            <w:vAlign w:val="top"/>
          </w:tcPr>
          <w:p>
            <w:pPr>
              <w:pStyle w:val="TableText"/>
              <w:jc w:val="left"/>
            </w:pPr>
            <w:r>
              <w:t xml:space="preserve">Wallet topped up</w:t>
            </w:r>
          </w:p>
        </w:tc>
        <w:tc>
          <w:tcPr>
            <w:tcW w:w="2266" w:type="dxa"/>
            <w:vAlign w:val="top"/>
          </w:tcPr>
          <w:p>
            <w:pPr>
              <w:pStyle w:val="TableText"/>
              <w:jc w:val="left"/>
            </w:pPr>
            <w:r>
              <w:t xml:space="preserve">Expiry within 30 days either side</w:t>
            </w:r>
          </w:p>
        </w:tc>
        <w:tc>
          <w:tcPr>
            <w:tcW w:w="3633" w:type="dxa"/>
            <w:vAlign w:val="top"/>
          </w:tcPr>
          <w:p>
            <w:pPr>
              <w:pStyle w:val="TableText"/>
              <w:jc w:val="left"/>
            </w:pPr>
            <w:r>
              <w:t xml:space="preserve">First reminder by push while the customer is in the app with funds</w:t>
            </w:r>
          </w:p>
        </w:tc>
        <w:tc>
          <w:tcPr>
            <w:tcW w:w="1338" w:type="dxa"/>
            <w:vAlign w:val="top"/>
          </w:tcPr>
          <w:p>
            <w:pPr>
              <w:pStyle w:val="TableText"/>
              <w:jc w:val="left"/>
            </w:pPr>
            <w:r>
              <w:t xml:space="preserve">Yes</w:t>
            </w:r>
          </w:p>
        </w:tc>
      </w:tr>
      <w:tr>
        <w:trPr>
          <w:cantSplit/>
        </w:trPr>
        <w:tc>
          <w:tcPr>
            <w:tcW w:w="1790" w:type="dxa"/>
            <w:shd w:val="clear" w:color="auto" w:fill="F4F7FB"/>
            <w:vAlign w:val="top"/>
          </w:tcPr>
          <w:p>
            <w:pPr>
              <w:pStyle w:val="TableText"/>
              <w:jc w:val="left"/>
            </w:pPr>
            <w:r>
              <w:t xml:space="preserve">Long trip started</w:t>
            </w:r>
          </w:p>
        </w:tc>
        <w:tc>
          <w:tcPr>
            <w:tcW w:w="2266" w:type="dxa"/>
            <w:shd w:val="clear" w:color="auto" w:fill="F4F7FB"/>
            <w:vAlign w:val="top"/>
          </w:tcPr>
          <w:p>
            <w:pPr>
              <w:pStyle w:val="TableText"/>
              <w:jc w:val="left"/>
            </w:pPr>
            <w:r>
              <w:t xml:space="preserve">Lapsed up to 60 days</w:t>
            </w:r>
          </w:p>
        </w:tc>
        <w:tc>
          <w:tcPr>
            <w:tcW w:w="3633" w:type="dxa"/>
            <w:shd w:val="clear" w:color="auto" w:fill="F4F7FB"/>
            <w:vAlign w:val="top"/>
          </w:tcPr>
          <w:p>
            <w:pPr>
              <w:pStyle w:val="TableText"/>
              <w:jc w:val="left"/>
            </w:pPr>
            <w:r>
              <w:t xml:space="preserve">Value reminder by push</w:t>
            </w:r>
          </w:p>
        </w:tc>
        <w:tc>
          <w:tcPr>
            <w:tcW w:w="1338" w:type="dxa"/>
            <w:shd w:val="clear" w:color="auto" w:fill="F4F7FB"/>
            <w:vAlign w:val="top"/>
          </w:tcPr>
          <w:p>
            <w:pPr>
              <w:pStyle w:val="TableText"/>
              <w:jc w:val="left"/>
            </w:pPr>
            <w:r>
              <w:t xml:space="preserve">Yes</w:t>
            </w:r>
          </w:p>
        </w:tc>
      </w:tr>
    </w:tbl>
    <w:p>
      <w:pPr>
        <w:pStyle w:val="BodyText"/>
        <w:spacing w:before="160"/>
      </w:pPr>
      <w:r>
        <w:t xml:space="preserve">In the MVP the tag-activation event is connected live; the other events are handled by the platform and can be simulated from the staff console until VETC’s live event feed is connected in the scale phase.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Channel strategy</w:t>
      </w:r>
      <w:bookmarkEnd w:id="25"/>
    </w:p>
    <w:p>
      <w:pPr>
        <w:pStyle w:val="Heading2"/>
      </w:pPr>
      <w:bookmarkStart w:id="26" w:name="_Toc300000022"/>
      <w:r>
        <w:t xml:space="preserve">Principle</w:t>
      </w:r>
      <w:bookmarkEnd w:id="26"/>
    </w:p>
    <w:p>
      <w:pPr>
        <w:pStyle w:val="FirstParagraph"/>
      </w:pPr>
      <w:r>
        <w:t xml:space="preserve">Partners close most TNDS sales because they are present at the moment of need: a car purchase, a loan, an inspection. Competing with them at that moment is slow and damages the relationship. TASCO should own the moments partners do not see (renewal timing, in-app moments, lapsed vehicles) and equip partners with VETC data and instant TASCO issuance for the moments they do own.</w:t>
      </w:r>
    </w:p>
    <w:p>
      <w:pPr>
        <w:pStyle w:val="Heading2"/>
      </w:pPr>
      <w:bookmarkStart w:id="27" w:name="_Toc300000023"/>
      <w:r>
        <w:t xml:space="preserve">Channel roles</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23"/>
        <w:gridCol w:w="3227"/>
        <w:gridCol w:w="2100"/>
        <w:gridCol w:w="2077"/>
      </w:tblGrid>
      <w:tr>
        <w:trPr>
          <w:cantSplit/>
          <w:tblHeader/>
        </w:trPr>
        <w:tc>
          <w:tcPr>
            <w:tcW w:w="1623" w:type="dxa"/>
            <w:shd w:val="clear" w:color="auto" w:fill="0F4761"/>
            <w:vAlign w:val="center"/>
          </w:tcPr>
          <w:p>
            <w:pPr>
              <w:pStyle w:val="TableHeading"/>
              <w:jc w:val="left"/>
            </w:pPr>
            <w:r>
              <w:rPr>
                <w:color w:val="FFFFFF"/>
              </w:rPr>
              <w:t xml:space="preserve">Channel</w:t>
            </w:r>
          </w:p>
        </w:tc>
        <w:tc>
          <w:tcPr>
            <w:tcW w:w="3227" w:type="dxa"/>
            <w:shd w:val="clear" w:color="auto" w:fill="0F4761"/>
            <w:vAlign w:val="center"/>
          </w:tcPr>
          <w:p>
            <w:pPr>
              <w:pStyle w:val="TableHeading"/>
              <w:jc w:val="left"/>
            </w:pPr>
            <w:r>
              <w:rPr>
                <w:color w:val="FFFFFF"/>
              </w:rPr>
              <w:t xml:space="preserve">Role</w:t>
            </w:r>
          </w:p>
        </w:tc>
        <w:tc>
          <w:tcPr>
            <w:tcW w:w="2100" w:type="dxa"/>
            <w:shd w:val="clear" w:color="auto" w:fill="0F4761"/>
            <w:vAlign w:val="center"/>
          </w:tcPr>
          <w:p>
            <w:pPr>
              <w:pStyle w:val="TableHeading"/>
              <w:jc w:val="left"/>
            </w:pPr>
            <w:r>
              <w:rPr>
                <w:color w:val="FFFFFF"/>
              </w:rPr>
              <w:t xml:space="preserve">Cost per contact</w:t>
            </w:r>
          </w:p>
        </w:tc>
        <w:tc>
          <w:tcPr>
            <w:tcW w:w="2077" w:type="dxa"/>
            <w:shd w:val="clear" w:color="auto" w:fill="0F4761"/>
            <w:vAlign w:val="center"/>
          </w:tcPr>
          <w:p>
            <w:pPr>
              <w:pStyle w:val="TableHeading"/>
              <w:jc w:val="left"/>
            </w:pPr>
            <w:r>
              <w:rPr>
                <w:color w:val="FFFFFF"/>
              </w:rPr>
              <w:t xml:space="preserve">Consent needed</w:t>
            </w:r>
          </w:p>
        </w:tc>
      </w:tr>
      <w:tr>
        <w:trPr>
          <w:cantSplit/>
        </w:trPr>
        <w:tc>
          <w:tcPr>
            <w:tcW w:w="1623" w:type="dxa"/>
            <w:vAlign w:val="top"/>
          </w:tcPr>
          <w:p>
            <w:pPr>
              <w:pStyle w:val="TableText"/>
              <w:jc w:val="left"/>
            </w:pPr>
            <w:r>
              <w:t xml:space="preserve">VETC app push</w:t>
            </w:r>
          </w:p>
        </w:tc>
        <w:tc>
          <w:tcPr>
            <w:tcW w:w="3227" w:type="dxa"/>
            <w:vAlign w:val="top"/>
          </w:tcPr>
          <w:p>
            <w:pPr>
              <w:pStyle w:val="TableText"/>
              <w:jc w:val="left"/>
            </w:pPr>
            <w:r>
              <w:t xml:space="preserve">Primary reminder; purchase in the app</w:t>
            </w:r>
          </w:p>
        </w:tc>
        <w:tc>
          <w:tcPr>
            <w:tcW w:w="2100" w:type="dxa"/>
            <w:vAlign w:val="top"/>
          </w:tcPr>
          <w:p>
            <w:pPr>
              <w:pStyle w:val="TableText"/>
              <w:jc w:val="left"/>
            </w:pPr>
            <w:r>
              <w:t xml:space="preserve">VND 0</w:t>
            </w:r>
          </w:p>
        </w:tc>
        <w:tc>
          <w:tcPr>
            <w:tcW w:w="2077" w:type="dxa"/>
            <w:vAlign w:val="top"/>
          </w:tcPr>
          <w:p>
            <w:pPr>
              <w:pStyle w:val="TableText"/>
              <w:jc w:val="left"/>
            </w:pPr>
            <w:r>
              <w:t xml:space="preserve">Marketing consent for marketing messages</w:t>
            </w:r>
          </w:p>
        </w:tc>
      </w:tr>
      <w:tr>
        <w:trPr>
          <w:cantSplit/>
        </w:trPr>
        <w:tc>
          <w:tcPr>
            <w:tcW w:w="1623" w:type="dxa"/>
            <w:shd w:val="clear" w:color="auto" w:fill="F4F7FB"/>
            <w:vAlign w:val="top"/>
          </w:tcPr>
          <w:p>
            <w:pPr>
              <w:pStyle w:val="TableText"/>
              <w:jc w:val="left"/>
            </w:pPr>
            <w:r>
              <w:t xml:space="preserve">Zalo ZNS</w:t>
            </w:r>
          </w:p>
        </w:tc>
        <w:tc>
          <w:tcPr>
            <w:tcW w:w="3227" w:type="dxa"/>
            <w:shd w:val="clear" w:color="auto" w:fill="F4F7FB"/>
            <w:vAlign w:val="top"/>
          </w:tcPr>
          <w:p>
            <w:pPr>
              <w:pStyle w:val="TableText"/>
              <w:jc w:val="left"/>
            </w:pPr>
            <w:r>
              <w:t xml:space="preserve">Secondary reminder from the official account</w:t>
            </w:r>
          </w:p>
        </w:tc>
        <w:tc>
          <w:tcPr>
            <w:tcW w:w="2100" w:type="dxa"/>
            <w:shd w:val="clear" w:color="auto" w:fill="F4F7FB"/>
            <w:vAlign w:val="top"/>
          </w:tcPr>
          <w:p>
            <w:pPr>
              <w:pStyle w:val="TableText"/>
              <w:jc w:val="left"/>
            </w:pPr>
            <w:r>
              <w:t xml:space="preserve">VND 300</w:t>
            </w:r>
          </w:p>
        </w:tc>
        <w:tc>
          <w:tcPr>
            <w:tcW w:w="2077" w:type="dxa"/>
            <w:shd w:val="clear" w:color="auto" w:fill="F4F7FB"/>
            <w:vAlign w:val="top"/>
          </w:tcPr>
          <w:p>
            <w:pPr>
              <w:pStyle w:val="TableText"/>
              <w:jc w:val="left"/>
            </w:pPr>
            <w:r>
              <w:t xml:space="preserve">Marketing consent for marketing messages</w:t>
            </w:r>
          </w:p>
        </w:tc>
      </w:tr>
      <w:tr>
        <w:trPr>
          <w:cantSplit/>
        </w:trPr>
        <w:tc>
          <w:tcPr>
            <w:tcW w:w="1623" w:type="dxa"/>
            <w:vAlign w:val="top"/>
          </w:tcPr>
          <w:p>
            <w:pPr>
              <w:pStyle w:val="TableText"/>
              <w:jc w:val="left"/>
            </w:pPr>
            <w:r>
              <w:t xml:space="preserve">SMS brandname</w:t>
            </w:r>
          </w:p>
        </w:tc>
        <w:tc>
          <w:tcPr>
            <w:tcW w:w="3227" w:type="dxa"/>
            <w:vAlign w:val="top"/>
          </w:tcPr>
          <w:p>
            <w:pPr>
              <w:pStyle w:val="TableText"/>
              <w:jc w:val="left"/>
            </w:pPr>
            <w:r>
              <w:t xml:space="preserve">Fallback for phone-only contacts</w:t>
            </w:r>
          </w:p>
        </w:tc>
        <w:tc>
          <w:tcPr>
            <w:tcW w:w="2100" w:type="dxa"/>
            <w:vAlign w:val="top"/>
          </w:tcPr>
          <w:p>
            <w:pPr>
              <w:pStyle w:val="TableText"/>
              <w:jc w:val="left"/>
            </w:pPr>
            <w:r>
              <w:t xml:space="preserve">VND 700</w:t>
            </w:r>
          </w:p>
        </w:tc>
        <w:tc>
          <w:tcPr>
            <w:tcW w:w="2077" w:type="dxa"/>
            <w:vAlign w:val="top"/>
          </w:tcPr>
          <w:p>
            <w:pPr>
              <w:pStyle w:val="TableText"/>
              <w:jc w:val="left"/>
            </w:pPr>
            <w:r>
              <w:t xml:space="preserve">Marketing consent for marketing messages</w:t>
            </w:r>
          </w:p>
        </w:tc>
      </w:tr>
      <w:tr>
        <w:trPr>
          <w:cantSplit/>
        </w:trPr>
        <w:tc>
          <w:tcPr>
            <w:tcW w:w="1623" w:type="dxa"/>
            <w:shd w:val="clear" w:color="auto" w:fill="F4F7FB"/>
            <w:vAlign w:val="top"/>
          </w:tcPr>
          <w:p>
            <w:pPr>
              <w:pStyle w:val="TableText"/>
              <w:jc w:val="left"/>
            </w:pPr>
            <w:r>
              <w:t xml:space="preserve">AI voice assistant</w:t>
            </w:r>
          </w:p>
        </w:tc>
        <w:tc>
          <w:tcPr>
            <w:tcW w:w="3227" w:type="dxa"/>
            <w:shd w:val="clear" w:color="auto" w:fill="F4F7FB"/>
            <w:vAlign w:val="top"/>
          </w:tcPr>
          <w:p>
            <w:pPr>
              <w:pStyle w:val="TableText"/>
              <w:jc w:val="left"/>
            </w:pPr>
            <w:r>
              <w:t xml:space="preserve">Qualify, verify the plate, capture data, hand off or send a link</w:t>
            </w:r>
          </w:p>
        </w:tc>
        <w:tc>
          <w:tcPr>
            <w:tcW w:w="2100" w:type="dxa"/>
            <w:shd w:val="clear" w:color="auto" w:fill="F4F7FB"/>
            <w:vAlign w:val="top"/>
          </w:tcPr>
          <w:p>
            <w:pPr>
              <w:pStyle w:val="TableText"/>
              <w:jc w:val="left"/>
            </w:pPr>
            <w:r>
              <w:t xml:space="preserve">VND 2,400 per call (VND 1,500 a minute, 1.6 minutes)</w:t>
            </w:r>
          </w:p>
        </w:tc>
        <w:tc>
          <w:tcPr>
            <w:tcW w:w="2077" w:type="dxa"/>
            <w:shd w:val="clear" w:color="auto" w:fill="F4F7FB"/>
            <w:vAlign w:val="top"/>
          </w:tcPr>
          <w:p>
            <w:pPr>
              <w:pStyle w:val="TableText"/>
              <w:jc w:val="left"/>
            </w:pPr>
            <w:r>
              <w:t xml:space="preserve">Call consent (and marketing)</w:t>
            </w:r>
          </w:p>
        </w:tc>
      </w:tr>
      <w:tr>
        <w:trPr>
          <w:cantSplit/>
        </w:trPr>
        <w:tc>
          <w:tcPr>
            <w:tcW w:w="1623" w:type="dxa"/>
            <w:vAlign w:val="top"/>
          </w:tcPr>
          <w:p>
            <w:pPr>
              <w:pStyle w:val="TableText"/>
              <w:jc w:val="left"/>
            </w:pPr>
            <w:r>
              <w:t xml:space="preserve">Telesales</w:t>
            </w:r>
          </w:p>
        </w:tc>
        <w:tc>
          <w:tcPr>
            <w:tcW w:w="3227" w:type="dxa"/>
            <w:vAlign w:val="top"/>
          </w:tcPr>
          <w:p>
            <w:pPr>
              <w:pStyle w:val="TableText"/>
              <w:jc w:val="left"/>
            </w:pPr>
            <w:r>
              <w:t xml:space="preserve">Close hot leads by sending the quote to the VETC app</w:t>
            </w:r>
          </w:p>
        </w:tc>
        <w:tc>
          <w:tcPr>
            <w:tcW w:w="2100" w:type="dxa"/>
            <w:vAlign w:val="top"/>
          </w:tcPr>
          <w:p>
            <w:pPr>
              <w:pStyle w:val="TableText"/>
              <w:jc w:val="left"/>
            </w:pPr>
            <w:r>
              <w:t xml:space="preserve">VND 27,000 per call (VND 6,000 a minute, 4.5 minutes)</w:t>
            </w:r>
          </w:p>
        </w:tc>
        <w:tc>
          <w:tcPr>
            <w:tcW w:w="2077" w:type="dxa"/>
            <w:vAlign w:val="top"/>
          </w:tcPr>
          <w:p>
            <w:pPr>
              <w:pStyle w:val="TableText"/>
              <w:jc w:val="left"/>
            </w:pPr>
            <w:r>
              <w:t xml:space="preserve">Call consent (and marketing)</w:t>
            </w:r>
          </w:p>
        </w:tc>
      </w:tr>
      <w:tr>
        <w:trPr>
          <w:cantSplit/>
        </w:trPr>
        <w:tc>
          <w:tcPr>
            <w:tcW w:w="1623" w:type="dxa"/>
            <w:shd w:val="clear" w:color="auto" w:fill="F4F7FB"/>
            <w:vAlign w:val="top"/>
          </w:tcPr>
          <w:p>
            <w:pPr>
              <w:pStyle w:val="TableText"/>
              <w:jc w:val="left"/>
            </w:pPr>
            <w:r>
              <w:t xml:space="preserve">Partner API, including Tasco360</w:t>
            </w:r>
          </w:p>
        </w:tc>
        <w:tc>
          <w:tcPr>
            <w:tcW w:w="3227" w:type="dxa"/>
            <w:shd w:val="clear" w:color="auto" w:fill="F4F7FB"/>
            <w:vAlign w:val="top"/>
          </w:tcPr>
          <w:p>
            <w:pPr>
              <w:pStyle w:val="TableText"/>
              <w:jc w:val="left"/>
            </w:pPr>
            <w:r>
              <w:t xml:space="preserve">Partner-originated new business</w:t>
            </w:r>
          </w:p>
        </w:tc>
        <w:tc>
          <w:tcPr>
            <w:tcW w:w="2100" w:type="dxa"/>
            <w:shd w:val="clear" w:color="auto" w:fill="F4F7FB"/>
            <w:vAlign w:val="top"/>
          </w:tcPr>
          <w:p>
            <w:pPr>
              <w:pStyle w:val="TableText"/>
              <w:jc w:val="left"/>
            </w:pPr>
            <w:r>
              <w:t xml:space="preserve">Commission (TNDS 5% of net premium)</w:t>
            </w:r>
          </w:p>
        </w:tc>
        <w:tc>
          <w:tcPr>
            <w:tcW w:w="2077" w:type="dxa"/>
            <w:shd w:val="clear" w:color="auto" w:fill="F4F7FB"/>
            <w:vAlign w:val="top"/>
          </w:tcPr>
          <w:p>
            <w:pPr>
              <w:pStyle w:val="TableText"/>
              <w:jc w:val="left"/>
            </w:pPr>
            <w:r>
              <w:t xml:space="preserve">Obtained by the partner</w:t>
            </w:r>
          </w:p>
        </w:tc>
      </w:tr>
    </w:tbl>
    <w:p>
      <w:pPr>
        <w:pStyle w:val="BodyText"/>
        <w:spacing w:before="160"/>
      </w:pPr>
      <w:r>
        <w:t xml:space="preserve">Service messages, such as the lapsed notice, the expiry-day notice, a purchase confirmation or a link the customer asked for, are exempt from frequency caps but still respect do-not-contact and channel availability. Marketing contact is limited to 08:00 to 20:00 Vietnam time, one message a day and three a week, with at most two call attempts a week. A touchpoint blocked only by the contact window is deferred to the next run inside the window, not skipped.</w:t>
      </w:r>
    </w:p>
    <w:p>
      <w:pPr>
        <w:pStyle w:val="Heading2"/>
      </w:pPr>
      <w:bookmarkStart w:id="28" w:name="_Toc300000024"/>
      <w:r>
        <w:t xml:space="preserve">Channel waterfall</w:t>
      </w:r>
      <w:bookmarkEnd w:id="28"/>
    </w:p>
    <w:p>
      <w:pPr>
        <w:pStyle w:val="FirstParagraph"/>
      </w:pPr>
      <w:r>
        <w:t xml:space="preserve">For each touchpoint the platform tries the step’s channels in order and sends on the first permitted channel that succeeds. It records why any channel was blocked. Low-cost digital channels therefore always go first, and calls are reserved for hot and warm leads.</w:t>
      </w:r>
    </w:p>
    <w:p>
      <w:pPr>
        <w:pStyle w:val="Heading2"/>
      </w:pPr>
      <w:bookmarkStart w:id="29" w:name="_Toc300000025"/>
      <w:r>
        <w:t xml:space="preserve">Partner enablement</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264"/>
        <w:gridCol w:w="3763"/>
      </w:tblGrid>
      <w:tr>
        <w:trPr>
          <w:cantSplit/>
          <w:tblHeader/>
        </w:trPr>
        <w:tc>
          <w:tcPr>
            <w:tcW w:w="5264" w:type="dxa"/>
            <w:shd w:val="clear" w:color="auto" w:fill="0F4761"/>
            <w:vAlign w:val="center"/>
          </w:tcPr>
          <w:p>
            <w:pPr>
              <w:pStyle w:val="TableHeading"/>
              <w:jc w:val="left"/>
            </w:pPr>
            <w:r>
              <w:rPr>
                <w:color w:val="FFFFFF"/>
              </w:rPr>
              <w:t xml:space="preserve">Capability</w:t>
            </w:r>
          </w:p>
        </w:tc>
        <w:tc>
          <w:tcPr>
            <w:tcW w:w="3763" w:type="dxa"/>
            <w:shd w:val="clear" w:color="auto" w:fill="0F4761"/>
            <w:vAlign w:val="center"/>
          </w:tcPr>
          <w:p>
            <w:pPr>
              <w:pStyle w:val="TableHeading"/>
              <w:jc w:val="left"/>
            </w:pPr>
            <w:r>
              <w:rPr>
                <w:color w:val="FFFFFF"/>
              </w:rPr>
              <w:t xml:space="preserve">Business value</w:t>
            </w:r>
          </w:p>
        </w:tc>
      </w:tr>
      <w:tr>
        <w:trPr>
          <w:cantSplit/>
        </w:trPr>
        <w:tc>
          <w:tcPr>
            <w:tcW w:w="5264" w:type="dxa"/>
            <w:vAlign w:val="top"/>
          </w:tcPr>
          <w:p>
            <w:pPr>
              <w:pStyle w:val="TableText"/>
              <w:jc w:val="left"/>
            </w:pPr>
            <w:r>
              <w:t xml:space="preserve">Onboard a partner by type: bank, showroom, agent, fleet, inspection centre</w:t>
            </w:r>
          </w:p>
        </w:tc>
        <w:tc>
          <w:tcPr>
            <w:tcW w:w="3763" w:type="dxa"/>
            <w:vAlign w:val="top"/>
          </w:tcPr>
          <w:p>
            <w:pPr>
              <w:pStyle w:val="TableText"/>
              <w:jc w:val="left"/>
            </w:pPr>
            <w:r>
              <w:t xml:space="preserve">Partner growth without IT projects</w:t>
            </w:r>
          </w:p>
        </w:tc>
      </w:tr>
      <w:tr>
        <w:trPr>
          <w:cantSplit/>
        </w:trPr>
        <w:tc>
          <w:tcPr>
            <w:tcW w:w="5264" w:type="dxa"/>
            <w:shd w:val="clear" w:color="auto" w:fill="F4F7FB"/>
            <w:vAlign w:val="top"/>
          </w:tcPr>
          <w:p>
            <w:pPr>
              <w:pStyle w:val="TableText"/>
              <w:jc w:val="left"/>
            </w:pPr>
            <w:r>
              <w:t xml:space="preserve">Issue or revoke an API key, shown once and stored only as a hash</w:t>
            </w:r>
          </w:p>
        </w:tc>
        <w:tc>
          <w:tcPr>
            <w:tcW w:w="3763" w:type="dxa"/>
            <w:shd w:val="clear" w:color="auto" w:fill="F4F7FB"/>
            <w:vAlign w:val="top"/>
          </w:tcPr>
          <w:p>
            <w:pPr>
              <w:pStyle w:val="TableText"/>
              <w:jc w:val="left"/>
            </w:pPr>
            <w:r>
              <w:t xml:space="preserve">Secure system-to-system integration</w:t>
            </w:r>
          </w:p>
        </w:tc>
      </w:tr>
      <w:tr>
        <w:trPr>
          <w:cantSplit/>
        </w:trPr>
        <w:tc>
          <w:tcPr>
            <w:tcW w:w="5264" w:type="dxa"/>
            <w:vAlign w:val="top"/>
          </w:tcPr>
          <w:p>
            <w:pPr>
              <w:pStyle w:val="TableText"/>
              <w:jc w:val="left"/>
            </w:pPr>
            <w:r>
              <w:t xml:space="preserve">Quote by plate; unknown vehicles join the base as new business</w:t>
            </w:r>
          </w:p>
        </w:tc>
        <w:tc>
          <w:tcPr>
            <w:tcW w:w="3763" w:type="dxa"/>
            <w:vAlign w:val="top"/>
          </w:tcPr>
          <w:p>
            <w:pPr>
              <w:pStyle w:val="TableText"/>
              <w:jc w:val="left"/>
            </w:pPr>
            <w:r>
              <w:t xml:space="preserve">Every partner sale also enriches the VETC base</w:t>
            </w:r>
          </w:p>
        </w:tc>
      </w:tr>
      <w:tr>
        <w:trPr>
          <w:cantSplit/>
        </w:trPr>
        <w:tc>
          <w:tcPr>
            <w:tcW w:w="5264" w:type="dxa"/>
            <w:shd w:val="clear" w:color="auto" w:fill="F4F7FB"/>
            <w:vAlign w:val="top"/>
          </w:tcPr>
          <w:p>
            <w:pPr>
              <w:pStyle w:val="TableText"/>
              <w:jc w:val="left"/>
            </w:pPr>
            <w:r>
              <w:t xml:space="preserve">Bind a quote; the partner collects the premium, no VETC wallet debit</w:t>
            </w:r>
          </w:p>
        </w:tc>
        <w:tc>
          <w:tcPr>
            <w:tcW w:w="3763" w:type="dxa"/>
            <w:shd w:val="clear" w:color="auto" w:fill="F4F7FB"/>
            <w:vAlign w:val="top"/>
          </w:tcPr>
          <w:p>
            <w:pPr>
              <w:pStyle w:val="TableText"/>
              <w:jc w:val="left"/>
            </w:pPr>
            <w:r>
              <w:t xml:space="preserve">Instant e-certificate at the counter</w:t>
            </w:r>
          </w:p>
        </w:tc>
      </w:tr>
      <w:tr>
        <w:trPr>
          <w:cantSplit/>
        </w:trPr>
        <w:tc>
          <w:tcPr>
            <w:tcW w:w="5264" w:type="dxa"/>
            <w:vAlign w:val="top"/>
          </w:tcPr>
          <w:p>
            <w:pPr>
              <w:pStyle w:val="TableText"/>
              <w:jc w:val="left"/>
            </w:pPr>
            <w:r>
              <w:t xml:space="preserve">Partner’s own policies and commission statement</w:t>
            </w:r>
          </w:p>
        </w:tc>
        <w:tc>
          <w:tcPr>
            <w:tcW w:w="3763" w:type="dxa"/>
            <w:vAlign w:val="top"/>
          </w:tcPr>
          <w:p>
            <w:pPr>
              <w:pStyle w:val="TableText"/>
              <w:jc w:val="left"/>
            </w:pPr>
            <w:r>
              <w:t xml:space="preserve">Transparent commission, fewer disputes</w:t>
            </w:r>
          </w:p>
        </w:tc>
      </w:tr>
      <w:tr>
        <w:trPr>
          <w:cantSplit/>
        </w:trPr>
        <w:tc>
          <w:tcPr>
            <w:tcW w:w="5264" w:type="dxa"/>
            <w:shd w:val="clear" w:color="auto" w:fill="F4F7FB"/>
            <w:vAlign w:val="top"/>
          </w:tcPr>
          <w:p>
            <w:pPr>
              <w:pStyle w:val="TableText"/>
              <w:jc w:val="left"/>
            </w:pPr>
            <w:r>
              <w:t xml:space="preserve">Commission by product and partner type, capped at the statutory cap</w:t>
            </w:r>
          </w:p>
        </w:tc>
        <w:tc>
          <w:tcPr>
            <w:tcW w:w="3763" w:type="dxa"/>
            <w:shd w:val="clear" w:color="auto" w:fill="F4F7FB"/>
            <w:vAlign w:val="top"/>
          </w:tcPr>
          <w:p>
            <w:pPr>
              <w:pStyle w:val="TableText"/>
              <w:jc w:val="left"/>
            </w:pPr>
            <w:r>
              <w:t xml:space="preserve">Compliance by construction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0" w:name="_Toc300000026"/>
      <w:r>
        <w:rPr>
          <w:rStyle w:val="BookTitle"/>
          <w:bCs w:val="0"/>
          <w:i w:val="0"/>
          <w:iCs w:val="0"/>
          <w:spacing w:val="0"/>
        </w:rPr>
        <w:t xml:space="preserve">Value beyond discount</w:t>
      </w:r>
      <w:bookmarkEnd w:id="30"/>
    </w:p>
    <w:p>
      <w:pPr>
        <w:pStyle w:val="FirstParagraph"/>
      </w:pPr>
      <w:r>
        <w:t xml:space="preserve">Price cannot move, so the proposition is built from service, convenience and relevant cover. The platform ranks benefits by relevance to each driver, explains why in plain language and shows customers at most three. Only benefits approved by TASCO legal and available today reach customers. Roadmap items and items pending legal review are shown to staff only, and are flagged.</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859"/>
        <w:gridCol w:w="1538"/>
        <w:gridCol w:w="2575"/>
        <w:gridCol w:w="2055"/>
      </w:tblGrid>
      <w:tr>
        <w:trPr>
          <w:cantSplit/>
          <w:tblHeader/>
        </w:trPr>
        <w:tc>
          <w:tcPr>
            <w:tcW w:w="2859" w:type="dxa"/>
            <w:shd w:val="clear" w:color="auto" w:fill="0F4761"/>
            <w:vAlign w:val="center"/>
          </w:tcPr>
          <w:p>
            <w:pPr>
              <w:pStyle w:val="TableHeading"/>
              <w:jc w:val="left"/>
            </w:pPr>
            <w:r>
              <w:rPr>
                <w:color w:val="FFFFFF"/>
              </w:rPr>
              <w:t xml:space="preserve">Benefit</w:t>
            </w:r>
          </w:p>
        </w:tc>
        <w:tc>
          <w:tcPr>
            <w:tcW w:w="1538" w:type="dxa"/>
            <w:shd w:val="clear" w:color="auto" w:fill="0F4761"/>
            <w:vAlign w:val="center"/>
          </w:tcPr>
          <w:p>
            <w:pPr>
              <w:pStyle w:val="TableHeading"/>
              <w:jc w:val="left"/>
            </w:pPr>
            <w:r>
              <w:rPr>
                <w:color w:val="FFFFFF"/>
              </w:rPr>
              <w:t xml:space="preserve">Type</w:t>
            </w:r>
          </w:p>
        </w:tc>
        <w:tc>
          <w:tcPr>
            <w:tcW w:w="2575" w:type="dxa"/>
            <w:shd w:val="clear" w:color="auto" w:fill="0F4761"/>
            <w:vAlign w:val="center"/>
          </w:tcPr>
          <w:p>
            <w:pPr>
              <w:pStyle w:val="TableHeading"/>
              <w:jc w:val="left"/>
            </w:pPr>
            <w:r>
              <w:rPr>
                <w:color w:val="FFFFFF"/>
              </w:rPr>
              <w:t xml:space="preserve">Personalisation signal</w:t>
            </w:r>
          </w:p>
        </w:tc>
        <w:tc>
          <w:tcPr>
            <w:tcW w:w="2055" w:type="dxa"/>
            <w:shd w:val="clear" w:color="auto" w:fill="0F4761"/>
            <w:vAlign w:val="center"/>
          </w:tcPr>
          <w:p>
            <w:pPr>
              <w:pStyle w:val="TableHeading"/>
              <w:jc w:val="left"/>
            </w:pPr>
            <w:r>
              <w:rPr>
                <w:color w:val="FFFFFF"/>
              </w:rPr>
              <w:t xml:space="preserve">Status</w:t>
            </w:r>
          </w:p>
        </w:tc>
      </w:tr>
      <w:tr>
        <w:trPr>
          <w:cantSplit/>
        </w:trPr>
        <w:tc>
          <w:tcPr>
            <w:tcW w:w="2859" w:type="dxa"/>
            <w:vAlign w:val="top"/>
          </w:tcPr>
          <w:p>
            <w:pPr>
              <w:pStyle w:val="TableText"/>
              <w:jc w:val="left"/>
            </w:pPr>
            <w:r>
              <w:t xml:space="preserve">24/7 roadside assistance (Cứu hộ giao thông 24/7)</w:t>
            </w:r>
          </w:p>
        </w:tc>
        <w:tc>
          <w:tcPr>
            <w:tcW w:w="1538" w:type="dxa"/>
            <w:vAlign w:val="top"/>
          </w:tcPr>
          <w:p>
            <w:pPr>
              <w:pStyle w:val="TableText"/>
              <w:jc w:val="left"/>
            </w:pPr>
            <w:r>
              <w:t xml:space="preserve">Service</w:t>
            </w:r>
          </w:p>
        </w:tc>
        <w:tc>
          <w:tcPr>
            <w:tcW w:w="2575" w:type="dxa"/>
            <w:vAlign w:val="top"/>
          </w:tcPr>
          <w:p>
            <w:pPr>
              <w:pStyle w:val="TableText"/>
              <w:jc w:val="left"/>
            </w:pPr>
            <w:r>
              <w:t xml:space="preserve">Long trips over 90 days, toll trips</w:t>
            </w:r>
          </w:p>
        </w:tc>
        <w:tc>
          <w:tcPr>
            <w:tcW w:w="2055" w:type="dxa"/>
            <w:vAlign w:val="top"/>
          </w:tcPr>
          <w:p>
            <w:pPr>
              <w:pStyle w:val="TableText"/>
              <w:jc w:val="left"/>
            </w:pPr>
            <w:r>
              <w:t xml:space="preserve">Approved</w:t>
            </w:r>
          </w:p>
        </w:tc>
      </w:tr>
      <w:tr>
        <w:trPr>
          <w:cantSplit/>
        </w:trPr>
        <w:tc>
          <w:tcPr>
            <w:tcW w:w="2859" w:type="dxa"/>
            <w:shd w:val="clear" w:color="auto" w:fill="F4F7FB"/>
            <w:vAlign w:val="top"/>
          </w:tcPr>
          <w:p>
            <w:pPr>
              <w:pStyle w:val="TableText"/>
              <w:jc w:val="left"/>
            </w:pPr>
            <w:r>
              <w:t xml:space="preserve">Instant e-certificate with QR check</w:t>
            </w:r>
          </w:p>
        </w:tc>
        <w:tc>
          <w:tcPr>
            <w:tcW w:w="1538" w:type="dxa"/>
            <w:shd w:val="clear" w:color="auto" w:fill="F4F7FB"/>
            <w:vAlign w:val="top"/>
          </w:tcPr>
          <w:p>
            <w:pPr>
              <w:pStyle w:val="TableText"/>
              <w:jc w:val="left"/>
            </w:pPr>
            <w:r>
              <w:t xml:space="preserve">Service</w:t>
            </w:r>
          </w:p>
        </w:tc>
        <w:tc>
          <w:tcPr>
            <w:tcW w:w="2575" w:type="dxa"/>
            <w:shd w:val="clear" w:color="auto" w:fill="F4F7FB"/>
            <w:vAlign w:val="top"/>
          </w:tcPr>
          <w:p>
            <w:pPr>
              <w:pStyle w:val="TableText"/>
              <w:jc w:val="left"/>
            </w:pPr>
            <w:r>
              <w:t xml:space="preserve">All customers</w:t>
            </w:r>
          </w:p>
        </w:tc>
        <w:tc>
          <w:tcPr>
            <w:tcW w:w="2055" w:type="dxa"/>
            <w:shd w:val="clear" w:color="auto" w:fill="F4F7FB"/>
            <w:vAlign w:val="top"/>
          </w:tcPr>
          <w:p>
            <w:pPr>
              <w:pStyle w:val="TableText"/>
              <w:jc w:val="left"/>
            </w:pPr>
            <w:r>
              <w:t xml:space="preserve">Approved</w:t>
            </w:r>
          </w:p>
        </w:tc>
      </w:tr>
      <w:tr>
        <w:trPr>
          <w:cantSplit/>
        </w:trPr>
        <w:tc>
          <w:tcPr>
            <w:tcW w:w="2859" w:type="dxa"/>
            <w:vAlign w:val="top"/>
          </w:tcPr>
          <w:p>
            <w:pPr>
              <w:pStyle w:val="TableText"/>
              <w:jc w:val="left"/>
            </w:pPr>
            <w:r>
              <w:t xml:space="preserve">Inspection reminder and booking</w:t>
            </w:r>
          </w:p>
        </w:tc>
        <w:tc>
          <w:tcPr>
            <w:tcW w:w="1538" w:type="dxa"/>
            <w:vAlign w:val="top"/>
          </w:tcPr>
          <w:p>
            <w:pPr>
              <w:pStyle w:val="TableText"/>
              <w:jc w:val="left"/>
            </w:pPr>
            <w:r>
              <w:t xml:space="preserve">Service</w:t>
            </w:r>
          </w:p>
        </w:tc>
        <w:tc>
          <w:tcPr>
            <w:tcW w:w="2575" w:type="dxa"/>
            <w:vAlign w:val="top"/>
          </w:tcPr>
          <w:p>
            <w:pPr>
              <w:pStyle w:val="TableText"/>
              <w:jc w:val="left"/>
            </w:pPr>
            <w:r>
              <w:t xml:space="preserve">Expiry inferred from the inspection cycle</w:t>
            </w:r>
          </w:p>
        </w:tc>
        <w:tc>
          <w:tcPr>
            <w:tcW w:w="2055" w:type="dxa"/>
            <w:vAlign w:val="top"/>
          </w:tcPr>
          <w:p>
            <w:pPr>
              <w:pStyle w:val="TableText"/>
              <w:jc w:val="left"/>
            </w:pPr>
            <w:r>
              <w:t xml:space="preserve">Approved; booking integration in the scale phase</w:t>
            </w:r>
          </w:p>
        </w:tc>
      </w:tr>
      <w:tr>
        <w:trPr>
          <w:cantSplit/>
        </w:trPr>
        <w:tc>
          <w:tcPr>
            <w:tcW w:w="2859" w:type="dxa"/>
            <w:shd w:val="clear" w:color="auto" w:fill="F4F7FB"/>
            <w:vAlign w:val="top"/>
          </w:tcPr>
          <w:p>
            <w:pPr>
              <w:pStyle w:val="TableText"/>
              <w:jc w:val="left"/>
            </w:pPr>
            <w:r>
              <w:t xml:space="preserve">Claims fast lane: accident reporting in the app</w:t>
            </w:r>
          </w:p>
        </w:tc>
        <w:tc>
          <w:tcPr>
            <w:tcW w:w="1538" w:type="dxa"/>
            <w:shd w:val="clear" w:color="auto" w:fill="F4F7FB"/>
            <w:vAlign w:val="top"/>
          </w:tcPr>
          <w:p>
            <w:pPr>
              <w:pStyle w:val="TableText"/>
              <w:jc w:val="left"/>
            </w:pPr>
            <w:r>
              <w:t xml:space="preserve">Service</w:t>
            </w:r>
          </w:p>
        </w:tc>
        <w:tc>
          <w:tcPr>
            <w:tcW w:w="2575" w:type="dxa"/>
            <w:shd w:val="clear" w:color="auto" w:fill="F4F7FB"/>
            <w:vAlign w:val="top"/>
          </w:tcPr>
          <w:p>
            <w:pPr>
              <w:pStyle w:val="TableText"/>
              <w:jc w:val="left"/>
            </w:pPr>
            <w:r>
              <w:t xml:space="preserve">Toll trips</w:t>
            </w:r>
          </w:p>
        </w:tc>
        <w:tc>
          <w:tcPr>
            <w:tcW w:w="2055" w:type="dxa"/>
            <w:shd w:val="clear" w:color="auto" w:fill="F4F7FB"/>
            <w:vAlign w:val="top"/>
          </w:tcPr>
          <w:p>
            <w:pPr>
              <w:pStyle w:val="TableText"/>
              <w:jc w:val="left"/>
            </w:pPr>
            <w:r>
              <w:t xml:space="preserve">Approved</w:t>
            </w:r>
          </w:p>
        </w:tc>
      </w:tr>
      <w:tr>
        <w:trPr>
          <w:cantSplit/>
        </w:trPr>
        <w:tc>
          <w:tcPr>
            <w:tcW w:w="2859" w:type="dxa"/>
            <w:vAlign w:val="top"/>
          </w:tcPr>
          <w:p>
            <w:pPr>
              <w:pStyle w:val="TableText"/>
              <w:jc w:val="left"/>
            </w:pPr>
            <w:r>
              <w:t xml:space="preserve">Multi-year cover (two or three years at the regulated pro-rata premium)</w:t>
            </w:r>
          </w:p>
        </w:tc>
        <w:tc>
          <w:tcPr>
            <w:tcW w:w="1538" w:type="dxa"/>
            <w:vAlign w:val="top"/>
          </w:tcPr>
          <w:p>
            <w:pPr>
              <w:pStyle w:val="TableText"/>
              <w:jc w:val="left"/>
            </w:pPr>
            <w:r>
              <w:t xml:space="preserve">Convenience</w:t>
            </w:r>
          </w:p>
        </w:tc>
        <w:tc>
          <w:tcPr>
            <w:tcW w:w="2575" w:type="dxa"/>
            <w:vAlign w:val="top"/>
          </w:tcPr>
          <w:p>
            <w:pPr>
              <w:pStyle w:val="TableText"/>
              <w:jc w:val="left"/>
            </w:pPr>
            <w:r>
              <w:t xml:space="preserve">Wallet balance above VND 1 million; individuals only</w:t>
            </w:r>
          </w:p>
        </w:tc>
        <w:tc>
          <w:tcPr>
            <w:tcW w:w="2055" w:type="dxa"/>
            <w:vAlign w:val="top"/>
          </w:tcPr>
          <w:p>
            <w:pPr>
              <w:pStyle w:val="TableText"/>
              <w:jc w:val="left"/>
            </w:pPr>
            <w:r>
              <w:t xml:space="preserve">Approved</w:t>
            </w:r>
          </w:p>
        </w:tc>
      </w:tr>
      <w:tr>
        <w:trPr>
          <w:cantSplit/>
        </w:trPr>
        <w:tc>
          <w:tcPr>
            <w:tcW w:w="2859" w:type="dxa"/>
            <w:shd w:val="clear" w:color="auto" w:fill="F4F7FB"/>
            <w:vAlign w:val="top"/>
          </w:tcPr>
          <w:p>
            <w:pPr>
              <w:pStyle w:val="TableText"/>
              <w:jc w:val="left"/>
            </w:pPr>
            <w:r>
              <w:t xml:space="preserve">Protect your passengers (personal accident cover per seat)</w:t>
            </w:r>
          </w:p>
        </w:tc>
        <w:tc>
          <w:tcPr>
            <w:tcW w:w="1538" w:type="dxa"/>
            <w:shd w:val="clear" w:color="auto" w:fill="F4F7FB"/>
            <w:vAlign w:val="top"/>
          </w:tcPr>
          <w:p>
            <w:pPr>
              <w:pStyle w:val="TableText"/>
              <w:jc w:val="left"/>
            </w:pPr>
            <w:r>
              <w:t xml:space="preserve">Cover upgrade</w:t>
            </w:r>
          </w:p>
        </w:tc>
        <w:tc>
          <w:tcPr>
            <w:tcW w:w="2575" w:type="dxa"/>
            <w:shd w:val="clear" w:color="auto" w:fill="F4F7FB"/>
            <w:vAlign w:val="top"/>
          </w:tcPr>
          <w:p>
            <w:pPr>
              <w:pStyle w:val="TableText"/>
              <w:jc w:val="left"/>
            </w:pPr>
            <w:r>
              <w:t xml:space="preserve">Seven seats or more</w:t>
            </w:r>
          </w:p>
        </w:tc>
        <w:tc>
          <w:tcPr>
            <w:tcW w:w="2055" w:type="dxa"/>
            <w:shd w:val="clear" w:color="auto" w:fill="F4F7FB"/>
            <w:vAlign w:val="top"/>
          </w:tcPr>
          <w:p>
            <w:pPr>
              <w:pStyle w:val="TableText"/>
              <w:jc w:val="left"/>
            </w:pPr>
            <w:r>
              <w:t xml:space="preserve">Approved</w:t>
            </w:r>
          </w:p>
        </w:tc>
      </w:tr>
      <w:tr>
        <w:trPr>
          <w:cantSplit/>
        </w:trPr>
        <w:tc>
          <w:tcPr>
            <w:tcW w:w="2859" w:type="dxa"/>
            <w:vAlign w:val="top"/>
          </w:tcPr>
          <w:p>
            <w:pPr>
              <w:pStyle w:val="TableText"/>
              <w:jc w:val="left"/>
            </w:pPr>
            <w:r>
              <w:t xml:space="preserve">Cover damage to your own car (physical damage cover)</w:t>
            </w:r>
          </w:p>
        </w:tc>
        <w:tc>
          <w:tcPr>
            <w:tcW w:w="1538" w:type="dxa"/>
            <w:vAlign w:val="top"/>
          </w:tcPr>
          <w:p>
            <w:pPr>
              <w:pStyle w:val="TableText"/>
              <w:jc w:val="left"/>
            </w:pPr>
            <w:r>
              <w:t xml:space="preserve">Cover upgrade</w:t>
            </w:r>
          </w:p>
        </w:tc>
        <w:tc>
          <w:tcPr>
            <w:tcW w:w="2575" w:type="dxa"/>
            <w:vAlign w:val="top"/>
          </w:tcPr>
          <w:p>
            <w:pPr>
              <w:pStyle w:val="TableText"/>
              <w:jc w:val="left"/>
            </w:pPr>
            <w:r>
              <w:t xml:space="preserve">Vehicle five years old or less</w:t>
            </w:r>
          </w:p>
        </w:tc>
        <w:tc>
          <w:tcPr>
            <w:tcW w:w="2055" w:type="dxa"/>
            <w:vAlign w:val="top"/>
          </w:tcPr>
          <w:p>
            <w:pPr>
              <w:pStyle w:val="TableText"/>
              <w:jc w:val="left"/>
            </w:pPr>
            <w:r>
              <w:t xml:space="preserve">Approved; inspection required before payment</w:t>
            </w:r>
          </w:p>
        </w:tc>
      </w:tr>
      <w:tr>
        <w:trPr>
          <w:cantSplit/>
        </w:trPr>
        <w:tc>
          <w:tcPr>
            <w:tcW w:w="2859" w:type="dxa"/>
            <w:shd w:val="clear" w:color="auto" w:fill="F4F7FB"/>
            <w:vAlign w:val="top"/>
          </w:tcPr>
          <w:p>
            <w:pPr>
              <w:pStyle w:val="TableText"/>
              <w:jc w:val="left"/>
            </w:pPr>
            <w:r>
              <w:t xml:space="preserve">Never-lapse auto renewal, confirm before debit</w:t>
            </w:r>
          </w:p>
        </w:tc>
        <w:tc>
          <w:tcPr>
            <w:tcW w:w="1538" w:type="dxa"/>
            <w:shd w:val="clear" w:color="auto" w:fill="F4F7FB"/>
            <w:vAlign w:val="top"/>
          </w:tcPr>
          <w:p>
            <w:pPr>
              <w:pStyle w:val="TableText"/>
              <w:jc w:val="left"/>
            </w:pPr>
            <w:r>
              <w:t xml:space="preserve">Service</w:t>
            </w:r>
          </w:p>
        </w:tc>
        <w:tc>
          <w:tcPr>
            <w:tcW w:w="2575" w:type="dxa"/>
            <w:shd w:val="clear" w:color="auto" w:fill="F4F7FB"/>
            <w:vAlign w:val="top"/>
          </w:tcPr>
          <w:p>
            <w:pPr>
              <w:pStyle w:val="TableText"/>
              <w:jc w:val="left"/>
            </w:pPr>
            <w:r>
              <w:t xml:space="preserve">Wallet auto top-up</w:t>
            </w:r>
          </w:p>
        </w:tc>
        <w:tc>
          <w:tcPr>
            <w:tcW w:w="2055" w:type="dxa"/>
            <w:shd w:val="clear" w:color="auto" w:fill="F4F7FB"/>
            <w:vAlign w:val="top"/>
          </w:tcPr>
          <w:p>
            <w:pPr>
              <w:pStyle w:val="TableText"/>
              <w:jc w:val="left"/>
            </w:pPr>
            <w:r>
              <w:t xml:space="preserve">Roadmap; staff view only</w:t>
            </w:r>
          </w:p>
        </w:tc>
      </w:tr>
      <w:tr>
        <w:trPr>
          <w:cantSplit/>
        </w:trPr>
        <w:tc>
          <w:tcPr>
            <w:tcW w:w="2859" w:type="dxa"/>
            <w:vAlign w:val="top"/>
          </w:tcPr>
          <w:p>
            <w:pPr>
              <w:pStyle w:val="TableText"/>
              <w:jc w:val="left"/>
            </w:pPr>
            <w:r>
              <w:t xml:space="preserve">Fleet renewal dashboard and consolidated VAT invoice</w:t>
            </w:r>
          </w:p>
        </w:tc>
        <w:tc>
          <w:tcPr>
            <w:tcW w:w="1538" w:type="dxa"/>
            <w:vAlign w:val="top"/>
          </w:tcPr>
          <w:p>
            <w:pPr>
              <w:pStyle w:val="TableText"/>
              <w:jc w:val="left"/>
            </w:pPr>
            <w:r>
              <w:t xml:space="preserve">Service</w:t>
            </w:r>
          </w:p>
        </w:tc>
        <w:tc>
          <w:tcPr>
            <w:tcW w:w="2575" w:type="dxa"/>
            <w:vAlign w:val="top"/>
          </w:tcPr>
          <w:p>
            <w:pPr>
              <w:pStyle w:val="TableText"/>
              <w:jc w:val="left"/>
            </w:pPr>
            <w:r>
              <w:t xml:space="preserve">Company owner</w:t>
            </w:r>
          </w:p>
        </w:tc>
        <w:tc>
          <w:tcPr>
            <w:tcW w:w="2055" w:type="dxa"/>
            <w:vAlign w:val="top"/>
          </w:tcPr>
          <w:p>
            <w:pPr>
              <w:pStyle w:val="TableText"/>
              <w:jc w:val="left"/>
            </w:pPr>
            <w:r>
              <w:t xml:space="preserve">Roadmap; staff view only</w:t>
            </w:r>
          </w:p>
        </w:tc>
      </w:tr>
      <w:tr>
        <w:trPr>
          <w:cantSplit/>
        </w:trPr>
        <w:tc>
          <w:tcPr>
            <w:tcW w:w="2859" w:type="dxa"/>
            <w:shd w:val="clear" w:color="auto" w:fill="F4F7FB"/>
            <w:vAlign w:val="top"/>
          </w:tcPr>
          <w:p>
            <w:pPr>
              <w:pStyle w:val="TableText"/>
              <w:jc w:val="left"/>
            </w:pPr>
            <w:r>
              <w:t xml:space="preserve">VETC loyalty points (non-cash)</w:t>
            </w:r>
          </w:p>
        </w:tc>
        <w:tc>
          <w:tcPr>
            <w:tcW w:w="1538" w:type="dxa"/>
            <w:shd w:val="clear" w:color="auto" w:fill="F4F7FB"/>
            <w:vAlign w:val="top"/>
          </w:tcPr>
          <w:p>
            <w:pPr>
              <w:pStyle w:val="TableText"/>
              <w:jc w:val="left"/>
            </w:pPr>
            <w:r>
              <w:t xml:space="preserve">Loyalty</w:t>
            </w:r>
          </w:p>
        </w:tc>
        <w:tc>
          <w:tcPr>
            <w:tcW w:w="2575" w:type="dxa"/>
            <w:shd w:val="clear" w:color="auto" w:fill="F4F7FB"/>
            <w:vAlign w:val="top"/>
          </w:tcPr>
          <w:p>
            <w:pPr>
              <w:pStyle w:val="TableText"/>
              <w:jc w:val="left"/>
            </w:pPr>
            <w:r>
              <w:t xml:space="preserve">App sessions</w:t>
            </w:r>
          </w:p>
        </w:tc>
        <w:tc>
          <w:tcPr>
            <w:tcW w:w="2055" w:type="dxa"/>
            <w:shd w:val="clear" w:color="auto" w:fill="F4F7FB"/>
            <w:vAlign w:val="top"/>
          </w:tcPr>
          <w:p>
            <w:pPr>
              <w:pStyle w:val="TableText"/>
              <w:jc w:val="left"/>
            </w:pPr>
            <w:r>
              <w:t xml:space="preserve">Pending review by TASCO legal</w:t>
            </w:r>
          </w:p>
        </w:tc>
      </w:tr>
    </w:tbl>
    <w:p>
      <w:pPr>
        <w:pStyle w:val="BodyText"/>
        <w:spacing w:before="160"/>
      </w:pPr>
      <w:r>
        <w:t xml:space="preserve">Three guardrails apply. First, a copy guard blocks discount language in every customer message:</w:t>
      </w:r>
      <w:r>
        <w:t xml:space="preserve"> </w:t>
      </w:r>
      <w:r>
        <w:t xml:space="preserve">“</w:t>
      </w:r>
      <w:r>
        <w:t xml:space="preserve">giảm giá</w:t>
      </w:r>
      <w:r>
        <w:t xml:space="preserve">”</w:t>
      </w:r>
      <w:r>
        <w:t xml:space="preserve">,</w:t>
      </w:r>
      <w:r>
        <w:t xml:space="preserve"> </w:t>
      </w:r>
      <w:r>
        <w:t xml:space="preserve">“</w:t>
      </w:r>
      <w:r>
        <w:t xml:space="preserve">chiết khấu</w:t>
      </w:r>
      <w:r>
        <w:t xml:space="preserve">”</w:t>
      </w:r>
      <w:r>
        <w:t xml:space="preserve">,</w:t>
      </w:r>
      <w:r>
        <w:t xml:space="preserve"> </w:t>
      </w:r>
      <w:r>
        <w:t xml:space="preserve">“</w:t>
      </w:r>
      <w:r>
        <w:t xml:space="preserve">hoàn tiền</w:t>
      </w:r>
      <w:r>
        <w:t xml:space="preserve">”</w:t>
      </w:r>
      <w:r>
        <w:t xml:space="preserve">,</w:t>
      </w:r>
      <w:r>
        <w:t xml:space="preserve"> </w:t>
      </w:r>
      <w:r>
        <w:t xml:space="preserve">“</w:t>
      </w:r>
      <w:r>
        <w:t xml:space="preserve">khuyến mãi phí</w:t>
      </w:r>
      <w:r>
        <w:t xml:space="preserve">”</w:t>
      </w:r>
      <w:r>
        <w:t xml:space="preserve">,</w:t>
      </w:r>
      <w:r>
        <w:t xml:space="preserve"> </w:t>
      </w:r>
      <w:r>
        <w:t xml:space="preserve">“</w:t>
      </w:r>
      <w:r>
        <w:t xml:space="preserve">rẻ hơn</w:t>
      </w:r>
      <w:r>
        <w:t xml:space="preserve">”</w:t>
      </w:r>
      <w:r>
        <w:t xml:space="preserve">,</w:t>
      </w:r>
      <w:r>
        <w:t xml:space="preserve"> </w:t>
      </w:r>
      <w:r>
        <w:t xml:space="preserve">“</w:t>
      </w:r>
      <w:r>
        <w:t xml:space="preserve">discount</w:t>
      </w:r>
      <w:r>
        <w:t xml:space="preserve">”</w:t>
      </w:r>
      <w:r>
        <w:t xml:space="preserve">,</w:t>
      </w:r>
      <w:r>
        <w:t xml:space="preserve"> </w:t>
      </w:r>
      <w:r>
        <w:t xml:space="preserve">“</w:t>
      </w:r>
      <w:r>
        <w:t xml:space="preserve">cashback</w:t>
      </w:r>
      <w:r>
        <w:t xml:space="preserve">”</w:t>
      </w:r>
      <w:r>
        <w:t xml:space="preserve">,</w:t>
      </w:r>
      <w:r>
        <w:t xml:space="preserve"> </w:t>
      </w:r>
      <w:r>
        <w:t xml:space="preserve">“</w:t>
      </w:r>
      <w:r>
        <w:t xml:space="preserve">rebate</w:t>
      </w:r>
      <w:r>
        <w:t xml:space="preserve">”</w:t>
      </w:r>
      <w:r>
        <w:t xml:space="preserve">,</w:t>
      </w:r>
      <w:r>
        <w:t xml:space="preserve"> </w:t>
      </w:r>
      <w:r>
        <w:t xml:space="preserve">“</w:t>
      </w:r>
      <w:r>
        <w:t xml:space="preserve">% off</w:t>
      </w:r>
      <w:r>
        <w:t xml:space="preserve">”</w:t>
      </w:r>
      <w:r>
        <w:t xml:space="preserve">,</w:t>
      </w:r>
      <w:r>
        <w:t xml:space="preserve"> </w:t>
      </w:r>
      <w:r>
        <w:t xml:space="preserve">“</w:t>
      </w:r>
      <w:r>
        <w:t xml:space="preserve">cheaper</w:t>
      </w:r>
      <w:r>
        <w:t xml:space="preserve">”</w:t>
      </w:r>
      <w:r>
        <w:t xml:space="preserve">,</w:t>
      </w:r>
      <w:r>
        <w:t xml:space="preserve"> </w:t>
      </w:r>
      <w:r>
        <w:t xml:space="preserve">“</w:t>
      </w:r>
      <w:r>
        <w:t xml:space="preserve">lower premium</w:t>
      </w:r>
      <w:r>
        <w:t xml:space="preserve">”</w:t>
      </w:r>
      <w:r>
        <w:t xml:space="preserve"> </w:t>
      </w:r>
      <w:r>
        <w:t xml:space="preserve">and</w:t>
      </w:r>
      <w:r>
        <w:t xml:space="preserve"> </w:t>
      </w:r>
      <w:r>
        <w:t xml:space="preserve">“</w:t>
      </w:r>
      <w:r>
        <w:t xml:space="preserve">price cut</w:t>
      </w:r>
      <w:r>
        <w:t xml:space="preserve">”</w:t>
      </w:r>
      <w:r>
        <w:t xml:space="preserve">. It runs when content rules are saved and again at send time, and it ignores diacritics, extra spaces and punctuation, so</w:t>
      </w:r>
      <w:r>
        <w:t xml:space="preserve"> </w:t>
      </w:r>
      <w:r>
        <w:t xml:space="preserve">“</w:t>
      </w:r>
      <w:r>
        <w:t xml:space="preserve">giảm giá</w:t>
      </w:r>
      <w:r>
        <w:t xml:space="preserve">”</w:t>
      </w:r>
      <w:r>
        <w:t xml:space="preserve"> </w:t>
      </w:r>
      <w:r>
        <w:t xml:space="preserve">and</w:t>
      </w:r>
      <w:r>
        <w:t xml:space="preserve"> </w:t>
      </w:r>
      <w:r>
        <w:t xml:space="preserve">“</w:t>
      </w:r>
      <w:r>
        <w:t xml:space="preserve">cash back</w:t>
      </w:r>
      <w:r>
        <w:t xml:space="preserve">”</w:t>
      </w:r>
      <w:r>
        <w:t xml:space="preserve"> </w:t>
      </w:r>
      <w:r>
        <w:t xml:space="preserve">are also caught. Second, loyalty points and referral rewards stay switched off until TASCO legal approves them, and must never be promised to customers before then. Third, bundles (Safe Drive: TNDS plus personal accident cover per seat; Full Motor: TNDS, physical damage and personal accident cover) are priced as the sum of their parts. A bundle is a convenience, not a discount.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1" w:name="_Toc300000027"/>
      <w:r>
        <w:rPr>
          <w:rStyle w:val="BookTitle"/>
          <w:bCs w:val="0"/>
          <w:i w:val="0"/>
          <w:iCs w:val="0"/>
          <w:spacing w:val="0"/>
        </w:rPr>
        <w:t xml:space="preserve">Trust strategy</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65"/>
        <w:gridCol w:w="6762"/>
      </w:tblGrid>
      <w:tr>
        <w:trPr>
          <w:cantSplit/>
          <w:tblHeader/>
        </w:trPr>
        <w:tc>
          <w:tcPr>
            <w:tcW w:w="2265" w:type="dxa"/>
            <w:shd w:val="clear" w:color="auto" w:fill="0F4761"/>
            <w:vAlign w:val="center"/>
          </w:tcPr>
          <w:p>
            <w:pPr>
              <w:pStyle w:val="TableHeading"/>
              <w:jc w:val="left"/>
            </w:pPr>
            <w:r>
              <w:rPr>
                <w:color w:val="FFFFFF"/>
              </w:rPr>
              <w:t xml:space="preserve">Principle</w:t>
            </w:r>
          </w:p>
        </w:tc>
        <w:tc>
          <w:tcPr>
            <w:tcW w:w="6762" w:type="dxa"/>
            <w:shd w:val="clear" w:color="auto" w:fill="0F4761"/>
            <w:vAlign w:val="center"/>
          </w:tcPr>
          <w:p>
            <w:pPr>
              <w:pStyle w:val="TableHeading"/>
              <w:jc w:val="left"/>
            </w:pPr>
            <w:r>
              <w:rPr>
                <w:color w:val="FFFFFF"/>
              </w:rPr>
              <w:t xml:space="preserve">How the platform applies it</w:t>
            </w:r>
          </w:p>
        </w:tc>
      </w:tr>
      <w:tr>
        <w:trPr>
          <w:cantSplit/>
        </w:trPr>
        <w:tc>
          <w:tcPr>
            <w:tcW w:w="2265" w:type="dxa"/>
            <w:vAlign w:val="top"/>
          </w:tcPr>
          <w:p>
            <w:pPr>
              <w:pStyle w:val="TableText"/>
              <w:jc w:val="left"/>
            </w:pPr>
            <w:r>
              <w:t xml:space="preserve">Prove legitimacy before asking anything</w:t>
            </w:r>
          </w:p>
        </w:tc>
        <w:tc>
          <w:tcPr>
            <w:tcW w:w="6762" w:type="dxa"/>
            <w:vAlign w:val="top"/>
          </w:tcPr>
          <w:p>
            <w:pPr>
              <w:pStyle w:val="TableText"/>
              <w:jc w:val="left"/>
            </w:pPr>
            <w:r>
              <w:t xml:space="preserve">The assistant says it is VETC’s automated assistant, that the call is recorded and that VETC never asks for an OTP or payment by phone</w:t>
            </w:r>
          </w:p>
        </w:tc>
      </w:tr>
      <w:tr>
        <w:trPr>
          <w:cantSplit/>
        </w:trPr>
        <w:tc>
          <w:tcPr>
            <w:tcW w:w="2265" w:type="dxa"/>
            <w:shd w:val="clear" w:color="auto" w:fill="F4F7FB"/>
            <w:vAlign w:val="top"/>
          </w:tcPr>
          <w:p>
            <w:pPr>
              <w:pStyle w:val="TableText"/>
              <w:jc w:val="left"/>
            </w:pPr>
            <w:r>
              <w:t xml:space="preserve">Plate first</w:t>
            </w:r>
          </w:p>
        </w:tc>
        <w:tc>
          <w:tcPr>
            <w:tcW w:w="6762" w:type="dxa"/>
            <w:shd w:val="clear" w:color="auto" w:fill="F4F7FB"/>
            <w:vAlign w:val="top"/>
          </w:tcPr>
          <w:p>
            <w:pPr>
              <w:pStyle w:val="TableText"/>
              <w:jc w:val="left"/>
            </w:pPr>
            <w:r>
              <w:t xml:space="preserve">The customer says the plate; the assistant compares it with the record and never reads it out. A mismatch ends the call politely. At most three attempts</w:t>
            </w:r>
          </w:p>
        </w:tc>
      </w:tr>
      <w:tr>
        <w:trPr>
          <w:cantSplit/>
        </w:trPr>
        <w:tc>
          <w:tcPr>
            <w:tcW w:w="2265" w:type="dxa"/>
            <w:vAlign w:val="top"/>
          </w:tcPr>
          <w:p>
            <w:pPr>
              <w:pStyle w:val="TableText"/>
              <w:jc w:val="left"/>
            </w:pPr>
            <w:r>
              <w:t xml:space="preserve">Mask data on calls</w:t>
            </w:r>
          </w:p>
        </w:tc>
        <w:tc>
          <w:tcPr>
            <w:tcW w:w="6762" w:type="dxa"/>
            <w:vAlign w:val="top"/>
          </w:tcPr>
          <w:p>
            <w:pPr>
              <w:pStyle w:val="TableText"/>
              <w:jc w:val="left"/>
            </w:pPr>
            <w:r>
              <w:t xml:space="preserve">Plate and phone are masked in summaries (for example 30A-***.45)</w:t>
            </w:r>
          </w:p>
        </w:tc>
      </w:tr>
      <w:tr>
        <w:trPr>
          <w:cantSplit/>
        </w:trPr>
        <w:tc>
          <w:tcPr>
            <w:tcW w:w="2265" w:type="dxa"/>
            <w:shd w:val="clear" w:color="auto" w:fill="F4F7FB"/>
            <w:vAlign w:val="top"/>
          </w:tcPr>
          <w:p>
            <w:pPr>
              <w:pStyle w:val="TableText"/>
              <w:jc w:val="left"/>
            </w:pPr>
            <w:r>
              <w:t xml:space="preserve">No payment on calls</w:t>
            </w:r>
          </w:p>
        </w:tc>
        <w:tc>
          <w:tcPr>
            <w:tcW w:w="6762" w:type="dxa"/>
            <w:shd w:val="clear" w:color="auto" w:fill="F4F7FB"/>
            <w:vAlign w:val="top"/>
          </w:tcPr>
          <w:p>
            <w:pPr>
              <w:pStyle w:val="TableText"/>
              <w:jc w:val="left"/>
            </w:pPr>
            <w:r>
              <w:t xml:space="preserve">The assistant and telesales send a link or a quote; payment happens only in the VETC app from the wallet. Staff have no way to take payment</w:t>
            </w:r>
          </w:p>
        </w:tc>
      </w:tr>
      <w:tr>
        <w:trPr>
          <w:cantSplit/>
        </w:trPr>
        <w:tc>
          <w:tcPr>
            <w:tcW w:w="2265" w:type="dxa"/>
            <w:vAlign w:val="top"/>
          </w:tcPr>
          <w:p>
            <w:pPr>
              <w:pStyle w:val="TableText"/>
              <w:jc w:val="left"/>
            </w:pPr>
            <w:r>
              <w:t xml:space="preserve">Handle the scam objection</w:t>
            </w:r>
          </w:p>
        </w:tc>
        <w:tc>
          <w:tcPr>
            <w:tcW w:w="6762" w:type="dxa"/>
            <w:vAlign w:val="top"/>
          </w:tcPr>
          <w:p>
            <w:pPr>
              <w:pStyle w:val="TableText"/>
              <w:jc w:val="left"/>
            </w:pPr>
            <w:r>
              <w:t xml:space="preserve">A customer who asks</w:t>
            </w:r>
            <w:r>
              <w:t xml:space="preserve"> </w:t>
            </w:r>
            <w:r>
              <w:t xml:space="preserve">“</w:t>
            </w:r>
            <w:r>
              <w:t xml:space="preserve">is this a scam?</w:t>
            </w:r>
            <w:r>
              <w:t xml:space="preserve">”</w:t>
            </w:r>
            <w:r>
              <w:t xml:space="preserve"> </w:t>
            </w:r>
            <w:r>
              <w:t xml:space="preserve">hears how to verify the call and is offered a notice in the app</w:t>
            </w:r>
          </w:p>
        </w:tc>
      </w:tr>
      <w:tr>
        <w:trPr>
          <w:cantSplit/>
        </w:trPr>
        <w:tc>
          <w:tcPr>
            <w:tcW w:w="2265" w:type="dxa"/>
            <w:shd w:val="clear" w:color="auto" w:fill="F4F7FB"/>
            <w:vAlign w:val="top"/>
          </w:tcPr>
          <w:p>
            <w:pPr>
              <w:pStyle w:val="TableText"/>
              <w:jc w:val="left"/>
            </w:pPr>
            <w:r>
              <w:t xml:space="preserve">Independent proof of cover</w:t>
            </w:r>
          </w:p>
        </w:tc>
        <w:tc>
          <w:tcPr>
            <w:tcW w:w="6762" w:type="dxa"/>
            <w:shd w:val="clear" w:color="auto" w:fill="F4F7FB"/>
            <w:vAlign w:val="top"/>
          </w:tcPr>
          <w:p>
            <w:pPr>
              <w:pStyle w:val="TableText"/>
              <w:jc w:val="left"/>
            </w:pPr>
            <w:r>
              <w:t xml:space="preserve">The QR on the e-certificate opens a public page showing the masked plate, validity and insurer, with no personal data</w:t>
            </w:r>
          </w:p>
        </w:tc>
      </w:tr>
      <w:tr>
        <w:trPr>
          <w:cantSplit/>
        </w:trPr>
        <w:tc>
          <w:tcPr>
            <w:tcW w:w="2265" w:type="dxa"/>
            <w:vAlign w:val="top"/>
          </w:tcPr>
          <w:p>
            <w:pPr>
              <w:pStyle w:val="TableText"/>
              <w:jc w:val="left"/>
            </w:pPr>
            <w:r>
              <w:t xml:space="preserve">Branded channels only</w:t>
            </w:r>
          </w:p>
        </w:tc>
        <w:tc>
          <w:tcPr>
            <w:tcW w:w="6762" w:type="dxa"/>
            <w:vAlign w:val="top"/>
          </w:tcPr>
          <w:p>
            <w:pPr>
              <w:pStyle w:val="TableText"/>
              <w:jc w:val="left"/>
            </w:pPr>
            <w:r>
              <w:t xml:space="preserve">Messages come from the VETC app and TASCO’s official Zalo account. Links are signed, contain no guessable identifiers and expire after 30 days by default</w:t>
            </w:r>
          </w:p>
        </w:tc>
      </w:tr>
      <w:tr>
        <w:trPr>
          <w:cantSplit/>
        </w:trPr>
        <w:tc>
          <w:tcPr>
            <w:tcW w:w="2265" w:type="dxa"/>
            <w:shd w:val="clear" w:color="auto" w:fill="F4F7FB"/>
            <w:vAlign w:val="top"/>
          </w:tcPr>
          <w:p>
            <w:pPr>
              <w:pStyle w:val="TableText"/>
              <w:jc w:val="left"/>
            </w:pPr>
            <w:r>
              <w:t xml:space="preserve">Respect</w:t>
            </w:r>
            <w:r>
              <w:t xml:space="preserve"> </w:t>
            </w:r>
            <w:r>
              <w:t xml:space="preserve">“</w:t>
            </w:r>
            <w:r>
              <w:t xml:space="preserve">no</w:t>
            </w:r>
            <w:r>
              <w:t xml:space="preserve">”</w:t>
            </w:r>
          </w:p>
        </w:tc>
        <w:tc>
          <w:tcPr>
            <w:tcW w:w="6762" w:type="dxa"/>
            <w:shd w:val="clear" w:color="auto" w:fill="F4F7FB"/>
            <w:vAlign w:val="top"/>
          </w:tcPr>
          <w:p>
            <w:pPr>
              <w:pStyle w:val="TableText"/>
              <w:jc w:val="left"/>
            </w:pPr>
            <w:r>
              <w:t xml:space="preserve">An opt-out on a call sets do-not-contact and withdraws call consent, and is audited. Customers manage consent in the app</w:t>
            </w:r>
          </w:p>
        </w:tc>
      </w:tr>
      <w:tr>
        <w:trPr>
          <w:cantSplit/>
        </w:trPr>
        <w:tc>
          <w:tcPr>
            <w:tcW w:w="2265" w:type="dxa"/>
            <w:vAlign w:val="top"/>
          </w:tcPr>
          <w:p>
            <w:pPr>
              <w:pStyle w:val="TableText"/>
              <w:jc w:val="left"/>
            </w:pPr>
            <w:r>
              <w:t xml:space="preserve">Honest price talk</w:t>
            </w:r>
          </w:p>
        </w:tc>
        <w:tc>
          <w:tcPr>
            <w:tcW w:w="6762" w:type="dxa"/>
            <w:vAlign w:val="top"/>
          </w:tcPr>
          <w:p>
            <w:pPr>
              <w:pStyle w:val="TableText"/>
              <w:jc w:val="left"/>
            </w:pPr>
            <w:r>
              <w:t xml:space="preserve">“</w:t>
            </w:r>
            <w:r>
              <w:t xml:space="preserve">TNDS premiums are set by regulation and are the same at every insurer</w:t>
            </w:r>
            <w:r>
              <w:t xml:space="preserv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Data strategy</w:t>
      </w:r>
      <w:bookmarkEnd w:id="32"/>
    </w:p>
    <w:p>
      <w:pPr>
        <w:pStyle w:val="Heading2"/>
      </w:pPr>
      <w:bookmarkStart w:id="33" w:name="_Toc300000029"/>
      <w:r>
        <w:t xml:space="preserve">The data-repair loop</w:t>
      </w:r>
      <w:bookmarkEnd w:id="33"/>
    </w:p>
    <w:p>
      <w:pPr>
        <w:pStyle w:val="FirstParagraph"/>
      </w:pPr>
      <w:r>
        <w:t xml:space="preserve">Every contact either confirms or improves what TASCO knows about a vehicle. The diagram shows how outcomes flow back into the record.</w:t>
      </w:r>
    </w:p>
    <w:p xmlns:a="http://schemas.openxmlformats.org/drawingml/2006/main" xmlns:pic="http://schemas.openxmlformats.org/drawingml/2006/picture">
      <w:pPr>
        <w:pStyle w:val="Figure"/>
      </w:pPr>
      <w:r>
        <w:drawing>
          <wp:inline>
            <wp:extent cx="5727700" cy="5849196"/>
            <wp:effectExtent b="0" l="0" r="0" t="0"/>
            <wp:docPr descr="The data-repair loop, in which every contact outcome flows back into the vehicle record" title="" id="5004" name="Picture"/>
            <a:graphic>
              <a:graphicData uri="http://schemas.openxmlformats.org/drawingml/2006/picture">
                <pic:pic>
                  <pic:nvPicPr>
                    <pic:cNvPr descr="/home/user/TASCO/tools/docs-source/gen/.cache/mermaid/6282fba314aad826.png" id="54" name="Picture"/>
                    <pic:cNvPicPr>
                      <a:picLocks noChangeArrowheads="1" noChangeAspect="1"/>
                    </pic:cNvPicPr>
                  </pic:nvPicPr>
                  <pic:blipFill>
                    <a:blip r:embed="rIdG4"/>
                    <a:stretch>
                      <a:fillRect/>
                    </a:stretch>
                  </pic:blipFill>
                  <pic:spPr bwMode="auto">
                    <a:xfrm>
                      <a:off x="0" y="0"/>
                      <a:ext cx="5727700" cy="5849196"/>
                    </a:xfrm>
                    <a:prstGeom prst="rect">
                      <a:avLst/>
                    </a:prstGeom>
                    <a:noFill/>
                    <a:ln w="9525">
                      <a:noFill/>
                      <a:headEnd/>
                      <a:tailEnd/>
                    </a:ln>
                  </pic:spPr>
                </pic:pic>
              </a:graphicData>
            </a:graphic>
          </wp:inline>
        </w:drawing>
      </w:r>
    </w:p>
    <w:p>
      <w:pPr>
        <w:pStyle w:val="Caption"/>
      </w:pPr>
      <w:r>
        <w:t xml:space="preserve">Figure 3 – The data-repair loop, in which every contact outcome flows back into the vehicle record</w:t>
      </w:r>
    </w:p>
    <w:p>
      <w:pPr>
        <w:pStyle w:val="Heading2"/>
      </w:pPr>
      <w:bookmarkStart w:id="34" w:name="_Toc300000030"/>
      <w:r>
        <w:t xml:space="preserve">Expiry evidence and confidence</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294"/>
        <w:gridCol w:w="1733"/>
      </w:tblGrid>
      <w:tr>
        <w:trPr>
          <w:cantSplit/>
          <w:tblHeader/>
        </w:trPr>
        <w:tc>
          <w:tcPr>
            <w:tcW w:w="7294" w:type="dxa"/>
            <w:shd w:val="clear" w:color="auto" w:fill="0F4761"/>
            <w:vAlign w:val="center"/>
          </w:tcPr>
          <w:p>
            <w:pPr>
              <w:pStyle w:val="TableHeading"/>
              <w:jc w:val="left"/>
            </w:pPr>
            <w:r>
              <w:rPr>
                <w:color w:val="FFFFFF"/>
              </w:rPr>
              <w:t xml:space="preserve">Evidence</w:t>
            </w:r>
          </w:p>
        </w:tc>
        <w:tc>
          <w:tcPr>
            <w:tcW w:w="1733" w:type="dxa"/>
            <w:shd w:val="clear" w:color="auto" w:fill="0F4761"/>
            <w:vAlign w:val="center"/>
          </w:tcPr>
          <w:p>
            <w:pPr>
              <w:pStyle w:val="TableHeading"/>
              <w:jc w:val="left"/>
            </w:pPr>
            <w:r>
              <w:rPr>
                <w:color w:val="FFFFFF"/>
              </w:rPr>
              <w:t xml:space="preserve">Confidence</w:t>
            </w:r>
          </w:p>
        </w:tc>
      </w:tr>
      <w:tr>
        <w:trPr>
          <w:cantSplit/>
        </w:trPr>
        <w:tc>
          <w:tcPr>
            <w:tcW w:w="7294" w:type="dxa"/>
            <w:vAlign w:val="top"/>
          </w:tcPr>
          <w:p>
            <w:pPr>
              <w:pStyle w:val="TableText"/>
              <w:jc w:val="left"/>
            </w:pPr>
            <w:r>
              <w:t xml:space="preserve">Verified certificate, including a TASCO issuance</w:t>
            </w:r>
          </w:p>
        </w:tc>
        <w:tc>
          <w:tcPr>
            <w:tcW w:w="1733" w:type="dxa"/>
            <w:vAlign w:val="top"/>
          </w:tcPr>
          <w:p>
            <w:pPr>
              <w:pStyle w:val="TableText"/>
              <w:jc w:val="left"/>
            </w:pPr>
            <w:r>
              <w:t xml:space="preserve">1.0</w:t>
            </w:r>
          </w:p>
        </w:tc>
      </w:tr>
      <w:tr>
        <w:trPr>
          <w:cantSplit/>
        </w:trPr>
        <w:tc>
          <w:tcPr>
            <w:tcW w:w="7294" w:type="dxa"/>
            <w:shd w:val="clear" w:color="auto" w:fill="F4F7FB"/>
            <w:vAlign w:val="top"/>
          </w:tcPr>
          <w:p>
            <w:pPr>
              <w:pStyle w:val="TableText"/>
              <w:jc w:val="left"/>
            </w:pPr>
            <w:r>
              <w:t xml:space="preserve">Steward correction with written evidence</w:t>
            </w:r>
          </w:p>
        </w:tc>
        <w:tc>
          <w:tcPr>
            <w:tcW w:w="1733" w:type="dxa"/>
            <w:shd w:val="clear" w:color="auto" w:fill="F4F7FB"/>
            <w:vAlign w:val="top"/>
          </w:tcPr>
          <w:p>
            <w:pPr>
              <w:pStyle w:val="TableText"/>
              <w:jc w:val="left"/>
            </w:pPr>
            <w:r>
              <w:t xml:space="preserve">0.9</w:t>
            </w:r>
          </w:p>
        </w:tc>
      </w:tr>
      <w:tr>
        <w:trPr>
          <w:cantSplit/>
        </w:trPr>
        <w:tc>
          <w:tcPr>
            <w:tcW w:w="7294" w:type="dxa"/>
            <w:vAlign w:val="top"/>
          </w:tcPr>
          <w:p>
            <w:pPr>
              <w:pStyle w:val="TableText"/>
              <w:jc w:val="left"/>
            </w:pPr>
            <w:r>
              <w:t xml:space="preserve">Customer declaration in the app</w:t>
            </w:r>
          </w:p>
        </w:tc>
        <w:tc>
          <w:tcPr>
            <w:tcW w:w="1733" w:type="dxa"/>
            <w:vAlign w:val="top"/>
          </w:tcPr>
          <w:p>
            <w:pPr>
              <w:pStyle w:val="TableText"/>
              <w:jc w:val="left"/>
            </w:pPr>
            <w:r>
              <w:t xml:space="preserve">0.75</w:t>
            </w:r>
          </w:p>
        </w:tc>
      </w:tr>
      <w:tr>
        <w:trPr>
          <w:cantSplit/>
        </w:trPr>
        <w:tc>
          <w:tcPr>
            <w:tcW w:w="7294" w:type="dxa"/>
            <w:shd w:val="clear" w:color="auto" w:fill="F4F7FB"/>
            <w:vAlign w:val="top"/>
          </w:tcPr>
          <w:p>
            <w:pPr>
              <w:pStyle w:val="TableText"/>
              <w:jc w:val="left"/>
            </w:pPr>
            <w:r>
              <w:t xml:space="preserve">Partner policy record</w:t>
            </w:r>
          </w:p>
        </w:tc>
        <w:tc>
          <w:tcPr>
            <w:tcW w:w="1733" w:type="dxa"/>
            <w:shd w:val="clear" w:color="auto" w:fill="F4F7FB"/>
            <w:vAlign w:val="top"/>
          </w:tcPr>
          <w:p>
            <w:pPr>
              <w:pStyle w:val="TableText"/>
              <w:jc w:val="left"/>
            </w:pPr>
            <w:r>
              <w:t xml:space="preserve">Up to 0.7</w:t>
            </w:r>
          </w:p>
        </w:tc>
      </w:tr>
      <w:tr>
        <w:trPr>
          <w:cantSplit/>
        </w:trPr>
        <w:tc>
          <w:tcPr>
            <w:tcW w:w="7294" w:type="dxa"/>
            <w:vAlign w:val="top"/>
          </w:tcPr>
          <w:p>
            <w:pPr>
              <w:pStyle w:val="TableText"/>
              <w:jc w:val="left"/>
            </w:pPr>
            <w:r>
              <w:t xml:space="preserve">Assistant call:</w:t>
            </w:r>
            <w:r>
              <w:t xml:space="preserve"> </w:t>
            </w:r>
            <w:r>
              <w:t xml:space="preserve">“</w:t>
            </w:r>
            <w:r>
              <w:t xml:space="preserve">already renewed elsewhere</w:t>
            </w:r>
            <w:r>
              <w:t xml:space="preserve">”</w:t>
            </w:r>
            <w:r>
              <w:t xml:space="preserve"> </w:t>
            </w:r>
            <w:r>
              <w:t xml:space="preserve">(next date estimated)</w:t>
            </w:r>
          </w:p>
        </w:tc>
        <w:tc>
          <w:tcPr>
            <w:tcW w:w="1733" w:type="dxa"/>
            <w:vAlign w:val="top"/>
          </w:tcPr>
          <w:p>
            <w:pPr>
              <w:pStyle w:val="TableText"/>
              <w:jc w:val="left"/>
            </w:pPr>
            <w:r>
              <w:t xml:space="preserve">0.6</w:t>
            </w:r>
          </w:p>
        </w:tc>
      </w:tr>
      <w:tr>
        <w:trPr>
          <w:cantSplit/>
        </w:trPr>
        <w:tc>
          <w:tcPr>
            <w:tcW w:w="7294" w:type="dxa"/>
            <w:shd w:val="clear" w:color="auto" w:fill="F4F7FB"/>
            <w:vAlign w:val="top"/>
          </w:tcPr>
          <w:p>
            <w:pPr>
              <w:pStyle w:val="TableText"/>
              <w:jc w:val="left"/>
            </w:pPr>
            <w:r>
              <w:t xml:space="preserve">Inspection cycle</w:t>
            </w:r>
          </w:p>
        </w:tc>
        <w:tc>
          <w:tcPr>
            <w:tcW w:w="1733" w:type="dxa"/>
            <w:shd w:val="clear" w:color="auto" w:fill="F4F7FB"/>
            <w:vAlign w:val="top"/>
          </w:tcPr>
          <w:p>
            <w:pPr>
              <w:pStyle w:val="TableText"/>
              <w:jc w:val="left"/>
            </w:pPr>
            <w:r>
              <w:t xml:space="preserve">0.5</w:t>
            </w:r>
          </w:p>
        </w:tc>
      </w:tr>
      <w:tr>
        <w:trPr>
          <w:cantSplit/>
        </w:trPr>
        <w:tc>
          <w:tcPr>
            <w:tcW w:w="7294" w:type="dxa"/>
            <w:vAlign w:val="top"/>
          </w:tcPr>
          <w:p>
            <w:pPr>
              <w:pStyle w:val="TableText"/>
              <w:jc w:val="left"/>
            </w:pPr>
            <w:r>
              <w:t xml:space="preserve">Tag anniversary</w:t>
            </w:r>
          </w:p>
        </w:tc>
        <w:tc>
          <w:tcPr>
            <w:tcW w:w="1733" w:type="dxa"/>
            <w:vAlign w:val="top"/>
          </w:tcPr>
          <w:p>
            <w:pPr>
              <w:pStyle w:val="TableText"/>
              <w:jc w:val="left"/>
            </w:pPr>
            <w:r>
              <w:t xml:space="preserve">0.25</w:t>
            </w:r>
          </w:p>
        </w:tc>
      </w:tr>
    </w:tbl>
    <w:p>
      <w:pPr>
        <w:pStyle w:val="BodyText"/>
        <w:spacing w:before="160"/>
      </w:pPr>
      <w:r>
        <w:t xml:space="preserve">When independent methods agree within 21 days, confidence rises by 0.15 per agreement, up to 0.95. An expiry is usable for selling at a confidence of 0.5 or more. Below that, the next best action is to ask the customer to confirm the date.</w:t>
      </w:r>
    </w:p>
    <w:p>
      <w:pPr>
        <w:pStyle w:val="Heading2"/>
      </w:pPr>
      <w:bookmarkStart w:id="35" w:name="_Toc300000031"/>
      <w:r>
        <w:t xml:space="preserve">Data-quality model</w:t>
      </w:r>
      <w:bookmarkEnd w:id="35"/>
    </w:p>
    <w:p>
      <w:pPr>
        <w:pStyle w:val="FirstParagraph"/>
      </w:pPr>
      <w:r>
        <w:t xml:space="preserve">The platform raises data-quality issues for a missing phone, name, reliable expiry, vehicle category or current insurer, and for conflicting phones, invalid plates, wrong-person calls and plate mismatches. Each record carries a data-quality score: 100 × (0.5 × completeness + 0.35 × expiry confidence + 0.15 × category confidence). Facts captured by the platform (customer declarations, assistant findings, TASCO issuances and consent changes) are not overwritten by weaker data in later source loads.</w:t>
      </w:r>
    </w:p>
    <w:p>
      <w:pPr>
        <w:pStyle w:val="Heading2"/>
      </w:pPr>
      <w:bookmarkStart w:id="36" w:name="_Toc300000032"/>
      <w:r>
        <w:t xml:space="preserve">Data governance principles</w:t>
      </w:r>
      <w:bookmarkEnd w:id="36"/>
    </w:p>
    <w:p>
      <w:pPr>
        <w:pStyle w:val="Compact"/>
        <w:numPr>
          <w:ilvl w:val="0"/>
          <w:numId w:val="1003"/>
        </w:numPr>
      </w:pPr>
      <w:r>
        <w:t xml:space="preserve">Lineage for every field: its source, confidence and the rule that set it.</w:t>
      </w:r>
    </w:p>
    <w:p>
      <w:pPr>
        <w:pStyle w:val="Compact"/>
        <w:numPr>
          <w:ilvl w:val="0"/>
          <w:numId w:val="1003"/>
        </w:numPr>
      </w:pPr>
      <w:r>
        <w:t xml:space="preserve">Minimum necessary data: telesales handoffs carry only what is needed to call; personal data is masked unless the role is allowed to see it.</w:t>
      </w:r>
    </w:p>
    <w:p>
      <w:pPr>
        <w:pStyle w:val="Compact"/>
        <w:numPr>
          <w:ilvl w:val="0"/>
          <w:numId w:val="1003"/>
        </w:numPr>
      </w:pPr>
      <w:r>
        <w:t xml:space="preserve">Encryption of personal data at rest: name, phone, transcripts and claim descriptions; phone search uses a blind index.</w:t>
      </w:r>
    </w:p>
    <w:p>
      <w:pPr>
        <w:pStyle w:val="Compact"/>
        <w:numPr>
          <w:ilvl w:val="0"/>
          <w:numId w:val="1003"/>
        </w:numPr>
      </w:pPr>
      <w:r>
        <w:t xml:space="preserve">Retention by rule: retention periods are set per data type and changed only through approval.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Roadmap</w:t>
      </w:r>
      <w:bookmarkEnd w:id="37"/>
    </w:p>
    <w:p>
      <w:pPr>
        <w:pStyle w:val="FirstParagraph"/>
      </w:pPr>
      <w:r>
        <w:t xml:space="preserve">The plan assumes contract signature by 30 October 2026 and a start on 2 November 2026. Week 13 falls just before Tết, when vehicles are inspected and insurance is checked at the roadside. We propose a controlled soft launch in week 13, a change freeze with 24-hour on-call cover over the holiday, and a ramp-up to the full pilot cohort afterwards.</w:t>
      </w:r>
    </w:p>
    <w:p xmlns:a="http://schemas.openxmlformats.org/drawingml/2006/main" xmlns:pic="http://schemas.openxmlformats.org/drawingml/2006/picture">
      <w:pPr>
        <w:pStyle w:val="Figure"/>
      </w:pPr>
      <w:r>
        <w:drawing>
          <wp:inline>
            <wp:extent cx="5727700" cy="3318594"/>
            <wp:effectExtent b="0" l="0" r="0" t="0"/>
            <wp:docPr descr="Indicative roadmap from discovery to the scale phase" title="" id="5005" name="Picture"/>
            <a:graphic>
              <a:graphicData uri="http://schemas.openxmlformats.org/drawingml/2006/picture">
                <pic:pic>
                  <pic:nvPicPr>
                    <pic:cNvPr descr="/home/user/TASCO/tools/docs-source/gen/.cache/mermaid/a3578f3e7851d46e.png" id="62" name="Picture"/>
                    <pic:cNvPicPr>
                      <a:picLocks noChangeArrowheads="1" noChangeAspect="1"/>
                    </pic:cNvPicPr>
                  </pic:nvPicPr>
                  <pic:blipFill>
                    <a:blip r:embed="rIdG5"/>
                    <a:stretch>
                      <a:fillRect/>
                    </a:stretch>
                  </pic:blipFill>
                  <pic:spPr bwMode="auto">
                    <a:xfrm>
                      <a:off x="0" y="0"/>
                      <a:ext cx="5727700" cy="3318594"/>
                    </a:xfrm>
                    <a:prstGeom prst="rect">
                      <a:avLst/>
                    </a:prstGeom>
                    <a:noFill/>
                    <a:ln w="9525">
                      <a:noFill/>
                      <a:headEnd/>
                      <a:tailEnd/>
                    </a:ln>
                  </pic:spPr>
                </pic:pic>
              </a:graphicData>
            </a:graphic>
          </wp:inline>
        </w:drawing>
      </w:r>
    </w:p>
    <w:p>
      <w:pPr>
        <w:pStyle w:val="Caption"/>
      </w:pPr>
      <w:r>
        <w:t xml:space="preserve">Figure 4 – Indicative roadmap from discovery to the scale phase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87"/>
        <w:gridCol w:w="1249"/>
        <w:gridCol w:w="3987"/>
        <w:gridCol w:w="2304"/>
      </w:tblGrid>
      <w:tr>
        <w:trPr>
          <w:cantSplit/>
          <w:tblHeader/>
        </w:trPr>
        <w:tc>
          <w:tcPr>
            <w:tcW w:w="1487" w:type="dxa"/>
            <w:shd w:val="clear" w:color="auto" w:fill="0F4761"/>
            <w:vAlign w:val="center"/>
          </w:tcPr>
          <w:p>
            <w:pPr>
              <w:pStyle w:val="TableHeading"/>
              <w:jc w:val="left"/>
            </w:pPr>
            <w:r>
              <w:rPr>
                <w:color w:val="FFFFFF"/>
              </w:rPr>
              <w:t xml:space="preserve">Stage</w:t>
            </w:r>
          </w:p>
        </w:tc>
        <w:tc>
          <w:tcPr>
            <w:tcW w:w="1249" w:type="dxa"/>
            <w:shd w:val="clear" w:color="auto" w:fill="0F4761"/>
            <w:vAlign w:val="center"/>
          </w:tcPr>
          <w:p>
            <w:pPr>
              <w:pStyle w:val="TableHeading"/>
              <w:jc w:val="left"/>
            </w:pPr>
            <w:r>
              <w:rPr>
                <w:color w:val="FFFFFF"/>
              </w:rPr>
              <w:t xml:space="preserve">Duration</w:t>
            </w:r>
          </w:p>
        </w:tc>
        <w:tc>
          <w:tcPr>
            <w:tcW w:w="3987" w:type="dxa"/>
            <w:shd w:val="clear" w:color="auto" w:fill="0F4761"/>
            <w:vAlign w:val="center"/>
          </w:tcPr>
          <w:p>
            <w:pPr>
              <w:pStyle w:val="TableHeading"/>
              <w:jc w:val="left"/>
            </w:pPr>
            <w:r>
              <w:rPr>
                <w:color w:val="FFFFFF"/>
              </w:rPr>
              <w:t xml:space="preserve">Scope</w:t>
            </w:r>
          </w:p>
        </w:tc>
        <w:tc>
          <w:tcPr>
            <w:tcW w:w="2304" w:type="dxa"/>
            <w:shd w:val="clear" w:color="auto" w:fill="0F4761"/>
            <w:vAlign w:val="center"/>
          </w:tcPr>
          <w:p>
            <w:pPr>
              <w:pStyle w:val="TableHeading"/>
              <w:jc w:val="left"/>
            </w:pPr>
            <w:r>
              <w:rPr>
                <w:color w:val="FFFFFF"/>
              </w:rPr>
              <w:t xml:space="preserve">Exit criteria</w:t>
            </w:r>
          </w:p>
        </w:tc>
      </w:tr>
      <w:tr>
        <w:trPr>
          <w:cantSplit/>
        </w:trPr>
        <w:tc>
          <w:tcPr>
            <w:tcW w:w="1487" w:type="dxa"/>
            <w:vAlign w:val="top"/>
          </w:tcPr>
          <w:p>
            <w:pPr>
              <w:pStyle w:val="TableText"/>
              <w:jc w:val="left"/>
            </w:pPr>
            <w:r>
              <w:t xml:space="preserve">Discovery</w:t>
            </w:r>
          </w:p>
        </w:tc>
        <w:tc>
          <w:tcPr>
            <w:tcW w:w="1249" w:type="dxa"/>
            <w:vAlign w:val="top"/>
          </w:tcPr>
          <w:p>
            <w:pPr>
              <w:pStyle w:val="TableText"/>
              <w:jc w:val="left"/>
            </w:pPr>
            <w:r>
              <w:t xml:space="preserve">2 weeks</w:t>
            </w:r>
          </w:p>
        </w:tc>
        <w:tc>
          <w:tcPr>
            <w:tcW w:w="3987" w:type="dxa"/>
            <w:vAlign w:val="top"/>
          </w:tcPr>
          <w:p>
            <w:pPr>
              <w:pStyle w:val="TableText"/>
              <w:jc w:val="left"/>
            </w:pPr>
            <w:r>
              <w:t xml:space="preserve">Reuse inventory of TASCO and VETC assets; core integration path (catalogue, rating, issuance); data extract and mapping; legal confirmations; channel contracts; pilot design with a control group</w:t>
            </w:r>
          </w:p>
        </w:tc>
        <w:tc>
          <w:tcPr>
            <w:tcW w:w="2304" w:type="dxa"/>
            <w:vAlign w:val="top"/>
          </w:tcPr>
          <w:p>
            <w:pPr>
              <w:pStyle w:val="TableText"/>
              <w:jc w:val="left"/>
            </w:pPr>
            <w:r>
              <w:t xml:space="preserve">Signed pilot design; data-sharing agreement; sandbox access</w:t>
            </w:r>
          </w:p>
        </w:tc>
      </w:tr>
      <w:tr>
        <w:trPr>
          <w:cantSplit/>
        </w:trPr>
        <w:tc>
          <w:tcPr>
            <w:tcW w:w="1487" w:type="dxa"/>
            <w:shd w:val="clear" w:color="auto" w:fill="F4F7FB"/>
            <w:vAlign w:val="top"/>
          </w:tcPr>
          <w:p>
            <w:pPr>
              <w:pStyle w:val="TableText"/>
              <w:jc w:val="left"/>
            </w:pPr>
            <w:r>
              <w:t xml:space="preserve">Build and integrate</w:t>
            </w:r>
          </w:p>
        </w:tc>
        <w:tc>
          <w:tcPr>
            <w:tcW w:w="1249" w:type="dxa"/>
            <w:shd w:val="clear" w:color="auto" w:fill="F4F7FB"/>
            <w:vAlign w:val="top"/>
          </w:tcPr>
          <w:p>
            <w:pPr>
              <w:pStyle w:val="TableText"/>
              <w:jc w:val="left"/>
            </w:pPr>
            <w:r>
              <w:t xml:space="preserve">8 weeks</w:t>
            </w:r>
          </w:p>
        </w:tc>
        <w:tc>
          <w:tcPr>
            <w:tcW w:w="3987" w:type="dxa"/>
            <w:shd w:val="clear" w:color="auto" w:fill="F4F7FB"/>
            <w:vAlign w:val="top"/>
          </w:tcPr>
          <w:p>
            <w:pPr>
              <w:pStyle w:val="TableText"/>
              <w:jc w:val="left"/>
            </w:pPr>
            <w:r>
              <w:t xml:space="preserve">Production connectors for TASCO core, VETC wallet, app web view and push, Zalo ZNS from TASCO’s Official Account, SMS and one voice vendor; Tasco360 on the partner API; TASCO branding; hardening</w:t>
            </w:r>
          </w:p>
        </w:tc>
        <w:tc>
          <w:tcPr>
            <w:tcW w:w="2304" w:type="dxa"/>
            <w:shd w:val="clear" w:color="auto" w:fill="F4F7FB"/>
            <w:vAlign w:val="top"/>
          </w:tcPr>
          <w:p>
            <w:pPr>
              <w:pStyle w:val="TableText"/>
              <w:jc w:val="left"/>
            </w:pPr>
            <w:r>
              <w:t xml:space="preserve">End-to-end demonstration on sandboxes</w:t>
            </w:r>
          </w:p>
        </w:tc>
      </w:tr>
      <w:tr>
        <w:trPr>
          <w:cantSplit/>
        </w:trPr>
        <w:tc>
          <w:tcPr>
            <w:tcW w:w="1487" w:type="dxa"/>
            <w:vAlign w:val="top"/>
          </w:tcPr>
          <w:p>
            <w:pPr>
              <w:pStyle w:val="TableText"/>
              <w:jc w:val="left"/>
            </w:pPr>
            <w:r>
              <w:t xml:space="preserve">Test and go-live</w:t>
            </w:r>
          </w:p>
        </w:tc>
        <w:tc>
          <w:tcPr>
            <w:tcW w:w="1249" w:type="dxa"/>
            <w:vAlign w:val="top"/>
          </w:tcPr>
          <w:p>
            <w:pPr>
              <w:pStyle w:val="TableText"/>
              <w:jc w:val="left"/>
            </w:pPr>
            <w:r>
              <w:t xml:space="preserve">3 weeks</w:t>
            </w:r>
          </w:p>
        </w:tc>
        <w:tc>
          <w:tcPr>
            <w:tcW w:w="3987" w:type="dxa"/>
            <w:vAlign w:val="top"/>
          </w:tcPr>
          <w:p>
            <w:pPr>
              <w:pStyle w:val="TableText"/>
              <w:jc w:val="left"/>
            </w:pPr>
            <w:r>
              <w:t xml:space="preserve">System integration, UAT, security testing, rehearsed cut-over</w:t>
            </w:r>
          </w:p>
        </w:tc>
        <w:tc>
          <w:tcPr>
            <w:tcW w:w="2304" w:type="dxa"/>
            <w:vAlign w:val="top"/>
          </w:tcPr>
          <w:p>
            <w:pPr>
              <w:pStyle w:val="TableText"/>
              <w:jc w:val="left"/>
            </w:pPr>
            <w:r>
              <w:t xml:space="preserve">UAT sign-off; no open critical or high security findings</w:t>
            </w:r>
          </w:p>
        </w:tc>
      </w:tr>
      <w:tr>
        <w:trPr>
          <w:cantSplit/>
        </w:trPr>
        <w:tc>
          <w:tcPr>
            <w:tcW w:w="1487" w:type="dxa"/>
            <w:shd w:val="clear" w:color="auto" w:fill="F4F7FB"/>
            <w:vAlign w:val="top"/>
          </w:tcPr>
          <w:p>
            <w:pPr>
              <w:pStyle w:val="TableText"/>
              <w:jc w:val="left"/>
            </w:pPr>
            <w:r>
              <w:t xml:space="preserve">Hypercare</w:t>
            </w:r>
          </w:p>
        </w:tc>
        <w:tc>
          <w:tcPr>
            <w:tcW w:w="1249" w:type="dxa"/>
            <w:shd w:val="clear" w:color="auto" w:fill="F4F7FB"/>
            <w:vAlign w:val="top"/>
          </w:tcPr>
          <w:p>
            <w:pPr>
              <w:pStyle w:val="TableText"/>
              <w:jc w:val="left"/>
            </w:pPr>
            <w:r>
              <w:t xml:space="preserve">4 weeks</w:t>
            </w:r>
          </w:p>
        </w:tc>
        <w:tc>
          <w:tcPr>
            <w:tcW w:w="3987" w:type="dxa"/>
            <w:shd w:val="clear" w:color="auto" w:fill="F4F7FB"/>
            <w:vAlign w:val="top"/>
          </w:tcPr>
          <w:p>
            <w:pPr>
              <w:pStyle w:val="TableText"/>
              <w:jc w:val="left"/>
            </w:pPr>
            <w:r>
              <w:t xml:space="preserve">Delivery team on hand during the first weeks of live operation</w:t>
            </w:r>
          </w:p>
        </w:tc>
        <w:tc>
          <w:tcPr>
            <w:tcW w:w="2304" w:type="dxa"/>
            <w:shd w:val="clear" w:color="auto" w:fill="F4F7FB"/>
            <w:vAlign w:val="top"/>
          </w:tcPr>
          <w:p>
            <w:pPr>
              <w:pStyle w:val="TableText"/>
              <w:jc w:val="left"/>
            </w:pPr>
            <w:r>
              <w:t xml:space="preserve">Four weeks within service levels</w:t>
            </w:r>
          </w:p>
        </w:tc>
      </w:tr>
      <w:tr>
        <w:trPr>
          <w:cantSplit/>
        </w:trPr>
        <w:tc>
          <w:tcPr>
            <w:tcW w:w="1487" w:type="dxa"/>
            <w:vAlign w:val="top"/>
          </w:tcPr>
          <w:p>
            <w:pPr>
              <w:pStyle w:val="TableText"/>
              <w:jc w:val="left"/>
            </w:pPr>
            <w:r>
              <w:t xml:space="preserve">Scale (optional)</w:t>
            </w:r>
          </w:p>
        </w:tc>
        <w:tc>
          <w:tcPr>
            <w:tcW w:w="1249" w:type="dxa"/>
            <w:vAlign w:val="top"/>
          </w:tcPr>
          <w:p>
            <w:pPr>
              <w:pStyle w:val="TableText"/>
              <w:jc w:val="left"/>
            </w:pPr>
            <w:r>
              <w:t xml:space="preserve">About 6 months</w:t>
            </w:r>
          </w:p>
        </w:tc>
        <w:tc>
          <w:tcPr>
            <w:tcW w:w="3987" w:type="dxa"/>
            <w:vAlign w:val="top"/>
          </w:tcPr>
          <w:p>
            <w:pPr>
              <w:pStyle w:val="TableText"/>
              <w:jc w:val="left"/>
            </w:pPr>
            <w:r>
              <w:t xml:space="preserve">Ten modules (TGP-BUS-07): full 6 million base; VETC sign-on and live events; TASCO app and website; Zalo Mini App; claims integration; inspection and fleet; further partners; data warehouse; calibration and A/B testing; full-scale assurance</w:t>
            </w:r>
          </w:p>
        </w:tc>
        <w:tc>
          <w:tcPr>
            <w:tcW w:w="2304" w:type="dxa"/>
            <w:vAlign w:val="top"/>
          </w:tcPr>
          <w:p>
            <w:pPr>
              <w:pStyle w:val="TableText"/>
              <w:jc w:val="left"/>
            </w:pPr>
            <w:r>
              <w:t xml:space="preserve">Base-case KPIs on track; cost per policy at or below target (K-10)</w:t>
            </w:r>
          </w:p>
        </w:tc>
      </w:tr>
      <w:tr>
        <w:trPr>
          <w:cantSplit/>
        </w:trPr>
        <w:tc>
          <w:tcPr>
            <w:tcW w:w="1487" w:type="dxa"/>
            <w:shd w:val="clear" w:color="auto" w:fill="F4F7FB"/>
            <w:vAlign w:val="top"/>
          </w:tcPr>
          <w:p>
            <w:pPr>
              <w:pStyle w:val="TableText"/>
              <w:jc w:val="left"/>
            </w:pPr>
            <w:r>
              <w:t xml:space="preserve">Run</w:t>
            </w:r>
          </w:p>
        </w:tc>
        <w:tc>
          <w:tcPr>
            <w:tcW w:w="1249" w:type="dxa"/>
            <w:shd w:val="clear" w:color="auto" w:fill="F4F7FB"/>
            <w:vAlign w:val="top"/>
          </w:tcPr>
          <w:p>
            <w:pPr>
              <w:pStyle w:val="TableText"/>
              <w:jc w:val="left"/>
            </w:pPr>
            <w:r>
              <w:t xml:space="preserve">Ongoing</w:t>
            </w:r>
          </w:p>
        </w:tc>
        <w:tc>
          <w:tcPr>
            <w:tcW w:w="3987" w:type="dxa"/>
            <w:shd w:val="clear" w:color="auto" w:fill="F4F7FB"/>
            <w:vAlign w:val="top"/>
          </w:tcPr>
          <w:p>
            <w:pPr>
              <w:pStyle w:val="TableText"/>
              <w:jc w:val="left"/>
            </w:pPr>
            <w:r>
              <w:t xml:space="preserve">Managed service; rule tuning by the business through maker-checker; new products by configuration</w:t>
            </w:r>
          </w:p>
        </w:tc>
        <w:tc>
          <w:tcPr>
            <w:tcW w:w="2304" w:type="dxa"/>
            <w:shd w:val="clear" w:color="auto" w:fill="F4F7FB"/>
            <w:vAlign w:val="top"/>
          </w:tcPr>
          <w:p>
            <w:pPr>
              <w:pStyle w:val="TableText"/>
              <w:jc w:val="left"/>
            </w:pPr>
            <w:r>
              <w:t xml:space="preserve">Service levels met (TGP-BUS-03)</w:t>
            </w:r>
          </w:p>
        </w:tc>
      </w:tr>
    </w:tbl>
    <w:p>
      <w:pPr>
        <w:pStyle w:val="BodyText"/>
        <w:spacing w:before="160"/>
      </w:pPr>
      <w:r>
        <w:t xml:space="preserve">Thirteen weeks to go-live is credible because the business logic already exists and is driven by rules: scoring, journeys, next best actions, benefits, contact policy and wording are configuration. Every external system sits behind an interface with a sandbox connector. The staff console, customer app, 271 automated tests, delivery pipeline, container image and deployment manifests already exist, and a UAT environment is live. MVP effort therefore goes to integration, data onboarding, testing and the pilot.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KPIs</w:t>
      </w:r>
      <w:bookmarkEnd w:id="38"/>
    </w:p>
    <w:p>
      <w:pPr>
        <w:pStyle w:val="Heading2"/>
      </w:pPr>
      <w:bookmarkStart w:id="39" w:name="_Toc300000035"/>
      <w:r>
        <w:t xml:space="preserve">KPI structure</w:t>
      </w:r>
      <w:bookmarkEnd w:id="39"/>
    </w:p>
    <w:p>
      <w:pPr>
        <w:pStyle w:val="FirstParagraph"/>
      </w:pPr>
      <w:r>
        <w:t xml:space="preserve">The north-star measure is the number of TASCO motor policies issued through VETC-owned channels and the partner API. Five groups of measures explain it.</w:t>
      </w:r>
    </w:p>
    <w:p xmlns:a="http://schemas.openxmlformats.org/drawingml/2006/main" xmlns:pic="http://schemas.openxmlformats.org/drawingml/2006/picture">
      <w:pPr>
        <w:pStyle w:val="Figure"/>
      </w:pPr>
      <w:r>
        <w:drawing>
          <wp:inline>
            <wp:extent cx="5727700" cy="3634485"/>
            <wp:effectExtent b="0" l="0" r="0" t="0"/>
            <wp:docPr descr="The north-star measure and the five groups of KPIs that explain it" title="" id="5006" name="Picture"/>
            <a:graphic>
              <a:graphicData uri="http://schemas.openxmlformats.org/drawingml/2006/picture">
                <pic:pic>
                  <pic:nvPicPr>
                    <pic:cNvPr descr="/home/user/TASCO/tools/docs-source/gen/.cache/mermaid/7a18720d708f53a3.png" id="66" name="Picture"/>
                    <pic:cNvPicPr>
                      <a:picLocks noChangeArrowheads="1" noChangeAspect="1"/>
                    </pic:cNvPicPr>
                  </pic:nvPicPr>
                  <pic:blipFill>
                    <a:blip r:embed="rIdG6"/>
                    <a:stretch>
                      <a:fillRect/>
                    </a:stretch>
                  </pic:blipFill>
                  <pic:spPr bwMode="auto">
                    <a:xfrm>
                      <a:off x="0" y="0"/>
                      <a:ext cx="5727700" cy="3634485"/>
                    </a:xfrm>
                    <a:prstGeom prst="rect">
                      <a:avLst/>
                    </a:prstGeom>
                    <a:noFill/>
                    <a:ln w="9525">
                      <a:noFill/>
                      <a:headEnd/>
                      <a:tailEnd/>
                    </a:ln>
                  </pic:spPr>
                </pic:pic>
              </a:graphicData>
            </a:graphic>
          </wp:inline>
        </w:drawing>
      </w:r>
    </w:p>
    <w:p>
      <w:pPr>
        <w:pStyle w:val="Caption"/>
      </w:pPr>
      <w:r>
        <w:t xml:space="preserve">Figure 5 – The north-star measure and the five groups of KPIs that explain it</w:t>
      </w:r>
    </w:p>
    <w:p>
      <w:pPr>
        <w:pStyle w:val="Heading2"/>
      </w:pPr>
      <w:bookmarkStart w:id="40" w:name="_Toc300000036"/>
      <w:r>
        <w:t xml:space="preserve">Definitions and targets</w:t>
      </w:r>
      <w:bookmarkEnd w:id="40"/>
    </w:p>
    <w:p>
      <w:pPr>
        <w:pStyle w:val="FirstParagraph"/>
      </w:pPr>
      <w:r>
        <w:t xml:space="preserve">Targets are proposed for the pilot and the first year at scale, and are re-baselined after discovery.</w:t>
      </w:r>
      <w:r>
        <w:t xml:space="preserve"> </w:t>
      </w:r>
      <w:r>
        <w:t xml:space="preserve">“</w:t>
      </w:r>
      <w:r>
        <w:t xml:space="preserve">TBM</w:t>
      </w:r>
      <w:r>
        <w:t xml:space="preserve">”</w:t>
      </w:r>
      <w:r>
        <w:t xml:space="preserve"> </w:t>
      </w:r>
      <w:r>
        <w:t xml:space="preserve">means to be measured in discovery.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4"/>
        <w:gridCol w:w="3537"/>
        <w:gridCol w:w="1797"/>
        <w:gridCol w:w="1461"/>
        <w:gridCol w:w="1518"/>
      </w:tblGrid>
      <w:tr>
        <w:trPr>
          <w:cantSplit/>
          <w:tblHeader/>
        </w:trPr>
        <w:tc>
          <w:tcPr>
            <w:tcW w:w="714" w:type="dxa"/>
            <w:shd w:val="clear" w:color="auto" w:fill="0F4761"/>
            <w:vAlign w:val="center"/>
          </w:tcPr>
          <w:p>
            <w:pPr>
              <w:pStyle w:val="TableHeading"/>
              <w:jc w:val="left"/>
            </w:pPr>
            <w:r>
              <w:rPr>
                <w:color w:val="FFFFFF"/>
              </w:rPr>
              <w:t xml:space="preserve">KPI</w:t>
            </w:r>
          </w:p>
        </w:tc>
        <w:tc>
          <w:tcPr>
            <w:tcW w:w="3537" w:type="dxa"/>
            <w:shd w:val="clear" w:color="auto" w:fill="0F4761"/>
            <w:vAlign w:val="center"/>
          </w:tcPr>
          <w:p>
            <w:pPr>
              <w:pStyle w:val="TableHeading"/>
              <w:jc w:val="left"/>
            </w:pPr>
            <w:r>
              <w:rPr>
                <w:color w:val="FFFFFF"/>
              </w:rPr>
              <w:t xml:space="preserve">Definition</w:t>
            </w:r>
          </w:p>
        </w:tc>
        <w:tc>
          <w:tcPr>
            <w:tcW w:w="1797" w:type="dxa"/>
            <w:shd w:val="clear" w:color="auto" w:fill="0F4761"/>
            <w:vAlign w:val="center"/>
          </w:tcPr>
          <w:p>
            <w:pPr>
              <w:pStyle w:val="TableHeading"/>
              <w:jc w:val="left"/>
            </w:pPr>
            <w:r>
              <w:rPr>
                <w:color w:val="FFFFFF"/>
              </w:rPr>
              <w:t xml:space="preserve">Baseline</w:t>
            </w:r>
          </w:p>
        </w:tc>
        <w:tc>
          <w:tcPr>
            <w:tcW w:w="1461" w:type="dxa"/>
            <w:shd w:val="clear" w:color="auto" w:fill="0F4761"/>
            <w:vAlign w:val="center"/>
          </w:tcPr>
          <w:p>
            <w:pPr>
              <w:pStyle w:val="TableHeading"/>
              <w:jc w:val="left"/>
            </w:pPr>
            <w:r>
              <w:rPr>
                <w:color w:val="FFFFFF"/>
              </w:rPr>
              <w:t xml:space="preserve">Pilot target</w:t>
            </w:r>
          </w:p>
        </w:tc>
        <w:tc>
          <w:tcPr>
            <w:tcW w:w="1518" w:type="dxa"/>
            <w:shd w:val="clear" w:color="auto" w:fill="0F4761"/>
            <w:vAlign w:val="center"/>
          </w:tcPr>
          <w:p>
            <w:pPr>
              <w:pStyle w:val="TableHeading"/>
              <w:jc w:val="left"/>
            </w:pPr>
            <w:r>
              <w:rPr>
                <w:color w:val="FFFFFF"/>
              </w:rPr>
              <w:t xml:space="preserve">Scale target, year 1</w:t>
            </w:r>
          </w:p>
        </w:tc>
      </w:tr>
      <w:tr>
        <w:trPr>
          <w:cantSplit/>
        </w:trPr>
        <w:tc>
          <w:tcPr>
            <w:tcW w:w="714" w:type="dxa"/>
            <w:noWrap/>
            <w:vAlign w:val="top"/>
          </w:tcPr>
          <w:p>
            <w:pPr>
              <w:pStyle w:val="TableText"/>
              <w:jc w:val="left"/>
            </w:pPr>
            <w:r>
              <w:t xml:space="preserve">K-00</w:t>
            </w:r>
          </w:p>
        </w:tc>
        <w:tc>
          <w:tcPr>
            <w:tcW w:w="3537" w:type="dxa"/>
            <w:vAlign w:val="top"/>
          </w:tcPr>
          <w:p>
            <w:pPr>
              <w:pStyle w:val="TableText"/>
              <w:jc w:val="left"/>
            </w:pPr>
            <w:r>
              <w:t xml:space="preserve">Policies issued through own channels and partner API</w:t>
            </w:r>
          </w:p>
        </w:tc>
        <w:tc>
          <w:tcPr>
            <w:tcW w:w="1797" w:type="dxa"/>
            <w:vAlign w:val="top"/>
          </w:tcPr>
          <w:p>
            <w:pPr>
              <w:pStyle w:val="TableText"/>
              <w:jc w:val="left"/>
            </w:pPr>
            <w:r>
              <w:t xml:space="preserve">0 own-channel renewals this year</w:t>
            </w:r>
          </w:p>
        </w:tc>
        <w:tc>
          <w:tcPr>
            <w:tcW w:w="1461" w:type="dxa"/>
            <w:vAlign w:val="top"/>
          </w:tcPr>
          <w:p>
            <w:pPr>
              <w:pStyle w:val="TableText"/>
              <w:jc w:val="left"/>
            </w:pPr>
            <w:r>
              <w:t xml:space="preserve">At least 2,000 in the cohort</w:t>
            </w:r>
          </w:p>
        </w:tc>
        <w:tc>
          <w:tcPr>
            <w:tcW w:w="1518" w:type="dxa"/>
            <w:vAlign w:val="top"/>
          </w:tcPr>
          <w:p>
            <w:pPr>
              <w:pStyle w:val="TableText"/>
              <w:jc w:val="left"/>
            </w:pPr>
            <w:r>
              <w:t xml:space="preserve">About 140,000</w:t>
            </w:r>
          </w:p>
        </w:tc>
      </w:tr>
      <w:tr>
        <w:trPr>
          <w:cantSplit/>
        </w:trPr>
        <w:tc>
          <w:tcPr>
            <w:tcW w:w="714" w:type="dxa"/>
            <w:shd w:val="clear" w:color="auto" w:fill="F4F7FB"/>
            <w:noWrap/>
            <w:vAlign w:val="top"/>
          </w:tcPr>
          <w:p>
            <w:pPr>
              <w:pStyle w:val="TableText"/>
              <w:jc w:val="left"/>
            </w:pPr>
            <w:r>
              <w:t xml:space="preserve">K-01</w:t>
            </w:r>
          </w:p>
        </w:tc>
        <w:tc>
          <w:tcPr>
            <w:tcW w:w="3537" w:type="dxa"/>
            <w:shd w:val="clear" w:color="auto" w:fill="F4F7FB"/>
            <w:vAlign w:val="top"/>
          </w:tcPr>
          <w:p>
            <w:pPr>
              <w:pStyle w:val="TableText"/>
              <w:jc w:val="left"/>
            </w:pPr>
            <w:r>
              <w:t xml:space="preserve">Share of profiles with expiry confidence of 0.5 or more</w:t>
            </w:r>
          </w:p>
        </w:tc>
        <w:tc>
          <w:tcPr>
            <w:tcW w:w="1797" w:type="dxa"/>
            <w:shd w:val="clear" w:color="auto" w:fill="F4F7FB"/>
            <w:vAlign w:val="top"/>
          </w:tcPr>
          <w:p>
            <w:pPr>
              <w:pStyle w:val="TableText"/>
              <w:jc w:val="left"/>
            </w:pPr>
            <w:r>
              <w:t xml:space="preserve">About 10%</w:t>
            </w:r>
          </w:p>
        </w:tc>
        <w:tc>
          <w:tcPr>
            <w:tcW w:w="1461" w:type="dxa"/>
            <w:shd w:val="clear" w:color="auto" w:fill="F4F7FB"/>
            <w:vAlign w:val="top"/>
          </w:tcPr>
          <w:p>
            <w:pPr>
              <w:pStyle w:val="TableText"/>
              <w:jc w:val="left"/>
            </w:pPr>
            <w:r>
              <w:t xml:space="preserve">35%</w:t>
            </w:r>
          </w:p>
        </w:tc>
        <w:tc>
          <w:tcPr>
            <w:tcW w:w="1518" w:type="dxa"/>
            <w:shd w:val="clear" w:color="auto" w:fill="F4F7FB"/>
            <w:vAlign w:val="top"/>
          </w:tcPr>
          <w:p>
            <w:pPr>
              <w:pStyle w:val="TableText"/>
              <w:jc w:val="left"/>
            </w:pPr>
            <w:r>
              <w:t xml:space="preserve">50%</w:t>
            </w:r>
          </w:p>
        </w:tc>
      </w:tr>
      <w:tr>
        <w:trPr>
          <w:cantSplit/>
        </w:trPr>
        <w:tc>
          <w:tcPr>
            <w:tcW w:w="714" w:type="dxa"/>
            <w:noWrap/>
            <w:vAlign w:val="top"/>
          </w:tcPr>
          <w:p>
            <w:pPr>
              <w:pStyle w:val="TableText"/>
              <w:jc w:val="left"/>
            </w:pPr>
            <w:r>
              <w:t xml:space="preserve">K-02</w:t>
            </w:r>
          </w:p>
        </w:tc>
        <w:tc>
          <w:tcPr>
            <w:tcW w:w="3537" w:type="dxa"/>
            <w:vAlign w:val="top"/>
          </w:tcPr>
          <w:p>
            <w:pPr>
              <w:pStyle w:val="TableText"/>
              <w:jc w:val="left"/>
            </w:pPr>
            <w:r>
              <w:t xml:space="preserve">Share of profiles reachable by push or Zalo</w:t>
            </w:r>
          </w:p>
        </w:tc>
        <w:tc>
          <w:tcPr>
            <w:tcW w:w="1797" w:type="dxa"/>
            <w:vAlign w:val="top"/>
          </w:tcPr>
          <w:p>
            <w:pPr>
              <w:pStyle w:val="TableText"/>
              <w:jc w:val="left"/>
            </w:pPr>
            <w:r>
              <w:t xml:space="preserve">TBM (70 to 80% app users)</w:t>
            </w:r>
          </w:p>
        </w:tc>
        <w:tc>
          <w:tcPr>
            <w:tcW w:w="1461" w:type="dxa"/>
            <w:vAlign w:val="top"/>
          </w:tcPr>
          <w:p>
            <w:pPr>
              <w:pStyle w:val="TableText"/>
              <w:jc w:val="left"/>
            </w:pPr>
            <w:r>
              <w:t xml:space="preserve">60%</w:t>
            </w:r>
          </w:p>
        </w:tc>
        <w:tc>
          <w:tcPr>
            <w:tcW w:w="1518" w:type="dxa"/>
            <w:vAlign w:val="top"/>
          </w:tcPr>
          <w:p>
            <w:pPr>
              <w:pStyle w:val="TableText"/>
              <w:jc w:val="left"/>
            </w:pPr>
            <w:r>
              <w:t xml:space="preserve">65%</w:t>
            </w:r>
          </w:p>
        </w:tc>
      </w:tr>
      <w:tr>
        <w:trPr>
          <w:cantSplit/>
        </w:trPr>
        <w:tc>
          <w:tcPr>
            <w:tcW w:w="714" w:type="dxa"/>
            <w:shd w:val="clear" w:color="auto" w:fill="F4F7FB"/>
            <w:noWrap/>
            <w:vAlign w:val="top"/>
          </w:tcPr>
          <w:p>
            <w:pPr>
              <w:pStyle w:val="TableText"/>
              <w:jc w:val="left"/>
            </w:pPr>
            <w:r>
              <w:t xml:space="preserve">K-03</w:t>
            </w:r>
          </w:p>
        </w:tc>
        <w:tc>
          <w:tcPr>
            <w:tcW w:w="3537" w:type="dxa"/>
            <w:shd w:val="clear" w:color="auto" w:fill="F4F7FB"/>
            <w:vAlign w:val="top"/>
          </w:tcPr>
          <w:p>
            <w:pPr>
              <w:pStyle w:val="TableText"/>
              <w:jc w:val="left"/>
            </w:pPr>
            <w:r>
              <w:t xml:space="preserve">Expiry confirmations per 1,000 profiles per month</w:t>
            </w:r>
          </w:p>
        </w:tc>
        <w:tc>
          <w:tcPr>
            <w:tcW w:w="1797" w:type="dxa"/>
            <w:shd w:val="clear" w:color="auto" w:fill="F4F7FB"/>
            <w:vAlign w:val="top"/>
          </w:tcPr>
          <w:p>
            <w:pPr>
              <w:pStyle w:val="TableText"/>
              <w:jc w:val="left"/>
            </w:pPr>
            <w:r>
              <w:t xml:space="preserve">0</w:t>
            </w:r>
          </w:p>
        </w:tc>
        <w:tc>
          <w:tcPr>
            <w:tcW w:w="1461" w:type="dxa"/>
            <w:shd w:val="clear" w:color="auto" w:fill="F4F7FB"/>
            <w:vAlign w:val="top"/>
          </w:tcPr>
          <w:p>
            <w:pPr>
              <w:pStyle w:val="TableText"/>
              <w:jc w:val="left"/>
            </w:pPr>
            <w:r>
              <w:t xml:space="preserve">30</w:t>
            </w:r>
          </w:p>
        </w:tc>
        <w:tc>
          <w:tcPr>
            <w:tcW w:w="1518" w:type="dxa"/>
            <w:shd w:val="clear" w:color="auto" w:fill="F4F7FB"/>
            <w:vAlign w:val="top"/>
          </w:tcPr>
          <w:p>
            <w:pPr>
              <w:pStyle w:val="TableText"/>
              <w:jc w:val="left"/>
            </w:pPr>
            <w:r>
              <w:t xml:space="preserve">50</w:t>
            </w:r>
          </w:p>
        </w:tc>
      </w:tr>
      <w:tr>
        <w:trPr>
          <w:cantSplit/>
        </w:trPr>
        <w:tc>
          <w:tcPr>
            <w:tcW w:w="714" w:type="dxa"/>
            <w:noWrap/>
            <w:vAlign w:val="top"/>
          </w:tcPr>
          <w:p>
            <w:pPr>
              <w:pStyle w:val="TableText"/>
              <w:jc w:val="left"/>
            </w:pPr>
            <w:r>
              <w:t xml:space="preserve">K-04</w:t>
            </w:r>
          </w:p>
        </w:tc>
        <w:tc>
          <w:tcPr>
            <w:tcW w:w="3537" w:type="dxa"/>
            <w:vAlign w:val="top"/>
          </w:tcPr>
          <w:p>
            <w:pPr>
              <w:pStyle w:val="TableText"/>
              <w:jc w:val="left"/>
            </w:pPr>
            <w:r>
              <w:t xml:space="preserve">TASCO renewal rate (SEG-3)</w:t>
            </w:r>
          </w:p>
        </w:tc>
        <w:tc>
          <w:tcPr>
            <w:tcW w:w="1797" w:type="dxa"/>
            <w:vAlign w:val="top"/>
          </w:tcPr>
          <w:p>
            <w:pPr>
              <w:pStyle w:val="TableText"/>
              <w:jc w:val="left"/>
            </w:pPr>
            <w:r>
              <w:t xml:space="preserve">TBM</w:t>
            </w:r>
          </w:p>
        </w:tc>
        <w:tc>
          <w:tcPr>
            <w:tcW w:w="1461" w:type="dxa"/>
            <w:vAlign w:val="top"/>
          </w:tcPr>
          <w:p>
            <w:pPr>
              <w:pStyle w:val="TableText"/>
              <w:jc w:val="left"/>
            </w:pPr>
            <w:r>
              <w:t xml:space="preserve">15%</w:t>
            </w:r>
          </w:p>
        </w:tc>
        <w:tc>
          <w:tcPr>
            <w:tcW w:w="1518" w:type="dxa"/>
            <w:vAlign w:val="top"/>
          </w:tcPr>
          <w:p>
            <w:pPr>
              <w:pStyle w:val="TableText"/>
              <w:jc w:val="left"/>
            </w:pPr>
            <w:r>
              <w:t xml:space="preserve">25%</w:t>
            </w:r>
          </w:p>
        </w:tc>
      </w:tr>
      <w:tr>
        <w:trPr>
          <w:cantSplit/>
        </w:trPr>
        <w:tc>
          <w:tcPr>
            <w:tcW w:w="714" w:type="dxa"/>
            <w:shd w:val="clear" w:color="auto" w:fill="F4F7FB"/>
            <w:noWrap/>
            <w:vAlign w:val="top"/>
          </w:tcPr>
          <w:p>
            <w:pPr>
              <w:pStyle w:val="TableText"/>
              <w:jc w:val="left"/>
            </w:pPr>
            <w:r>
              <w:t xml:space="preserve">K-05</w:t>
            </w:r>
          </w:p>
        </w:tc>
        <w:tc>
          <w:tcPr>
            <w:tcW w:w="3537" w:type="dxa"/>
            <w:shd w:val="clear" w:color="auto" w:fill="F4F7FB"/>
            <w:vAlign w:val="top"/>
          </w:tcPr>
          <w:p>
            <w:pPr>
              <w:pStyle w:val="TableText"/>
              <w:jc w:val="left"/>
            </w:pPr>
            <w:r>
              <w:t xml:space="preserve">Conquest conversion (SEG-4)</w:t>
            </w:r>
          </w:p>
        </w:tc>
        <w:tc>
          <w:tcPr>
            <w:tcW w:w="1797" w:type="dxa"/>
            <w:shd w:val="clear" w:color="auto" w:fill="F4F7FB"/>
            <w:vAlign w:val="top"/>
          </w:tcPr>
          <w:p>
            <w:pPr>
              <w:pStyle w:val="TableText"/>
              <w:jc w:val="left"/>
            </w:pPr>
            <w:r>
              <w:t xml:space="preserve">TBM</w:t>
            </w:r>
          </w:p>
        </w:tc>
        <w:tc>
          <w:tcPr>
            <w:tcW w:w="1461" w:type="dxa"/>
            <w:shd w:val="clear" w:color="auto" w:fill="F4F7FB"/>
            <w:vAlign w:val="top"/>
          </w:tcPr>
          <w:p>
            <w:pPr>
              <w:pStyle w:val="TableText"/>
              <w:jc w:val="left"/>
            </w:pPr>
            <w:r>
              <w:t xml:space="preserve">1%</w:t>
            </w:r>
          </w:p>
        </w:tc>
        <w:tc>
          <w:tcPr>
            <w:tcW w:w="1518" w:type="dxa"/>
            <w:shd w:val="clear" w:color="auto" w:fill="F4F7FB"/>
            <w:vAlign w:val="top"/>
          </w:tcPr>
          <w:p>
            <w:pPr>
              <w:pStyle w:val="TableText"/>
              <w:jc w:val="left"/>
            </w:pPr>
            <w:r>
              <w:t xml:space="preserve">2%</w:t>
            </w:r>
          </w:p>
        </w:tc>
      </w:tr>
      <w:tr>
        <w:trPr>
          <w:cantSplit/>
        </w:trPr>
        <w:tc>
          <w:tcPr>
            <w:tcW w:w="714" w:type="dxa"/>
            <w:noWrap/>
            <w:vAlign w:val="top"/>
          </w:tcPr>
          <w:p>
            <w:pPr>
              <w:pStyle w:val="TableText"/>
              <w:jc w:val="left"/>
            </w:pPr>
            <w:r>
              <w:t xml:space="preserve">K-06</w:t>
            </w:r>
          </w:p>
        </w:tc>
        <w:tc>
          <w:tcPr>
            <w:tcW w:w="3537" w:type="dxa"/>
            <w:vAlign w:val="top"/>
          </w:tcPr>
          <w:p>
            <w:pPr>
              <w:pStyle w:val="TableText"/>
              <w:jc w:val="left"/>
            </w:pPr>
            <w:r>
              <w:t xml:space="preserve">Lapsed recovery (SEG-1)</w:t>
            </w:r>
          </w:p>
        </w:tc>
        <w:tc>
          <w:tcPr>
            <w:tcW w:w="1797" w:type="dxa"/>
            <w:vAlign w:val="top"/>
          </w:tcPr>
          <w:p>
            <w:pPr>
              <w:pStyle w:val="TableText"/>
              <w:jc w:val="left"/>
            </w:pPr>
            <w:r>
              <w:t xml:space="preserve">TBM</w:t>
            </w:r>
          </w:p>
        </w:tc>
        <w:tc>
          <w:tcPr>
            <w:tcW w:w="1461" w:type="dxa"/>
            <w:vAlign w:val="top"/>
          </w:tcPr>
          <w:p>
            <w:pPr>
              <w:pStyle w:val="TableText"/>
              <w:jc w:val="left"/>
            </w:pPr>
            <w:r>
              <w:t xml:space="preserve">3%</w:t>
            </w:r>
          </w:p>
        </w:tc>
        <w:tc>
          <w:tcPr>
            <w:tcW w:w="1518" w:type="dxa"/>
            <w:vAlign w:val="top"/>
          </w:tcPr>
          <w:p>
            <w:pPr>
              <w:pStyle w:val="TableText"/>
              <w:jc w:val="left"/>
            </w:pPr>
            <w:r>
              <w:t xml:space="preserve">6%</w:t>
            </w:r>
          </w:p>
        </w:tc>
      </w:tr>
      <w:tr>
        <w:trPr>
          <w:cantSplit/>
        </w:trPr>
        <w:tc>
          <w:tcPr>
            <w:tcW w:w="714" w:type="dxa"/>
            <w:shd w:val="clear" w:color="auto" w:fill="F4F7FB"/>
            <w:noWrap/>
            <w:vAlign w:val="top"/>
          </w:tcPr>
          <w:p>
            <w:pPr>
              <w:pStyle w:val="TableText"/>
              <w:jc w:val="left"/>
            </w:pPr>
            <w:r>
              <w:t xml:space="preserve">K-07</w:t>
            </w:r>
          </w:p>
        </w:tc>
        <w:tc>
          <w:tcPr>
            <w:tcW w:w="3537" w:type="dxa"/>
            <w:shd w:val="clear" w:color="auto" w:fill="F4F7FB"/>
            <w:vAlign w:val="top"/>
          </w:tcPr>
          <w:p>
            <w:pPr>
              <w:pStyle w:val="TableText"/>
              <w:jc w:val="left"/>
            </w:pPr>
            <w:r>
              <w:t xml:space="preserve">New-vehicle conversion (SEG-2)</w:t>
            </w:r>
          </w:p>
        </w:tc>
        <w:tc>
          <w:tcPr>
            <w:tcW w:w="1797" w:type="dxa"/>
            <w:shd w:val="clear" w:color="auto" w:fill="F4F7FB"/>
            <w:vAlign w:val="top"/>
          </w:tcPr>
          <w:p>
            <w:pPr>
              <w:pStyle w:val="TableText"/>
              <w:jc w:val="left"/>
            </w:pPr>
            <w:r>
              <w:t xml:space="preserve">TBM</w:t>
            </w:r>
          </w:p>
        </w:tc>
        <w:tc>
          <w:tcPr>
            <w:tcW w:w="1461" w:type="dxa"/>
            <w:shd w:val="clear" w:color="auto" w:fill="F4F7FB"/>
            <w:vAlign w:val="top"/>
          </w:tcPr>
          <w:p>
            <w:pPr>
              <w:pStyle w:val="TableText"/>
              <w:jc w:val="left"/>
            </w:pPr>
            <w:r>
              <w:t xml:space="preserve">2%</w:t>
            </w:r>
          </w:p>
        </w:tc>
        <w:tc>
          <w:tcPr>
            <w:tcW w:w="1518" w:type="dxa"/>
            <w:shd w:val="clear" w:color="auto" w:fill="F4F7FB"/>
            <w:vAlign w:val="top"/>
          </w:tcPr>
          <w:p>
            <w:pPr>
              <w:pStyle w:val="TableText"/>
              <w:jc w:val="left"/>
            </w:pPr>
            <w:r>
              <w:t xml:space="preserve">4%</w:t>
            </w:r>
          </w:p>
        </w:tc>
      </w:tr>
      <w:tr>
        <w:trPr>
          <w:cantSplit/>
        </w:trPr>
        <w:tc>
          <w:tcPr>
            <w:tcW w:w="714" w:type="dxa"/>
            <w:noWrap/>
            <w:vAlign w:val="top"/>
          </w:tcPr>
          <w:p>
            <w:pPr>
              <w:pStyle w:val="TableText"/>
              <w:jc w:val="left"/>
            </w:pPr>
            <w:r>
              <w:t xml:space="preserve">K-08</w:t>
            </w:r>
          </w:p>
        </w:tc>
        <w:tc>
          <w:tcPr>
            <w:tcW w:w="3537" w:type="dxa"/>
            <w:vAlign w:val="top"/>
          </w:tcPr>
          <w:p>
            <w:pPr>
              <w:pStyle w:val="TableText"/>
              <w:jc w:val="left"/>
            </w:pPr>
            <w:r>
              <w:t xml:space="preserve">Assistant hot-handoff rate; handoff win rate</w:t>
            </w:r>
          </w:p>
        </w:tc>
        <w:tc>
          <w:tcPr>
            <w:tcW w:w="1797" w:type="dxa"/>
            <w:vAlign w:val="top"/>
          </w:tcPr>
          <w:p>
            <w:pPr>
              <w:pStyle w:val="TableText"/>
              <w:jc w:val="left"/>
            </w:pPr>
            <w:r>
              <w:t xml:space="preserve">Telesales conversion poor</w:t>
            </w:r>
          </w:p>
        </w:tc>
        <w:tc>
          <w:tcPr>
            <w:tcW w:w="1461" w:type="dxa"/>
            <w:vAlign w:val="top"/>
          </w:tcPr>
          <w:p>
            <w:pPr>
              <w:pStyle w:val="TableText"/>
              <w:jc w:val="left"/>
            </w:pPr>
            <w:r>
              <w:t xml:space="preserve">8% / 20%</w:t>
            </w:r>
          </w:p>
        </w:tc>
        <w:tc>
          <w:tcPr>
            <w:tcW w:w="1518" w:type="dxa"/>
            <w:vAlign w:val="top"/>
          </w:tcPr>
          <w:p>
            <w:pPr>
              <w:pStyle w:val="TableText"/>
              <w:jc w:val="left"/>
            </w:pPr>
            <w:r>
              <w:t xml:space="preserve">10% / 25%</w:t>
            </w:r>
          </w:p>
        </w:tc>
      </w:tr>
      <w:tr>
        <w:trPr>
          <w:cantSplit/>
        </w:trPr>
        <w:tc>
          <w:tcPr>
            <w:tcW w:w="714" w:type="dxa"/>
            <w:shd w:val="clear" w:color="auto" w:fill="F4F7FB"/>
            <w:noWrap/>
            <w:vAlign w:val="top"/>
          </w:tcPr>
          <w:p>
            <w:pPr>
              <w:pStyle w:val="TableText"/>
              <w:jc w:val="left"/>
            </w:pPr>
            <w:r>
              <w:t xml:space="preserve">K-09</w:t>
            </w:r>
          </w:p>
        </w:tc>
        <w:tc>
          <w:tcPr>
            <w:tcW w:w="3537" w:type="dxa"/>
            <w:shd w:val="clear" w:color="auto" w:fill="F4F7FB"/>
            <w:vAlign w:val="top"/>
          </w:tcPr>
          <w:p>
            <w:pPr>
              <w:pStyle w:val="TableText"/>
              <w:jc w:val="left"/>
            </w:pPr>
            <w:r>
              <w:t xml:space="preserve">Attach rate of personal accident / physical damage cover</w:t>
            </w:r>
          </w:p>
        </w:tc>
        <w:tc>
          <w:tcPr>
            <w:tcW w:w="1797" w:type="dxa"/>
            <w:shd w:val="clear" w:color="auto" w:fill="F4F7FB"/>
            <w:vAlign w:val="top"/>
          </w:tcPr>
          <w:p>
            <w:pPr>
              <w:pStyle w:val="TableText"/>
              <w:jc w:val="left"/>
            </w:pPr>
            <w:r>
              <w:t xml:space="preserve">TBM</w:t>
            </w:r>
          </w:p>
        </w:tc>
        <w:tc>
          <w:tcPr>
            <w:tcW w:w="1461" w:type="dxa"/>
            <w:shd w:val="clear" w:color="auto" w:fill="F4F7FB"/>
            <w:vAlign w:val="top"/>
          </w:tcPr>
          <w:p>
            <w:pPr>
              <w:pStyle w:val="TableText"/>
              <w:jc w:val="left"/>
            </w:pPr>
            <w:r>
              <w:t xml:space="preserve">4% / 0.25%</w:t>
            </w:r>
          </w:p>
        </w:tc>
        <w:tc>
          <w:tcPr>
            <w:tcW w:w="1518" w:type="dxa"/>
            <w:shd w:val="clear" w:color="auto" w:fill="F4F7FB"/>
            <w:vAlign w:val="top"/>
          </w:tcPr>
          <w:p>
            <w:pPr>
              <w:pStyle w:val="TableText"/>
              <w:jc w:val="left"/>
            </w:pPr>
            <w:r>
              <w:t xml:space="preserve">8% / 0.5%</w:t>
            </w:r>
          </w:p>
        </w:tc>
      </w:tr>
      <w:tr>
        <w:trPr>
          <w:cantSplit/>
        </w:trPr>
        <w:tc>
          <w:tcPr>
            <w:tcW w:w="714" w:type="dxa"/>
            <w:noWrap/>
            <w:vAlign w:val="top"/>
          </w:tcPr>
          <w:p>
            <w:pPr>
              <w:pStyle w:val="TableText"/>
              <w:jc w:val="left"/>
            </w:pPr>
            <w:r>
              <w:t xml:space="preserve">K-10</w:t>
            </w:r>
          </w:p>
        </w:tc>
        <w:tc>
          <w:tcPr>
            <w:tcW w:w="3537" w:type="dxa"/>
            <w:vAlign w:val="top"/>
          </w:tcPr>
          <w:p>
            <w:pPr>
              <w:pStyle w:val="TableText"/>
              <w:jc w:val="left"/>
            </w:pPr>
            <w:r>
              <w:t xml:space="preserve">Variable acquisition cost per policy</w:t>
            </w:r>
          </w:p>
        </w:tc>
        <w:tc>
          <w:tcPr>
            <w:tcW w:w="1797" w:type="dxa"/>
            <w:vAlign w:val="top"/>
          </w:tcPr>
          <w:p>
            <w:pPr>
              <w:pStyle w:val="TableText"/>
              <w:jc w:val="left"/>
            </w:pPr>
            <w:r>
              <w:t xml:space="preserve">TBM</w:t>
            </w:r>
          </w:p>
        </w:tc>
        <w:tc>
          <w:tcPr>
            <w:tcW w:w="1461" w:type="dxa"/>
            <w:vAlign w:val="top"/>
          </w:tcPr>
          <w:p>
            <w:pPr>
              <w:pStyle w:val="TableText"/>
              <w:jc w:val="left"/>
            </w:pPr>
            <w:r>
              <w:t xml:space="preserve">VND 55,000 or less</w:t>
            </w:r>
          </w:p>
        </w:tc>
        <w:tc>
          <w:tcPr>
            <w:tcW w:w="1518" w:type="dxa"/>
            <w:vAlign w:val="top"/>
          </w:tcPr>
          <w:p>
            <w:pPr>
              <w:pStyle w:val="TableText"/>
              <w:jc w:val="left"/>
            </w:pPr>
            <w:r>
              <w:t xml:space="preserve">VND 40,000 or less</w:t>
            </w:r>
          </w:p>
        </w:tc>
      </w:tr>
      <w:tr>
        <w:trPr>
          <w:cantSplit/>
        </w:trPr>
        <w:tc>
          <w:tcPr>
            <w:tcW w:w="714" w:type="dxa"/>
            <w:shd w:val="clear" w:color="auto" w:fill="F4F7FB"/>
            <w:noWrap/>
            <w:vAlign w:val="top"/>
          </w:tcPr>
          <w:p>
            <w:pPr>
              <w:pStyle w:val="TableText"/>
              <w:jc w:val="left"/>
            </w:pPr>
            <w:r>
              <w:t xml:space="preserve">K-11</w:t>
            </w:r>
          </w:p>
        </w:tc>
        <w:tc>
          <w:tcPr>
            <w:tcW w:w="3537" w:type="dxa"/>
            <w:shd w:val="clear" w:color="auto" w:fill="F4F7FB"/>
            <w:vAlign w:val="top"/>
          </w:tcPr>
          <w:p>
            <w:pPr>
              <w:pStyle w:val="TableText"/>
              <w:jc w:val="left"/>
            </w:pPr>
            <w:r>
              <w:t xml:space="preserve">Assistant cost as a share of the telesales-equivalent cost</w:t>
            </w:r>
          </w:p>
        </w:tc>
        <w:tc>
          <w:tcPr>
            <w:tcW w:w="1797" w:type="dxa"/>
            <w:shd w:val="clear" w:color="auto" w:fill="F4F7FB"/>
            <w:vAlign w:val="top"/>
          </w:tcPr>
          <w:p>
            <w:pPr>
              <w:pStyle w:val="TableText"/>
              <w:jc w:val="left"/>
            </w:pPr>
            <w:r>
              <w:t xml:space="preserve">Not applicable</w:t>
            </w:r>
          </w:p>
        </w:tc>
        <w:tc>
          <w:tcPr>
            <w:tcW w:w="1461" w:type="dxa"/>
            <w:shd w:val="clear" w:color="auto" w:fill="F4F7FB"/>
            <w:vAlign w:val="top"/>
          </w:tcPr>
          <w:p>
            <w:pPr>
              <w:pStyle w:val="TableText"/>
              <w:jc w:val="left"/>
            </w:pPr>
            <w:r>
              <w:t xml:space="preserve">10% or less</w:t>
            </w:r>
          </w:p>
        </w:tc>
        <w:tc>
          <w:tcPr>
            <w:tcW w:w="1518" w:type="dxa"/>
            <w:shd w:val="clear" w:color="auto" w:fill="F4F7FB"/>
            <w:vAlign w:val="top"/>
          </w:tcPr>
          <w:p>
            <w:pPr>
              <w:pStyle w:val="TableText"/>
              <w:jc w:val="left"/>
            </w:pPr>
            <w:r>
              <w:t xml:space="preserve">10% or less (8.9% at current unit costs)</w:t>
            </w:r>
          </w:p>
        </w:tc>
      </w:tr>
      <w:tr>
        <w:trPr>
          <w:cantSplit/>
        </w:trPr>
        <w:tc>
          <w:tcPr>
            <w:tcW w:w="714" w:type="dxa"/>
            <w:noWrap/>
            <w:vAlign w:val="top"/>
          </w:tcPr>
          <w:p>
            <w:pPr>
              <w:pStyle w:val="TableText"/>
              <w:jc w:val="left"/>
            </w:pPr>
            <w:r>
              <w:t xml:space="preserve">K-12</w:t>
            </w:r>
          </w:p>
        </w:tc>
        <w:tc>
          <w:tcPr>
            <w:tcW w:w="3537" w:type="dxa"/>
            <w:vAlign w:val="top"/>
          </w:tcPr>
          <w:p>
            <w:pPr>
              <w:pStyle w:val="TableText"/>
              <w:jc w:val="left"/>
            </w:pPr>
            <w:r>
              <w:t xml:space="preserve">Assistant opt-out rate; plate-verification failure rate</w:t>
            </w:r>
          </w:p>
        </w:tc>
        <w:tc>
          <w:tcPr>
            <w:tcW w:w="1797" w:type="dxa"/>
            <w:vAlign w:val="top"/>
          </w:tcPr>
          <w:p>
            <w:pPr>
              <w:pStyle w:val="TableText"/>
              <w:jc w:val="left"/>
            </w:pPr>
            <w:r>
              <w:t xml:space="preserve">Not applicable</w:t>
            </w:r>
          </w:p>
        </w:tc>
        <w:tc>
          <w:tcPr>
            <w:tcW w:w="1461" w:type="dxa"/>
            <w:vAlign w:val="top"/>
          </w:tcPr>
          <w:p>
            <w:pPr>
              <w:pStyle w:val="TableText"/>
              <w:jc w:val="left"/>
            </w:pPr>
            <w:r>
              <w:t xml:space="preserve">5% or less; 10% or less</w:t>
            </w:r>
          </w:p>
        </w:tc>
        <w:tc>
          <w:tcPr>
            <w:tcW w:w="1518" w:type="dxa"/>
            <w:vAlign w:val="top"/>
          </w:tcPr>
          <w:p>
            <w:pPr>
              <w:pStyle w:val="TableText"/>
              <w:jc w:val="left"/>
            </w:pPr>
            <w:r>
              <w:t xml:space="preserve">4% or less; 8% or less</w:t>
            </w:r>
          </w:p>
        </w:tc>
      </w:tr>
      <w:tr>
        <w:trPr>
          <w:cantSplit/>
        </w:trPr>
        <w:tc>
          <w:tcPr>
            <w:tcW w:w="714" w:type="dxa"/>
            <w:shd w:val="clear" w:color="auto" w:fill="F4F7FB"/>
            <w:noWrap/>
            <w:vAlign w:val="top"/>
          </w:tcPr>
          <w:p>
            <w:pPr>
              <w:pStyle w:val="TableText"/>
              <w:jc w:val="left"/>
            </w:pPr>
            <w:r>
              <w:t xml:space="preserve">K-13</w:t>
            </w:r>
          </w:p>
        </w:tc>
        <w:tc>
          <w:tcPr>
            <w:tcW w:w="3537" w:type="dxa"/>
            <w:shd w:val="clear" w:color="auto" w:fill="F4F7FB"/>
            <w:vAlign w:val="top"/>
          </w:tcPr>
          <w:p>
            <w:pPr>
              <w:pStyle w:val="TableText"/>
              <w:jc w:val="left"/>
            </w:pPr>
            <w:r>
              <w:t xml:space="preserve">Copy-guard blocks in production; complaints per 10,000 contacts</w:t>
            </w:r>
          </w:p>
        </w:tc>
        <w:tc>
          <w:tcPr>
            <w:tcW w:w="1797" w:type="dxa"/>
            <w:shd w:val="clear" w:color="auto" w:fill="F4F7FB"/>
            <w:vAlign w:val="top"/>
          </w:tcPr>
          <w:p>
            <w:pPr>
              <w:pStyle w:val="TableText"/>
              <w:jc w:val="left"/>
            </w:pPr>
            <w:r>
              <w:t xml:space="preserve">Not applicable</w:t>
            </w:r>
          </w:p>
        </w:tc>
        <w:tc>
          <w:tcPr>
            <w:tcW w:w="1461" w:type="dxa"/>
            <w:shd w:val="clear" w:color="auto" w:fill="F4F7FB"/>
            <w:vAlign w:val="top"/>
          </w:tcPr>
          <w:p>
            <w:pPr>
              <w:pStyle w:val="TableText"/>
              <w:jc w:val="left"/>
            </w:pPr>
            <w:r>
              <w:t xml:space="preserve">0 blocks after go-live; TBM</w:t>
            </w:r>
          </w:p>
        </w:tc>
        <w:tc>
          <w:tcPr>
            <w:tcW w:w="1518" w:type="dxa"/>
            <w:shd w:val="clear" w:color="auto" w:fill="F4F7FB"/>
            <w:vAlign w:val="top"/>
          </w:tcPr>
          <w:p>
            <w:pPr>
              <w:pStyle w:val="TableText"/>
              <w:jc w:val="left"/>
            </w:pPr>
            <w:r>
              <w:t xml:space="preserve">0; TBM</w:t>
            </w:r>
          </w:p>
        </w:tc>
      </w:tr>
      <w:tr>
        <w:trPr>
          <w:cantSplit/>
        </w:trPr>
        <w:tc>
          <w:tcPr>
            <w:tcW w:w="714" w:type="dxa"/>
            <w:noWrap/>
            <w:vAlign w:val="top"/>
          </w:tcPr>
          <w:p>
            <w:pPr>
              <w:pStyle w:val="TableText"/>
              <w:jc w:val="left"/>
            </w:pPr>
            <w:r>
              <w:t xml:space="preserve">K-14</w:t>
            </w:r>
          </w:p>
        </w:tc>
        <w:tc>
          <w:tcPr>
            <w:tcW w:w="3537" w:type="dxa"/>
            <w:vAlign w:val="top"/>
          </w:tcPr>
          <w:p>
            <w:pPr>
              <w:pStyle w:val="TableText"/>
              <w:jc w:val="left"/>
            </w:pPr>
            <w:r>
              <w:t xml:space="preserve">Audit trail verifies</w:t>
            </w:r>
          </w:p>
        </w:tc>
        <w:tc>
          <w:tcPr>
            <w:tcW w:w="1797" w:type="dxa"/>
            <w:vAlign w:val="top"/>
          </w:tcPr>
          <w:p>
            <w:pPr>
              <w:pStyle w:val="TableText"/>
              <w:jc w:val="left"/>
            </w:pPr>
            <w:r>
              <w:t xml:space="preserve">Not applicable</w:t>
            </w:r>
          </w:p>
        </w:tc>
        <w:tc>
          <w:tcPr>
            <w:tcW w:w="1461" w:type="dxa"/>
            <w:vAlign w:val="top"/>
          </w:tcPr>
          <w:p>
            <w:pPr>
              <w:pStyle w:val="TableText"/>
              <w:jc w:val="left"/>
            </w:pPr>
            <w:r>
              <w:t xml:space="preserve">100% daily</w:t>
            </w:r>
          </w:p>
        </w:tc>
        <w:tc>
          <w:tcPr>
            <w:tcW w:w="1518" w:type="dxa"/>
            <w:vAlign w:val="top"/>
          </w:tcPr>
          <w:p>
            <w:pPr>
              <w:pStyle w:val="TableText"/>
              <w:jc w:val="left"/>
            </w:pPr>
            <w:r>
              <w:t xml:space="preserve">100% daily</w:t>
            </w:r>
          </w:p>
        </w:tc>
      </w:tr>
    </w:tbl>
    <w:p>
      <w:pPr>
        <w:pStyle w:val="BodyText"/>
        <w:spacing w:before="160"/>
      </w:pPr>
      <w:r>
        <w:t xml:space="preserve">The pilot should hold out a randomly selected control group of about 10% of the cohort that receives business as usual. Only then can policies the platform genuinely adds be separated from policies partners would have sold anyway.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1" w:name="_Toc300000037"/>
      <w:r>
        <w:rPr>
          <w:rStyle w:val="BookTitle"/>
          <w:bCs w:val="0"/>
          <w:i w:val="0"/>
          <w:iCs w:val="0"/>
          <w:spacing w:val="0"/>
        </w:rPr>
        <w:t xml:space="preserve">Business case</w:t>
      </w:r>
      <w:bookmarkEnd w:id="41"/>
    </w:p>
    <w:p>
      <w:pPr>
        <w:pStyle w:val="FirstParagraph"/>
      </w:pPr>
      <w:r>
        <w:t xml:space="preserve">All figures in this section are illustrative. Unit costs are the contracted channel costs held in the platform, TNDS premiums are the regulated tariff, and personal accident and physical damage rates are illustrative rates to be replaced by TASCO’s filed rates. Every other input is an assumption. The exchange rate is USD 1 = VND 26,000 (A-01).</w:t>
      </w:r>
    </w:p>
    <w:p>
      <w:pPr>
        <w:pStyle w:val="Heading2"/>
      </w:pPr>
      <w:bookmarkStart w:id="42" w:name="_Toc300000038"/>
      <w:r>
        <w:t xml:space="preserve">Model</w:t>
      </w:r>
      <w:bookmarkEnd w:id="4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51"/>
        <w:gridCol w:w="6776"/>
      </w:tblGrid>
      <w:tr>
        <w:trPr>
          <w:cantSplit/>
          <w:tblHeader/>
        </w:trPr>
        <w:tc>
          <w:tcPr>
            <w:tcW w:w="2251" w:type="dxa"/>
            <w:shd w:val="clear" w:color="auto" w:fill="0F4761"/>
            <w:vAlign w:val="center"/>
          </w:tcPr>
          <w:p>
            <w:pPr>
              <w:pStyle w:val="TableHeading"/>
              <w:jc w:val="left"/>
            </w:pPr>
            <w:r>
              <w:rPr>
                <w:color w:val="FFFFFF"/>
              </w:rPr>
              <w:t xml:space="preserve">Element</w:t>
            </w:r>
          </w:p>
        </w:tc>
        <w:tc>
          <w:tcPr>
            <w:tcW w:w="6776" w:type="dxa"/>
            <w:shd w:val="clear" w:color="auto" w:fill="0F4761"/>
            <w:vAlign w:val="center"/>
          </w:tcPr>
          <w:p>
            <w:pPr>
              <w:pStyle w:val="TableHeading"/>
              <w:jc w:val="left"/>
            </w:pPr>
            <w:r>
              <w:rPr>
                <w:color w:val="FFFFFF"/>
              </w:rPr>
              <w:t xml:space="preserve">Calculation</w:t>
            </w:r>
          </w:p>
        </w:tc>
      </w:tr>
      <w:tr>
        <w:trPr>
          <w:cantSplit/>
        </w:trPr>
        <w:tc>
          <w:tcPr>
            <w:tcW w:w="2251" w:type="dxa"/>
            <w:vAlign w:val="top"/>
          </w:tcPr>
          <w:p>
            <w:pPr>
              <w:pStyle w:val="TableText"/>
              <w:jc w:val="left"/>
            </w:pPr>
            <w:r>
              <w:t xml:space="preserve">Actionable vehicles (A)</w:t>
            </w:r>
          </w:p>
        </w:tc>
        <w:tc>
          <w:tcPr>
            <w:tcW w:w="6776" w:type="dxa"/>
            <w:vAlign w:val="top"/>
          </w:tcPr>
          <w:p>
            <w:pPr>
              <w:pStyle w:val="TableText"/>
              <w:jc w:val="left"/>
            </w:pPr>
            <w:r>
              <w:t xml:space="preserve">VETC car base (about 6,000,000) × share with an expiry event in the year (A-02) × usable-expiry rate after data repair (A-03)</w:t>
            </w:r>
          </w:p>
        </w:tc>
      </w:tr>
      <w:tr>
        <w:trPr>
          <w:cantSplit/>
        </w:trPr>
        <w:tc>
          <w:tcPr>
            <w:tcW w:w="2251" w:type="dxa"/>
            <w:shd w:val="clear" w:color="auto" w:fill="F4F7FB"/>
            <w:vAlign w:val="top"/>
          </w:tcPr>
          <w:p>
            <w:pPr>
              <w:pStyle w:val="TableText"/>
              <w:jc w:val="left"/>
            </w:pPr>
            <w:r>
              <w:t xml:space="preserve">Segment volumes</w:t>
            </w:r>
          </w:p>
        </w:tc>
        <w:tc>
          <w:tcPr>
            <w:tcW w:w="6776" w:type="dxa"/>
            <w:shd w:val="clear" w:color="auto" w:fill="F4F7FB"/>
            <w:vAlign w:val="top"/>
          </w:tcPr>
          <w:p>
            <w:pPr>
              <w:pStyle w:val="TableText"/>
              <w:jc w:val="left"/>
            </w:pPr>
            <w:r>
              <w:t xml:space="preserve">A × segment share for TASCO book, elsewhere or unknown, and lapsed (A-04)</w:t>
            </w:r>
          </w:p>
        </w:tc>
      </w:tr>
      <w:tr>
        <w:trPr>
          <w:cantSplit/>
        </w:trPr>
        <w:tc>
          <w:tcPr>
            <w:tcW w:w="2251" w:type="dxa"/>
            <w:vAlign w:val="top"/>
          </w:tcPr>
          <w:p>
            <w:pPr>
              <w:pStyle w:val="TableText"/>
              <w:jc w:val="left"/>
            </w:pPr>
            <w:r>
              <w:t xml:space="preserve">Own-channel TNDS policies</w:t>
            </w:r>
          </w:p>
        </w:tc>
        <w:tc>
          <w:tcPr>
            <w:tcW w:w="6776" w:type="dxa"/>
            <w:vAlign w:val="top"/>
          </w:tcPr>
          <w:p>
            <w:pPr>
              <w:pStyle w:val="TableText"/>
              <w:jc w:val="left"/>
            </w:pPr>
            <w:r>
              <w:t xml:space="preserve">Sum of each segment volume × its conversion rate, plus new vehicles per year (A-05) × new-vehicle conversion (A-06)</w:t>
            </w:r>
          </w:p>
        </w:tc>
      </w:tr>
      <w:tr>
        <w:trPr>
          <w:cantSplit/>
        </w:trPr>
        <w:tc>
          <w:tcPr>
            <w:tcW w:w="2251" w:type="dxa"/>
            <w:shd w:val="clear" w:color="auto" w:fill="F4F7FB"/>
            <w:vAlign w:val="top"/>
          </w:tcPr>
          <w:p>
            <w:pPr>
              <w:pStyle w:val="TableText"/>
              <w:jc w:val="left"/>
            </w:pPr>
            <w:r>
              <w:t xml:space="preserve">Partner-API policies</w:t>
            </w:r>
          </w:p>
        </w:tc>
        <w:tc>
          <w:tcPr>
            <w:tcW w:w="6776" w:type="dxa"/>
            <w:shd w:val="clear" w:color="auto" w:fill="F4F7FB"/>
            <w:vAlign w:val="top"/>
          </w:tcPr>
          <w:p>
            <w:pPr>
              <w:pStyle w:val="TableText"/>
              <w:jc w:val="left"/>
            </w:pPr>
            <w:r>
              <w:t xml:space="preserve">Assumption A-07</w:t>
            </w:r>
          </w:p>
        </w:tc>
      </w:tr>
      <w:tr>
        <w:trPr>
          <w:cantSplit/>
        </w:trPr>
        <w:tc>
          <w:tcPr>
            <w:tcW w:w="2251" w:type="dxa"/>
            <w:vAlign w:val="top"/>
          </w:tcPr>
          <w:p>
            <w:pPr>
              <w:pStyle w:val="TableText"/>
              <w:jc w:val="left"/>
            </w:pPr>
            <w:r>
              <w:t xml:space="preserve">TNDS net premium</w:t>
            </w:r>
          </w:p>
        </w:tc>
        <w:tc>
          <w:tcPr>
            <w:tcW w:w="6776" w:type="dxa"/>
            <w:vAlign w:val="top"/>
          </w:tcPr>
          <w:p>
            <w:pPr>
              <w:pStyle w:val="TableText"/>
              <w:jc w:val="left"/>
            </w:pPr>
            <w:r>
              <w:t xml:space="preserve">(Own-channel + partner policies) × average net premium (A-08)</w:t>
            </w:r>
          </w:p>
        </w:tc>
      </w:tr>
      <w:tr>
        <w:trPr>
          <w:cantSplit/>
        </w:trPr>
        <w:tc>
          <w:tcPr>
            <w:tcW w:w="2251" w:type="dxa"/>
            <w:shd w:val="clear" w:color="auto" w:fill="F4F7FB"/>
            <w:vAlign w:val="top"/>
          </w:tcPr>
          <w:p>
            <w:pPr>
              <w:pStyle w:val="TableText"/>
              <w:jc w:val="left"/>
            </w:pPr>
            <w:r>
              <w:t xml:space="preserve">Cross-sell premium</w:t>
            </w:r>
          </w:p>
        </w:tc>
        <w:tc>
          <w:tcPr>
            <w:tcW w:w="6776" w:type="dxa"/>
            <w:shd w:val="clear" w:color="auto" w:fill="F4F7FB"/>
            <w:vAlign w:val="top"/>
          </w:tcPr>
          <w:p>
            <w:pPr>
              <w:pStyle w:val="TableText"/>
              <w:jc w:val="left"/>
            </w:pPr>
            <w:r>
              <w:t xml:space="preserve">Own-channel policies × (personal accident attach × premium + physical damage attach × premium) (A-09)</w:t>
            </w:r>
          </w:p>
        </w:tc>
      </w:tr>
      <w:tr>
        <w:trPr>
          <w:cantSplit/>
        </w:trPr>
        <w:tc>
          <w:tcPr>
            <w:tcW w:w="2251" w:type="dxa"/>
            <w:vAlign w:val="top"/>
          </w:tcPr>
          <w:p>
            <w:pPr>
              <w:pStyle w:val="TableText"/>
              <w:jc w:val="left"/>
            </w:pPr>
            <w:r>
              <w:t xml:space="preserve">Messaging cost</w:t>
            </w:r>
          </w:p>
        </w:tc>
        <w:tc>
          <w:tcPr>
            <w:tcW w:w="6776" w:type="dxa"/>
            <w:vAlign w:val="top"/>
          </w:tcPr>
          <w:p>
            <w:pPr>
              <w:pStyle w:val="TableText"/>
              <w:jc w:val="left"/>
            </w:pPr>
            <w:r>
              <w:t xml:space="preserve">(A + new vehicles) × sends per profile × channel mix of 60% push, 30% Zalo, 10% SMS (A-10)</w:t>
            </w:r>
          </w:p>
        </w:tc>
      </w:tr>
      <w:tr>
        <w:trPr>
          <w:cantSplit/>
        </w:trPr>
        <w:tc>
          <w:tcPr>
            <w:tcW w:w="2251" w:type="dxa"/>
            <w:shd w:val="clear" w:color="auto" w:fill="F4F7FB"/>
            <w:vAlign w:val="top"/>
          </w:tcPr>
          <w:p>
            <w:pPr>
              <w:pStyle w:val="TableText"/>
              <w:jc w:val="left"/>
            </w:pPr>
            <w:r>
              <w:t xml:space="preserve">Assistant cost</w:t>
            </w:r>
          </w:p>
        </w:tc>
        <w:tc>
          <w:tcPr>
            <w:tcW w:w="6776" w:type="dxa"/>
            <w:shd w:val="clear" w:color="auto" w:fill="F4F7FB"/>
            <w:vAlign w:val="top"/>
          </w:tcPr>
          <w:p>
            <w:pPr>
              <w:pStyle w:val="TableText"/>
              <w:jc w:val="left"/>
            </w:pPr>
            <w:r>
              <w:t xml:space="preserve">A × share called (A-11) × 1.3 attempts × VND 1,500 × 1.6 minutes</w:t>
            </w:r>
          </w:p>
        </w:tc>
      </w:tr>
      <w:tr>
        <w:trPr>
          <w:cantSplit/>
        </w:trPr>
        <w:tc>
          <w:tcPr>
            <w:tcW w:w="2251" w:type="dxa"/>
            <w:vAlign w:val="top"/>
          </w:tcPr>
          <w:p>
            <w:pPr>
              <w:pStyle w:val="TableText"/>
              <w:jc w:val="left"/>
            </w:pPr>
            <w:r>
              <w:t xml:space="preserve">Telesales cost</w:t>
            </w:r>
          </w:p>
        </w:tc>
        <w:tc>
          <w:tcPr>
            <w:tcW w:w="6776" w:type="dxa"/>
            <w:vAlign w:val="top"/>
          </w:tcPr>
          <w:p>
            <w:pPr>
              <w:pStyle w:val="TableText"/>
              <w:jc w:val="left"/>
            </w:pPr>
            <w:r>
              <w:t xml:space="preserve">Telesales calls (A-12) × VND 6,000 × 4.5 minutes</w:t>
            </w:r>
          </w:p>
        </w:tc>
      </w:tr>
      <w:tr>
        <w:trPr>
          <w:cantSplit/>
        </w:trPr>
        <w:tc>
          <w:tcPr>
            <w:tcW w:w="2251" w:type="dxa"/>
            <w:shd w:val="clear" w:color="auto" w:fill="F4F7FB"/>
            <w:vAlign w:val="top"/>
          </w:tcPr>
          <w:p>
            <w:pPr>
              <w:pStyle w:val="TableText"/>
              <w:jc w:val="left"/>
            </w:pPr>
            <w:r>
              <w:t xml:space="preserve">Partner commission</w:t>
            </w:r>
          </w:p>
        </w:tc>
        <w:tc>
          <w:tcPr>
            <w:tcW w:w="6776" w:type="dxa"/>
            <w:shd w:val="clear" w:color="auto" w:fill="F4F7FB"/>
            <w:vAlign w:val="top"/>
          </w:tcPr>
          <w:p>
            <w:pPr>
              <w:pStyle w:val="TableText"/>
              <w:jc w:val="left"/>
            </w:pPr>
            <w:r>
              <w:t xml:space="preserve">Partner policies × average net premium × 5%</w:t>
            </w:r>
          </w:p>
        </w:tc>
      </w:tr>
      <w:tr>
        <w:trPr>
          <w:cantSplit/>
        </w:trPr>
        <w:tc>
          <w:tcPr>
            <w:tcW w:w="2251" w:type="dxa"/>
            <w:vAlign w:val="top"/>
          </w:tcPr>
          <w:p>
            <w:pPr>
              <w:pStyle w:val="TableText"/>
              <w:jc w:val="left"/>
            </w:pPr>
            <w:r>
              <w:t xml:space="preserve">Acquisition cost per policy</w:t>
            </w:r>
          </w:p>
        </w:tc>
        <w:tc>
          <w:tcPr>
            <w:tcW w:w="6776" w:type="dxa"/>
            <w:vAlign w:val="top"/>
          </w:tcPr>
          <w:p>
            <w:pPr>
              <w:pStyle w:val="TableText"/>
              <w:jc w:val="left"/>
            </w:pPr>
            <w:r>
              <w:t xml:space="preserve">(Messaging + assistant + telesales + commission) ÷ total policies</w:t>
            </w:r>
          </w:p>
        </w:tc>
      </w:tr>
    </w:tbl>
    <w:p>
      <w:pPr>
        <w:pStyle w:val="BodyText"/>
        <w:spacing w:before="160"/>
      </w:pPr>
      <w:r>
        <w:t xml:space="preserve">Average premiums used:</w:t>
      </w:r>
    </w:p>
    <w:p>
      <w:pPr>
        <w:pStyle w:val="Compact"/>
        <w:numPr>
          <w:ilvl w:val="0"/>
          <w:numId w:val="1004"/>
        </w:numPr>
      </w:pPr>
      <w:r>
        <w:t xml:space="preserve">TNDS: 70% cars under 6 seats at VND 437,000, 25% cars of 6 to 11 seats at VND 794,000 and 5% at VND 1,270,000, giving VND 567,900 net (VND 624,690 including VAT).</w:t>
      </w:r>
    </w:p>
    <w:p>
      <w:pPr>
        <w:pStyle w:val="Compact"/>
        <w:numPr>
          <w:ilvl w:val="0"/>
          <w:numId w:val="1004"/>
        </w:numPr>
      </w:pPr>
      <w:r>
        <w:t xml:space="preserve">Personal accident cover per seat: 5 seats × VND 20,000,000 × 0.1% = VND 100,000, exempt from VAT.</w:t>
      </w:r>
    </w:p>
    <w:p>
      <w:pPr>
        <w:pStyle w:val="Compact"/>
        <w:numPr>
          <w:ilvl w:val="0"/>
          <w:numId w:val="1004"/>
        </w:numPr>
      </w:pPr>
      <w:r>
        <w:t xml:space="preserve">Physical damage cover: VND 700,000,000 sum insured × 1.5% (vehicle 0 to 3 years) × (1 − 10% deductible relief) = VND 9,450,000 net.</w:t>
      </w:r>
    </w:p>
    <w:p>
      <w:pPr>
        <w:pStyle w:val="Heading2"/>
      </w:pPr>
      <w:bookmarkStart w:id="43" w:name="_Toc300000039"/>
      <w:r>
        <w:t xml:space="preserve">Scenario inputs</w:t>
      </w:r>
      <w:bookmarkEnd w:id="4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554"/>
        <w:gridCol w:w="1704"/>
        <w:gridCol w:w="1362"/>
        <w:gridCol w:w="1407"/>
      </w:tblGrid>
      <w:tr>
        <w:trPr>
          <w:cantSplit/>
          <w:tblHeader/>
        </w:trPr>
        <w:tc>
          <w:tcPr>
            <w:tcW w:w="4554" w:type="dxa"/>
            <w:shd w:val="clear" w:color="auto" w:fill="0F4761"/>
            <w:vAlign w:val="center"/>
          </w:tcPr>
          <w:p>
            <w:pPr>
              <w:pStyle w:val="TableHeading"/>
              <w:jc w:val="left"/>
            </w:pPr>
            <w:r>
              <w:rPr>
                <w:color w:val="FFFFFF"/>
              </w:rPr>
              <w:t xml:space="preserve">Input</w:t>
            </w:r>
          </w:p>
        </w:tc>
        <w:tc>
          <w:tcPr>
            <w:tcW w:w="1704" w:type="dxa"/>
            <w:shd w:val="clear" w:color="auto" w:fill="0F4761"/>
            <w:vAlign w:val="center"/>
          </w:tcPr>
          <w:p>
            <w:pPr>
              <w:pStyle w:val="TableHeading"/>
              <w:jc w:val="left"/>
            </w:pPr>
            <w:r>
              <w:rPr>
                <w:color w:val="FFFFFF"/>
              </w:rPr>
              <w:t xml:space="preserve">Conservative</w:t>
            </w:r>
          </w:p>
        </w:tc>
        <w:tc>
          <w:tcPr>
            <w:tcW w:w="1362" w:type="dxa"/>
            <w:shd w:val="clear" w:color="auto" w:fill="0F4761"/>
            <w:vAlign w:val="center"/>
          </w:tcPr>
          <w:p>
            <w:pPr>
              <w:pStyle w:val="TableHeading"/>
              <w:jc w:val="left"/>
            </w:pPr>
            <w:r>
              <w:rPr>
                <w:color w:val="FFFFFF"/>
              </w:rPr>
              <w:t xml:space="preserve">Base</w:t>
            </w:r>
          </w:p>
        </w:tc>
        <w:tc>
          <w:tcPr>
            <w:tcW w:w="1407" w:type="dxa"/>
            <w:shd w:val="clear" w:color="auto" w:fill="0F4761"/>
            <w:vAlign w:val="center"/>
          </w:tcPr>
          <w:p>
            <w:pPr>
              <w:pStyle w:val="TableHeading"/>
              <w:jc w:val="left"/>
            </w:pPr>
            <w:r>
              <w:rPr>
                <w:color w:val="FFFFFF"/>
              </w:rPr>
              <w:t xml:space="preserve">Stretch</w:t>
            </w:r>
          </w:p>
        </w:tc>
      </w:tr>
      <w:tr>
        <w:trPr>
          <w:cantSplit/>
        </w:trPr>
        <w:tc>
          <w:tcPr>
            <w:tcW w:w="4554" w:type="dxa"/>
            <w:vAlign w:val="top"/>
          </w:tcPr>
          <w:p>
            <w:pPr>
              <w:pStyle w:val="TableText"/>
              <w:jc w:val="left"/>
            </w:pPr>
            <w:r>
              <w:t xml:space="preserve">Share with an expiry event (A-02)</w:t>
            </w:r>
          </w:p>
        </w:tc>
        <w:tc>
          <w:tcPr>
            <w:tcW w:w="1704" w:type="dxa"/>
            <w:vAlign w:val="top"/>
          </w:tcPr>
          <w:p>
            <w:pPr>
              <w:pStyle w:val="TableText"/>
              <w:jc w:val="left"/>
            </w:pPr>
            <w:r>
              <w:t xml:space="preserve">85%</w:t>
            </w:r>
          </w:p>
        </w:tc>
        <w:tc>
          <w:tcPr>
            <w:tcW w:w="1362" w:type="dxa"/>
            <w:vAlign w:val="top"/>
          </w:tcPr>
          <w:p>
            <w:pPr>
              <w:pStyle w:val="TableText"/>
              <w:jc w:val="left"/>
            </w:pPr>
            <w:r>
              <w:t xml:space="preserve">85%</w:t>
            </w:r>
          </w:p>
        </w:tc>
        <w:tc>
          <w:tcPr>
            <w:tcW w:w="1407" w:type="dxa"/>
            <w:vAlign w:val="top"/>
          </w:tcPr>
          <w:p>
            <w:pPr>
              <w:pStyle w:val="TableText"/>
              <w:jc w:val="left"/>
            </w:pPr>
            <w:r>
              <w:t xml:space="preserve">85%</w:t>
            </w:r>
          </w:p>
        </w:tc>
      </w:tr>
      <w:tr>
        <w:trPr>
          <w:cantSplit/>
        </w:trPr>
        <w:tc>
          <w:tcPr>
            <w:tcW w:w="4554" w:type="dxa"/>
            <w:shd w:val="clear" w:color="auto" w:fill="F4F7FB"/>
            <w:vAlign w:val="top"/>
          </w:tcPr>
          <w:p>
            <w:pPr>
              <w:pStyle w:val="TableText"/>
              <w:jc w:val="left"/>
            </w:pPr>
            <w:r>
              <w:t xml:space="preserve">Usable-expiry rate (A-03)</w:t>
            </w:r>
          </w:p>
        </w:tc>
        <w:tc>
          <w:tcPr>
            <w:tcW w:w="1704" w:type="dxa"/>
            <w:shd w:val="clear" w:color="auto" w:fill="F4F7FB"/>
            <w:vAlign w:val="top"/>
          </w:tcPr>
          <w:p>
            <w:pPr>
              <w:pStyle w:val="TableText"/>
              <w:jc w:val="left"/>
            </w:pPr>
            <w:r>
              <w:t xml:space="preserve">35%</w:t>
            </w:r>
          </w:p>
        </w:tc>
        <w:tc>
          <w:tcPr>
            <w:tcW w:w="1362" w:type="dxa"/>
            <w:shd w:val="clear" w:color="auto" w:fill="F4F7FB"/>
            <w:vAlign w:val="top"/>
          </w:tcPr>
          <w:p>
            <w:pPr>
              <w:pStyle w:val="TableText"/>
              <w:jc w:val="left"/>
            </w:pPr>
            <w:r>
              <w:t xml:space="preserve">50%</w:t>
            </w:r>
          </w:p>
        </w:tc>
        <w:tc>
          <w:tcPr>
            <w:tcW w:w="1407" w:type="dxa"/>
            <w:shd w:val="clear" w:color="auto" w:fill="F4F7FB"/>
            <w:vAlign w:val="top"/>
          </w:tcPr>
          <w:p>
            <w:pPr>
              <w:pStyle w:val="TableText"/>
              <w:jc w:val="left"/>
            </w:pPr>
            <w:r>
              <w:t xml:space="preserve">65%</w:t>
            </w:r>
          </w:p>
        </w:tc>
      </w:tr>
      <w:tr>
        <w:trPr>
          <w:cantSplit/>
        </w:trPr>
        <w:tc>
          <w:tcPr>
            <w:tcW w:w="4554" w:type="dxa"/>
            <w:vAlign w:val="top"/>
          </w:tcPr>
          <w:p>
            <w:pPr>
              <w:pStyle w:val="TableText"/>
              <w:jc w:val="left"/>
            </w:pPr>
            <w:r>
              <w:t xml:space="preserve">TASCO book / elsewhere / lapsed (A-04)</w:t>
            </w:r>
          </w:p>
        </w:tc>
        <w:tc>
          <w:tcPr>
            <w:tcW w:w="1704" w:type="dxa"/>
            <w:vAlign w:val="top"/>
          </w:tcPr>
          <w:p>
            <w:pPr>
              <w:pStyle w:val="TableText"/>
              <w:jc w:val="left"/>
            </w:pPr>
            <w:r>
              <w:t xml:space="preserve">10 / 85 / 5%</w:t>
            </w:r>
          </w:p>
        </w:tc>
        <w:tc>
          <w:tcPr>
            <w:tcW w:w="1362" w:type="dxa"/>
            <w:vAlign w:val="top"/>
          </w:tcPr>
          <w:p>
            <w:pPr>
              <w:pStyle w:val="TableText"/>
              <w:jc w:val="left"/>
            </w:pPr>
            <w:r>
              <w:t xml:space="preserve">10 / 85 / 5%</w:t>
            </w:r>
          </w:p>
        </w:tc>
        <w:tc>
          <w:tcPr>
            <w:tcW w:w="1407" w:type="dxa"/>
            <w:vAlign w:val="top"/>
          </w:tcPr>
          <w:p>
            <w:pPr>
              <w:pStyle w:val="TableText"/>
              <w:jc w:val="left"/>
            </w:pPr>
            <w:r>
              <w:t xml:space="preserve">10 / 85 / 5%</w:t>
            </w:r>
          </w:p>
        </w:tc>
      </w:tr>
      <w:tr>
        <w:trPr>
          <w:cantSplit/>
        </w:trPr>
        <w:tc>
          <w:tcPr>
            <w:tcW w:w="4554" w:type="dxa"/>
            <w:shd w:val="clear" w:color="auto" w:fill="F4F7FB"/>
            <w:vAlign w:val="top"/>
          </w:tcPr>
          <w:p>
            <w:pPr>
              <w:pStyle w:val="TableText"/>
              <w:jc w:val="left"/>
            </w:pPr>
            <w:r>
              <w:t xml:space="preserve">New tags per year (A-05)</w:t>
            </w:r>
          </w:p>
        </w:tc>
        <w:tc>
          <w:tcPr>
            <w:tcW w:w="1704" w:type="dxa"/>
            <w:shd w:val="clear" w:color="auto" w:fill="F4F7FB"/>
            <w:vAlign w:val="top"/>
          </w:tcPr>
          <w:p>
            <w:pPr>
              <w:pStyle w:val="TableText"/>
              <w:jc w:val="left"/>
            </w:pPr>
            <w:r>
              <w:t xml:space="preserve">250,000</w:t>
            </w:r>
          </w:p>
        </w:tc>
        <w:tc>
          <w:tcPr>
            <w:tcW w:w="1362" w:type="dxa"/>
            <w:shd w:val="clear" w:color="auto" w:fill="F4F7FB"/>
            <w:vAlign w:val="top"/>
          </w:tcPr>
          <w:p>
            <w:pPr>
              <w:pStyle w:val="TableText"/>
              <w:jc w:val="left"/>
            </w:pPr>
            <w:r>
              <w:t xml:space="preserve">250,000</w:t>
            </w:r>
          </w:p>
        </w:tc>
        <w:tc>
          <w:tcPr>
            <w:tcW w:w="1407" w:type="dxa"/>
            <w:shd w:val="clear" w:color="auto" w:fill="F4F7FB"/>
            <w:vAlign w:val="top"/>
          </w:tcPr>
          <w:p>
            <w:pPr>
              <w:pStyle w:val="TableText"/>
              <w:jc w:val="left"/>
            </w:pPr>
            <w:r>
              <w:t xml:space="preserve">250,000</w:t>
            </w:r>
          </w:p>
        </w:tc>
      </w:tr>
      <w:tr>
        <w:trPr>
          <w:cantSplit/>
        </w:trPr>
        <w:tc>
          <w:tcPr>
            <w:tcW w:w="4554" w:type="dxa"/>
            <w:vAlign w:val="top"/>
          </w:tcPr>
          <w:p>
            <w:pPr>
              <w:pStyle w:val="TableText"/>
              <w:jc w:val="left"/>
            </w:pPr>
            <w:r>
              <w:t xml:space="preserve">Renewal / conquest / lapsed / new conversion (A-06)</w:t>
            </w:r>
          </w:p>
        </w:tc>
        <w:tc>
          <w:tcPr>
            <w:tcW w:w="1704" w:type="dxa"/>
            <w:vAlign w:val="top"/>
          </w:tcPr>
          <w:p>
            <w:pPr>
              <w:pStyle w:val="TableText"/>
              <w:jc w:val="left"/>
            </w:pPr>
            <w:r>
              <w:t xml:space="preserve">15 / 1 / 3 / 2%</w:t>
            </w:r>
          </w:p>
        </w:tc>
        <w:tc>
          <w:tcPr>
            <w:tcW w:w="1362" w:type="dxa"/>
            <w:vAlign w:val="top"/>
          </w:tcPr>
          <w:p>
            <w:pPr>
              <w:pStyle w:val="TableText"/>
              <w:jc w:val="left"/>
            </w:pPr>
            <w:r>
              <w:t xml:space="preserve">25 / 2 / 6 / 4%</w:t>
            </w:r>
          </w:p>
        </w:tc>
        <w:tc>
          <w:tcPr>
            <w:tcW w:w="1407" w:type="dxa"/>
            <w:vAlign w:val="top"/>
          </w:tcPr>
          <w:p>
            <w:pPr>
              <w:pStyle w:val="TableText"/>
              <w:jc w:val="left"/>
            </w:pPr>
            <w:r>
              <w:t xml:space="preserve">35 / 3 / 10 / 6%</w:t>
            </w:r>
          </w:p>
        </w:tc>
      </w:tr>
      <w:tr>
        <w:trPr>
          <w:cantSplit/>
        </w:trPr>
        <w:tc>
          <w:tcPr>
            <w:tcW w:w="4554" w:type="dxa"/>
            <w:shd w:val="clear" w:color="auto" w:fill="F4F7FB"/>
            <w:vAlign w:val="top"/>
          </w:tcPr>
          <w:p>
            <w:pPr>
              <w:pStyle w:val="TableText"/>
              <w:jc w:val="left"/>
            </w:pPr>
            <w:r>
              <w:t xml:space="preserve">Partner-API policies (A-07)</w:t>
            </w:r>
          </w:p>
        </w:tc>
        <w:tc>
          <w:tcPr>
            <w:tcW w:w="1704" w:type="dxa"/>
            <w:shd w:val="clear" w:color="auto" w:fill="F4F7FB"/>
            <w:vAlign w:val="top"/>
          </w:tcPr>
          <w:p>
            <w:pPr>
              <w:pStyle w:val="TableText"/>
              <w:jc w:val="left"/>
            </w:pPr>
            <w:r>
              <w:t xml:space="preserve">5,000</w:t>
            </w:r>
          </w:p>
        </w:tc>
        <w:tc>
          <w:tcPr>
            <w:tcW w:w="1362" w:type="dxa"/>
            <w:shd w:val="clear" w:color="auto" w:fill="F4F7FB"/>
            <w:vAlign w:val="top"/>
          </w:tcPr>
          <w:p>
            <w:pPr>
              <w:pStyle w:val="TableText"/>
              <w:jc w:val="left"/>
            </w:pPr>
            <w:r>
              <w:t xml:space="preserve">15,000</w:t>
            </w:r>
          </w:p>
        </w:tc>
        <w:tc>
          <w:tcPr>
            <w:tcW w:w="1407" w:type="dxa"/>
            <w:shd w:val="clear" w:color="auto" w:fill="F4F7FB"/>
            <w:vAlign w:val="top"/>
          </w:tcPr>
          <w:p>
            <w:pPr>
              <w:pStyle w:val="TableText"/>
              <w:jc w:val="left"/>
            </w:pPr>
            <w:r>
              <w:t xml:space="preserve">30,000</w:t>
            </w:r>
          </w:p>
        </w:tc>
      </w:tr>
      <w:tr>
        <w:trPr>
          <w:cantSplit/>
        </w:trPr>
        <w:tc>
          <w:tcPr>
            <w:tcW w:w="4554" w:type="dxa"/>
            <w:vAlign w:val="top"/>
          </w:tcPr>
          <w:p>
            <w:pPr>
              <w:pStyle w:val="TableText"/>
              <w:jc w:val="left"/>
            </w:pPr>
            <w:r>
              <w:t xml:space="preserve">Personal accident / physical damage attach (A-09)</w:t>
            </w:r>
          </w:p>
        </w:tc>
        <w:tc>
          <w:tcPr>
            <w:tcW w:w="1704" w:type="dxa"/>
            <w:vAlign w:val="top"/>
          </w:tcPr>
          <w:p>
            <w:pPr>
              <w:pStyle w:val="TableText"/>
              <w:jc w:val="left"/>
            </w:pPr>
            <w:r>
              <w:t xml:space="preserve">4% / 0.25%</w:t>
            </w:r>
          </w:p>
        </w:tc>
        <w:tc>
          <w:tcPr>
            <w:tcW w:w="1362" w:type="dxa"/>
            <w:vAlign w:val="top"/>
          </w:tcPr>
          <w:p>
            <w:pPr>
              <w:pStyle w:val="TableText"/>
              <w:jc w:val="left"/>
            </w:pPr>
            <w:r>
              <w:t xml:space="preserve">8% / 0.5%</w:t>
            </w:r>
          </w:p>
        </w:tc>
        <w:tc>
          <w:tcPr>
            <w:tcW w:w="1407" w:type="dxa"/>
            <w:vAlign w:val="top"/>
          </w:tcPr>
          <w:p>
            <w:pPr>
              <w:pStyle w:val="TableText"/>
              <w:jc w:val="left"/>
            </w:pPr>
            <w:r>
              <w:t xml:space="preserve">12% / 1%</w:t>
            </w:r>
          </w:p>
        </w:tc>
      </w:tr>
      <w:tr>
        <w:trPr>
          <w:cantSplit/>
        </w:trPr>
        <w:tc>
          <w:tcPr>
            <w:tcW w:w="4554" w:type="dxa"/>
            <w:shd w:val="clear" w:color="auto" w:fill="F4F7FB"/>
            <w:vAlign w:val="top"/>
          </w:tcPr>
          <w:p>
            <w:pPr>
              <w:pStyle w:val="TableText"/>
              <w:jc w:val="left"/>
            </w:pPr>
            <w:r>
              <w:t xml:space="preserve">Sends per profile per year (A-10)</w:t>
            </w:r>
          </w:p>
        </w:tc>
        <w:tc>
          <w:tcPr>
            <w:tcW w:w="1704" w:type="dxa"/>
            <w:shd w:val="clear" w:color="auto" w:fill="F4F7FB"/>
            <w:vAlign w:val="top"/>
          </w:tcPr>
          <w:p>
            <w:pPr>
              <w:pStyle w:val="TableText"/>
              <w:jc w:val="left"/>
            </w:pPr>
            <w:r>
              <w:t xml:space="preserve">5</w:t>
            </w:r>
          </w:p>
        </w:tc>
        <w:tc>
          <w:tcPr>
            <w:tcW w:w="1362" w:type="dxa"/>
            <w:shd w:val="clear" w:color="auto" w:fill="F4F7FB"/>
            <w:vAlign w:val="top"/>
          </w:tcPr>
          <w:p>
            <w:pPr>
              <w:pStyle w:val="TableText"/>
              <w:jc w:val="left"/>
            </w:pPr>
            <w:r>
              <w:t xml:space="preserve">5</w:t>
            </w:r>
          </w:p>
        </w:tc>
        <w:tc>
          <w:tcPr>
            <w:tcW w:w="1407" w:type="dxa"/>
            <w:shd w:val="clear" w:color="auto" w:fill="F4F7FB"/>
            <w:vAlign w:val="top"/>
          </w:tcPr>
          <w:p>
            <w:pPr>
              <w:pStyle w:val="TableText"/>
              <w:jc w:val="left"/>
            </w:pPr>
            <w:r>
              <w:t xml:space="preserve">5</w:t>
            </w:r>
          </w:p>
        </w:tc>
      </w:tr>
      <w:tr>
        <w:trPr>
          <w:cantSplit/>
        </w:trPr>
        <w:tc>
          <w:tcPr>
            <w:tcW w:w="4554" w:type="dxa"/>
            <w:vAlign w:val="top"/>
          </w:tcPr>
          <w:p>
            <w:pPr>
              <w:pStyle w:val="TableText"/>
              <w:jc w:val="left"/>
            </w:pPr>
            <w:r>
              <w:t xml:space="preserve">Share of A called by the assistant (A-11)</w:t>
            </w:r>
          </w:p>
        </w:tc>
        <w:tc>
          <w:tcPr>
            <w:tcW w:w="1704" w:type="dxa"/>
            <w:vAlign w:val="top"/>
          </w:tcPr>
          <w:p>
            <w:pPr>
              <w:pStyle w:val="TableText"/>
              <w:jc w:val="left"/>
            </w:pPr>
            <w:r>
              <w:t xml:space="preserve">10%</w:t>
            </w:r>
          </w:p>
        </w:tc>
        <w:tc>
          <w:tcPr>
            <w:tcW w:w="1362" w:type="dxa"/>
            <w:vAlign w:val="top"/>
          </w:tcPr>
          <w:p>
            <w:pPr>
              <w:pStyle w:val="TableText"/>
              <w:jc w:val="left"/>
            </w:pPr>
            <w:r>
              <w:t xml:space="preserve">15%</w:t>
            </w:r>
          </w:p>
        </w:tc>
        <w:tc>
          <w:tcPr>
            <w:tcW w:w="1407" w:type="dxa"/>
            <w:vAlign w:val="top"/>
          </w:tcPr>
          <w:p>
            <w:pPr>
              <w:pStyle w:val="TableText"/>
              <w:jc w:val="left"/>
            </w:pPr>
            <w:r>
              <w:t xml:space="preserve">20%</w:t>
            </w:r>
          </w:p>
        </w:tc>
      </w:tr>
      <w:tr>
        <w:trPr>
          <w:cantSplit/>
        </w:trPr>
        <w:tc>
          <w:tcPr>
            <w:tcW w:w="4554" w:type="dxa"/>
            <w:shd w:val="clear" w:color="auto" w:fill="F4F7FB"/>
            <w:vAlign w:val="top"/>
          </w:tcPr>
          <w:p>
            <w:pPr>
              <w:pStyle w:val="TableText"/>
              <w:jc w:val="left"/>
            </w:pPr>
            <w:r>
              <w:t xml:space="preserve">Telesales calls per year (A-12)</w:t>
            </w:r>
          </w:p>
        </w:tc>
        <w:tc>
          <w:tcPr>
            <w:tcW w:w="1704" w:type="dxa"/>
            <w:shd w:val="clear" w:color="auto" w:fill="F4F7FB"/>
            <w:vAlign w:val="top"/>
          </w:tcPr>
          <w:p>
            <w:pPr>
              <w:pStyle w:val="TableText"/>
              <w:jc w:val="left"/>
            </w:pPr>
            <w:r>
              <w:t xml:space="preserve">25,000</w:t>
            </w:r>
          </w:p>
        </w:tc>
        <w:tc>
          <w:tcPr>
            <w:tcW w:w="1362" w:type="dxa"/>
            <w:shd w:val="clear" w:color="auto" w:fill="F4F7FB"/>
            <w:vAlign w:val="top"/>
          </w:tcPr>
          <w:p>
            <w:pPr>
              <w:pStyle w:val="TableText"/>
              <w:jc w:val="left"/>
            </w:pPr>
            <w:r>
              <w:t xml:space="preserve">50,000</w:t>
            </w:r>
          </w:p>
        </w:tc>
        <w:tc>
          <w:tcPr>
            <w:tcW w:w="1407" w:type="dxa"/>
            <w:shd w:val="clear" w:color="auto" w:fill="F4F7FB"/>
            <w:vAlign w:val="top"/>
          </w:tcPr>
          <w:p>
            <w:pPr>
              <w:pStyle w:val="TableText"/>
              <w:jc w:val="left"/>
            </w:pPr>
            <w:r>
              <w:t xml:space="preserve">80,000</w:t>
            </w:r>
          </w:p>
        </w:tc>
      </w:tr>
    </w:tbl>
    <w:p>
      <w:pPr>
        <w:pStyle w:val="Heading2"/>
      </w:pPr>
      <w:bookmarkStart w:id="44" w:name="_Toc300000040"/>
      <w:r>
        <w:t xml:space="preserve">Outputs, year 1 at full scale</w:t>
      </w:r>
      <w:bookmarkEnd w:id="4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11"/>
        <w:gridCol w:w="1704"/>
        <w:gridCol w:w="1641"/>
        <w:gridCol w:w="1671"/>
      </w:tblGrid>
      <w:tr>
        <w:trPr>
          <w:cantSplit/>
          <w:tblHeader/>
        </w:trPr>
        <w:tc>
          <w:tcPr>
            <w:tcW w:w="4011" w:type="dxa"/>
            <w:shd w:val="clear" w:color="auto" w:fill="0F4761"/>
            <w:vAlign w:val="center"/>
          </w:tcPr>
          <w:p>
            <w:pPr>
              <w:pStyle w:val="TableHeading"/>
              <w:jc w:val="left"/>
            </w:pPr>
            <w:r>
              <w:rPr>
                <w:color w:val="FFFFFF"/>
              </w:rPr>
              <w:t xml:space="preserve">Output</w:t>
            </w:r>
          </w:p>
        </w:tc>
        <w:tc>
          <w:tcPr>
            <w:tcW w:w="1704" w:type="dxa"/>
            <w:shd w:val="clear" w:color="auto" w:fill="0F4761"/>
            <w:vAlign w:val="center"/>
          </w:tcPr>
          <w:p>
            <w:pPr>
              <w:pStyle w:val="TableHeading"/>
              <w:jc w:val="right"/>
            </w:pPr>
            <w:r>
              <w:rPr>
                <w:color w:val="FFFFFF"/>
              </w:rPr>
              <w:t xml:space="preserve">Conservative</w:t>
            </w:r>
          </w:p>
        </w:tc>
        <w:tc>
          <w:tcPr>
            <w:tcW w:w="1641" w:type="dxa"/>
            <w:shd w:val="clear" w:color="auto" w:fill="0F4761"/>
            <w:vAlign w:val="center"/>
          </w:tcPr>
          <w:p>
            <w:pPr>
              <w:pStyle w:val="TableHeading"/>
              <w:jc w:val="right"/>
            </w:pPr>
            <w:r>
              <w:rPr>
                <w:color w:val="FFFFFF"/>
              </w:rPr>
              <w:t xml:space="preserve">Base</w:t>
            </w:r>
          </w:p>
        </w:tc>
        <w:tc>
          <w:tcPr>
            <w:tcW w:w="1671" w:type="dxa"/>
            <w:shd w:val="clear" w:color="auto" w:fill="0F4761"/>
            <w:vAlign w:val="center"/>
          </w:tcPr>
          <w:p>
            <w:pPr>
              <w:pStyle w:val="TableHeading"/>
              <w:jc w:val="right"/>
            </w:pPr>
            <w:r>
              <w:rPr>
                <w:color w:val="FFFFFF"/>
              </w:rPr>
              <w:t xml:space="preserve">Stretch</w:t>
            </w:r>
          </w:p>
        </w:tc>
      </w:tr>
      <w:tr>
        <w:trPr>
          <w:cantSplit/>
        </w:trPr>
        <w:tc>
          <w:tcPr>
            <w:tcW w:w="4011" w:type="dxa"/>
            <w:vAlign w:val="top"/>
          </w:tcPr>
          <w:p>
            <w:pPr>
              <w:pStyle w:val="TableText"/>
              <w:jc w:val="left"/>
            </w:pPr>
            <w:r>
              <w:t xml:space="preserve">Actionable vehicles</w:t>
            </w:r>
          </w:p>
        </w:tc>
        <w:tc>
          <w:tcPr>
            <w:tcW w:w="1704" w:type="dxa"/>
            <w:vAlign w:val="top"/>
          </w:tcPr>
          <w:p>
            <w:pPr>
              <w:pStyle w:val="TableText"/>
              <w:jc w:val="right"/>
            </w:pPr>
            <w:r>
              <w:t xml:space="preserve">1,785,000</w:t>
            </w:r>
          </w:p>
        </w:tc>
        <w:tc>
          <w:tcPr>
            <w:tcW w:w="1641" w:type="dxa"/>
            <w:vAlign w:val="top"/>
          </w:tcPr>
          <w:p>
            <w:pPr>
              <w:pStyle w:val="TableText"/>
              <w:jc w:val="right"/>
            </w:pPr>
            <w:r>
              <w:t xml:space="preserve">2,550,000</w:t>
            </w:r>
          </w:p>
        </w:tc>
        <w:tc>
          <w:tcPr>
            <w:tcW w:w="1671" w:type="dxa"/>
            <w:vAlign w:val="top"/>
          </w:tcPr>
          <w:p>
            <w:pPr>
              <w:pStyle w:val="TableText"/>
              <w:jc w:val="right"/>
            </w:pPr>
            <w:r>
              <w:t xml:space="preserve">3,315,000</w:t>
            </w:r>
          </w:p>
        </w:tc>
      </w:tr>
      <w:tr>
        <w:trPr>
          <w:cantSplit/>
        </w:trPr>
        <w:tc>
          <w:tcPr>
            <w:tcW w:w="4011" w:type="dxa"/>
            <w:shd w:val="clear" w:color="auto" w:fill="F4F7FB"/>
            <w:vAlign w:val="top"/>
          </w:tcPr>
          <w:p>
            <w:pPr>
              <w:pStyle w:val="TableText"/>
              <w:jc w:val="left"/>
            </w:pPr>
            <w:r>
              <w:t xml:space="preserve">SEG-3 renewals</w:t>
            </w:r>
          </w:p>
        </w:tc>
        <w:tc>
          <w:tcPr>
            <w:tcW w:w="1704" w:type="dxa"/>
            <w:shd w:val="clear" w:color="auto" w:fill="F4F7FB"/>
            <w:vAlign w:val="top"/>
          </w:tcPr>
          <w:p>
            <w:pPr>
              <w:pStyle w:val="TableText"/>
              <w:jc w:val="right"/>
            </w:pPr>
            <w:r>
              <w:t xml:space="preserve">26,775</w:t>
            </w:r>
          </w:p>
        </w:tc>
        <w:tc>
          <w:tcPr>
            <w:tcW w:w="1641" w:type="dxa"/>
            <w:shd w:val="clear" w:color="auto" w:fill="F4F7FB"/>
            <w:vAlign w:val="top"/>
          </w:tcPr>
          <w:p>
            <w:pPr>
              <w:pStyle w:val="TableText"/>
              <w:jc w:val="right"/>
            </w:pPr>
            <w:r>
              <w:t xml:space="preserve">63,750</w:t>
            </w:r>
          </w:p>
        </w:tc>
        <w:tc>
          <w:tcPr>
            <w:tcW w:w="1671" w:type="dxa"/>
            <w:shd w:val="clear" w:color="auto" w:fill="F4F7FB"/>
            <w:vAlign w:val="top"/>
          </w:tcPr>
          <w:p>
            <w:pPr>
              <w:pStyle w:val="TableText"/>
              <w:jc w:val="right"/>
            </w:pPr>
            <w:r>
              <w:t xml:space="preserve">116,025</w:t>
            </w:r>
          </w:p>
        </w:tc>
      </w:tr>
      <w:tr>
        <w:trPr>
          <w:cantSplit/>
        </w:trPr>
        <w:tc>
          <w:tcPr>
            <w:tcW w:w="4011" w:type="dxa"/>
            <w:vAlign w:val="top"/>
          </w:tcPr>
          <w:p>
            <w:pPr>
              <w:pStyle w:val="TableText"/>
              <w:jc w:val="left"/>
            </w:pPr>
            <w:r>
              <w:t xml:space="preserve">SEG-4 conquest</w:t>
            </w:r>
          </w:p>
        </w:tc>
        <w:tc>
          <w:tcPr>
            <w:tcW w:w="1704" w:type="dxa"/>
            <w:vAlign w:val="top"/>
          </w:tcPr>
          <w:p>
            <w:pPr>
              <w:pStyle w:val="TableText"/>
              <w:jc w:val="right"/>
            </w:pPr>
            <w:r>
              <w:t xml:space="preserve">15,172</w:t>
            </w:r>
          </w:p>
        </w:tc>
        <w:tc>
          <w:tcPr>
            <w:tcW w:w="1641" w:type="dxa"/>
            <w:vAlign w:val="top"/>
          </w:tcPr>
          <w:p>
            <w:pPr>
              <w:pStyle w:val="TableText"/>
              <w:jc w:val="right"/>
            </w:pPr>
            <w:r>
              <w:t xml:space="preserve">43,350</w:t>
            </w:r>
          </w:p>
        </w:tc>
        <w:tc>
          <w:tcPr>
            <w:tcW w:w="1671" w:type="dxa"/>
            <w:vAlign w:val="top"/>
          </w:tcPr>
          <w:p>
            <w:pPr>
              <w:pStyle w:val="TableText"/>
              <w:jc w:val="right"/>
            </w:pPr>
            <w:r>
              <w:t xml:space="preserve">84,532</w:t>
            </w:r>
          </w:p>
        </w:tc>
      </w:tr>
      <w:tr>
        <w:trPr>
          <w:cantSplit/>
        </w:trPr>
        <w:tc>
          <w:tcPr>
            <w:tcW w:w="4011" w:type="dxa"/>
            <w:shd w:val="clear" w:color="auto" w:fill="F4F7FB"/>
            <w:vAlign w:val="top"/>
          </w:tcPr>
          <w:p>
            <w:pPr>
              <w:pStyle w:val="TableText"/>
              <w:jc w:val="left"/>
            </w:pPr>
            <w:r>
              <w:t xml:space="preserve">SEG-1 lapsed recovered</w:t>
            </w:r>
          </w:p>
        </w:tc>
        <w:tc>
          <w:tcPr>
            <w:tcW w:w="1704" w:type="dxa"/>
            <w:shd w:val="clear" w:color="auto" w:fill="F4F7FB"/>
            <w:vAlign w:val="top"/>
          </w:tcPr>
          <w:p>
            <w:pPr>
              <w:pStyle w:val="TableText"/>
              <w:jc w:val="right"/>
            </w:pPr>
            <w:r>
              <w:t xml:space="preserve">2,678</w:t>
            </w:r>
          </w:p>
        </w:tc>
        <w:tc>
          <w:tcPr>
            <w:tcW w:w="1641" w:type="dxa"/>
            <w:shd w:val="clear" w:color="auto" w:fill="F4F7FB"/>
            <w:vAlign w:val="top"/>
          </w:tcPr>
          <w:p>
            <w:pPr>
              <w:pStyle w:val="TableText"/>
              <w:jc w:val="right"/>
            </w:pPr>
            <w:r>
              <w:t xml:space="preserve">7,650</w:t>
            </w:r>
          </w:p>
        </w:tc>
        <w:tc>
          <w:tcPr>
            <w:tcW w:w="1671" w:type="dxa"/>
            <w:shd w:val="clear" w:color="auto" w:fill="F4F7FB"/>
            <w:vAlign w:val="top"/>
          </w:tcPr>
          <w:p>
            <w:pPr>
              <w:pStyle w:val="TableText"/>
              <w:jc w:val="right"/>
            </w:pPr>
            <w:r>
              <w:t xml:space="preserve">16,575</w:t>
            </w:r>
          </w:p>
        </w:tc>
      </w:tr>
      <w:tr>
        <w:trPr>
          <w:cantSplit/>
        </w:trPr>
        <w:tc>
          <w:tcPr>
            <w:tcW w:w="4011" w:type="dxa"/>
            <w:vAlign w:val="top"/>
          </w:tcPr>
          <w:p>
            <w:pPr>
              <w:pStyle w:val="TableText"/>
              <w:jc w:val="left"/>
            </w:pPr>
            <w:r>
              <w:t xml:space="preserve">SEG-2 new vehicles</w:t>
            </w:r>
          </w:p>
        </w:tc>
        <w:tc>
          <w:tcPr>
            <w:tcW w:w="1704" w:type="dxa"/>
            <w:vAlign w:val="top"/>
          </w:tcPr>
          <w:p>
            <w:pPr>
              <w:pStyle w:val="TableText"/>
              <w:jc w:val="right"/>
            </w:pPr>
            <w:r>
              <w:t xml:space="preserve">5,000</w:t>
            </w:r>
          </w:p>
        </w:tc>
        <w:tc>
          <w:tcPr>
            <w:tcW w:w="1641" w:type="dxa"/>
            <w:vAlign w:val="top"/>
          </w:tcPr>
          <w:p>
            <w:pPr>
              <w:pStyle w:val="TableText"/>
              <w:jc w:val="right"/>
            </w:pPr>
            <w:r>
              <w:t xml:space="preserve">10,000</w:t>
            </w:r>
          </w:p>
        </w:tc>
        <w:tc>
          <w:tcPr>
            <w:tcW w:w="1671" w:type="dxa"/>
            <w:vAlign w:val="top"/>
          </w:tcPr>
          <w:p>
            <w:pPr>
              <w:pStyle w:val="TableText"/>
              <w:jc w:val="right"/>
            </w:pPr>
            <w:r>
              <w:t xml:space="preserve">15,000</w:t>
            </w:r>
          </w:p>
        </w:tc>
      </w:tr>
      <w:tr>
        <w:trPr>
          <w:cantSplit/>
        </w:trPr>
        <w:tc>
          <w:tcPr>
            <w:tcW w:w="4011" w:type="dxa"/>
            <w:shd w:val="clear" w:color="auto" w:fill="F4F7FB"/>
            <w:vAlign w:val="top"/>
          </w:tcPr>
          <w:p>
            <w:pPr>
              <w:pStyle w:val="TableText"/>
              <w:jc w:val="left"/>
            </w:pPr>
            <w:r>
              <w:t xml:space="preserve">SEG-7 partner API</w:t>
            </w:r>
          </w:p>
        </w:tc>
        <w:tc>
          <w:tcPr>
            <w:tcW w:w="1704" w:type="dxa"/>
            <w:shd w:val="clear" w:color="auto" w:fill="F4F7FB"/>
            <w:vAlign w:val="top"/>
          </w:tcPr>
          <w:p>
            <w:pPr>
              <w:pStyle w:val="TableText"/>
              <w:jc w:val="right"/>
            </w:pPr>
            <w:r>
              <w:t xml:space="preserve">5,000</w:t>
            </w:r>
          </w:p>
        </w:tc>
        <w:tc>
          <w:tcPr>
            <w:tcW w:w="1641" w:type="dxa"/>
            <w:shd w:val="clear" w:color="auto" w:fill="F4F7FB"/>
            <w:vAlign w:val="top"/>
          </w:tcPr>
          <w:p>
            <w:pPr>
              <w:pStyle w:val="TableText"/>
              <w:jc w:val="right"/>
            </w:pPr>
            <w:r>
              <w:t xml:space="preserve">15,000</w:t>
            </w:r>
          </w:p>
        </w:tc>
        <w:tc>
          <w:tcPr>
            <w:tcW w:w="1671" w:type="dxa"/>
            <w:shd w:val="clear" w:color="auto" w:fill="F4F7FB"/>
            <w:vAlign w:val="top"/>
          </w:tcPr>
          <w:p>
            <w:pPr>
              <w:pStyle w:val="TableText"/>
              <w:jc w:val="right"/>
            </w:pPr>
            <w:r>
              <w:t xml:space="preserve">30,000</w:t>
            </w:r>
          </w:p>
        </w:tc>
      </w:tr>
      <w:tr>
        <w:trPr>
          <w:cantSplit/>
        </w:trPr>
        <w:tc>
          <w:tcPr>
            <w:tcW w:w="4011" w:type="dxa"/>
            <w:vAlign w:val="top"/>
          </w:tcPr>
          <w:p>
            <w:pPr>
              <w:pStyle w:val="TableText"/>
              <w:jc w:val="left"/>
            </w:pPr>
            <w:r>
              <w:t xml:space="preserve">Total TNDS policies</w:t>
            </w:r>
          </w:p>
        </w:tc>
        <w:tc>
          <w:tcPr>
            <w:tcW w:w="1704" w:type="dxa"/>
            <w:vAlign w:val="top"/>
          </w:tcPr>
          <w:p>
            <w:pPr>
              <w:pStyle w:val="TableText"/>
              <w:jc w:val="right"/>
            </w:pPr>
            <w:r>
              <w:t xml:space="preserve">54,625</w:t>
            </w:r>
          </w:p>
        </w:tc>
        <w:tc>
          <w:tcPr>
            <w:tcW w:w="1641" w:type="dxa"/>
            <w:vAlign w:val="top"/>
          </w:tcPr>
          <w:p>
            <w:pPr>
              <w:pStyle w:val="TableText"/>
              <w:jc w:val="right"/>
            </w:pPr>
            <w:r>
              <w:t xml:space="preserve">139,750</w:t>
            </w:r>
          </w:p>
        </w:tc>
        <w:tc>
          <w:tcPr>
            <w:tcW w:w="1671" w:type="dxa"/>
            <w:vAlign w:val="top"/>
          </w:tcPr>
          <w:p>
            <w:pPr>
              <w:pStyle w:val="TableText"/>
              <w:jc w:val="right"/>
            </w:pPr>
            <w:r>
              <w:t xml:space="preserve">262,132</w:t>
            </w:r>
          </w:p>
        </w:tc>
      </w:tr>
      <w:tr>
        <w:trPr>
          <w:cantSplit/>
        </w:trPr>
        <w:tc>
          <w:tcPr>
            <w:tcW w:w="4011" w:type="dxa"/>
            <w:shd w:val="clear" w:color="auto" w:fill="F4F7FB"/>
            <w:vAlign w:val="top"/>
          </w:tcPr>
          <w:p>
            <w:pPr>
              <w:pStyle w:val="TableText"/>
              <w:jc w:val="left"/>
            </w:pPr>
            <w:r>
              <w:t xml:space="preserve">TNDS net premium (VND)</w:t>
            </w:r>
          </w:p>
        </w:tc>
        <w:tc>
          <w:tcPr>
            <w:tcW w:w="1704" w:type="dxa"/>
            <w:shd w:val="clear" w:color="auto" w:fill="F4F7FB"/>
            <w:vAlign w:val="top"/>
          </w:tcPr>
          <w:p>
            <w:pPr>
              <w:pStyle w:val="TableText"/>
              <w:jc w:val="right"/>
            </w:pPr>
            <w:r>
              <w:t xml:space="preserve">31.0 bn</w:t>
            </w:r>
          </w:p>
        </w:tc>
        <w:tc>
          <w:tcPr>
            <w:tcW w:w="1641" w:type="dxa"/>
            <w:shd w:val="clear" w:color="auto" w:fill="F4F7FB"/>
            <w:vAlign w:val="top"/>
          </w:tcPr>
          <w:p>
            <w:pPr>
              <w:pStyle w:val="TableText"/>
              <w:jc w:val="right"/>
            </w:pPr>
            <w:r>
              <w:t xml:space="preserve">79.4 bn</w:t>
            </w:r>
          </w:p>
        </w:tc>
        <w:tc>
          <w:tcPr>
            <w:tcW w:w="1671" w:type="dxa"/>
            <w:shd w:val="clear" w:color="auto" w:fill="F4F7FB"/>
            <w:vAlign w:val="top"/>
          </w:tcPr>
          <w:p>
            <w:pPr>
              <w:pStyle w:val="TableText"/>
              <w:jc w:val="right"/>
            </w:pPr>
            <w:r>
              <w:t xml:space="preserve">148.9 bn</w:t>
            </w:r>
          </w:p>
        </w:tc>
      </w:tr>
      <w:tr>
        <w:trPr>
          <w:cantSplit/>
        </w:trPr>
        <w:tc>
          <w:tcPr>
            <w:tcW w:w="4011" w:type="dxa"/>
            <w:vAlign w:val="top"/>
          </w:tcPr>
          <w:p>
            <w:pPr>
              <w:pStyle w:val="TableText"/>
              <w:jc w:val="left"/>
            </w:pPr>
            <w:r>
              <w:t xml:space="preserve">TNDS net premium (USD)</w:t>
            </w:r>
          </w:p>
        </w:tc>
        <w:tc>
          <w:tcPr>
            <w:tcW w:w="1704" w:type="dxa"/>
            <w:vAlign w:val="top"/>
          </w:tcPr>
          <w:p>
            <w:pPr>
              <w:pStyle w:val="TableText"/>
              <w:jc w:val="right"/>
            </w:pPr>
            <w:r>
              <w:t xml:space="preserve">1.19 M</w:t>
            </w:r>
          </w:p>
        </w:tc>
        <w:tc>
          <w:tcPr>
            <w:tcW w:w="1641" w:type="dxa"/>
            <w:vAlign w:val="top"/>
          </w:tcPr>
          <w:p>
            <w:pPr>
              <w:pStyle w:val="TableText"/>
              <w:jc w:val="right"/>
            </w:pPr>
            <w:r>
              <w:t xml:space="preserve">3.05 M</w:t>
            </w:r>
          </w:p>
        </w:tc>
        <w:tc>
          <w:tcPr>
            <w:tcW w:w="1671" w:type="dxa"/>
            <w:vAlign w:val="top"/>
          </w:tcPr>
          <w:p>
            <w:pPr>
              <w:pStyle w:val="TableText"/>
              <w:jc w:val="right"/>
            </w:pPr>
            <w:r>
              <w:t xml:space="preserve">5.73 M</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11"/>
        <w:gridCol w:w="1704"/>
        <w:gridCol w:w="1641"/>
        <w:gridCol w:w="1671"/>
      </w:tblGrid>
      <w:tr>
        <w:trPr>
          <w:cantSplit/>
          <w:tblHeader/>
        </w:trPr>
        <w:tc>
          <w:tcPr>
            <w:tcW w:w="4011" w:type="dxa"/>
            <w:shd w:val="clear" w:color="auto" w:fill="0F4761"/>
            <w:vAlign w:val="center"/>
          </w:tcPr>
          <w:p>
            <w:pPr>
              <w:pStyle w:val="TableHeading"/>
              <w:jc w:val="left"/>
            </w:pPr>
            <w:r>
              <w:rPr>
                <w:color w:val="FFFFFF"/>
              </w:rPr>
              <w:t xml:space="preserve">Output</w:t>
            </w:r>
          </w:p>
        </w:tc>
        <w:tc>
          <w:tcPr>
            <w:tcW w:w="1704" w:type="dxa"/>
            <w:shd w:val="clear" w:color="auto" w:fill="0F4761"/>
            <w:vAlign w:val="center"/>
          </w:tcPr>
          <w:p>
            <w:pPr>
              <w:pStyle w:val="TableHeading"/>
              <w:jc w:val="right"/>
            </w:pPr>
            <w:r>
              <w:rPr>
                <w:color w:val="FFFFFF"/>
              </w:rPr>
              <w:t xml:space="preserve">Conservative</w:t>
            </w:r>
          </w:p>
        </w:tc>
        <w:tc>
          <w:tcPr>
            <w:tcW w:w="1641" w:type="dxa"/>
            <w:shd w:val="clear" w:color="auto" w:fill="0F4761"/>
            <w:vAlign w:val="center"/>
          </w:tcPr>
          <w:p>
            <w:pPr>
              <w:pStyle w:val="TableHeading"/>
              <w:jc w:val="right"/>
            </w:pPr>
            <w:r>
              <w:rPr>
                <w:color w:val="FFFFFF"/>
              </w:rPr>
              <w:t xml:space="preserve">Base</w:t>
            </w:r>
          </w:p>
        </w:tc>
        <w:tc>
          <w:tcPr>
            <w:tcW w:w="1671" w:type="dxa"/>
            <w:shd w:val="clear" w:color="auto" w:fill="0F4761"/>
            <w:vAlign w:val="center"/>
          </w:tcPr>
          <w:p>
            <w:pPr>
              <w:pStyle w:val="TableHeading"/>
              <w:jc w:val="right"/>
            </w:pPr>
            <w:r>
              <w:rPr>
                <w:color w:val="FFFFFF"/>
              </w:rPr>
              <w:t xml:space="preserve">Stretch</w:t>
            </w:r>
          </w:p>
        </w:tc>
      </w:tr>
      <w:tr>
        <w:trPr>
          <w:cantSplit/>
        </w:trPr>
        <w:tc>
          <w:tcPr>
            <w:tcW w:w="4011" w:type="dxa"/>
            <w:vAlign w:val="top"/>
          </w:tcPr>
          <w:p>
            <w:pPr>
              <w:pStyle w:val="TableText"/>
              <w:jc w:val="left"/>
            </w:pPr>
            <w:r>
              <w:t xml:space="preserve">Personal accident policies / premium (VND)</w:t>
            </w:r>
          </w:p>
        </w:tc>
        <w:tc>
          <w:tcPr>
            <w:tcW w:w="1704" w:type="dxa"/>
            <w:vAlign w:val="top"/>
          </w:tcPr>
          <w:p>
            <w:pPr>
              <w:pStyle w:val="TableText"/>
              <w:jc w:val="right"/>
            </w:pPr>
            <w:r>
              <w:t xml:space="preserve">1,985 / 0.20 bn</w:t>
            </w:r>
          </w:p>
        </w:tc>
        <w:tc>
          <w:tcPr>
            <w:tcW w:w="1641" w:type="dxa"/>
            <w:vAlign w:val="top"/>
          </w:tcPr>
          <w:p>
            <w:pPr>
              <w:pStyle w:val="TableText"/>
              <w:jc w:val="right"/>
            </w:pPr>
            <w:r>
              <w:t xml:space="preserve">9,980 / 1.00 bn</w:t>
            </w:r>
          </w:p>
        </w:tc>
        <w:tc>
          <w:tcPr>
            <w:tcW w:w="1671" w:type="dxa"/>
            <w:vAlign w:val="top"/>
          </w:tcPr>
          <w:p>
            <w:pPr>
              <w:pStyle w:val="TableText"/>
              <w:jc w:val="right"/>
            </w:pPr>
            <w:r>
              <w:t xml:space="preserve">27,856 / 2.79 bn</w:t>
            </w:r>
          </w:p>
        </w:tc>
      </w:tr>
      <w:tr>
        <w:trPr>
          <w:cantSplit/>
        </w:trPr>
        <w:tc>
          <w:tcPr>
            <w:tcW w:w="4011" w:type="dxa"/>
            <w:shd w:val="clear" w:color="auto" w:fill="F4F7FB"/>
            <w:vAlign w:val="top"/>
          </w:tcPr>
          <w:p>
            <w:pPr>
              <w:pStyle w:val="TableText"/>
              <w:jc w:val="left"/>
            </w:pPr>
            <w:r>
              <w:t xml:space="preserve">Physical damage policies / premium (VND)</w:t>
            </w:r>
          </w:p>
        </w:tc>
        <w:tc>
          <w:tcPr>
            <w:tcW w:w="1704" w:type="dxa"/>
            <w:shd w:val="clear" w:color="auto" w:fill="F4F7FB"/>
            <w:vAlign w:val="top"/>
          </w:tcPr>
          <w:p>
            <w:pPr>
              <w:pStyle w:val="TableText"/>
              <w:jc w:val="right"/>
            </w:pPr>
            <w:r>
              <w:t xml:space="preserve">124 / 1.17 bn</w:t>
            </w:r>
          </w:p>
        </w:tc>
        <w:tc>
          <w:tcPr>
            <w:tcW w:w="1641" w:type="dxa"/>
            <w:shd w:val="clear" w:color="auto" w:fill="F4F7FB"/>
            <w:vAlign w:val="top"/>
          </w:tcPr>
          <w:p>
            <w:pPr>
              <w:pStyle w:val="TableText"/>
              <w:jc w:val="right"/>
            </w:pPr>
            <w:r>
              <w:t xml:space="preserve">624 / 5.89 bn</w:t>
            </w:r>
          </w:p>
        </w:tc>
        <w:tc>
          <w:tcPr>
            <w:tcW w:w="1671" w:type="dxa"/>
            <w:shd w:val="clear" w:color="auto" w:fill="F4F7FB"/>
            <w:vAlign w:val="top"/>
          </w:tcPr>
          <w:p>
            <w:pPr>
              <w:pStyle w:val="TableText"/>
              <w:jc w:val="right"/>
            </w:pPr>
            <w:r>
              <w:t xml:space="preserve">2,321 / 21.94 bn</w:t>
            </w:r>
          </w:p>
        </w:tc>
      </w:tr>
      <w:tr>
        <w:trPr>
          <w:cantSplit/>
        </w:trPr>
        <w:tc>
          <w:tcPr>
            <w:tcW w:w="4011" w:type="dxa"/>
            <w:vAlign w:val="top"/>
          </w:tcPr>
          <w:p>
            <w:pPr>
              <w:pStyle w:val="TableText"/>
              <w:jc w:val="left"/>
            </w:pPr>
            <w:r>
              <w:t xml:space="preserve">Total premium including cross-sell (VND)</w:t>
            </w:r>
          </w:p>
        </w:tc>
        <w:tc>
          <w:tcPr>
            <w:tcW w:w="1704" w:type="dxa"/>
            <w:vAlign w:val="top"/>
          </w:tcPr>
          <w:p>
            <w:pPr>
              <w:pStyle w:val="TableText"/>
              <w:jc w:val="right"/>
            </w:pPr>
            <w:r>
              <w:t xml:space="preserve">32.4 bn</w:t>
            </w:r>
          </w:p>
        </w:tc>
        <w:tc>
          <w:tcPr>
            <w:tcW w:w="1641" w:type="dxa"/>
            <w:vAlign w:val="top"/>
          </w:tcPr>
          <w:p>
            <w:pPr>
              <w:pStyle w:val="TableText"/>
              <w:jc w:val="right"/>
            </w:pPr>
            <w:r>
              <w:t xml:space="preserve">86.3 bn</w:t>
            </w:r>
          </w:p>
        </w:tc>
        <w:tc>
          <w:tcPr>
            <w:tcW w:w="1671" w:type="dxa"/>
            <w:vAlign w:val="top"/>
          </w:tcPr>
          <w:p>
            <w:pPr>
              <w:pStyle w:val="TableText"/>
              <w:jc w:val="right"/>
            </w:pPr>
            <w:r>
              <w:t xml:space="preserve">173.6 bn</w:t>
            </w:r>
          </w:p>
        </w:tc>
      </w:tr>
      <w:tr>
        <w:trPr>
          <w:cantSplit/>
        </w:trPr>
        <w:tc>
          <w:tcPr>
            <w:tcW w:w="4011" w:type="dxa"/>
            <w:shd w:val="clear" w:color="auto" w:fill="F4F7FB"/>
            <w:vAlign w:val="top"/>
          </w:tcPr>
          <w:p>
            <w:pPr>
              <w:pStyle w:val="TableText"/>
              <w:jc w:val="left"/>
            </w:pPr>
            <w:r>
              <w:t xml:space="preserve">Messaging cost (VND)</w:t>
            </w:r>
          </w:p>
        </w:tc>
        <w:tc>
          <w:tcPr>
            <w:tcW w:w="1704" w:type="dxa"/>
            <w:shd w:val="clear" w:color="auto" w:fill="F4F7FB"/>
            <w:vAlign w:val="top"/>
          </w:tcPr>
          <w:p>
            <w:pPr>
              <w:pStyle w:val="TableText"/>
              <w:jc w:val="right"/>
            </w:pPr>
            <w:r>
              <w:t xml:space="preserve">1.63 bn</w:t>
            </w:r>
          </w:p>
        </w:tc>
        <w:tc>
          <w:tcPr>
            <w:tcW w:w="1641" w:type="dxa"/>
            <w:shd w:val="clear" w:color="auto" w:fill="F4F7FB"/>
            <w:vAlign w:val="top"/>
          </w:tcPr>
          <w:p>
            <w:pPr>
              <w:pStyle w:val="TableText"/>
              <w:jc w:val="right"/>
            </w:pPr>
            <w:r>
              <w:t xml:space="preserve">2.24 bn</w:t>
            </w:r>
          </w:p>
        </w:tc>
        <w:tc>
          <w:tcPr>
            <w:tcW w:w="1671" w:type="dxa"/>
            <w:shd w:val="clear" w:color="auto" w:fill="F4F7FB"/>
            <w:vAlign w:val="top"/>
          </w:tcPr>
          <w:p>
            <w:pPr>
              <w:pStyle w:val="TableText"/>
              <w:jc w:val="right"/>
            </w:pPr>
            <w:r>
              <w:t xml:space="preserve">2.85 bn</w:t>
            </w:r>
          </w:p>
        </w:tc>
      </w:tr>
      <w:tr>
        <w:trPr>
          <w:cantSplit/>
        </w:trPr>
        <w:tc>
          <w:tcPr>
            <w:tcW w:w="4011" w:type="dxa"/>
            <w:vAlign w:val="top"/>
          </w:tcPr>
          <w:p>
            <w:pPr>
              <w:pStyle w:val="TableText"/>
              <w:jc w:val="left"/>
            </w:pPr>
            <w:r>
              <w:t xml:space="preserve">Assistant calls / cost (VND)</w:t>
            </w:r>
          </w:p>
        </w:tc>
        <w:tc>
          <w:tcPr>
            <w:tcW w:w="1704" w:type="dxa"/>
            <w:vAlign w:val="top"/>
          </w:tcPr>
          <w:p>
            <w:pPr>
              <w:pStyle w:val="TableText"/>
              <w:jc w:val="right"/>
            </w:pPr>
            <w:r>
              <w:t xml:space="preserve">232,050 / 0.56 bn</w:t>
            </w:r>
          </w:p>
        </w:tc>
        <w:tc>
          <w:tcPr>
            <w:tcW w:w="1641" w:type="dxa"/>
            <w:vAlign w:val="top"/>
          </w:tcPr>
          <w:p>
            <w:pPr>
              <w:pStyle w:val="TableText"/>
              <w:jc w:val="right"/>
            </w:pPr>
            <w:r>
              <w:t xml:space="preserve">497,250 / 1.19 bn</w:t>
            </w:r>
          </w:p>
        </w:tc>
        <w:tc>
          <w:tcPr>
            <w:tcW w:w="1671" w:type="dxa"/>
            <w:vAlign w:val="top"/>
          </w:tcPr>
          <w:p>
            <w:pPr>
              <w:pStyle w:val="TableText"/>
              <w:jc w:val="right"/>
            </w:pPr>
            <w:r>
              <w:t xml:space="preserve">861,900 / 2.07 bn</w:t>
            </w:r>
          </w:p>
        </w:tc>
      </w:tr>
      <w:tr>
        <w:trPr>
          <w:cantSplit/>
        </w:trPr>
        <w:tc>
          <w:tcPr>
            <w:tcW w:w="4011" w:type="dxa"/>
            <w:shd w:val="clear" w:color="auto" w:fill="F4F7FB"/>
            <w:vAlign w:val="top"/>
          </w:tcPr>
          <w:p>
            <w:pPr>
              <w:pStyle w:val="TableText"/>
              <w:jc w:val="left"/>
            </w:pPr>
            <w:r>
              <w:t xml:space="preserve">Same calls by telesales (VND)</w:t>
            </w:r>
          </w:p>
        </w:tc>
        <w:tc>
          <w:tcPr>
            <w:tcW w:w="1704" w:type="dxa"/>
            <w:shd w:val="clear" w:color="auto" w:fill="F4F7FB"/>
            <w:vAlign w:val="top"/>
          </w:tcPr>
          <w:p>
            <w:pPr>
              <w:pStyle w:val="TableText"/>
              <w:jc w:val="right"/>
            </w:pPr>
            <w:r>
              <w:t xml:space="preserve">6.27 bn</w:t>
            </w:r>
          </w:p>
        </w:tc>
        <w:tc>
          <w:tcPr>
            <w:tcW w:w="1641" w:type="dxa"/>
            <w:shd w:val="clear" w:color="auto" w:fill="F4F7FB"/>
            <w:vAlign w:val="top"/>
          </w:tcPr>
          <w:p>
            <w:pPr>
              <w:pStyle w:val="TableText"/>
              <w:jc w:val="right"/>
            </w:pPr>
            <w:r>
              <w:t xml:space="preserve">13.43 bn</w:t>
            </w:r>
          </w:p>
        </w:tc>
        <w:tc>
          <w:tcPr>
            <w:tcW w:w="1671" w:type="dxa"/>
            <w:shd w:val="clear" w:color="auto" w:fill="F4F7FB"/>
            <w:vAlign w:val="top"/>
          </w:tcPr>
          <w:p>
            <w:pPr>
              <w:pStyle w:val="TableText"/>
              <w:jc w:val="right"/>
            </w:pPr>
            <w:r>
              <w:t xml:space="preserve">23.27 bn</w:t>
            </w:r>
          </w:p>
        </w:tc>
      </w:tr>
      <w:tr>
        <w:trPr>
          <w:cantSplit/>
        </w:trPr>
        <w:tc>
          <w:tcPr>
            <w:tcW w:w="4011" w:type="dxa"/>
            <w:vAlign w:val="top"/>
          </w:tcPr>
          <w:p>
            <w:pPr>
              <w:pStyle w:val="TableText"/>
              <w:jc w:val="left"/>
            </w:pPr>
            <w:r>
              <w:t xml:space="preserve">Telesales cost (VND)</w:t>
            </w:r>
          </w:p>
        </w:tc>
        <w:tc>
          <w:tcPr>
            <w:tcW w:w="1704" w:type="dxa"/>
            <w:vAlign w:val="top"/>
          </w:tcPr>
          <w:p>
            <w:pPr>
              <w:pStyle w:val="TableText"/>
              <w:jc w:val="right"/>
            </w:pPr>
            <w:r>
              <w:t xml:space="preserve">0.68 bn</w:t>
            </w:r>
          </w:p>
        </w:tc>
        <w:tc>
          <w:tcPr>
            <w:tcW w:w="1641" w:type="dxa"/>
            <w:vAlign w:val="top"/>
          </w:tcPr>
          <w:p>
            <w:pPr>
              <w:pStyle w:val="TableText"/>
              <w:jc w:val="right"/>
            </w:pPr>
            <w:r>
              <w:t xml:space="preserve">1.35 bn</w:t>
            </w:r>
          </w:p>
        </w:tc>
        <w:tc>
          <w:tcPr>
            <w:tcW w:w="1671" w:type="dxa"/>
            <w:vAlign w:val="top"/>
          </w:tcPr>
          <w:p>
            <w:pPr>
              <w:pStyle w:val="TableText"/>
              <w:jc w:val="right"/>
            </w:pPr>
            <w:r>
              <w:t xml:space="preserve">2.16 bn</w:t>
            </w:r>
          </w:p>
        </w:tc>
      </w:tr>
      <w:tr>
        <w:trPr>
          <w:cantSplit/>
        </w:trPr>
        <w:tc>
          <w:tcPr>
            <w:tcW w:w="4011" w:type="dxa"/>
            <w:shd w:val="clear" w:color="auto" w:fill="F4F7FB"/>
            <w:vAlign w:val="top"/>
          </w:tcPr>
          <w:p>
            <w:pPr>
              <w:pStyle w:val="TableText"/>
              <w:jc w:val="left"/>
            </w:pPr>
            <w:r>
              <w:t xml:space="preserve">Partner commission (VND)</w:t>
            </w:r>
          </w:p>
        </w:tc>
        <w:tc>
          <w:tcPr>
            <w:tcW w:w="1704" w:type="dxa"/>
            <w:shd w:val="clear" w:color="auto" w:fill="F4F7FB"/>
            <w:vAlign w:val="top"/>
          </w:tcPr>
          <w:p>
            <w:pPr>
              <w:pStyle w:val="TableText"/>
              <w:jc w:val="right"/>
            </w:pPr>
            <w:r>
              <w:t xml:space="preserve">0.14 bn</w:t>
            </w:r>
          </w:p>
        </w:tc>
        <w:tc>
          <w:tcPr>
            <w:tcW w:w="1641" w:type="dxa"/>
            <w:shd w:val="clear" w:color="auto" w:fill="F4F7FB"/>
            <w:vAlign w:val="top"/>
          </w:tcPr>
          <w:p>
            <w:pPr>
              <w:pStyle w:val="TableText"/>
              <w:jc w:val="right"/>
            </w:pPr>
            <w:r>
              <w:t xml:space="preserve">0.43 bn</w:t>
            </w:r>
          </w:p>
        </w:tc>
        <w:tc>
          <w:tcPr>
            <w:tcW w:w="1671" w:type="dxa"/>
            <w:shd w:val="clear" w:color="auto" w:fill="F4F7FB"/>
            <w:vAlign w:val="top"/>
          </w:tcPr>
          <w:p>
            <w:pPr>
              <w:pStyle w:val="TableText"/>
              <w:jc w:val="right"/>
            </w:pPr>
            <w:r>
              <w:t xml:space="preserve">0.85 bn</w:t>
            </w:r>
          </w:p>
        </w:tc>
      </w:tr>
      <w:tr>
        <w:trPr>
          <w:cantSplit/>
        </w:trPr>
        <w:tc>
          <w:tcPr>
            <w:tcW w:w="4011" w:type="dxa"/>
            <w:vAlign w:val="top"/>
          </w:tcPr>
          <w:p>
            <w:pPr>
              <w:pStyle w:val="TableText"/>
              <w:jc w:val="left"/>
            </w:pPr>
            <w:r>
              <w:t xml:space="preserve">Variable acquisition cost (VND)</w:t>
            </w:r>
          </w:p>
        </w:tc>
        <w:tc>
          <w:tcPr>
            <w:tcW w:w="1704" w:type="dxa"/>
            <w:vAlign w:val="top"/>
          </w:tcPr>
          <w:p>
            <w:pPr>
              <w:pStyle w:val="TableText"/>
              <w:jc w:val="right"/>
            </w:pPr>
            <w:r>
              <w:t xml:space="preserve">3.00 bn</w:t>
            </w:r>
          </w:p>
        </w:tc>
        <w:tc>
          <w:tcPr>
            <w:tcW w:w="1641" w:type="dxa"/>
            <w:vAlign w:val="top"/>
          </w:tcPr>
          <w:p>
            <w:pPr>
              <w:pStyle w:val="TableText"/>
              <w:jc w:val="right"/>
            </w:pPr>
            <w:r>
              <w:t xml:space="preserve">5.21 bn</w:t>
            </w:r>
          </w:p>
        </w:tc>
        <w:tc>
          <w:tcPr>
            <w:tcW w:w="1671" w:type="dxa"/>
            <w:vAlign w:val="top"/>
          </w:tcPr>
          <w:p>
            <w:pPr>
              <w:pStyle w:val="TableText"/>
              <w:jc w:val="right"/>
            </w:pPr>
            <w:r>
              <w:t xml:space="preserve">7.93 bn</w:t>
            </w:r>
          </w:p>
        </w:tc>
      </w:tr>
      <w:tr>
        <w:trPr>
          <w:cantSplit/>
        </w:trPr>
        <w:tc>
          <w:tcPr>
            <w:tcW w:w="4011" w:type="dxa"/>
            <w:shd w:val="clear" w:color="auto" w:fill="F4F7FB"/>
            <w:vAlign w:val="top"/>
          </w:tcPr>
          <w:p>
            <w:pPr>
              <w:pStyle w:val="TableText"/>
              <w:jc w:val="left"/>
            </w:pPr>
            <w:r>
              <w:t xml:space="preserve">Per policy (VND)</w:t>
            </w:r>
          </w:p>
        </w:tc>
        <w:tc>
          <w:tcPr>
            <w:tcW w:w="1704" w:type="dxa"/>
            <w:shd w:val="clear" w:color="auto" w:fill="F4F7FB"/>
            <w:vAlign w:val="top"/>
          </w:tcPr>
          <w:p>
            <w:pPr>
              <w:pStyle w:val="TableText"/>
              <w:jc w:val="right"/>
            </w:pPr>
            <w:r>
              <w:t xml:space="preserve">54,955</w:t>
            </w:r>
          </w:p>
        </w:tc>
        <w:tc>
          <w:tcPr>
            <w:tcW w:w="1641" w:type="dxa"/>
            <w:shd w:val="clear" w:color="auto" w:fill="F4F7FB"/>
            <w:vAlign w:val="top"/>
          </w:tcPr>
          <w:p>
            <w:pPr>
              <w:pStyle w:val="TableText"/>
              <w:jc w:val="right"/>
            </w:pPr>
            <w:r>
              <w:t xml:space="preserve">37,276</w:t>
            </w:r>
          </w:p>
        </w:tc>
        <w:tc>
          <w:tcPr>
            <w:tcW w:w="1671" w:type="dxa"/>
            <w:shd w:val="clear" w:color="auto" w:fill="F4F7FB"/>
            <w:vAlign w:val="top"/>
          </w:tcPr>
          <w:p>
            <w:pPr>
              <w:pStyle w:val="TableText"/>
              <w:jc w:val="right"/>
            </w:pPr>
            <w:r>
              <w:t xml:space="preserve">30,261</w:t>
            </w:r>
          </w:p>
        </w:tc>
      </w:tr>
      <w:tr>
        <w:trPr>
          <w:cantSplit/>
        </w:trPr>
        <w:tc>
          <w:tcPr>
            <w:tcW w:w="4011" w:type="dxa"/>
            <w:vAlign w:val="top"/>
          </w:tcPr>
          <w:p>
            <w:pPr>
              <w:pStyle w:val="TableText"/>
              <w:jc w:val="left"/>
            </w:pPr>
            <w:r>
              <w:t xml:space="preserve">As a share of TNDS net premium</w:t>
            </w:r>
          </w:p>
        </w:tc>
        <w:tc>
          <w:tcPr>
            <w:tcW w:w="1704" w:type="dxa"/>
            <w:vAlign w:val="top"/>
          </w:tcPr>
          <w:p>
            <w:pPr>
              <w:pStyle w:val="TableText"/>
              <w:jc w:val="right"/>
            </w:pPr>
            <w:r>
              <w:t xml:space="preserve">9.7%</w:t>
            </w:r>
          </w:p>
        </w:tc>
        <w:tc>
          <w:tcPr>
            <w:tcW w:w="1641" w:type="dxa"/>
            <w:vAlign w:val="top"/>
          </w:tcPr>
          <w:p>
            <w:pPr>
              <w:pStyle w:val="TableText"/>
              <w:jc w:val="right"/>
            </w:pPr>
            <w:r>
              <w:t xml:space="preserve">6.6%</w:t>
            </w:r>
          </w:p>
        </w:tc>
        <w:tc>
          <w:tcPr>
            <w:tcW w:w="1671" w:type="dxa"/>
            <w:vAlign w:val="top"/>
          </w:tcPr>
          <w:p>
            <w:pPr>
              <w:pStyle w:val="TableText"/>
              <w:jc w:val="right"/>
            </w:pPr>
            <w:r>
              <w:t xml:space="preserve">5.3%</w:t>
            </w:r>
          </w:p>
        </w:tc>
      </w:tr>
    </w:tbl>
    <w:p>
      <w:pPr>
        <w:pStyle w:val="Heading2"/>
      </w:pPr>
      <w:bookmarkStart w:id="45" w:name="_Toc300000041"/>
      <w:r>
        <w:t xml:space="preserve">Reading the numbers</w:t>
      </w:r>
      <w:bookmarkEnd w:id="45"/>
    </w:p>
    <w:p>
      <w:pPr>
        <w:pStyle w:val="FirstParagraph"/>
      </w:pPr>
      <w:r>
        <w:t xml:space="preserve">The voice assistant gives the clearest saving. At current unit costs an assistant call costs 8.9% of a telesales call (VND 2,400 against VND 27,000). In the base case that is about VND 12.2 billion a year of qualifying work not done by people.</w:t>
      </w:r>
    </w:p>
    <w:p>
      <w:pPr>
        <w:pStyle w:val="BodyText"/>
      </w:pPr>
      <w:r>
        <w:t xml:space="preserve">Own-channel acquisition cost per policy, 6.6% of premium in the base case, is above the 5% TNDS commission benchmark. Own channels do not win on cost per TNDS policy in the first year. They win on volume that partners do not reach (lapsed vehicles, in-app moments), on data ownership (next year’s renewals need less verification and more free push), on cross-sell premium (physical damage alone adds about 7% to base-case premium) and on retention of the TASCO book, which today renews nothing through own channels. K-10 tracks the path towards parity.</w:t>
      </w:r>
    </w:p>
    <w:p>
      <w:pPr>
        <w:pStyle w:val="BodyText"/>
      </w:pPr>
      <w:r>
        <w:t xml:space="preserve">Some own-channel policies would have been sold by partners anyway, and the pilot control group measures how many. The platform cost (TGP-BUS-07: about USD 0.32 million in year 1 including the scale phase, then about USD 0.17 million a year) must be covered by the technical margin on genuinely new premium. TASCO finance should test its own margin against: break-even margin = (platform cost + acquisition cost) ÷ incremental premium. In base-case year 2, with all premium incremental, this is (VND 4.5 billion + VND 5.2 billion) ÷ VND 86.3 billion, about 11%. At 70% incrementality (A-13) it rises to about 16%. This is why the pilot must prove incrementality before scale.</w:t>
      </w:r>
    </w:p>
    <w:p>
      <w:pPr>
        <w:pStyle w:val="Heading2"/>
      </w:pPr>
      <w:bookmarkStart w:id="46" w:name="_Toc300000042"/>
      <w:r>
        <w:t xml:space="preserve">Sensitivity</w:t>
      </w:r>
      <w:bookmarkEnd w:id="4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869"/>
        <w:gridCol w:w="4158"/>
      </w:tblGrid>
      <w:tr>
        <w:trPr>
          <w:cantSplit/>
          <w:tblHeader/>
        </w:trPr>
        <w:tc>
          <w:tcPr>
            <w:tcW w:w="4869" w:type="dxa"/>
            <w:shd w:val="clear" w:color="auto" w:fill="0F4761"/>
            <w:vAlign w:val="center"/>
          </w:tcPr>
          <w:p>
            <w:pPr>
              <w:pStyle w:val="TableHeading"/>
              <w:jc w:val="left"/>
            </w:pPr>
            <w:r>
              <w:rPr>
                <w:color w:val="FFFFFF"/>
              </w:rPr>
              <w:t xml:space="preserve">Driver changed</w:t>
            </w:r>
          </w:p>
        </w:tc>
        <w:tc>
          <w:tcPr>
            <w:tcW w:w="4158" w:type="dxa"/>
            <w:shd w:val="clear" w:color="auto" w:fill="0F4761"/>
            <w:vAlign w:val="center"/>
          </w:tcPr>
          <w:p>
            <w:pPr>
              <w:pStyle w:val="TableHeading"/>
              <w:jc w:val="left"/>
            </w:pPr>
            <w:r>
              <w:rPr>
                <w:color w:val="FFFFFF"/>
              </w:rPr>
              <w:t xml:space="preserve">Effect on TNDS net premium, base case</w:t>
            </w:r>
          </w:p>
        </w:tc>
      </w:tr>
      <w:tr>
        <w:trPr>
          <w:cantSplit/>
        </w:trPr>
        <w:tc>
          <w:tcPr>
            <w:tcW w:w="4869" w:type="dxa"/>
            <w:vAlign w:val="top"/>
          </w:tcPr>
          <w:p>
            <w:pPr>
              <w:pStyle w:val="TableText"/>
              <w:jc w:val="left"/>
            </w:pPr>
            <w:r>
              <w:t xml:space="preserve">Usable-expiry rate ± 10 points</w:t>
            </w:r>
          </w:p>
        </w:tc>
        <w:tc>
          <w:tcPr>
            <w:tcW w:w="4158" w:type="dxa"/>
            <w:vAlign w:val="top"/>
          </w:tcPr>
          <w:p>
            <w:pPr>
              <w:pStyle w:val="TableText"/>
              <w:jc w:val="left"/>
            </w:pPr>
            <w:r>
              <w:t xml:space="preserve">± VND 13.0 billion</w:t>
            </w:r>
          </w:p>
        </w:tc>
      </w:tr>
      <w:tr>
        <w:trPr>
          <w:cantSplit/>
        </w:trPr>
        <w:tc>
          <w:tcPr>
            <w:tcW w:w="4869" w:type="dxa"/>
            <w:shd w:val="clear" w:color="auto" w:fill="F4F7FB"/>
            <w:vAlign w:val="top"/>
          </w:tcPr>
          <w:p>
            <w:pPr>
              <w:pStyle w:val="TableText"/>
              <w:jc w:val="left"/>
            </w:pPr>
            <w:r>
              <w:t xml:space="preserve">Renewal conversion ± 5 points</w:t>
            </w:r>
          </w:p>
        </w:tc>
        <w:tc>
          <w:tcPr>
            <w:tcW w:w="4158" w:type="dxa"/>
            <w:shd w:val="clear" w:color="auto" w:fill="F4F7FB"/>
            <w:vAlign w:val="top"/>
          </w:tcPr>
          <w:p>
            <w:pPr>
              <w:pStyle w:val="TableText"/>
              <w:jc w:val="left"/>
            </w:pPr>
            <w:r>
              <w:t xml:space="preserve">± VND 7.2 billion</w:t>
            </w:r>
          </w:p>
        </w:tc>
      </w:tr>
      <w:tr>
        <w:trPr>
          <w:cantSplit/>
        </w:trPr>
        <w:tc>
          <w:tcPr>
            <w:tcW w:w="4869" w:type="dxa"/>
            <w:vAlign w:val="top"/>
          </w:tcPr>
          <w:p>
            <w:pPr>
              <w:pStyle w:val="TableText"/>
              <w:jc w:val="left"/>
            </w:pPr>
            <w:r>
              <w:t xml:space="preserve">Conquest conversion ± 1 point</w:t>
            </w:r>
          </w:p>
        </w:tc>
        <w:tc>
          <w:tcPr>
            <w:tcW w:w="4158" w:type="dxa"/>
            <w:vAlign w:val="top"/>
          </w:tcPr>
          <w:p>
            <w:pPr>
              <w:pStyle w:val="TableText"/>
              <w:jc w:val="left"/>
            </w:pPr>
            <w:r>
              <w:t xml:space="preserve">± VND 12.3 billion</w:t>
            </w:r>
          </w:p>
        </w:tc>
      </w:tr>
      <w:tr>
        <w:trPr>
          <w:cantSplit/>
        </w:trPr>
        <w:tc>
          <w:tcPr>
            <w:tcW w:w="4869" w:type="dxa"/>
            <w:shd w:val="clear" w:color="auto" w:fill="F4F7FB"/>
            <w:vAlign w:val="top"/>
          </w:tcPr>
          <w:p>
            <w:pPr>
              <w:pStyle w:val="TableText"/>
              <w:jc w:val="left"/>
            </w:pPr>
            <w:r>
              <w:t xml:space="preserve">Partner-API policies ± 10,000</w:t>
            </w:r>
          </w:p>
        </w:tc>
        <w:tc>
          <w:tcPr>
            <w:tcW w:w="4158" w:type="dxa"/>
            <w:shd w:val="clear" w:color="auto" w:fill="F4F7FB"/>
            <w:vAlign w:val="top"/>
          </w:tcPr>
          <w:p>
            <w:pPr>
              <w:pStyle w:val="TableText"/>
              <w:jc w:val="left"/>
            </w:pPr>
            <w:r>
              <w:t xml:space="preserve">± VND 5.7 billion</w:t>
            </w:r>
          </w:p>
        </w:tc>
      </w:tr>
    </w:tbl>
    <w:p>
      <w:pPr>
        <w:pStyle w:val="BodyText"/>
        <w:spacing w:before="160"/>
      </w:pPr>
      <w:r>
        <w:t xml:space="preserve">The usable-expiry rate and conquest conversion dominate the result. That is why the strategy puts data repair ahead of selling.</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7" w:name="_Toc300000043"/>
      <w:r>
        <w:rPr>
          <w:rStyle w:val="BookTitle"/>
          <w:bCs w:val="0"/>
          <w:i w:val="0"/>
          <w:iCs w:val="0"/>
          <w:spacing w:val="0"/>
        </w:rPr>
        <w:t xml:space="preserve">Assumptions register</w:t>
      </w:r>
      <w:bookmarkEnd w:id="4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4"/>
        <w:gridCol w:w="4023"/>
        <w:gridCol w:w="2002"/>
        <w:gridCol w:w="2288"/>
      </w:tblGrid>
      <w:tr>
        <w:trPr>
          <w:cantSplit/>
          <w:tblHeader/>
        </w:trPr>
        <w:tc>
          <w:tcPr>
            <w:tcW w:w="714" w:type="dxa"/>
            <w:shd w:val="clear" w:color="auto" w:fill="0F4761"/>
            <w:vAlign w:val="center"/>
          </w:tcPr>
          <w:p>
            <w:pPr>
              <w:pStyle w:val="TableHeading"/>
              <w:jc w:val="left"/>
            </w:pPr>
            <w:r>
              <w:rPr>
                <w:color w:val="FFFFFF"/>
              </w:rPr>
              <w:t xml:space="preserve">Ref</w:t>
            </w:r>
          </w:p>
        </w:tc>
        <w:tc>
          <w:tcPr>
            <w:tcW w:w="4023" w:type="dxa"/>
            <w:shd w:val="clear" w:color="auto" w:fill="0F4761"/>
            <w:vAlign w:val="center"/>
          </w:tcPr>
          <w:p>
            <w:pPr>
              <w:pStyle w:val="TableHeading"/>
              <w:jc w:val="left"/>
            </w:pPr>
            <w:r>
              <w:rPr>
                <w:color w:val="FFFFFF"/>
              </w:rPr>
              <w:t xml:space="preserve">Assumption</w:t>
            </w:r>
          </w:p>
        </w:tc>
        <w:tc>
          <w:tcPr>
            <w:tcW w:w="2002" w:type="dxa"/>
            <w:shd w:val="clear" w:color="auto" w:fill="0F4761"/>
            <w:vAlign w:val="center"/>
          </w:tcPr>
          <w:p>
            <w:pPr>
              <w:pStyle w:val="TableHeading"/>
              <w:jc w:val="left"/>
            </w:pPr>
            <w:r>
              <w:rPr>
                <w:color w:val="FFFFFF"/>
              </w:rPr>
              <w:t xml:space="preserve">Value used</w:t>
            </w:r>
          </w:p>
        </w:tc>
        <w:tc>
          <w:tcPr>
            <w:tcW w:w="2288" w:type="dxa"/>
            <w:shd w:val="clear" w:color="auto" w:fill="0F4761"/>
            <w:vAlign w:val="center"/>
          </w:tcPr>
          <w:p>
            <w:pPr>
              <w:pStyle w:val="TableHeading"/>
              <w:jc w:val="left"/>
            </w:pPr>
            <w:r>
              <w:rPr>
                <w:color w:val="FFFFFF"/>
              </w:rPr>
              <w:t xml:space="preserve">Validated by</w:t>
            </w:r>
          </w:p>
        </w:tc>
      </w:tr>
      <w:tr>
        <w:trPr>
          <w:cantSplit/>
        </w:trPr>
        <w:tc>
          <w:tcPr>
            <w:tcW w:w="714" w:type="dxa"/>
            <w:noWrap/>
            <w:vAlign w:val="top"/>
          </w:tcPr>
          <w:p>
            <w:pPr>
              <w:pStyle w:val="TableText"/>
              <w:jc w:val="left"/>
            </w:pPr>
            <w:r>
              <w:t xml:space="preserve">A-01</w:t>
            </w:r>
          </w:p>
        </w:tc>
        <w:tc>
          <w:tcPr>
            <w:tcW w:w="4023" w:type="dxa"/>
            <w:vAlign w:val="top"/>
          </w:tcPr>
          <w:p>
            <w:pPr>
              <w:pStyle w:val="TableText"/>
              <w:jc w:val="left"/>
            </w:pPr>
            <w:r>
              <w:t xml:space="preserve">Exchange rate</w:t>
            </w:r>
          </w:p>
        </w:tc>
        <w:tc>
          <w:tcPr>
            <w:tcW w:w="2002" w:type="dxa"/>
            <w:vAlign w:val="top"/>
          </w:tcPr>
          <w:p>
            <w:pPr>
              <w:pStyle w:val="TableText"/>
              <w:jc w:val="left"/>
            </w:pPr>
            <w:r>
              <w:t xml:space="preserve">USD 1 = VND 26,000</w:t>
            </w:r>
          </w:p>
        </w:tc>
        <w:tc>
          <w:tcPr>
            <w:tcW w:w="2288" w:type="dxa"/>
            <w:vAlign w:val="top"/>
          </w:tcPr>
          <w:p>
            <w:pPr>
              <w:pStyle w:val="TableText"/>
              <w:jc w:val="left"/>
            </w:pPr>
            <w:r>
              <w:t xml:space="preserve">TASCO Finance</w:t>
            </w:r>
          </w:p>
        </w:tc>
      </w:tr>
      <w:tr>
        <w:trPr>
          <w:cantSplit/>
        </w:trPr>
        <w:tc>
          <w:tcPr>
            <w:tcW w:w="714" w:type="dxa"/>
            <w:shd w:val="clear" w:color="auto" w:fill="F4F7FB"/>
            <w:noWrap/>
            <w:vAlign w:val="top"/>
          </w:tcPr>
          <w:p>
            <w:pPr>
              <w:pStyle w:val="TableText"/>
              <w:jc w:val="left"/>
            </w:pPr>
            <w:r>
              <w:t xml:space="preserve">A-02</w:t>
            </w:r>
          </w:p>
        </w:tc>
        <w:tc>
          <w:tcPr>
            <w:tcW w:w="4023" w:type="dxa"/>
            <w:shd w:val="clear" w:color="auto" w:fill="F4F7FB"/>
            <w:vAlign w:val="top"/>
          </w:tcPr>
          <w:p>
            <w:pPr>
              <w:pStyle w:val="TableText"/>
              <w:jc w:val="left"/>
            </w:pPr>
            <w:r>
              <w:t xml:space="preserve">Share of the base with a TNDS expiry in the year (the rest hold multi-year cover or are unknown)</w:t>
            </w:r>
          </w:p>
        </w:tc>
        <w:tc>
          <w:tcPr>
            <w:tcW w:w="2002" w:type="dxa"/>
            <w:shd w:val="clear" w:color="auto" w:fill="F4F7FB"/>
            <w:vAlign w:val="top"/>
          </w:tcPr>
          <w:p>
            <w:pPr>
              <w:pStyle w:val="TableText"/>
              <w:jc w:val="left"/>
            </w:pPr>
            <w:r>
              <w:t xml:space="preserve">85%</w:t>
            </w:r>
          </w:p>
        </w:tc>
        <w:tc>
          <w:tcPr>
            <w:tcW w:w="2288" w:type="dxa"/>
            <w:shd w:val="clear" w:color="auto" w:fill="F4F7FB"/>
            <w:vAlign w:val="top"/>
          </w:tcPr>
          <w:p>
            <w:pPr>
              <w:pStyle w:val="TableText"/>
              <w:jc w:val="left"/>
            </w:pPr>
            <w:r>
              <w:t xml:space="preserve">Discovery data review</w:t>
            </w:r>
          </w:p>
        </w:tc>
      </w:tr>
      <w:tr>
        <w:trPr>
          <w:cantSplit/>
        </w:trPr>
        <w:tc>
          <w:tcPr>
            <w:tcW w:w="714" w:type="dxa"/>
            <w:noWrap/>
            <w:vAlign w:val="top"/>
          </w:tcPr>
          <w:p>
            <w:pPr>
              <w:pStyle w:val="TableText"/>
              <w:jc w:val="left"/>
            </w:pPr>
            <w:r>
              <w:t xml:space="preserve">A-03</w:t>
            </w:r>
          </w:p>
        </w:tc>
        <w:tc>
          <w:tcPr>
            <w:tcW w:w="4023" w:type="dxa"/>
            <w:vAlign w:val="top"/>
          </w:tcPr>
          <w:p>
            <w:pPr>
              <w:pStyle w:val="TableText"/>
              <w:jc w:val="left"/>
            </w:pPr>
            <w:r>
              <w:t xml:space="preserve">Usable-expiry rate achievable after data repair</w:t>
            </w:r>
          </w:p>
        </w:tc>
        <w:tc>
          <w:tcPr>
            <w:tcW w:w="2002" w:type="dxa"/>
            <w:vAlign w:val="top"/>
          </w:tcPr>
          <w:p>
            <w:pPr>
              <w:pStyle w:val="TableText"/>
              <w:jc w:val="left"/>
            </w:pPr>
            <w:r>
              <w:t xml:space="preserve">35% / 50% / 65%</w:t>
            </w:r>
          </w:p>
        </w:tc>
        <w:tc>
          <w:tcPr>
            <w:tcW w:w="2288" w:type="dxa"/>
            <w:vAlign w:val="top"/>
          </w:tcPr>
          <w:p>
            <w:pPr>
              <w:pStyle w:val="TableText"/>
              <w:jc w:val="left"/>
            </w:pPr>
            <w:r>
              <w:t xml:space="preserve">Pilot</w:t>
            </w:r>
          </w:p>
        </w:tc>
      </w:tr>
      <w:tr>
        <w:trPr>
          <w:cantSplit/>
        </w:trPr>
        <w:tc>
          <w:tcPr>
            <w:tcW w:w="714" w:type="dxa"/>
            <w:shd w:val="clear" w:color="auto" w:fill="F4F7FB"/>
            <w:noWrap/>
            <w:vAlign w:val="top"/>
          </w:tcPr>
          <w:p>
            <w:pPr>
              <w:pStyle w:val="TableText"/>
              <w:jc w:val="left"/>
            </w:pPr>
            <w:r>
              <w:t xml:space="preserve">A-04</w:t>
            </w:r>
          </w:p>
        </w:tc>
        <w:tc>
          <w:tcPr>
            <w:tcW w:w="4023" w:type="dxa"/>
            <w:shd w:val="clear" w:color="auto" w:fill="F4F7FB"/>
            <w:vAlign w:val="top"/>
          </w:tcPr>
          <w:p>
            <w:pPr>
              <w:pStyle w:val="TableText"/>
              <w:jc w:val="left"/>
            </w:pPr>
            <w:r>
              <w:t xml:space="preserve">Split of actionable base: TASCO book / elsewhere or unknown / lapsed</w:t>
            </w:r>
          </w:p>
        </w:tc>
        <w:tc>
          <w:tcPr>
            <w:tcW w:w="2002" w:type="dxa"/>
            <w:shd w:val="clear" w:color="auto" w:fill="F4F7FB"/>
            <w:vAlign w:val="top"/>
          </w:tcPr>
          <w:p>
            <w:pPr>
              <w:pStyle w:val="TableText"/>
              <w:jc w:val="left"/>
            </w:pPr>
            <w:r>
              <w:t xml:space="preserve">10% / 85% / 5%</w:t>
            </w:r>
          </w:p>
        </w:tc>
        <w:tc>
          <w:tcPr>
            <w:tcW w:w="2288" w:type="dxa"/>
            <w:shd w:val="clear" w:color="auto" w:fill="F4F7FB"/>
            <w:vAlign w:val="top"/>
          </w:tcPr>
          <w:p>
            <w:pPr>
              <w:pStyle w:val="TableText"/>
              <w:jc w:val="left"/>
            </w:pPr>
            <w:r>
              <w:t xml:space="preserve">Discovery data review</w:t>
            </w:r>
          </w:p>
        </w:tc>
      </w:tr>
      <w:tr>
        <w:trPr>
          <w:cantSplit/>
        </w:trPr>
        <w:tc>
          <w:tcPr>
            <w:tcW w:w="714" w:type="dxa"/>
            <w:noWrap/>
            <w:vAlign w:val="top"/>
          </w:tcPr>
          <w:p>
            <w:pPr>
              <w:pStyle w:val="TableText"/>
              <w:jc w:val="left"/>
            </w:pPr>
            <w:r>
              <w:t xml:space="preserve">A-05</w:t>
            </w:r>
          </w:p>
        </w:tc>
        <w:tc>
          <w:tcPr>
            <w:tcW w:w="4023" w:type="dxa"/>
            <w:vAlign w:val="top"/>
          </w:tcPr>
          <w:p>
            <w:pPr>
              <w:pStyle w:val="TableText"/>
              <w:jc w:val="left"/>
            </w:pPr>
            <w:r>
              <w:t xml:space="preserve">New car tag activations per year</w:t>
            </w:r>
          </w:p>
        </w:tc>
        <w:tc>
          <w:tcPr>
            <w:tcW w:w="2002" w:type="dxa"/>
            <w:vAlign w:val="top"/>
          </w:tcPr>
          <w:p>
            <w:pPr>
              <w:pStyle w:val="TableText"/>
              <w:jc w:val="left"/>
            </w:pPr>
            <w:r>
              <w:t xml:space="preserve">250,000</w:t>
            </w:r>
          </w:p>
        </w:tc>
        <w:tc>
          <w:tcPr>
            <w:tcW w:w="2288" w:type="dxa"/>
            <w:vAlign w:val="top"/>
          </w:tcPr>
          <w:p>
            <w:pPr>
              <w:pStyle w:val="TableText"/>
              <w:jc w:val="left"/>
            </w:pPr>
            <w:r>
              <w:t xml:space="preserve">VETC</w:t>
            </w:r>
          </w:p>
        </w:tc>
      </w:tr>
      <w:tr>
        <w:trPr>
          <w:cantSplit/>
        </w:trPr>
        <w:tc>
          <w:tcPr>
            <w:tcW w:w="714" w:type="dxa"/>
            <w:shd w:val="clear" w:color="auto" w:fill="F4F7FB"/>
            <w:noWrap/>
            <w:vAlign w:val="top"/>
          </w:tcPr>
          <w:p>
            <w:pPr>
              <w:pStyle w:val="TableText"/>
              <w:jc w:val="left"/>
            </w:pPr>
            <w:r>
              <w:t xml:space="preserve">A-06</w:t>
            </w:r>
          </w:p>
        </w:tc>
        <w:tc>
          <w:tcPr>
            <w:tcW w:w="4023" w:type="dxa"/>
            <w:shd w:val="clear" w:color="auto" w:fill="F4F7FB"/>
            <w:vAlign w:val="top"/>
          </w:tcPr>
          <w:p>
            <w:pPr>
              <w:pStyle w:val="TableText"/>
              <w:jc w:val="left"/>
            </w:pPr>
            <w:r>
              <w:t xml:space="preserve">Segment conversion rates</w:t>
            </w:r>
          </w:p>
        </w:tc>
        <w:tc>
          <w:tcPr>
            <w:tcW w:w="2002" w:type="dxa"/>
            <w:shd w:val="clear" w:color="auto" w:fill="F4F7FB"/>
            <w:vAlign w:val="top"/>
          </w:tcPr>
          <w:p>
            <w:pPr>
              <w:pStyle w:val="TableText"/>
              <w:jc w:val="left"/>
            </w:pPr>
            <w:r>
              <w:t xml:space="preserve">See scenario inputs</w:t>
            </w:r>
          </w:p>
        </w:tc>
        <w:tc>
          <w:tcPr>
            <w:tcW w:w="2288" w:type="dxa"/>
            <w:shd w:val="clear" w:color="auto" w:fill="F4F7FB"/>
            <w:vAlign w:val="top"/>
          </w:tcPr>
          <w:p>
            <w:pPr>
              <w:pStyle w:val="TableText"/>
              <w:jc w:val="left"/>
            </w:pPr>
            <w:r>
              <w:t xml:space="preserve">Pilot control group</w:t>
            </w:r>
          </w:p>
        </w:tc>
      </w:tr>
      <w:tr>
        <w:trPr>
          <w:cantSplit/>
        </w:trPr>
        <w:tc>
          <w:tcPr>
            <w:tcW w:w="714" w:type="dxa"/>
            <w:noWrap/>
            <w:vAlign w:val="top"/>
          </w:tcPr>
          <w:p>
            <w:pPr>
              <w:pStyle w:val="TableText"/>
              <w:jc w:val="left"/>
            </w:pPr>
            <w:r>
              <w:t xml:space="preserve">A-07</w:t>
            </w:r>
          </w:p>
        </w:tc>
        <w:tc>
          <w:tcPr>
            <w:tcW w:w="4023" w:type="dxa"/>
            <w:vAlign w:val="top"/>
          </w:tcPr>
          <w:p>
            <w:pPr>
              <w:pStyle w:val="TableText"/>
              <w:jc w:val="left"/>
            </w:pPr>
            <w:r>
              <w:t xml:space="preserve">Partner-API policies in year 1</w:t>
            </w:r>
          </w:p>
        </w:tc>
        <w:tc>
          <w:tcPr>
            <w:tcW w:w="2002" w:type="dxa"/>
            <w:vAlign w:val="top"/>
          </w:tcPr>
          <w:p>
            <w:pPr>
              <w:pStyle w:val="TableText"/>
              <w:jc w:val="left"/>
            </w:pPr>
            <w:r>
              <w:t xml:space="preserve">5,000 / 15,000 / 30,000</w:t>
            </w:r>
          </w:p>
        </w:tc>
        <w:tc>
          <w:tcPr>
            <w:tcW w:w="2288" w:type="dxa"/>
            <w:vAlign w:val="top"/>
          </w:tcPr>
          <w:p>
            <w:pPr>
              <w:pStyle w:val="TableText"/>
              <w:jc w:val="left"/>
            </w:pPr>
            <w:r>
              <w:t xml:space="preserve">Partner managers</w:t>
            </w:r>
          </w:p>
        </w:tc>
      </w:tr>
      <w:tr>
        <w:trPr>
          <w:cantSplit/>
        </w:trPr>
        <w:tc>
          <w:tcPr>
            <w:tcW w:w="714" w:type="dxa"/>
            <w:shd w:val="clear" w:color="auto" w:fill="F4F7FB"/>
            <w:noWrap/>
            <w:vAlign w:val="top"/>
          </w:tcPr>
          <w:p>
            <w:pPr>
              <w:pStyle w:val="TableText"/>
              <w:jc w:val="left"/>
            </w:pPr>
            <w:r>
              <w:t xml:space="preserve">A-08</w:t>
            </w:r>
          </w:p>
        </w:tc>
        <w:tc>
          <w:tcPr>
            <w:tcW w:w="4023" w:type="dxa"/>
            <w:shd w:val="clear" w:color="auto" w:fill="F4F7FB"/>
            <w:vAlign w:val="top"/>
          </w:tcPr>
          <w:p>
            <w:pPr>
              <w:pStyle w:val="TableText"/>
              <w:jc w:val="left"/>
            </w:pPr>
            <w:r>
              <w:t xml:space="preserve">TNDS category mix</w:t>
            </w:r>
          </w:p>
        </w:tc>
        <w:tc>
          <w:tcPr>
            <w:tcW w:w="2002" w:type="dxa"/>
            <w:shd w:val="clear" w:color="auto" w:fill="F4F7FB"/>
            <w:vAlign w:val="top"/>
          </w:tcPr>
          <w:p>
            <w:pPr>
              <w:pStyle w:val="TableText"/>
              <w:jc w:val="left"/>
            </w:pPr>
            <w:r>
              <w:t xml:space="preserve">70% / 25% / 5%</w:t>
            </w:r>
          </w:p>
        </w:tc>
        <w:tc>
          <w:tcPr>
            <w:tcW w:w="2288" w:type="dxa"/>
            <w:shd w:val="clear" w:color="auto" w:fill="F4F7FB"/>
            <w:vAlign w:val="top"/>
          </w:tcPr>
          <w:p>
            <w:pPr>
              <w:pStyle w:val="TableText"/>
              <w:jc w:val="left"/>
            </w:pPr>
            <w:r>
              <w:t xml:space="preserve">Discovery data review</w:t>
            </w:r>
          </w:p>
        </w:tc>
      </w:tr>
      <w:tr>
        <w:trPr>
          <w:cantSplit/>
        </w:trPr>
        <w:tc>
          <w:tcPr>
            <w:tcW w:w="714" w:type="dxa"/>
            <w:noWrap/>
            <w:vAlign w:val="top"/>
          </w:tcPr>
          <w:p>
            <w:pPr>
              <w:pStyle w:val="TableText"/>
              <w:jc w:val="left"/>
            </w:pPr>
            <w:r>
              <w:t xml:space="preserve">A-09</w:t>
            </w:r>
          </w:p>
        </w:tc>
        <w:tc>
          <w:tcPr>
            <w:tcW w:w="4023" w:type="dxa"/>
            <w:vAlign w:val="top"/>
          </w:tcPr>
          <w:p>
            <w:pPr>
              <w:pStyle w:val="TableText"/>
              <w:jc w:val="left"/>
            </w:pPr>
            <w:r>
              <w:t xml:space="preserve">Cross-sell attach rates and average physical damage sum insured (VND 700 million)</w:t>
            </w:r>
          </w:p>
        </w:tc>
        <w:tc>
          <w:tcPr>
            <w:tcW w:w="2002" w:type="dxa"/>
            <w:vAlign w:val="top"/>
          </w:tcPr>
          <w:p>
            <w:pPr>
              <w:pStyle w:val="TableText"/>
              <w:jc w:val="left"/>
            </w:pPr>
            <w:r>
              <w:t xml:space="preserve">See scenario inputs</w:t>
            </w:r>
          </w:p>
        </w:tc>
        <w:tc>
          <w:tcPr>
            <w:tcW w:w="2288" w:type="dxa"/>
            <w:vAlign w:val="top"/>
          </w:tcPr>
          <w:p>
            <w:pPr>
              <w:pStyle w:val="TableText"/>
              <w:jc w:val="left"/>
            </w:pPr>
            <w:r>
              <w:t xml:space="preserve">TASCO Product and Actuarial</w:t>
            </w:r>
          </w:p>
        </w:tc>
      </w:tr>
      <w:tr>
        <w:trPr>
          <w:cantSplit/>
        </w:trPr>
        <w:tc>
          <w:tcPr>
            <w:tcW w:w="714" w:type="dxa"/>
            <w:shd w:val="clear" w:color="auto" w:fill="F4F7FB"/>
            <w:noWrap/>
            <w:vAlign w:val="top"/>
          </w:tcPr>
          <w:p>
            <w:pPr>
              <w:pStyle w:val="TableText"/>
              <w:jc w:val="left"/>
            </w:pPr>
            <w:r>
              <w:t xml:space="preserve">A-10</w:t>
            </w:r>
          </w:p>
        </w:tc>
        <w:tc>
          <w:tcPr>
            <w:tcW w:w="4023" w:type="dxa"/>
            <w:shd w:val="clear" w:color="auto" w:fill="F4F7FB"/>
            <w:vAlign w:val="top"/>
          </w:tcPr>
          <w:p>
            <w:pPr>
              <w:pStyle w:val="TableText"/>
              <w:jc w:val="left"/>
            </w:pPr>
            <w:r>
              <w:t xml:space="preserve">Sends per profile per year; channel mix 60% push, 30% Zalo, 10% SMS</w:t>
            </w:r>
          </w:p>
        </w:tc>
        <w:tc>
          <w:tcPr>
            <w:tcW w:w="2002" w:type="dxa"/>
            <w:shd w:val="clear" w:color="auto" w:fill="F4F7FB"/>
            <w:vAlign w:val="top"/>
          </w:tcPr>
          <w:p>
            <w:pPr>
              <w:pStyle w:val="TableText"/>
              <w:jc w:val="left"/>
            </w:pPr>
            <w:r>
              <w:t xml:space="preserve">5</w:t>
            </w:r>
          </w:p>
        </w:tc>
        <w:tc>
          <w:tcPr>
            <w:tcW w:w="2288" w:type="dxa"/>
            <w:shd w:val="clear" w:color="auto" w:fill="F4F7FB"/>
            <w:vAlign w:val="top"/>
          </w:tcPr>
          <w:p>
            <w:pPr>
              <w:pStyle w:val="TableText"/>
              <w:jc w:val="left"/>
            </w:pPr>
            <w:r>
              <w:t xml:space="preserve">Campaign manager</w:t>
            </w:r>
          </w:p>
        </w:tc>
      </w:tr>
      <w:tr>
        <w:trPr>
          <w:cantSplit/>
        </w:trPr>
        <w:tc>
          <w:tcPr>
            <w:tcW w:w="714" w:type="dxa"/>
            <w:noWrap/>
            <w:vAlign w:val="top"/>
          </w:tcPr>
          <w:p>
            <w:pPr>
              <w:pStyle w:val="TableText"/>
              <w:jc w:val="left"/>
            </w:pPr>
            <w:r>
              <w:t xml:space="preserve">A-11</w:t>
            </w:r>
          </w:p>
        </w:tc>
        <w:tc>
          <w:tcPr>
            <w:tcW w:w="4023" w:type="dxa"/>
            <w:vAlign w:val="top"/>
          </w:tcPr>
          <w:p>
            <w:pPr>
              <w:pStyle w:val="TableText"/>
              <w:jc w:val="left"/>
            </w:pPr>
            <w:r>
              <w:t xml:space="preserve">Share of actionable vehicles called by the assistant; 1.3 attempts per call</w:t>
            </w:r>
          </w:p>
        </w:tc>
        <w:tc>
          <w:tcPr>
            <w:tcW w:w="2002" w:type="dxa"/>
            <w:vAlign w:val="top"/>
          </w:tcPr>
          <w:p>
            <w:pPr>
              <w:pStyle w:val="TableText"/>
              <w:jc w:val="left"/>
            </w:pPr>
            <w:r>
              <w:t xml:space="preserve">10% to 20%</w:t>
            </w:r>
          </w:p>
        </w:tc>
        <w:tc>
          <w:tcPr>
            <w:tcW w:w="2288" w:type="dxa"/>
            <w:vAlign w:val="top"/>
          </w:tcPr>
          <w:p>
            <w:pPr>
              <w:pStyle w:val="TableText"/>
              <w:jc w:val="left"/>
            </w:pPr>
            <w:r>
              <w:t xml:space="preserve">Campaign manager</w:t>
            </w:r>
          </w:p>
        </w:tc>
      </w:tr>
      <w:tr>
        <w:trPr>
          <w:cantSplit/>
        </w:trPr>
        <w:tc>
          <w:tcPr>
            <w:tcW w:w="714" w:type="dxa"/>
            <w:shd w:val="clear" w:color="auto" w:fill="F4F7FB"/>
            <w:noWrap/>
            <w:vAlign w:val="top"/>
          </w:tcPr>
          <w:p>
            <w:pPr>
              <w:pStyle w:val="TableText"/>
              <w:jc w:val="left"/>
            </w:pPr>
            <w:r>
              <w:t xml:space="preserve">A-12</w:t>
            </w:r>
          </w:p>
        </w:tc>
        <w:tc>
          <w:tcPr>
            <w:tcW w:w="4023" w:type="dxa"/>
            <w:shd w:val="clear" w:color="auto" w:fill="F4F7FB"/>
            <w:vAlign w:val="top"/>
          </w:tcPr>
          <w:p>
            <w:pPr>
              <w:pStyle w:val="TableText"/>
              <w:jc w:val="left"/>
            </w:pPr>
            <w:r>
              <w:t xml:space="preserve">Telesales calls per year</w:t>
            </w:r>
          </w:p>
        </w:tc>
        <w:tc>
          <w:tcPr>
            <w:tcW w:w="2002" w:type="dxa"/>
            <w:shd w:val="clear" w:color="auto" w:fill="F4F7FB"/>
            <w:vAlign w:val="top"/>
          </w:tcPr>
          <w:p>
            <w:pPr>
              <w:pStyle w:val="TableText"/>
              <w:jc w:val="left"/>
            </w:pPr>
            <w:r>
              <w:t xml:space="preserve">25,000 / 50,000 / 80,000</w:t>
            </w:r>
          </w:p>
        </w:tc>
        <w:tc>
          <w:tcPr>
            <w:tcW w:w="2288" w:type="dxa"/>
            <w:shd w:val="clear" w:color="auto" w:fill="F4F7FB"/>
            <w:vAlign w:val="top"/>
          </w:tcPr>
          <w:p>
            <w:pPr>
              <w:pStyle w:val="TableText"/>
              <w:jc w:val="left"/>
            </w:pPr>
            <w:r>
              <w:t xml:space="preserve">Telesales lead</w:t>
            </w:r>
          </w:p>
        </w:tc>
      </w:tr>
      <w:tr>
        <w:trPr>
          <w:cantSplit/>
        </w:trPr>
        <w:tc>
          <w:tcPr>
            <w:tcW w:w="714" w:type="dxa"/>
            <w:noWrap/>
            <w:vAlign w:val="top"/>
          </w:tcPr>
          <w:p>
            <w:pPr>
              <w:pStyle w:val="TableText"/>
              <w:jc w:val="left"/>
            </w:pPr>
            <w:r>
              <w:t xml:space="preserve">A-13</w:t>
            </w:r>
          </w:p>
        </w:tc>
        <w:tc>
          <w:tcPr>
            <w:tcW w:w="4023" w:type="dxa"/>
            <w:vAlign w:val="top"/>
          </w:tcPr>
          <w:p>
            <w:pPr>
              <w:pStyle w:val="TableText"/>
              <w:jc w:val="left"/>
            </w:pPr>
            <w:r>
              <w:t xml:space="preserve">Incrementality against the partner channel</w:t>
            </w:r>
          </w:p>
        </w:tc>
        <w:tc>
          <w:tcPr>
            <w:tcW w:w="2002" w:type="dxa"/>
            <w:vAlign w:val="top"/>
          </w:tcPr>
          <w:p>
            <w:pPr>
              <w:pStyle w:val="TableText"/>
              <w:jc w:val="left"/>
            </w:pPr>
            <w:r>
              <w:t xml:space="preserve">70% (sensitivity)</w:t>
            </w:r>
          </w:p>
        </w:tc>
        <w:tc>
          <w:tcPr>
            <w:tcW w:w="2288" w:type="dxa"/>
            <w:vAlign w:val="top"/>
          </w:tcPr>
          <w:p>
            <w:pPr>
              <w:pStyle w:val="TableText"/>
              <w:jc w:val="left"/>
            </w:pPr>
            <w:r>
              <w:t xml:space="preserve">Pilot control group</w:t>
            </w:r>
          </w:p>
        </w:tc>
      </w:tr>
      <w:tr>
        <w:trPr>
          <w:cantSplit/>
        </w:trPr>
        <w:tc>
          <w:tcPr>
            <w:tcW w:w="714" w:type="dxa"/>
            <w:shd w:val="clear" w:color="auto" w:fill="F4F7FB"/>
            <w:noWrap/>
            <w:vAlign w:val="top"/>
          </w:tcPr>
          <w:p>
            <w:pPr>
              <w:pStyle w:val="TableText"/>
              <w:jc w:val="left"/>
            </w:pPr>
            <w:r>
              <w:t xml:space="preserve">A-14</w:t>
            </w:r>
          </w:p>
        </w:tc>
        <w:tc>
          <w:tcPr>
            <w:tcW w:w="4023" w:type="dxa"/>
            <w:shd w:val="clear" w:color="auto" w:fill="F4F7FB"/>
            <w:vAlign w:val="top"/>
          </w:tcPr>
          <w:p>
            <w:pPr>
              <w:pStyle w:val="TableText"/>
              <w:jc w:val="left"/>
            </w:pPr>
            <w:r>
              <w:t xml:space="preserve">Tariff, commission caps and contact policy as configured in the platform</w:t>
            </w:r>
          </w:p>
        </w:tc>
        <w:tc>
          <w:tcPr>
            <w:tcW w:w="2002" w:type="dxa"/>
            <w:shd w:val="clear" w:color="auto" w:fill="F4F7FB"/>
            <w:vAlign w:val="top"/>
          </w:tcPr>
          <w:p>
            <w:pPr>
              <w:pStyle w:val="TableText"/>
              <w:jc w:val="left"/>
            </w:pPr>
            <w:r>
              <w:t xml:space="preserve">As configured</w:t>
            </w:r>
          </w:p>
        </w:tc>
        <w:tc>
          <w:tcPr>
            <w:tcW w:w="2288" w:type="dxa"/>
            <w:shd w:val="clear" w:color="auto" w:fill="F4F7FB"/>
            <w:vAlign w:val="top"/>
          </w:tcPr>
          <w:p>
            <w:pPr>
              <w:pStyle w:val="TableText"/>
              <w:jc w:val="left"/>
            </w:pPr>
            <w:r>
              <w:t xml:space="preserve">TASCO Underwriting, Finance and Legal</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8" w:name="_Toc300000044"/>
      <w:r>
        <w:rPr>
          <w:rStyle w:val="BookTitle"/>
          <w:bCs w:val="0"/>
          <w:i w:val="0"/>
          <w:iCs w:val="0"/>
          <w:spacing w:val="0"/>
        </w:rPr>
        <w:t xml:space="preserve">Key risks</w:t>
      </w:r>
      <w:bookmarkEnd w:id="48"/>
    </w:p>
    <w:p>
      <w:pPr>
        <w:pStyle w:val="FirstParagraph"/>
      </w:pPr>
      <w:r>
        <w:t xml:space="preserve">The full risk register, with owners and dates, is in TGP-DEL-04 Risk Register.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13"/>
        <w:gridCol w:w="2643"/>
        <w:gridCol w:w="1460"/>
        <w:gridCol w:w="972"/>
        <w:gridCol w:w="3239"/>
      </w:tblGrid>
      <w:tr>
        <w:trPr>
          <w:cantSplit/>
          <w:tblHeader/>
        </w:trPr>
        <w:tc>
          <w:tcPr>
            <w:tcW w:w="713" w:type="dxa"/>
            <w:shd w:val="clear" w:color="auto" w:fill="0F4761"/>
            <w:vAlign w:val="center"/>
          </w:tcPr>
          <w:p>
            <w:pPr>
              <w:pStyle w:val="TableHeading"/>
              <w:jc w:val="left"/>
            </w:pPr>
            <w:r>
              <w:rPr>
                <w:color w:val="FFFFFF"/>
              </w:rPr>
              <w:t xml:space="preserve">Ref</w:t>
            </w:r>
          </w:p>
        </w:tc>
        <w:tc>
          <w:tcPr>
            <w:tcW w:w="2643" w:type="dxa"/>
            <w:shd w:val="clear" w:color="auto" w:fill="0F4761"/>
            <w:vAlign w:val="center"/>
          </w:tcPr>
          <w:p>
            <w:pPr>
              <w:pStyle w:val="TableHeading"/>
              <w:jc w:val="left"/>
            </w:pPr>
            <w:r>
              <w:rPr>
                <w:color w:val="FFFFFF"/>
              </w:rPr>
              <w:t xml:space="preserve">Risk</w:t>
            </w:r>
          </w:p>
        </w:tc>
        <w:tc>
          <w:tcPr>
            <w:tcW w:w="1460" w:type="dxa"/>
            <w:shd w:val="clear" w:color="auto" w:fill="0F4761"/>
            <w:vAlign w:val="center"/>
          </w:tcPr>
          <w:p>
            <w:pPr>
              <w:pStyle w:val="TableHeading"/>
              <w:jc w:val="left"/>
            </w:pPr>
            <w:r>
              <w:rPr>
                <w:color w:val="FFFFFF"/>
              </w:rPr>
              <w:t xml:space="preserve">Likelihood</w:t>
            </w:r>
          </w:p>
        </w:tc>
        <w:tc>
          <w:tcPr>
            <w:tcW w:w="972" w:type="dxa"/>
            <w:shd w:val="clear" w:color="auto" w:fill="0F4761"/>
            <w:vAlign w:val="center"/>
          </w:tcPr>
          <w:p>
            <w:pPr>
              <w:pStyle w:val="TableHeading"/>
              <w:jc w:val="left"/>
            </w:pPr>
            <w:r>
              <w:rPr>
                <w:color w:val="FFFFFF"/>
              </w:rPr>
              <w:t xml:space="preserve">Impact</w:t>
            </w:r>
          </w:p>
        </w:tc>
        <w:tc>
          <w:tcPr>
            <w:tcW w:w="3239" w:type="dxa"/>
            <w:shd w:val="clear" w:color="auto" w:fill="0F4761"/>
            <w:vAlign w:val="center"/>
          </w:tcPr>
          <w:p>
            <w:pPr>
              <w:pStyle w:val="TableHeading"/>
              <w:jc w:val="left"/>
            </w:pPr>
            <w:r>
              <w:rPr>
                <w:color w:val="FFFFFF"/>
              </w:rPr>
              <w:t xml:space="preserve">Mitigation</w:t>
            </w:r>
          </w:p>
        </w:tc>
      </w:tr>
      <w:tr>
        <w:trPr>
          <w:cantSplit/>
        </w:trPr>
        <w:tc>
          <w:tcPr>
            <w:tcW w:w="713" w:type="dxa"/>
            <w:noWrap/>
            <w:vAlign w:val="top"/>
          </w:tcPr>
          <w:p>
            <w:pPr>
              <w:pStyle w:val="TableText"/>
              <w:jc w:val="left"/>
            </w:pPr>
            <w:r>
              <w:t xml:space="preserve">R-01</w:t>
            </w:r>
          </w:p>
        </w:tc>
        <w:tc>
          <w:tcPr>
            <w:tcW w:w="2643" w:type="dxa"/>
            <w:vAlign w:val="top"/>
          </w:tcPr>
          <w:p>
            <w:pPr>
              <w:pStyle w:val="TableText"/>
              <w:jc w:val="left"/>
            </w:pPr>
            <w:r>
              <w:t xml:space="preserve">VETC data-sharing or consent basis is not sufficient for marketing use</w:t>
            </w:r>
          </w:p>
        </w:tc>
        <w:tc>
          <w:tcPr>
            <w:tcW w:w="1460" w:type="dxa"/>
            <w:vAlign w:val="top"/>
          </w:tcPr>
          <w:p>
            <w:pPr>
              <w:pStyle w:val="TableText"/>
              <w:jc w:val="left"/>
            </w:pPr>
            <w:r>
              <w:t xml:space="preserve">Medium</w:t>
            </w:r>
          </w:p>
        </w:tc>
        <w:tc>
          <w:tcPr>
            <w:tcW w:w="972" w:type="dxa"/>
            <w:vAlign w:val="top"/>
          </w:tcPr>
          <w:p>
            <w:pPr>
              <w:pStyle w:val="TableText"/>
              <w:jc w:val="left"/>
            </w:pPr>
            <w:r>
              <w:t xml:space="preserve">High</w:t>
            </w:r>
          </w:p>
        </w:tc>
        <w:tc>
          <w:tcPr>
            <w:tcW w:w="3239" w:type="dxa"/>
            <w:vAlign w:val="top"/>
          </w:tcPr>
          <w:p>
            <w:pPr>
              <w:pStyle w:val="TableText"/>
              <w:jc w:val="left"/>
            </w:pPr>
            <w:r>
              <w:t xml:space="preserve">Legal review in discovery; consent captured per channel; service messages separated from marketing</w:t>
            </w:r>
          </w:p>
        </w:tc>
      </w:tr>
      <w:tr>
        <w:trPr>
          <w:cantSplit/>
        </w:trPr>
        <w:tc>
          <w:tcPr>
            <w:tcW w:w="713" w:type="dxa"/>
            <w:shd w:val="clear" w:color="auto" w:fill="F4F7FB"/>
            <w:noWrap/>
            <w:vAlign w:val="top"/>
          </w:tcPr>
          <w:p>
            <w:pPr>
              <w:pStyle w:val="TableText"/>
              <w:jc w:val="left"/>
            </w:pPr>
            <w:r>
              <w:t xml:space="preserve">R-02</w:t>
            </w:r>
          </w:p>
        </w:tc>
        <w:tc>
          <w:tcPr>
            <w:tcW w:w="2643" w:type="dxa"/>
            <w:shd w:val="clear" w:color="auto" w:fill="F4F7FB"/>
            <w:vAlign w:val="top"/>
          </w:tcPr>
          <w:p>
            <w:pPr>
              <w:pStyle w:val="TableText"/>
              <w:jc w:val="left"/>
            </w:pPr>
            <w:r>
              <w:t xml:space="preserve">Multi-insurer neutrality: VETC promoting TASCO over other insurers on its platform</w:t>
            </w:r>
          </w:p>
        </w:tc>
        <w:tc>
          <w:tcPr>
            <w:tcW w:w="1460" w:type="dxa"/>
            <w:shd w:val="clear" w:color="auto" w:fill="F4F7FB"/>
            <w:vAlign w:val="top"/>
          </w:tcPr>
          <w:p>
            <w:pPr>
              <w:pStyle w:val="TableText"/>
              <w:jc w:val="left"/>
            </w:pPr>
            <w:r>
              <w:t xml:space="preserve">Medium</w:t>
            </w:r>
          </w:p>
        </w:tc>
        <w:tc>
          <w:tcPr>
            <w:tcW w:w="972" w:type="dxa"/>
            <w:shd w:val="clear" w:color="auto" w:fill="F4F7FB"/>
            <w:vAlign w:val="top"/>
          </w:tcPr>
          <w:p>
            <w:pPr>
              <w:pStyle w:val="TableText"/>
              <w:jc w:val="left"/>
            </w:pPr>
            <w:r>
              <w:t xml:space="preserve">High</w:t>
            </w:r>
          </w:p>
        </w:tc>
        <w:tc>
          <w:tcPr>
            <w:tcW w:w="3239" w:type="dxa"/>
            <w:shd w:val="clear" w:color="auto" w:fill="F4F7FB"/>
            <w:vAlign w:val="top"/>
          </w:tcPr>
          <w:p>
            <w:pPr>
              <w:pStyle w:val="TableText"/>
              <w:jc w:val="left"/>
            </w:pPr>
            <w:r>
              <w:t xml:space="preserve">Group governance decision; regulated price presented as the same everywhere; service-based benefits; legal review of wording</w:t>
            </w:r>
          </w:p>
        </w:tc>
      </w:tr>
      <w:tr>
        <w:trPr>
          <w:cantSplit/>
        </w:trPr>
        <w:tc>
          <w:tcPr>
            <w:tcW w:w="713" w:type="dxa"/>
            <w:noWrap/>
            <w:vAlign w:val="top"/>
          </w:tcPr>
          <w:p>
            <w:pPr>
              <w:pStyle w:val="TableText"/>
              <w:jc w:val="left"/>
            </w:pPr>
            <w:r>
              <w:t xml:space="preserve">R-03</w:t>
            </w:r>
          </w:p>
        </w:tc>
        <w:tc>
          <w:tcPr>
            <w:tcW w:w="2643" w:type="dxa"/>
            <w:vAlign w:val="top"/>
          </w:tcPr>
          <w:p>
            <w:pPr>
              <w:pStyle w:val="TableText"/>
              <w:jc w:val="left"/>
            </w:pPr>
            <w:r>
              <w:t xml:space="preserve">Partners see VETC as a competitor</w:t>
            </w:r>
          </w:p>
        </w:tc>
        <w:tc>
          <w:tcPr>
            <w:tcW w:w="1460" w:type="dxa"/>
            <w:vAlign w:val="top"/>
          </w:tcPr>
          <w:p>
            <w:pPr>
              <w:pStyle w:val="TableText"/>
              <w:jc w:val="left"/>
            </w:pPr>
            <w:r>
              <w:t xml:space="preserve">Medium</w:t>
            </w:r>
          </w:p>
        </w:tc>
        <w:tc>
          <w:tcPr>
            <w:tcW w:w="972" w:type="dxa"/>
            <w:vAlign w:val="top"/>
          </w:tcPr>
          <w:p>
            <w:pPr>
              <w:pStyle w:val="TableText"/>
              <w:jc w:val="left"/>
            </w:pPr>
            <w:r>
              <w:t xml:space="preserve">Medium</w:t>
            </w:r>
          </w:p>
        </w:tc>
        <w:tc>
          <w:tcPr>
            <w:tcW w:w="3239" w:type="dxa"/>
            <w:vAlign w:val="top"/>
          </w:tcPr>
          <w:p>
            <w:pPr>
              <w:pStyle w:val="TableText"/>
              <w:jc w:val="left"/>
            </w:pPr>
            <w:r>
              <w:t xml:space="preserve">Partner API with instant issuance and transparent commission; own channels focus on moments partners do not see</w:t>
            </w:r>
          </w:p>
        </w:tc>
      </w:tr>
      <w:tr>
        <w:trPr>
          <w:cantSplit/>
        </w:trPr>
        <w:tc>
          <w:tcPr>
            <w:tcW w:w="713" w:type="dxa"/>
            <w:shd w:val="clear" w:color="auto" w:fill="F4F7FB"/>
            <w:noWrap/>
            <w:vAlign w:val="top"/>
          </w:tcPr>
          <w:p>
            <w:pPr>
              <w:pStyle w:val="TableText"/>
              <w:jc w:val="left"/>
            </w:pPr>
            <w:r>
              <w:t xml:space="preserve">R-04</w:t>
            </w:r>
          </w:p>
        </w:tc>
        <w:tc>
          <w:tcPr>
            <w:tcW w:w="2643" w:type="dxa"/>
            <w:shd w:val="clear" w:color="auto" w:fill="F4F7FB"/>
            <w:vAlign w:val="top"/>
          </w:tcPr>
          <w:p>
            <w:pPr>
              <w:pStyle w:val="TableText"/>
              <w:jc w:val="left"/>
            </w:pPr>
            <w:r>
              <w:t xml:space="preserve">Speech recognition of Vietnamese plates and dialects</w:t>
            </w:r>
          </w:p>
        </w:tc>
        <w:tc>
          <w:tcPr>
            <w:tcW w:w="1460" w:type="dxa"/>
            <w:shd w:val="clear" w:color="auto" w:fill="F4F7FB"/>
            <w:vAlign w:val="top"/>
          </w:tcPr>
          <w:p>
            <w:pPr>
              <w:pStyle w:val="TableText"/>
              <w:jc w:val="left"/>
            </w:pPr>
            <w:r>
              <w:t xml:space="preserve">Medium</w:t>
            </w:r>
          </w:p>
        </w:tc>
        <w:tc>
          <w:tcPr>
            <w:tcW w:w="972" w:type="dxa"/>
            <w:shd w:val="clear" w:color="auto" w:fill="F4F7FB"/>
            <w:vAlign w:val="top"/>
          </w:tcPr>
          <w:p>
            <w:pPr>
              <w:pStyle w:val="TableText"/>
              <w:jc w:val="left"/>
            </w:pPr>
            <w:r>
              <w:t xml:space="preserve">Medium</w:t>
            </w:r>
          </w:p>
        </w:tc>
        <w:tc>
          <w:tcPr>
            <w:tcW w:w="3239" w:type="dxa"/>
            <w:shd w:val="clear" w:color="auto" w:fill="F4F7FB"/>
            <w:vAlign w:val="top"/>
          </w:tcPr>
          <w:p>
            <w:pPr>
              <w:pStyle w:val="TableText"/>
              <w:jc w:val="left"/>
            </w:pPr>
            <w:r>
              <w:t xml:space="preserve">Plate-first with three attempts; fallback to a link; vendor comparison in discovery; K-12 monitoring</w:t>
            </w:r>
          </w:p>
        </w:tc>
      </w:tr>
      <w:tr>
        <w:trPr>
          <w:cantSplit/>
        </w:trPr>
        <w:tc>
          <w:tcPr>
            <w:tcW w:w="713" w:type="dxa"/>
            <w:noWrap/>
            <w:vAlign w:val="top"/>
          </w:tcPr>
          <w:p>
            <w:pPr>
              <w:pStyle w:val="TableText"/>
              <w:jc w:val="left"/>
            </w:pPr>
            <w:r>
              <w:t xml:space="preserve">R-05</w:t>
            </w:r>
          </w:p>
        </w:tc>
        <w:tc>
          <w:tcPr>
            <w:tcW w:w="2643" w:type="dxa"/>
            <w:vAlign w:val="top"/>
          </w:tcPr>
          <w:p>
            <w:pPr>
              <w:pStyle w:val="TableText"/>
              <w:jc w:val="left"/>
            </w:pPr>
            <w:r>
              <w:t xml:space="preserve">Regulatory change to tariff or commission caps</w:t>
            </w:r>
          </w:p>
        </w:tc>
        <w:tc>
          <w:tcPr>
            <w:tcW w:w="1460" w:type="dxa"/>
            <w:vAlign w:val="top"/>
          </w:tcPr>
          <w:p>
            <w:pPr>
              <w:pStyle w:val="TableText"/>
              <w:jc w:val="left"/>
            </w:pPr>
            <w:r>
              <w:t xml:space="preserve">Low</w:t>
            </w:r>
          </w:p>
        </w:tc>
        <w:tc>
          <w:tcPr>
            <w:tcW w:w="972" w:type="dxa"/>
            <w:vAlign w:val="top"/>
          </w:tcPr>
          <w:p>
            <w:pPr>
              <w:pStyle w:val="TableText"/>
              <w:jc w:val="left"/>
            </w:pPr>
            <w:r>
              <w:t xml:space="preserve">Medium</w:t>
            </w:r>
          </w:p>
        </w:tc>
        <w:tc>
          <w:tcPr>
            <w:tcW w:w="3239" w:type="dxa"/>
            <w:vAlign w:val="top"/>
          </w:tcPr>
          <w:p>
            <w:pPr>
              <w:pStyle w:val="TableText"/>
              <w:jc w:val="left"/>
            </w:pPr>
            <w:r>
              <w:t xml:space="preserve">All held as rules with maker-checker; caps validated on save</w:t>
            </w:r>
          </w:p>
        </w:tc>
      </w:tr>
      <w:tr>
        <w:trPr>
          <w:cantSplit/>
        </w:trPr>
        <w:tc>
          <w:tcPr>
            <w:tcW w:w="713" w:type="dxa"/>
            <w:shd w:val="clear" w:color="auto" w:fill="F4F7FB"/>
            <w:noWrap/>
            <w:vAlign w:val="top"/>
          </w:tcPr>
          <w:p>
            <w:pPr>
              <w:pStyle w:val="TableText"/>
              <w:jc w:val="left"/>
            </w:pPr>
            <w:r>
              <w:t xml:space="preserve">R-06</w:t>
            </w:r>
          </w:p>
        </w:tc>
        <w:tc>
          <w:tcPr>
            <w:tcW w:w="2643" w:type="dxa"/>
            <w:shd w:val="clear" w:color="auto" w:fill="F4F7FB"/>
            <w:vAlign w:val="top"/>
          </w:tcPr>
          <w:p>
            <w:pPr>
              <w:pStyle w:val="TableText"/>
              <w:jc w:val="left"/>
            </w:pPr>
            <w:r>
              <w:t xml:space="preserve">Low incrementality against partners</w:t>
            </w:r>
          </w:p>
        </w:tc>
        <w:tc>
          <w:tcPr>
            <w:tcW w:w="1460" w:type="dxa"/>
            <w:shd w:val="clear" w:color="auto" w:fill="F4F7FB"/>
            <w:vAlign w:val="top"/>
          </w:tcPr>
          <w:p>
            <w:pPr>
              <w:pStyle w:val="TableText"/>
              <w:jc w:val="left"/>
            </w:pPr>
            <w:r>
              <w:t xml:space="preserve">Medium</w:t>
            </w:r>
          </w:p>
        </w:tc>
        <w:tc>
          <w:tcPr>
            <w:tcW w:w="972" w:type="dxa"/>
            <w:shd w:val="clear" w:color="auto" w:fill="F4F7FB"/>
            <w:vAlign w:val="top"/>
          </w:tcPr>
          <w:p>
            <w:pPr>
              <w:pStyle w:val="TableText"/>
              <w:jc w:val="left"/>
            </w:pPr>
            <w:r>
              <w:t xml:space="preserve">High</w:t>
            </w:r>
          </w:p>
        </w:tc>
        <w:tc>
          <w:tcPr>
            <w:tcW w:w="3239" w:type="dxa"/>
            <w:shd w:val="clear" w:color="auto" w:fill="F4F7FB"/>
            <w:vAlign w:val="top"/>
          </w:tcPr>
          <w:p>
            <w:pPr>
              <w:pStyle w:val="TableText"/>
              <w:jc w:val="left"/>
            </w:pPr>
            <w:r>
              <w:t xml:space="preserve">Control group; focus on lapsed vehicles and in-app moments</w:t>
            </w:r>
          </w:p>
        </w:tc>
      </w:tr>
      <w:tr>
        <w:trPr>
          <w:cantSplit/>
        </w:trPr>
        <w:tc>
          <w:tcPr>
            <w:tcW w:w="713" w:type="dxa"/>
            <w:noWrap/>
            <w:vAlign w:val="top"/>
          </w:tcPr>
          <w:p>
            <w:pPr>
              <w:pStyle w:val="TableText"/>
              <w:jc w:val="left"/>
            </w:pPr>
            <w:r>
              <w:t xml:space="preserve">R-07</w:t>
            </w:r>
          </w:p>
        </w:tc>
        <w:tc>
          <w:tcPr>
            <w:tcW w:w="2643" w:type="dxa"/>
            <w:vAlign w:val="top"/>
          </w:tcPr>
          <w:p>
            <w:pPr>
              <w:pStyle w:val="TableText"/>
              <w:jc w:val="left"/>
            </w:pPr>
            <w:r>
              <w:t xml:space="preserve">Loyalty or referral not approved by legal</w:t>
            </w:r>
          </w:p>
        </w:tc>
        <w:tc>
          <w:tcPr>
            <w:tcW w:w="1460" w:type="dxa"/>
            <w:vAlign w:val="top"/>
          </w:tcPr>
          <w:p>
            <w:pPr>
              <w:pStyle w:val="TableText"/>
              <w:jc w:val="left"/>
            </w:pPr>
            <w:r>
              <w:t xml:space="preserve">Medium</w:t>
            </w:r>
          </w:p>
        </w:tc>
        <w:tc>
          <w:tcPr>
            <w:tcW w:w="972" w:type="dxa"/>
            <w:vAlign w:val="top"/>
          </w:tcPr>
          <w:p>
            <w:pPr>
              <w:pStyle w:val="TableText"/>
              <w:jc w:val="left"/>
            </w:pPr>
            <w:r>
              <w:t xml:space="preserve">Low</w:t>
            </w:r>
          </w:p>
        </w:tc>
        <w:tc>
          <w:tcPr>
            <w:tcW w:w="3239" w:type="dxa"/>
            <w:vAlign w:val="top"/>
          </w:tcPr>
          <w:p>
            <w:pPr>
              <w:pStyle w:val="TableText"/>
              <w:jc w:val="left"/>
            </w:pPr>
            <w:r>
              <w:t xml:space="preserve">Already switched off pending legal review</w:t>
            </w:r>
          </w:p>
        </w:tc>
      </w:tr>
      <w:tr>
        <w:trPr>
          <w:cantSplit/>
        </w:trPr>
        <w:tc>
          <w:tcPr>
            <w:tcW w:w="713" w:type="dxa"/>
            <w:shd w:val="clear" w:color="auto" w:fill="F4F7FB"/>
            <w:noWrap/>
            <w:vAlign w:val="top"/>
          </w:tcPr>
          <w:p>
            <w:pPr>
              <w:pStyle w:val="TableText"/>
              <w:jc w:val="left"/>
            </w:pPr>
            <w:r>
              <w:t xml:space="preserve">R-08</w:t>
            </w:r>
          </w:p>
        </w:tc>
        <w:tc>
          <w:tcPr>
            <w:tcW w:w="2643" w:type="dxa"/>
            <w:shd w:val="clear" w:color="auto" w:fill="F4F7FB"/>
            <w:vAlign w:val="top"/>
          </w:tcPr>
          <w:p>
            <w:pPr>
              <w:pStyle w:val="TableText"/>
              <w:jc w:val="left"/>
            </w:pPr>
            <w:r>
              <w:t xml:space="preserve">Company vehicles enter consumer journeys</w:t>
            </w:r>
          </w:p>
        </w:tc>
        <w:tc>
          <w:tcPr>
            <w:tcW w:w="1460" w:type="dxa"/>
            <w:shd w:val="clear" w:color="auto" w:fill="F4F7FB"/>
            <w:vAlign w:val="top"/>
          </w:tcPr>
          <w:p>
            <w:pPr>
              <w:pStyle w:val="TableText"/>
              <w:jc w:val="left"/>
            </w:pPr>
            <w:r>
              <w:t xml:space="preserve">Low</w:t>
            </w:r>
          </w:p>
        </w:tc>
        <w:tc>
          <w:tcPr>
            <w:tcW w:w="972" w:type="dxa"/>
            <w:shd w:val="clear" w:color="auto" w:fill="F4F7FB"/>
            <w:vAlign w:val="top"/>
          </w:tcPr>
          <w:p>
            <w:pPr>
              <w:pStyle w:val="TableText"/>
              <w:jc w:val="left"/>
            </w:pPr>
            <w:r>
              <w:t xml:space="preserve">Medium</w:t>
            </w:r>
          </w:p>
        </w:tc>
        <w:tc>
          <w:tcPr>
            <w:tcW w:w="3239" w:type="dxa"/>
            <w:shd w:val="clear" w:color="auto" w:fill="F4F7FB"/>
            <w:vAlign w:val="top"/>
          </w:tcPr>
          <w:p>
            <w:pPr>
              <w:pStyle w:val="TableText"/>
              <w:jc w:val="left"/>
            </w:pPr>
            <w:r>
              <w:t xml:space="preserve">Closed: consumer journeys exclude company vehicles, which are routed to the B2B team</w:t>
            </w:r>
          </w:p>
        </w:tc>
      </w:tr>
      <w:tr>
        <w:trPr>
          <w:cantSplit/>
        </w:trPr>
        <w:tc>
          <w:tcPr>
            <w:tcW w:w="713" w:type="dxa"/>
            <w:noWrap/>
            <w:vAlign w:val="top"/>
          </w:tcPr>
          <w:p>
            <w:pPr>
              <w:pStyle w:val="TableText"/>
              <w:jc w:val="left"/>
            </w:pPr>
            <w:r>
              <w:t xml:space="preserve">R-09</w:t>
            </w:r>
          </w:p>
        </w:tc>
        <w:tc>
          <w:tcPr>
            <w:tcW w:w="2643" w:type="dxa"/>
            <w:vAlign w:val="top"/>
          </w:tcPr>
          <w:p>
            <w:pPr>
              <w:pStyle w:val="TableText"/>
              <w:jc w:val="left"/>
            </w:pPr>
            <w:r>
              <w:t xml:space="preserve">Data residency requirements for personal data</w:t>
            </w:r>
          </w:p>
        </w:tc>
        <w:tc>
          <w:tcPr>
            <w:tcW w:w="1460" w:type="dxa"/>
            <w:vAlign w:val="top"/>
          </w:tcPr>
          <w:p>
            <w:pPr>
              <w:pStyle w:val="TableText"/>
              <w:jc w:val="left"/>
            </w:pPr>
            <w:r>
              <w:t xml:space="preserve">Medium</w:t>
            </w:r>
          </w:p>
        </w:tc>
        <w:tc>
          <w:tcPr>
            <w:tcW w:w="972" w:type="dxa"/>
            <w:vAlign w:val="top"/>
          </w:tcPr>
          <w:p>
            <w:pPr>
              <w:pStyle w:val="TableText"/>
              <w:jc w:val="left"/>
            </w:pPr>
            <w:r>
              <w:t xml:space="preserve">High</w:t>
            </w:r>
          </w:p>
        </w:tc>
        <w:tc>
          <w:tcPr>
            <w:tcW w:w="3239" w:type="dxa"/>
            <w:vAlign w:val="top"/>
          </w:tcPr>
          <w:p>
            <w:pPr>
              <w:pStyle w:val="TableText"/>
              <w:jc w:val="left"/>
            </w:pPr>
            <w:r>
              <w:t xml:space="preserve">Production hosting in Vietnam; to be confirmed by TASCO legal (TGP-BUS-03, NFR-030)</w:t>
            </w:r>
          </w:p>
        </w:tc>
      </w:tr>
      <w:tr>
        <w:trPr>
          <w:cantSplit/>
        </w:trPr>
        <w:tc>
          <w:tcPr>
            <w:tcW w:w="713" w:type="dxa"/>
            <w:shd w:val="clear" w:color="auto" w:fill="F4F7FB"/>
            <w:noWrap/>
            <w:vAlign w:val="top"/>
          </w:tcPr>
          <w:p>
            <w:pPr>
              <w:pStyle w:val="TableText"/>
              <w:jc w:val="left"/>
            </w:pPr>
            <w:r>
              <w:t xml:space="preserve">R-10</w:t>
            </w:r>
          </w:p>
        </w:tc>
        <w:tc>
          <w:tcPr>
            <w:tcW w:w="2643" w:type="dxa"/>
            <w:shd w:val="clear" w:color="auto" w:fill="F4F7FB"/>
            <w:vAlign w:val="top"/>
          </w:tcPr>
          <w:p>
            <w:pPr>
              <w:pStyle w:val="TableText"/>
              <w:jc w:val="left"/>
            </w:pPr>
            <w:r>
              <w:t xml:space="preserve">TASCO core does not expose a rating interface in time</w:t>
            </w:r>
          </w:p>
        </w:tc>
        <w:tc>
          <w:tcPr>
            <w:tcW w:w="1460" w:type="dxa"/>
            <w:shd w:val="clear" w:color="auto" w:fill="F4F7FB"/>
            <w:vAlign w:val="top"/>
          </w:tcPr>
          <w:p>
            <w:pPr>
              <w:pStyle w:val="TableText"/>
              <w:jc w:val="left"/>
            </w:pPr>
            <w:r>
              <w:t xml:space="preserve">Medium</w:t>
            </w:r>
          </w:p>
        </w:tc>
        <w:tc>
          <w:tcPr>
            <w:tcW w:w="972" w:type="dxa"/>
            <w:shd w:val="clear" w:color="auto" w:fill="F4F7FB"/>
            <w:vAlign w:val="top"/>
          </w:tcPr>
          <w:p>
            <w:pPr>
              <w:pStyle w:val="TableText"/>
              <w:jc w:val="left"/>
            </w:pPr>
            <w:r>
              <w:t xml:space="preserve">High</w:t>
            </w:r>
          </w:p>
        </w:tc>
        <w:tc>
          <w:tcPr>
            <w:tcW w:w="3239" w:type="dxa"/>
            <w:shd w:val="clear" w:color="auto" w:fill="F4F7FB"/>
            <w:vAlign w:val="top"/>
          </w:tcPr>
          <w:p>
            <w:pPr>
              <w:pStyle w:val="TableText"/>
              <w:jc w:val="left"/>
            </w:pPr>
            <w:r>
              <w:t xml:space="preserve">Interim path: approved tariff tables synchronised from core, with core re-rating at issue; decision in week 2</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9" w:name="_Toc300000045"/>
      <w:r>
        <w:rPr>
          <w:rStyle w:val="BookTitle"/>
          <w:bCs w:val="0"/>
          <w:i w:val="0"/>
          <w:iCs w:val="0"/>
          <w:spacing w:val="0"/>
        </w:rPr>
        <w:t xml:space="preserve">Appendix</w:t>
      </w:r>
      <w:bookmarkEnd w:id="49"/>
    </w:p>
    <w:p>
      <w:pPr>
        <w:pStyle w:val="Heading2"/>
      </w:pPr>
      <w:bookmarkStart w:id="50" w:name="_Toc300000046"/>
      <w:r>
        <w:t xml:space="preserve">Mapping to the four challenge tracks</w:t>
      </w:r>
      <w:bookmarkEnd w:id="5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2"/>
        <w:gridCol w:w="1586"/>
        <w:gridCol w:w="2205"/>
        <w:gridCol w:w="1964"/>
        <w:gridCol w:w="1810"/>
      </w:tblGrid>
      <w:tr>
        <w:trPr>
          <w:cantSplit/>
          <w:tblHeader/>
        </w:trPr>
        <w:tc>
          <w:tcPr>
            <w:tcW w:w="1462" w:type="dxa"/>
            <w:shd w:val="clear" w:color="auto" w:fill="0F4761"/>
            <w:vAlign w:val="center"/>
          </w:tcPr>
          <w:p>
            <w:pPr>
              <w:pStyle w:val="TableHeading"/>
              <w:jc w:val="left"/>
            </w:pPr>
            <w:r>
              <w:rPr>
                <w:color w:val="FFFFFF"/>
              </w:rPr>
              <w:t xml:space="preserve">Track</w:t>
            </w:r>
          </w:p>
        </w:tc>
        <w:tc>
          <w:tcPr>
            <w:tcW w:w="1586" w:type="dxa"/>
            <w:shd w:val="clear" w:color="auto" w:fill="0F4761"/>
            <w:vAlign w:val="center"/>
          </w:tcPr>
          <w:p>
            <w:pPr>
              <w:pStyle w:val="TableHeading"/>
              <w:jc w:val="left"/>
            </w:pPr>
            <w:r>
              <w:rPr>
                <w:color w:val="FFFFFF"/>
              </w:rPr>
              <w:t xml:space="preserve">What the brief asked</w:t>
            </w:r>
          </w:p>
        </w:tc>
        <w:tc>
          <w:tcPr>
            <w:tcW w:w="2205" w:type="dxa"/>
            <w:shd w:val="clear" w:color="auto" w:fill="0F4761"/>
            <w:vAlign w:val="center"/>
          </w:tcPr>
          <w:p>
            <w:pPr>
              <w:pStyle w:val="TableHeading"/>
              <w:jc w:val="left"/>
            </w:pPr>
            <w:r>
              <w:rPr>
                <w:color w:val="FFFFFF"/>
              </w:rPr>
              <w:t xml:space="preserve">What the platform does</w:t>
            </w:r>
          </w:p>
        </w:tc>
        <w:tc>
          <w:tcPr>
            <w:tcW w:w="1964" w:type="dxa"/>
            <w:shd w:val="clear" w:color="auto" w:fill="0F4761"/>
            <w:vAlign w:val="center"/>
          </w:tcPr>
          <w:p>
            <w:pPr>
              <w:pStyle w:val="TableHeading"/>
              <w:jc w:val="left"/>
            </w:pPr>
            <w:r>
              <w:rPr>
                <w:color w:val="FFFFFF"/>
              </w:rPr>
              <w:t xml:space="preserve">Beyond the brief</w:t>
            </w:r>
          </w:p>
        </w:tc>
        <w:tc>
          <w:tcPr>
            <w:tcW w:w="1810" w:type="dxa"/>
            <w:shd w:val="clear" w:color="auto" w:fill="0F4761"/>
            <w:vAlign w:val="center"/>
          </w:tcPr>
          <w:p>
            <w:pPr>
              <w:pStyle w:val="TableHeading"/>
              <w:jc w:val="left"/>
            </w:pPr>
            <w:r>
              <w:rPr>
                <w:color w:val="FFFFFF"/>
              </w:rPr>
              <w:t xml:space="preserve">Requirements</w:t>
            </w:r>
          </w:p>
        </w:tc>
      </w:tr>
      <w:tr>
        <w:trPr>
          <w:cantSplit/>
        </w:trPr>
        <w:tc>
          <w:tcPr>
            <w:tcW w:w="1462" w:type="dxa"/>
            <w:vAlign w:val="top"/>
          </w:tcPr>
          <w:p>
            <w:pPr>
              <w:pStyle w:val="TableText"/>
              <w:jc w:val="left"/>
            </w:pPr>
            <w:r>
              <w:t xml:space="preserve">T1 AI voice assistant</w:t>
            </w:r>
          </w:p>
        </w:tc>
        <w:tc>
          <w:tcPr>
            <w:tcW w:w="1586" w:type="dxa"/>
            <w:vAlign w:val="top"/>
          </w:tcPr>
          <w:p>
            <w:pPr>
              <w:pStyle w:val="TableText"/>
              <w:jc w:val="left"/>
            </w:pPr>
            <w:r>
              <w:t xml:space="preserve">Call interested and expiring leads, confirm the plate first, hand hot leads to telesales</w:t>
            </w:r>
          </w:p>
        </w:tc>
        <w:tc>
          <w:tcPr>
            <w:tcW w:w="2205" w:type="dxa"/>
            <w:vAlign w:val="top"/>
          </w:tcPr>
          <w:p>
            <w:pPr>
              <w:pStyle w:val="TableText"/>
              <w:jc w:val="left"/>
            </w:pPr>
            <w:r>
              <w:t xml:space="preserve">Disclosure, plate-first verification, expiry confirmation, 12 intents, honest price answer, 9 outcomes, structured handoff, campaigns, governance KPIs</w:t>
            </w:r>
          </w:p>
        </w:tc>
        <w:tc>
          <w:tcPr>
            <w:tcW w:w="1964" w:type="dxa"/>
            <w:vAlign w:val="top"/>
          </w:tcPr>
          <w:p>
            <w:pPr>
              <w:pStyle w:val="TableText"/>
              <w:jc w:val="left"/>
            </w:pPr>
            <w:r>
              <w:t xml:space="preserve">Outcomes write back to the record; scripts are versioned and copy-guarded</w:t>
            </w:r>
          </w:p>
        </w:tc>
        <w:tc>
          <w:tcPr>
            <w:tcW w:w="1810" w:type="dxa"/>
            <w:vAlign w:val="top"/>
          </w:tcPr>
          <w:p>
            <w:pPr>
              <w:pStyle w:val="TableText"/>
              <w:jc w:val="left"/>
            </w:pPr>
            <w:r>
              <w:t xml:space="preserve">FR-031 to FR-039</w:t>
            </w:r>
          </w:p>
        </w:tc>
      </w:tr>
      <w:tr>
        <w:trPr>
          <w:cantSplit/>
        </w:trPr>
        <w:tc>
          <w:tcPr>
            <w:tcW w:w="1462" w:type="dxa"/>
            <w:shd w:val="clear" w:color="auto" w:fill="F4F7FB"/>
            <w:vAlign w:val="top"/>
          </w:tcPr>
          <w:p>
            <w:pPr>
              <w:pStyle w:val="TableText"/>
              <w:jc w:val="left"/>
            </w:pPr>
            <w:r>
              <w:t xml:space="preserve">T2 Lead scoring and enrichment</w:t>
            </w:r>
          </w:p>
        </w:tc>
        <w:tc>
          <w:tcPr>
            <w:tcW w:w="1586" w:type="dxa"/>
            <w:shd w:val="clear" w:color="auto" w:fill="F4F7FB"/>
            <w:vAlign w:val="top"/>
          </w:tcPr>
          <w:p>
            <w:pPr>
              <w:pStyle w:val="TableText"/>
              <w:jc w:val="left"/>
            </w:pPr>
            <w:r>
              <w:t xml:space="preserve">Build profiles from incomplete records; rank who to call first</w:t>
            </w:r>
          </w:p>
        </w:tc>
        <w:tc>
          <w:tcPr>
            <w:tcW w:w="2205" w:type="dxa"/>
            <w:shd w:val="clear" w:color="auto" w:fill="F4F7FB"/>
            <w:vAlign w:val="top"/>
          </w:tcPr>
          <w:p>
            <w:pPr>
              <w:pStyle w:val="TableText"/>
              <w:jc w:val="left"/>
            </w:pPr>
            <w:r>
              <w:t xml:space="preserve">One record per vehicle, expiry estimation, category inference, explainable five-factor score, next best action</w:t>
            </w:r>
          </w:p>
        </w:tc>
        <w:tc>
          <w:tcPr>
            <w:tcW w:w="1964" w:type="dxa"/>
            <w:shd w:val="clear" w:color="auto" w:fill="F4F7FB"/>
            <w:vAlign w:val="top"/>
          </w:tcPr>
          <w:p>
            <w:pPr>
              <w:pStyle w:val="TableText"/>
              <w:jc w:val="left"/>
            </w:pPr>
            <w:r>
              <w:t xml:space="preserve">Lineage, data-quality queue, steward corrections, simulation before rule changes</w:t>
            </w:r>
          </w:p>
        </w:tc>
        <w:tc>
          <w:tcPr>
            <w:tcW w:w="1810" w:type="dxa"/>
            <w:shd w:val="clear" w:color="auto" w:fill="F4F7FB"/>
            <w:vAlign w:val="top"/>
          </w:tcPr>
          <w:p>
            <w:pPr>
              <w:pStyle w:val="TableText"/>
              <w:jc w:val="left"/>
            </w:pPr>
            <w:r>
              <w:t xml:space="preserve">FR-001 to FR-019, FR-085</w:t>
            </w:r>
          </w:p>
        </w:tc>
      </w:tr>
      <w:tr>
        <w:trPr>
          <w:cantSplit/>
        </w:trPr>
        <w:tc>
          <w:tcPr>
            <w:tcW w:w="1462" w:type="dxa"/>
            <w:vAlign w:val="top"/>
          </w:tcPr>
          <w:p>
            <w:pPr>
              <w:pStyle w:val="TableText"/>
              <w:jc w:val="left"/>
            </w:pPr>
            <w:r>
              <w:t xml:space="preserve">T3 Renewal engine</w:t>
            </w:r>
          </w:p>
        </w:tc>
        <w:tc>
          <w:tcPr>
            <w:tcW w:w="1586" w:type="dxa"/>
            <w:vAlign w:val="top"/>
          </w:tcPr>
          <w:p>
            <w:pPr>
              <w:pStyle w:val="TableText"/>
              <w:jc w:val="left"/>
            </w:pPr>
            <w:r>
              <w:t xml:space="preserve">Automatic reminders; simple purchase in the VETC app and Zalo</w:t>
            </w:r>
          </w:p>
        </w:tc>
        <w:tc>
          <w:tcPr>
            <w:tcW w:w="2205" w:type="dxa"/>
            <w:vAlign w:val="top"/>
          </w:tcPr>
          <w:p>
            <w:pPr>
              <w:pStyle w:val="TableText"/>
              <w:jc w:val="left"/>
            </w:pPr>
            <w:r>
              <w:t xml:space="preserve">Journeys, contact policy, copy guard, signed links, wallet purchase, quick renewal in three steps, e-certificate, rating by TASCO core</w:t>
            </w:r>
          </w:p>
        </w:tc>
        <w:tc>
          <w:tcPr>
            <w:tcW w:w="1964" w:type="dxa"/>
            <w:vAlign w:val="top"/>
          </w:tcPr>
          <w:p>
            <w:pPr>
              <w:pStyle w:val="TableText"/>
              <w:jc w:val="left"/>
            </w:pPr>
            <w:r>
              <w:t xml:space="preserve">New-business journeys, ecosystem triggers, partner API, the same journeys in TASCO’s app and website</w:t>
            </w:r>
          </w:p>
        </w:tc>
        <w:tc>
          <w:tcPr>
            <w:tcW w:w="1810" w:type="dxa"/>
            <w:vAlign w:val="top"/>
          </w:tcPr>
          <w:p>
            <w:pPr>
              <w:pStyle w:val="TableText"/>
              <w:jc w:val="left"/>
            </w:pPr>
            <w:r>
              <w:t xml:space="preserve">FR-020 to FR-030, FR-045 to FR-052, FR-074 to FR-077, FR-111 to FR-117, FR-119</w:t>
            </w:r>
          </w:p>
        </w:tc>
      </w:tr>
      <w:tr>
        <w:trPr>
          <w:cantSplit/>
        </w:trPr>
        <w:tc>
          <w:tcPr>
            <w:tcW w:w="1462" w:type="dxa"/>
            <w:shd w:val="clear" w:color="auto" w:fill="F4F7FB"/>
            <w:vAlign w:val="top"/>
          </w:tcPr>
          <w:p>
            <w:pPr>
              <w:pStyle w:val="TableText"/>
              <w:jc w:val="left"/>
            </w:pPr>
            <w:r>
              <w:t xml:space="preserve">T4 Value beyond discount</w:t>
            </w:r>
          </w:p>
        </w:tc>
        <w:tc>
          <w:tcPr>
            <w:tcW w:w="1586" w:type="dxa"/>
            <w:shd w:val="clear" w:color="auto" w:fill="F4F7FB"/>
            <w:vAlign w:val="top"/>
          </w:tcPr>
          <w:p>
            <w:pPr>
              <w:pStyle w:val="TableText"/>
              <w:jc w:val="left"/>
            </w:pPr>
            <w:r>
              <w:t xml:space="preserve">Roadside, loyalty and bundles instead of price cuts</w:t>
            </w:r>
          </w:p>
        </w:tc>
        <w:tc>
          <w:tcPr>
            <w:tcW w:w="2205" w:type="dxa"/>
            <w:shd w:val="clear" w:color="auto" w:fill="F4F7FB"/>
            <w:vAlign w:val="top"/>
          </w:tcPr>
          <w:p>
            <w:pPr>
              <w:pStyle w:val="TableText"/>
              <w:jc w:val="left"/>
            </w:pPr>
            <w:r>
              <w:t xml:space="preserve">Benefits with legal gating, relevance and reasons, bundles, multi-year cover, cover upgrades, accident reporting</w:t>
            </w:r>
          </w:p>
        </w:tc>
        <w:tc>
          <w:tcPr>
            <w:tcW w:w="1964" w:type="dxa"/>
            <w:shd w:val="clear" w:color="auto" w:fill="F4F7FB"/>
            <w:vAlign w:val="top"/>
          </w:tcPr>
          <w:p>
            <w:pPr>
              <w:pStyle w:val="TableText"/>
              <w:jc w:val="left"/>
            </w:pPr>
            <w:r>
              <w:t xml:space="preserve">Copy guard enforcement, QR verification, fleet proposition</w:t>
            </w:r>
          </w:p>
        </w:tc>
        <w:tc>
          <w:tcPr>
            <w:tcW w:w="1810" w:type="dxa"/>
            <w:shd w:val="clear" w:color="auto" w:fill="F4F7FB"/>
            <w:vAlign w:val="top"/>
          </w:tcPr>
          <w:p>
            <w:pPr>
              <w:pStyle w:val="TableText"/>
              <w:jc w:val="left"/>
            </w:pPr>
            <w:r>
              <w:t xml:space="preserve">FR-053 to FR-062, FR-071 to FR-073</w:t>
            </w:r>
          </w:p>
        </w:tc>
      </w:tr>
    </w:tbl>
    <w:p>
      <w:pPr>
        <w:pStyle w:val="Heading2"/>
      </w:pPr>
      <w:bookmarkStart w:id="51" w:name="_Toc300000047"/>
      <w:r>
        <w:t xml:space="preserve">Fit with TASCO’s evaluation criteria</w:t>
      </w:r>
      <w:bookmarkEnd w:id="5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38"/>
        <w:gridCol w:w="7689"/>
      </w:tblGrid>
      <w:tr>
        <w:trPr>
          <w:cantSplit/>
          <w:tblHeader/>
        </w:trPr>
        <w:tc>
          <w:tcPr>
            <w:tcW w:w="1338" w:type="dxa"/>
            <w:shd w:val="clear" w:color="auto" w:fill="0F4761"/>
            <w:vAlign w:val="center"/>
          </w:tcPr>
          <w:p>
            <w:pPr>
              <w:pStyle w:val="TableHeading"/>
              <w:jc w:val="left"/>
            </w:pPr>
            <w:r>
              <w:rPr>
                <w:color w:val="FFFFFF"/>
              </w:rPr>
              <w:t xml:space="preserve">Criterion</w:t>
            </w:r>
          </w:p>
        </w:tc>
        <w:tc>
          <w:tcPr>
            <w:tcW w:w="7689" w:type="dxa"/>
            <w:shd w:val="clear" w:color="auto" w:fill="0F4761"/>
            <w:vAlign w:val="center"/>
          </w:tcPr>
          <w:p>
            <w:pPr>
              <w:pStyle w:val="TableHeading"/>
              <w:jc w:val="left"/>
            </w:pPr>
            <w:r>
              <w:rPr>
                <w:color w:val="FFFFFF"/>
              </w:rPr>
              <w:t xml:space="preserve">How the proposal responds</w:t>
            </w:r>
          </w:p>
        </w:tc>
      </w:tr>
      <w:tr>
        <w:trPr>
          <w:cantSplit/>
        </w:trPr>
        <w:tc>
          <w:tcPr>
            <w:tcW w:w="1338" w:type="dxa"/>
            <w:vAlign w:val="top"/>
          </w:tcPr>
          <w:p>
            <w:pPr>
              <w:pStyle w:val="TableText"/>
              <w:jc w:val="left"/>
            </w:pPr>
            <w:r>
              <w:t xml:space="preserve">Impact</w:t>
            </w:r>
          </w:p>
        </w:tc>
        <w:tc>
          <w:tcPr>
            <w:tcW w:w="7689" w:type="dxa"/>
            <w:vAlign w:val="top"/>
          </w:tcPr>
          <w:p>
            <w:pPr>
              <w:pStyle w:val="TableText"/>
              <w:jc w:val="left"/>
            </w:pPr>
            <w:r>
              <w:t xml:space="preserve">Addresses all four causes (data, trust, price, friction) across seven segments; base case about 140,000 policies and VND 86.3 billion of premium</w:t>
            </w:r>
          </w:p>
        </w:tc>
      </w:tr>
      <w:tr>
        <w:trPr>
          <w:cantSplit/>
        </w:trPr>
        <w:tc>
          <w:tcPr>
            <w:tcW w:w="1338" w:type="dxa"/>
            <w:shd w:val="clear" w:color="auto" w:fill="F4F7FB"/>
            <w:vAlign w:val="top"/>
          </w:tcPr>
          <w:p>
            <w:pPr>
              <w:pStyle w:val="TableText"/>
              <w:jc w:val="left"/>
            </w:pPr>
            <w:r>
              <w:t xml:space="preserve">Fit</w:t>
            </w:r>
          </w:p>
        </w:tc>
        <w:tc>
          <w:tcPr>
            <w:tcW w:w="7689" w:type="dxa"/>
            <w:shd w:val="clear" w:color="auto" w:fill="F4F7FB"/>
            <w:vAlign w:val="top"/>
          </w:tcPr>
          <w:p>
            <w:pPr>
              <w:pStyle w:val="TableText"/>
              <w:jc w:val="left"/>
            </w:pPr>
            <w:r>
              <w:t xml:space="preserve">Built on Tasco group assets (VETC app, wallet, tag events, inspection, TASCO core); respects regulated pricing, partner economics and VETC’s multi-insurer model</w:t>
            </w:r>
          </w:p>
        </w:tc>
      </w:tr>
      <w:tr>
        <w:trPr>
          <w:cantSplit/>
        </w:trPr>
        <w:tc>
          <w:tcPr>
            <w:tcW w:w="1338" w:type="dxa"/>
            <w:vAlign w:val="top"/>
          </w:tcPr>
          <w:p>
            <w:pPr>
              <w:pStyle w:val="TableText"/>
              <w:jc w:val="left"/>
            </w:pPr>
            <w:r>
              <w:t xml:space="preserve">Speed</w:t>
            </w:r>
          </w:p>
        </w:tc>
        <w:tc>
          <w:tcPr>
            <w:tcW w:w="7689" w:type="dxa"/>
            <w:vAlign w:val="top"/>
          </w:tcPr>
          <w:p>
            <w:pPr>
              <w:pStyle w:val="TableText"/>
              <w:jc w:val="left"/>
            </w:pPr>
            <w:r>
              <w:t xml:space="preserve">Working platform with 103 API routes, a staff console, a customer app, rules-driven logic and 271 automated tests; pilot live 13 weeks after signature; rule changes in hours through maker-checker without a release</w:t>
            </w:r>
          </w:p>
        </w:tc>
      </w:tr>
      <w:tr>
        <w:trPr>
          <w:cantSplit/>
        </w:trPr>
        <w:tc>
          <w:tcPr>
            <w:tcW w:w="1338" w:type="dxa"/>
            <w:shd w:val="clear" w:color="auto" w:fill="F4F7FB"/>
            <w:vAlign w:val="top"/>
          </w:tcPr>
          <w:p>
            <w:pPr>
              <w:pStyle w:val="TableText"/>
              <w:jc w:val="left"/>
            </w:pPr>
            <w:r>
              <w:t xml:space="preserve">Cost</w:t>
            </w:r>
          </w:p>
        </w:tc>
        <w:tc>
          <w:tcPr>
            <w:tcW w:w="7689" w:type="dxa"/>
            <w:shd w:val="clear" w:color="auto" w:fill="F4F7FB"/>
            <w:vAlign w:val="top"/>
          </w:tcPr>
          <w:p>
            <w:pPr>
              <w:pStyle w:val="TableText"/>
              <w:jc w:val="left"/>
            </w:pPr>
            <w:r>
              <w:t xml:space="preserve">Free push first; assistant calls at 8.9% of the telesales cost; open-source runtime with one dependency; no licensed rules engine</w:t>
            </w:r>
          </w:p>
        </w:tc>
      </w:tr>
    </w:tbl>
    <w:p>
      <w:pPr>
        <w:pStyle w:val="Heading2"/>
      </w:pPr>
      <w:bookmarkStart w:id="52" w:name="_Toc300000048"/>
      <w:r>
        <w:t xml:space="preserve">Additions beyond the brief</w:t>
      </w:r>
      <w:bookmarkEnd w:id="5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904"/>
        <w:gridCol w:w="4123"/>
      </w:tblGrid>
      <w:tr>
        <w:trPr>
          <w:cantSplit/>
          <w:tblHeader/>
        </w:trPr>
        <w:tc>
          <w:tcPr>
            <w:tcW w:w="4904" w:type="dxa"/>
            <w:shd w:val="clear" w:color="auto" w:fill="0F4761"/>
            <w:vAlign w:val="center"/>
          </w:tcPr>
          <w:p>
            <w:pPr>
              <w:pStyle w:val="TableHeading"/>
              <w:jc w:val="left"/>
            </w:pPr>
            <w:r>
              <w:rPr>
                <w:color w:val="FFFFFF"/>
              </w:rPr>
              <w:t xml:space="preserve">Addition</w:t>
            </w:r>
          </w:p>
        </w:tc>
        <w:tc>
          <w:tcPr>
            <w:tcW w:w="4123" w:type="dxa"/>
            <w:shd w:val="clear" w:color="auto" w:fill="0F4761"/>
            <w:vAlign w:val="center"/>
          </w:tcPr>
          <w:p>
            <w:pPr>
              <w:pStyle w:val="TableHeading"/>
              <w:jc w:val="left"/>
            </w:pPr>
            <w:r>
              <w:rPr>
                <w:color w:val="FFFFFF"/>
              </w:rPr>
              <w:t xml:space="preserve">Why it matters</w:t>
            </w:r>
          </w:p>
        </w:tc>
      </w:tr>
      <w:tr>
        <w:trPr>
          <w:cantSplit/>
        </w:trPr>
        <w:tc>
          <w:tcPr>
            <w:tcW w:w="4904" w:type="dxa"/>
            <w:vAlign w:val="top"/>
          </w:tcPr>
          <w:p>
            <w:pPr>
              <w:pStyle w:val="TableText"/>
              <w:jc w:val="left"/>
            </w:pPr>
            <w:r>
              <w:t xml:space="preserve">New-business journeys: uninsured recovery, new vehicle, conquest</w:t>
            </w:r>
          </w:p>
        </w:tc>
        <w:tc>
          <w:tcPr>
            <w:tcW w:w="4123" w:type="dxa"/>
            <w:vAlign w:val="top"/>
          </w:tcPr>
          <w:p>
            <w:pPr>
              <w:pStyle w:val="TableText"/>
              <w:jc w:val="left"/>
            </w:pPr>
            <w:r>
              <w:t xml:space="preserve">Growth beyond the small TASCO book</w:t>
            </w:r>
          </w:p>
        </w:tc>
      </w:tr>
      <w:tr>
        <w:trPr>
          <w:cantSplit/>
        </w:trPr>
        <w:tc>
          <w:tcPr>
            <w:tcW w:w="4904" w:type="dxa"/>
            <w:shd w:val="clear" w:color="auto" w:fill="F4F7FB"/>
            <w:vAlign w:val="top"/>
          </w:tcPr>
          <w:p>
            <w:pPr>
              <w:pStyle w:val="TableText"/>
              <w:jc w:val="left"/>
            </w:pPr>
            <w:r>
              <w:t xml:space="preserve">Ecosystem moments: tag activation, inspection booking, wallet top-up, long trip</w:t>
            </w:r>
          </w:p>
        </w:tc>
        <w:tc>
          <w:tcPr>
            <w:tcW w:w="4123" w:type="dxa"/>
            <w:shd w:val="clear" w:color="auto" w:fill="F4F7FB"/>
            <w:vAlign w:val="top"/>
          </w:tcPr>
          <w:p>
            <w:pPr>
              <w:pStyle w:val="TableText"/>
              <w:jc w:val="left"/>
            </w:pPr>
            <w:r>
              <w:t xml:space="preserve">Contact when the driver is receptive and in the app</w:t>
            </w:r>
          </w:p>
        </w:tc>
      </w:tr>
      <w:tr>
        <w:trPr>
          <w:cantSplit/>
        </w:trPr>
        <w:tc>
          <w:tcPr>
            <w:tcW w:w="4904" w:type="dxa"/>
            <w:vAlign w:val="top"/>
          </w:tcPr>
          <w:p>
            <w:pPr>
              <w:pStyle w:val="TableText"/>
              <w:jc w:val="left"/>
            </w:pPr>
            <w:r>
              <w:t xml:space="preserve">Partner API and commission statements</w:t>
            </w:r>
          </w:p>
        </w:tc>
        <w:tc>
          <w:tcPr>
            <w:tcW w:w="4123" w:type="dxa"/>
            <w:vAlign w:val="top"/>
          </w:tcPr>
          <w:p>
            <w:pPr>
              <w:pStyle w:val="TableText"/>
              <w:jc w:val="left"/>
            </w:pPr>
            <w:r>
              <w:t xml:space="preserve">Equips the channel that already closes most sales</w:t>
            </w:r>
          </w:p>
        </w:tc>
      </w:tr>
      <w:tr>
        <w:trPr>
          <w:cantSplit/>
        </w:trPr>
        <w:tc>
          <w:tcPr>
            <w:tcW w:w="4904" w:type="dxa"/>
            <w:shd w:val="clear" w:color="auto" w:fill="F4F7FB"/>
            <w:vAlign w:val="top"/>
          </w:tcPr>
          <w:p>
            <w:pPr>
              <w:pStyle w:val="TableText"/>
              <w:jc w:val="left"/>
            </w:pPr>
            <w:r>
              <w:t xml:space="preserve">Multi-product catalogue and bundles</w:t>
            </w:r>
          </w:p>
        </w:tc>
        <w:tc>
          <w:tcPr>
            <w:tcW w:w="4123" w:type="dxa"/>
            <w:shd w:val="clear" w:color="auto" w:fill="F4F7FB"/>
            <w:vAlign w:val="top"/>
          </w:tcPr>
          <w:p>
            <w:pPr>
              <w:pStyle w:val="TableText"/>
              <w:jc w:val="left"/>
            </w:pPr>
            <w:r>
              <w:t xml:space="preserve">Raises value per customer without discounting</w:t>
            </w:r>
          </w:p>
        </w:tc>
      </w:tr>
      <w:tr>
        <w:trPr>
          <w:cantSplit/>
        </w:trPr>
        <w:tc>
          <w:tcPr>
            <w:tcW w:w="4904" w:type="dxa"/>
            <w:vAlign w:val="top"/>
          </w:tcPr>
          <w:p>
            <w:pPr>
              <w:pStyle w:val="TableText"/>
              <w:jc w:val="left"/>
            </w:pPr>
            <w:r>
              <w:t xml:space="preserve">Public QR certificate verification</w:t>
            </w:r>
          </w:p>
        </w:tc>
        <w:tc>
          <w:tcPr>
            <w:tcW w:w="4123" w:type="dxa"/>
            <w:vAlign w:val="top"/>
          </w:tcPr>
          <w:p>
            <w:pPr>
              <w:pStyle w:val="TableText"/>
              <w:jc w:val="left"/>
            </w:pPr>
            <w:r>
              <w:t xml:space="preserve">Trust and proof of cover at roadside checks</w:t>
            </w:r>
          </w:p>
        </w:tc>
      </w:tr>
      <w:tr>
        <w:trPr>
          <w:cantSplit/>
        </w:trPr>
        <w:tc>
          <w:tcPr>
            <w:tcW w:w="4904" w:type="dxa"/>
            <w:shd w:val="clear" w:color="auto" w:fill="F4F7FB"/>
            <w:vAlign w:val="top"/>
          </w:tcPr>
          <w:p>
            <w:pPr>
              <w:pStyle w:val="TableText"/>
              <w:jc w:val="left"/>
            </w:pPr>
            <w:r>
              <w:t xml:space="preserve">Accident reporting in the app</w:t>
            </w:r>
          </w:p>
        </w:tc>
        <w:tc>
          <w:tcPr>
            <w:tcW w:w="4123" w:type="dxa"/>
            <w:shd w:val="clear" w:color="auto" w:fill="F4F7FB"/>
            <w:vAlign w:val="top"/>
          </w:tcPr>
          <w:p>
            <w:pPr>
              <w:pStyle w:val="TableText"/>
              <w:jc w:val="left"/>
            </w:pPr>
            <w:r>
              <w:t xml:space="preserve">Trust is earned at claim time</w:t>
            </w:r>
          </w:p>
        </w:tc>
      </w:tr>
      <w:tr>
        <w:trPr>
          <w:cantSplit/>
        </w:trPr>
        <w:tc>
          <w:tcPr>
            <w:tcW w:w="4904" w:type="dxa"/>
            <w:vAlign w:val="top"/>
          </w:tcPr>
          <w:p>
            <w:pPr>
              <w:pStyle w:val="TableText"/>
              <w:jc w:val="left"/>
            </w:pPr>
            <w:r>
              <w:t xml:space="preserve">Rules governance with simulation, maker-checker and rollback</w:t>
            </w:r>
          </w:p>
        </w:tc>
        <w:tc>
          <w:tcPr>
            <w:tcW w:w="4123" w:type="dxa"/>
            <w:vAlign w:val="top"/>
          </w:tcPr>
          <w:p>
            <w:pPr>
              <w:pStyle w:val="TableText"/>
              <w:jc w:val="left"/>
            </w:pPr>
            <w:r>
              <w:t xml:space="preserve">The business changes scoring, journeys and wording safely without a release</w:t>
            </w:r>
          </w:p>
        </w:tc>
      </w:tr>
      <w:tr>
        <w:trPr>
          <w:cantSplit/>
        </w:trPr>
        <w:tc>
          <w:tcPr>
            <w:tcW w:w="4904" w:type="dxa"/>
            <w:shd w:val="clear" w:color="auto" w:fill="F4F7FB"/>
            <w:vAlign w:val="top"/>
          </w:tcPr>
          <w:p>
            <w:pPr>
              <w:pStyle w:val="TableText"/>
              <w:jc w:val="left"/>
            </w:pPr>
            <w:r>
              <w:t xml:space="preserve">Copy guard</w:t>
            </w:r>
          </w:p>
        </w:tc>
        <w:tc>
          <w:tcPr>
            <w:tcW w:w="4123" w:type="dxa"/>
            <w:shd w:val="clear" w:color="auto" w:fill="F4F7FB"/>
            <w:vAlign w:val="top"/>
          </w:tcPr>
          <w:p>
            <w:pPr>
              <w:pStyle w:val="TableText"/>
              <w:jc w:val="left"/>
            </w:pPr>
            <w:r>
              <w:t xml:space="preserve">Discount language cannot reach customers</w:t>
            </w:r>
          </w:p>
        </w:tc>
      </w:tr>
      <w:tr>
        <w:trPr>
          <w:cantSplit/>
        </w:trPr>
        <w:tc>
          <w:tcPr>
            <w:tcW w:w="4904" w:type="dxa"/>
            <w:vAlign w:val="top"/>
          </w:tcPr>
          <w:p>
            <w:pPr>
              <w:pStyle w:val="TableText"/>
              <w:jc w:val="left"/>
            </w:pPr>
            <w:r>
              <w:t xml:space="preserve">Contact policy engine (consent, do-not-contact, hours, caps)</w:t>
            </w:r>
          </w:p>
        </w:tc>
        <w:tc>
          <w:tcPr>
            <w:tcW w:w="4123" w:type="dxa"/>
            <w:vAlign w:val="top"/>
          </w:tcPr>
          <w:p>
            <w:pPr>
              <w:pStyle w:val="TableText"/>
              <w:jc w:val="left"/>
            </w:pPr>
            <w:r>
              <w:t xml:space="preserve">Compliance with the spam rules by design</w:t>
            </w:r>
          </w:p>
        </w:tc>
      </w:tr>
      <w:tr>
        <w:trPr>
          <w:cantSplit/>
        </w:trPr>
        <w:tc>
          <w:tcPr>
            <w:tcW w:w="4904" w:type="dxa"/>
            <w:shd w:val="clear" w:color="auto" w:fill="F4F7FB"/>
            <w:vAlign w:val="top"/>
          </w:tcPr>
          <w:p>
            <w:pPr>
              <w:pStyle w:val="TableText"/>
              <w:jc w:val="left"/>
            </w:pPr>
            <w:r>
              <w:t xml:space="preserve">Data lineage, data-quality queue and steward corrections</w:t>
            </w:r>
          </w:p>
        </w:tc>
        <w:tc>
          <w:tcPr>
            <w:tcW w:w="4123" w:type="dxa"/>
            <w:shd w:val="clear" w:color="auto" w:fill="F4F7FB"/>
            <w:vAlign w:val="top"/>
          </w:tcPr>
          <w:p>
            <w:pPr>
              <w:pStyle w:val="TableText"/>
              <w:jc w:val="left"/>
            </w:pPr>
            <w:r>
              <w:t xml:space="preserve">Data repair becomes an operational process</w:t>
            </w:r>
          </w:p>
        </w:tc>
      </w:tr>
      <w:tr>
        <w:trPr>
          <w:cantSplit/>
        </w:trPr>
        <w:tc>
          <w:tcPr>
            <w:tcW w:w="4904" w:type="dxa"/>
            <w:vAlign w:val="top"/>
          </w:tcPr>
          <w:p>
            <w:pPr>
              <w:pStyle w:val="TableText"/>
              <w:jc w:val="left"/>
            </w:pPr>
            <w:r>
              <w:t xml:space="preserve">Tamper-evident audit trail</w:t>
            </w:r>
          </w:p>
        </w:tc>
        <w:tc>
          <w:tcPr>
            <w:tcW w:w="4123" w:type="dxa"/>
            <w:vAlign w:val="top"/>
          </w:tcPr>
          <w:p>
            <w:pPr>
              <w:pStyle w:val="TableText"/>
              <w:jc w:val="left"/>
            </w:pPr>
            <w:r>
              <w:t xml:space="preserve">Accountability that stands up to a regulator</w:t>
            </w:r>
          </w:p>
        </w:tc>
      </w:tr>
      <w:tr>
        <w:trPr>
          <w:cantSplit/>
        </w:trPr>
        <w:tc>
          <w:tcPr>
            <w:tcW w:w="4904" w:type="dxa"/>
            <w:shd w:val="clear" w:color="auto" w:fill="F4F7FB"/>
            <w:vAlign w:val="top"/>
          </w:tcPr>
          <w:p>
            <w:pPr>
              <w:pStyle w:val="TableText"/>
              <w:jc w:val="left"/>
            </w:pPr>
            <w:r>
              <w:t xml:space="preserve">Data-subject rights: a register of access and erasure requests with due times, export, erasure, consent centre</w:t>
            </w:r>
          </w:p>
        </w:tc>
        <w:tc>
          <w:tcPr>
            <w:tcW w:w="4123" w:type="dxa"/>
            <w:shd w:val="clear" w:color="auto" w:fill="F4F7FB"/>
            <w:vAlign w:val="top"/>
          </w:tcPr>
          <w:p>
            <w:pPr>
              <w:pStyle w:val="TableText"/>
              <w:jc w:val="left"/>
            </w:pPr>
            <w:r>
              <w:t xml:space="preserve">Readiness for the Personal Data Protection Law</w:t>
            </w:r>
          </w:p>
        </w:tc>
      </w:tr>
      <w:tr>
        <w:trPr>
          <w:cantSplit/>
        </w:trPr>
        <w:tc>
          <w:tcPr>
            <w:tcW w:w="4904" w:type="dxa"/>
            <w:vAlign w:val="top"/>
          </w:tcPr>
          <w:p>
            <w:pPr>
              <w:pStyle w:val="TableText"/>
              <w:jc w:val="left"/>
            </w:pPr>
            <w:r>
              <w:t xml:space="preserve">Quick renewal in three steps when nothing has changed</w:t>
            </w:r>
          </w:p>
        </w:tc>
        <w:tc>
          <w:tcPr>
            <w:tcW w:w="4123" w:type="dxa"/>
            <w:vAlign w:val="top"/>
          </w:tcPr>
          <w:p>
            <w:pPr>
              <w:pStyle w:val="TableText"/>
              <w:jc w:val="left"/>
            </w:pPr>
            <w:r>
              <w:t xml:space="preserve">Renewal without repeating the whole purchase</w:t>
            </w:r>
          </w:p>
        </w:tc>
      </w:tr>
      <w:tr>
        <w:trPr>
          <w:cantSplit/>
        </w:trPr>
        <w:tc>
          <w:tcPr>
            <w:tcW w:w="4904" w:type="dxa"/>
            <w:shd w:val="clear" w:color="auto" w:fill="F4F7FB"/>
            <w:vAlign w:val="top"/>
          </w:tcPr>
          <w:p>
            <w:pPr>
              <w:pStyle w:val="TableText"/>
              <w:jc w:val="left"/>
            </w:pPr>
            <w:r>
              <w:t xml:space="preserve">Economics on the dashboard</w:t>
            </w:r>
          </w:p>
        </w:tc>
        <w:tc>
          <w:tcPr>
            <w:tcW w:w="4123" w:type="dxa"/>
            <w:shd w:val="clear" w:color="auto" w:fill="F4F7FB"/>
            <w:vAlign w:val="top"/>
          </w:tcPr>
          <w:p>
            <w:pPr>
              <w:pStyle w:val="TableText"/>
              <w:jc w:val="left"/>
            </w:pPr>
            <w:r>
              <w:t xml:space="preserve">Cost per order and the assistant’s saving visible every day</w:t>
            </w:r>
          </w:p>
        </w:tc>
      </w:tr>
      <w:tr>
        <w:trPr>
          <w:cantSplit/>
        </w:trPr>
        <w:tc>
          <w:tcPr>
            <w:tcW w:w="4904" w:type="dxa"/>
            <w:vAlign w:val="top"/>
          </w:tcPr>
          <w:p>
            <w:pPr>
              <w:pStyle w:val="TableText"/>
              <w:jc w:val="left"/>
            </w:pPr>
            <w:r>
              <w:t xml:space="preserve">Multi-year cover aligned with the inspection cycle</w:t>
            </w:r>
          </w:p>
        </w:tc>
        <w:tc>
          <w:tcPr>
            <w:tcW w:w="4123" w:type="dxa"/>
            <w:vAlign w:val="top"/>
          </w:tcPr>
          <w:p>
            <w:pPr>
              <w:pStyle w:val="TableText"/>
              <w:jc w:val="left"/>
            </w:pPr>
            <w:r>
              <w:t xml:space="preserve">Fewer renewals to win; convenience for the driver</w:t>
            </w:r>
          </w:p>
        </w:tc>
      </w:tr>
      <w:tr>
        <w:trPr>
          <w:cantSplit/>
        </w:trPr>
        <w:tc>
          <w:tcPr>
            <w:tcW w:w="4904" w:type="dxa"/>
            <w:shd w:val="clear" w:color="auto" w:fill="F4F7FB"/>
            <w:vAlign w:val="top"/>
          </w:tcPr>
          <w:p>
            <w:pPr>
              <w:pStyle w:val="TableText"/>
              <w:jc w:val="left"/>
            </w:pPr>
            <w:r>
              <w:t xml:space="preserve">TASCO core as master for products and rating</w:t>
            </w:r>
          </w:p>
        </w:tc>
        <w:tc>
          <w:tcPr>
            <w:tcW w:w="4123" w:type="dxa"/>
            <w:shd w:val="clear" w:color="auto" w:fill="F4F7FB"/>
            <w:vAlign w:val="top"/>
          </w:tcPr>
          <w:p>
            <w:pPr>
              <w:pStyle w:val="TableText"/>
              <w:jc w:val="left"/>
            </w:pPr>
            <w:r>
              <w:t xml:space="preserve">No duplicated tariffs; the premium quoted is the premium issued</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53" w:name="_Toc300000049"/>
      <w:r>
        <w:rPr>
          <w:rStyle w:val="BookTitle"/>
          <w:bCs w:val="0"/>
          <w:i w:val="0"/>
          <w:iCs w:val="0"/>
          <w:spacing w:val="0"/>
        </w:rPr>
        <w:t xml:space="preserve">Sign-Off</w:t>
      </w:r>
      <w:bookmarkEnd w:id="5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827"/>
        <w:gridCol w:w="2256"/>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827"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256"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TNDS tariff figures from Decree 67/2023/ND-CP confirmed for use in the platform</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Underwriting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Statutory commission caps by product confirmed</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Finance and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Contact policy, consent basis and personal data processing confirmed (to be confirmed by TASCO legal)</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VETC data-sharing basis for marketing use agreed</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VETC</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Group position on VETC multi-insurer neutrality</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group executive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6</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Business-case assumptions A-01 to A-14 replaced or confirmed with TASCO data</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Finance and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7</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Loyalty points and referral programme approved or rejected</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32"/>
        <w:gridCol w:w="1624"/>
        <w:gridCol w:w="2545"/>
        <w:gridCol w:w="3826"/>
      </w:tblGrid>
      <w:tr w:rsidR="002B183A" w14:paraId="731A77C7" w14:textId="77777777" w:rsidTr="002923F3">
        <w:trPr>
          <w:cantSplit/>
          <w:trHeight w:val="440"/>
          <w:tblHeader/>
        </w:trPr>
        <w:tc>
          <w:tcPr>
            <w:tcW w:w="1032"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24"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545"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82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3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24"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45"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82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3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24"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45"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82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Head of Motor Distribution</w:t>
            </w:r>
          </w:p>
        </w:tc>
      </w:tr>
      <w:tr w:rsidR="002B183A" w:rsidRPr="00BB346A" w14:paraId="2AD1806B" w14:textId="77777777" w:rsidTr="002923F3">
        <w:trPr>
          <w:cantSplit/>
          <w:trHeight w:val="760"/>
        </w:trPr>
        <w:tc>
          <w:tcPr>
            <w:tcW w:w="1032"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24"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45"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82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Consulting</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hyperlink" Target="mailto:info@baohiemtasco.vn" TargetMode="External"/><Relationship Id="rIdG2" Type="http://schemas.openxmlformats.org/officeDocument/2006/relationships/image" Target="media/body_001.png"/><Relationship Id="rIdG3" Type="http://schemas.openxmlformats.org/officeDocument/2006/relationships/image" Target="media/body_002.png"/><Relationship Id="rIdG4" Type="http://schemas.openxmlformats.org/officeDocument/2006/relationships/image" Target="media/body_003.png"/><Relationship Id="rIdG5" Type="http://schemas.openxmlformats.org/officeDocument/2006/relationships/image" Target="media/body_004.png"/><Relationship Id="rIdG6" Type="http://schemas.openxmlformats.org/officeDocument/2006/relationships/image" Target="media/body_005.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Context and Growth Strategy</dc:title>
  <dc:subject>TGP-BUS-01</dc:subject>
  <dc:creator>iorta TechNXT</dc:creator>
  <cp:keywords>TGP-BUS-01; TASCO Insurance; iorta TechNXT</cp:keywords>
  <dc:description>TASCO Motor Insurance Growth Platform</dc:description>
  <cp:lastModifiedBy>iorta TechNXT</cp:lastModifiedBy>
  <cp:revision>1</cp:revision>
  <dcterms:created xsi:type="dcterms:W3CDTF">2026-10-08T03:54:34Z</dcterms:created>
  <dcterms:modified xsi:type="dcterms:W3CDTF">2026-10-08T03:54:34Z</dcterms:modified>
</cp:coreProperties>
</file>