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576000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37820"/>
                        </a:xfrm>
                        <a:prstGeom prst="rect">
                          <a:avLst/>
                        </a:prstGeom>
                        <a:noFill/>
                        <a:ln w="9525">
                          <a:noFill/>
                          <a:miter lim="800000"/>
                          <a:headEnd/>
                          <a:tailEnd/>
                        </a:ln>
                      </wps:spPr>
                      <wps:txbx>
                        <w:txbxContent>
                          <w:p w14:paraId="54FA1EBF" w14:textId="6A6CA9D8" w:rsidR="00913938" w:rsidRPr="00851AA2" w:rsidRDefault="002D24EB" w:rsidP="00913938">
                            <w:pPr>
                              <w:jc w:val="center"/>
                              <w:rPr>
                                <w:b/>
                                <w:bCs/>
                                <w:color w:val="071B2C"/>
                                <w:sz w:val="28"/>
                                <w:szCs w:val="28"/>
                              </w:rPr>
                            </w:pPr>
                            <w:r>
                              <w:rPr>
                                <w:b/>
                                <w:bCs/>
                                <w:color w:val="071B2C"/>
                                <w:sz w:val="28"/>
                                <w:szCs w:val="28"/>
                              </w:rPr>
                              <w:t xml:space="preserve">TASCO Motor Insurance Growth Platform · TGP-BUS-03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5760000" cy="476885"/>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76885"/>
                        </a:xfrm>
                        <a:prstGeom prst="rect">
                          <a:avLst/>
                        </a:prstGeom>
                        <a:noFill/>
                        <a:ln w="9525">
                          <a:noFill/>
                          <a:miter lim="800000"/>
                          <a:headEnd/>
                          <a:tailEnd/>
                        </a:ln>
                      </wps:spPr>
                      <wps:txbx>
                        <w:txbxContent>
                          <w:p w14:paraId="539063F1" w14:textId="4B04DDEF" w:rsidR="003F0D95" w:rsidRPr="00E75E19" w:rsidRDefault="003F0D95" w:rsidP="003F0D95">
                            <w:pPr>
                              <w:jc w:val="center"/>
                              <w:rPr>
                                <w:b/>
                                <w:bCs/>
                                <w:color w:val="1D74BA"/>
                                <w:sz w:val="44"/>
                                <w:szCs w:val="44"/>
                                <w:lang w:val="en-MY"/>
                              </w:rPr>
                            </w:pPr>
                            <w:r>
                              <w:rPr>
                                <w:b/>
                                <w:bCs/>
                                <w:color w:val="1D74BA"/>
                                <w:sz w:val="44"/>
                                <w:szCs w:val="44"/>
                                <w:lang w:val="en-MY"/>
                              </w:rPr>
                              <w:t xml:space="preserve">Non-Functional Requirements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4791400</wp:posOffset>
                </wp:positionH>
                <wp:positionV relativeFrom="paragraph">
                  <wp:posOffset>4124960</wp:posOffset>
                </wp:positionV>
                <wp:extent cx="26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3064779C" w14:textId="169D6E01" w:rsidR="003C3BF4" w:rsidRPr="002F15FD" w:rsidRDefault="0064254C" w:rsidP="003C3BF4">
                            <w:pPr>
                              <w:jc w:val="right"/>
                              <w:rPr>
                                <w:b/>
                                <w:bCs/>
                                <w:color w:val="1D74BA"/>
                              </w:rPr>
                            </w:pPr>
                            <w:r>
                              <w:rPr>
                                <w:color w:val="1D74BA"/>
                              </w:rPr>
                              <w:t xml:space="preserve">Date – </w:t>
                            </w:r>
                            <w:r>
                              <w:rPr>
                                <w:b/>
                                <w:bCs/>
                                <w:color w:val="1D74BA"/>
                              </w:rPr>
                              <w:t xml:space="preserve">08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2930472</wp:posOffset>
                </wp:positionH>
                <wp:positionV relativeFrom="paragraph">
                  <wp:posOffset>4124960</wp:posOffset>
                </wp:positionV>
                <wp:extent cx="17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0" cy="266700"/>
                        </a:xfrm>
                        <a:prstGeom prst="rect">
                          <a:avLst/>
                        </a:prstGeom>
                        <a:noFill/>
                        <a:ln w="9525">
                          <a:noFill/>
                          <a:miter lim="800000"/>
                          <a:headEnd/>
                          <a:tailEnd/>
                        </a:ln>
                      </wps:spPr>
                      <wps:txbx>
                        <w:txbxContent>
                          <w:p w14:paraId="1A3BCAB9" w14:textId="1233059B" w:rsidR="003C3BF4" w:rsidRPr="002F15FD" w:rsidRDefault="003C3BF4" w:rsidP="003C3BF4">
                            <w:pPr>
                              <w:jc w:val="center"/>
                              <w:rPr>
                                <w:b/>
                                <w:bCs/>
                                <w:color w:val="1D74BA"/>
                              </w:rPr>
                            </w:pPr>
                            <w:r>
                              <w:rPr>
                                <w:color w:val="1D74BA"/>
                              </w:rPr>
                              <w:t xml:space="preserve">Version – </w:t>
                            </w:r>
                            <w:r>
                              <w:rPr>
                                <w:b/>
                                <w:bCs/>
                                <w:color w:val="1D74BA"/>
                              </w:rPr>
                              <w:t xml:space="preserve">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3000000" cy="266700"/>
                <wp:effectExtent l="0" t="0" r="0" b="0"/>
                <wp:wrapSquare wrapText="bothSides"/>
                <wp:docPr id="5001"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Pr>
                                <w:color w:val="1D74BA"/>
                              </w:rPr>
                              <w:t xml:space="preserve">Prepared by – </w:t>
                            </w:r>
                            <w:r>
                              <w:rPr>
                                <w:b/>
                                <w:bCs/>
                                <w:color w:val="1D74BA"/>
                              </w:rPr>
                              <w:t xml:space="preserve">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pPr>
        <w:pStyle w:val="TOC1"/>
      </w:pPr>
      <w:r>
        <w:rPr>
          <w:noProof/>
        </w:rPr>
        <w:fldChar w:fldCharType="begin"/>
      </w:r>
      <w:r>
        <w:rPr>
          <w:noProof/>
        </w:rPr>
        <w:instrText xml:space="preserve"> TOC \o "1-3" \h \z \u </w:instrText>
      </w:r>
      <w:r>
        <w:rPr>
          <w:noProof/>
        </w:rPr>
        <w:fldChar w:fldCharType="separate"/>
      </w:r>
      <w:hyperlink w:anchor="_Toc300000001" w:history="1">
        <w:r>
          <w:rPr>
            <w:noProof/>
          </w:rPr>
          <w:t>1.</w:t>
        </w:r>
        <w:r>
          <w:rPr>
            <w:noProof/>
          </w:rPr>
          <w:tab/>
        </w:r>
        <w:r>
          <w:rPr>
            <w:noProof/>
          </w:rPr>
          <w:t xml:space="preserve">Document Control</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3</w:t>
        </w:r>
        <w:r>
          <w:rPr>
            <w:noProof/>
            <w:webHidden/>
          </w:rPr>
          <w:fldChar w:fldCharType="end"/>
        </w:r>
      </w:hyperlink>
    </w:p>
    <w:p>
      <w:pPr>
        <w:pStyle w:val="TOC1"/>
      </w:pPr>
      <w:hyperlink w:anchor="_Toc300000002" w:history="1">
        <w:r>
          <w:rPr>
            <w:noProof/>
          </w:rPr>
          <w:t>2.</w:t>
        </w:r>
        <w:r>
          <w:rPr>
            <w:noProof/>
          </w:rPr>
          <w:tab/>
        </w:r>
        <w:r>
          <w:rPr>
            <w:noProof/>
          </w:rPr>
          <w:t xml:space="preserve">Acronyms</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3</w:t>
        </w:r>
        <w:r>
          <w:rPr>
            <w:noProof/>
            <w:webHidden/>
          </w:rPr>
          <w:fldChar w:fldCharType="end"/>
        </w:r>
      </w:hyperlink>
    </w:p>
    <w:p>
      <w:pPr>
        <w:pStyle w:val="TOC1"/>
      </w:pPr>
      <w:hyperlink w:anchor="_Toc300000003" w:history="1">
        <w:r>
          <w:rPr>
            <w:noProof/>
          </w:rPr>
          <w:t>3.</w:t>
        </w:r>
        <w:r>
          <w:rPr>
            <w:noProof/>
          </w:rPr>
          <w:tab/>
        </w:r>
        <w:r>
          <w:rPr>
            <w:noProof/>
          </w:rPr>
          <w:t xml:space="preserve">Introduction</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5</w:t>
        </w:r>
        <w:r>
          <w:rPr>
            <w:noProof/>
            <w:webHidden/>
          </w:rPr>
          <w:fldChar w:fldCharType="end"/>
        </w:r>
      </w:hyperlink>
    </w:p>
    <w:p>
      <w:pPr>
        <w:pStyle w:val="TOC2"/>
      </w:pPr>
      <w:hyperlink w:anchor="_Toc300000004" w:history="1">
        <w:r>
          <w:rPr>
            <w:noProof/>
          </w:rPr>
          <w:t>3.1.</w:t>
        </w:r>
        <w:r>
          <w:rPr>
            <w:noProof/>
          </w:rPr>
          <w:tab/>
        </w:r>
        <w:r>
          <w:rPr>
            <w:noProof/>
          </w:rPr>
          <w:t xml:space="preserve">Purpose</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5</w:t>
        </w:r>
        <w:r>
          <w:rPr>
            <w:noProof/>
            <w:webHidden/>
          </w:rPr>
          <w:fldChar w:fldCharType="end"/>
        </w:r>
      </w:hyperlink>
    </w:p>
    <w:p>
      <w:pPr>
        <w:pStyle w:val="TOC2"/>
      </w:pPr>
      <w:hyperlink w:anchor="_Toc300000005" w:history="1">
        <w:r>
          <w:rPr>
            <w:noProof/>
          </w:rPr>
          <w:t>3.2.</w:t>
        </w:r>
        <w:r>
          <w:rPr>
            <w:noProof/>
          </w:rPr>
          <w:tab/>
        </w:r>
        <w:r>
          <w:rPr>
            <w:noProof/>
          </w:rPr>
          <w:t xml:space="preserve">Scope</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5</w:t>
        </w:r>
        <w:r>
          <w:rPr>
            <w:noProof/>
            <w:webHidden/>
          </w:rPr>
          <w:fldChar w:fldCharType="end"/>
        </w:r>
      </w:hyperlink>
    </w:p>
    <w:p>
      <w:pPr>
        <w:pStyle w:val="TOC2"/>
      </w:pPr>
      <w:hyperlink w:anchor="_Toc300000006" w:history="1">
        <w:r>
          <w:rPr>
            <w:noProof/>
          </w:rPr>
          <w:t>3.3.</w:t>
        </w:r>
        <w:r>
          <w:rPr>
            <w:noProof/>
          </w:rPr>
          <w:tab/>
        </w:r>
        <w:r>
          <w:rPr>
            <w:noProof/>
          </w:rPr>
          <w:t xml:space="preserve">Audience</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5</w:t>
        </w:r>
        <w:r>
          <w:rPr>
            <w:noProof/>
            <w:webHidden/>
          </w:rPr>
          <w:fldChar w:fldCharType="end"/>
        </w:r>
      </w:hyperlink>
    </w:p>
    <w:p>
      <w:pPr>
        <w:pStyle w:val="TOC2"/>
      </w:pPr>
      <w:hyperlink w:anchor="_Toc300000007" w:history="1">
        <w:r>
          <w:rPr>
            <w:noProof/>
          </w:rPr>
          <w:t>3.4.</w:t>
        </w:r>
        <w:r>
          <w:rPr>
            <w:noProof/>
          </w:rPr>
          <w:tab/>
        </w:r>
        <w:r>
          <w:rPr>
            <w:noProof/>
          </w:rPr>
          <w:t xml:space="preserve">Related documents</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5</w:t>
        </w:r>
        <w:r>
          <w:rPr>
            <w:noProof/>
            <w:webHidden/>
          </w:rPr>
          <w:fldChar w:fldCharType="end"/>
        </w:r>
      </w:hyperlink>
    </w:p>
    <w:p>
      <w:pPr>
        <w:pStyle w:val="TOC2"/>
      </w:pPr>
      <w:hyperlink w:anchor="_Toc300000008" w:history="1">
        <w:r>
          <w:rPr>
            <w:noProof/>
          </w:rPr>
          <w:t>3.5.</w:t>
        </w:r>
        <w:r>
          <w:rPr>
            <w:noProof/>
          </w:rPr>
          <w:tab/>
        </w:r>
        <w:r>
          <w:rPr>
            <w:noProof/>
          </w:rPr>
          <w:t xml:space="preserve">Conventions and baseline</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5</w:t>
        </w:r>
        <w:r>
          <w:rPr>
            <w:noProof/>
            <w:webHidden/>
          </w:rPr>
          <w:fldChar w:fldCharType="end"/>
        </w:r>
      </w:hyperlink>
    </w:p>
    <w:p>
      <w:pPr>
        <w:pStyle w:val="TOC2"/>
      </w:pPr>
      <w:hyperlink w:anchor="_Toc300000009" w:history="1">
        <w:r>
          <w:rPr>
            <w:noProof/>
          </w:rPr>
          <w:t>3.6.</w:t>
        </w:r>
        <w:r>
          <w:rPr>
            <w:noProof/>
          </w:rPr>
          <w:tab/>
        </w:r>
        <w:r>
          <w:rPr>
            <w:noProof/>
          </w:rPr>
          <w:t xml:space="preserve">Workload model</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5</w:t>
        </w:r>
        <w:r>
          <w:rPr>
            <w:noProof/>
            <w:webHidden/>
          </w:rPr>
          <w:fldChar w:fldCharType="end"/>
        </w:r>
      </w:hyperlink>
    </w:p>
    <w:p>
      <w:pPr>
        <w:pStyle w:val="TOC1"/>
      </w:pPr>
      <w:hyperlink w:anchor="_Toc300000010" w:history="1">
        <w:r>
          <w:rPr>
            <w:noProof/>
          </w:rPr>
          <w:t>4.</w:t>
        </w:r>
        <w:r>
          <w:rPr>
            <w:noProof/>
          </w:rPr>
          <w:tab/>
        </w:r>
        <w:r>
          <w:rPr>
            <w:noProof/>
          </w:rPr>
          <w:t xml:space="preserve">Performance</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6</w:t>
        </w:r>
        <w:r>
          <w:rPr>
            <w:noProof/>
            <w:webHidden/>
          </w:rPr>
          <w:fldChar w:fldCharType="end"/>
        </w:r>
      </w:hyperlink>
    </w:p>
    <w:p>
      <w:pPr>
        <w:pStyle w:val="TOC1"/>
      </w:pPr>
      <w:hyperlink w:anchor="_Toc300000011" w:history="1">
        <w:r>
          <w:rPr>
            <w:noProof/>
          </w:rPr>
          <w:t>5.</w:t>
        </w:r>
        <w:r>
          <w:rPr>
            <w:noProof/>
          </w:rPr>
          <w:tab/>
        </w:r>
        <w:r>
          <w:rPr>
            <w:noProof/>
          </w:rPr>
          <w:t xml:space="preserve">Scalability</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7</w:t>
        </w:r>
        <w:r>
          <w:rPr>
            <w:noProof/>
            <w:webHidden/>
          </w:rPr>
          <w:fldChar w:fldCharType="end"/>
        </w:r>
      </w:hyperlink>
    </w:p>
    <w:p>
      <w:pPr>
        <w:pStyle w:val="TOC1"/>
      </w:pPr>
      <w:hyperlink w:anchor="_Toc300000012" w:history="1">
        <w:r>
          <w:rPr>
            <w:noProof/>
          </w:rPr>
          <w:t>6.</w:t>
        </w:r>
        <w:r>
          <w:rPr>
            <w:noProof/>
          </w:rPr>
          <w:tab/>
        </w:r>
        <w:r>
          <w:rPr>
            <w:noProof/>
          </w:rPr>
          <w:t xml:space="preserve">Availability and resilience</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8</w:t>
        </w:r>
        <w:r>
          <w:rPr>
            <w:noProof/>
            <w:webHidden/>
          </w:rPr>
          <w:fldChar w:fldCharType="end"/>
        </w:r>
      </w:hyperlink>
    </w:p>
    <w:p>
      <w:pPr>
        <w:pStyle w:val="TOC1"/>
      </w:pPr>
      <w:hyperlink w:anchor="_Toc300000013" w:history="1">
        <w:r>
          <w:rPr>
            <w:noProof/>
          </w:rPr>
          <w:t>7.</w:t>
        </w:r>
        <w:r>
          <w:rPr>
            <w:noProof/>
          </w:rPr>
          <w:tab/>
        </w:r>
        <w:r>
          <w:rPr>
            <w:noProof/>
          </w:rPr>
          <w:t xml:space="preserve">Security</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8</w:t>
        </w:r>
        <w:r>
          <w:rPr>
            <w:noProof/>
            <w:webHidden/>
          </w:rPr>
          <w:fldChar w:fldCharType="end"/>
        </w:r>
      </w:hyperlink>
    </w:p>
    <w:p>
      <w:pPr>
        <w:pStyle w:val="TOC1"/>
      </w:pPr>
      <w:hyperlink w:anchor="_Toc300000014" w:history="1">
        <w:r>
          <w:rPr>
            <w:noProof/>
          </w:rPr>
          <w:t>8.</w:t>
        </w:r>
        <w:r>
          <w:rPr>
            <w:noProof/>
          </w:rPr>
          <w:tab/>
        </w:r>
        <w:r>
          <w:rPr>
            <w:noProof/>
          </w:rPr>
          <w:t xml:space="preserve">Privacy and data protection</w:t>
        </w:r>
        <w:r>
          <w:rPr>
            <w:noProof/>
            <w:webHidden/>
          </w:rPr>
          <w:tab/>
        </w:r>
        <w:r>
          <w:rPr>
            <w:noProof/>
            <w:webHidden/>
          </w:rPr>
          <w:fldChar w:fldCharType="begin"/>
        </w:r>
        <w:r>
          <w:rPr>
            <w:noProof/>
            <w:webHidden/>
          </w:rPr>
          <w:instrText xml:space="preserve"> PAGEREF _Toc300000014 \h </w:instrText>
        </w:r>
        <w:r>
          <w:rPr>
            <w:noProof/>
            <w:webHidden/>
          </w:rPr>
          <w:fldChar w:fldCharType="separate"/>
        </w:r>
        <w:r>
          <w:rPr>
            <w:noProof/>
            <w:webHidden/>
          </w:rPr>
          <w:t>10</w:t>
        </w:r>
        <w:r>
          <w:rPr>
            <w:noProof/>
            <w:webHidden/>
          </w:rPr>
          <w:fldChar w:fldCharType="end"/>
        </w:r>
      </w:hyperlink>
    </w:p>
    <w:p>
      <w:pPr>
        <w:pStyle w:val="TOC1"/>
      </w:pPr>
      <w:hyperlink w:anchor="_Toc300000015" w:history="1">
        <w:r>
          <w:rPr>
            <w:noProof/>
          </w:rPr>
          <w:t>9.</w:t>
        </w:r>
        <w:r>
          <w:rPr>
            <w:noProof/>
          </w:rPr>
          <w:tab/>
        </w:r>
        <w:r>
          <w:rPr>
            <w:noProof/>
          </w:rPr>
          <w:t xml:space="preserve">Accessibility and usability</w:t>
        </w:r>
        <w:r>
          <w:rPr>
            <w:noProof/>
            <w:webHidden/>
          </w:rPr>
          <w:tab/>
        </w:r>
        <w:r>
          <w:rPr>
            <w:noProof/>
            <w:webHidden/>
          </w:rPr>
          <w:fldChar w:fldCharType="begin"/>
        </w:r>
        <w:r>
          <w:rPr>
            <w:noProof/>
            <w:webHidden/>
          </w:rPr>
          <w:instrText xml:space="preserve"> PAGEREF _Toc300000015 \h </w:instrText>
        </w:r>
        <w:r>
          <w:rPr>
            <w:noProof/>
            <w:webHidden/>
          </w:rPr>
          <w:fldChar w:fldCharType="separate"/>
        </w:r>
        <w:r>
          <w:rPr>
            <w:noProof/>
            <w:webHidden/>
          </w:rPr>
          <w:t>12</w:t>
        </w:r>
        <w:r>
          <w:rPr>
            <w:noProof/>
            <w:webHidden/>
          </w:rPr>
          <w:fldChar w:fldCharType="end"/>
        </w:r>
      </w:hyperlink>
    </w:p>
    <w:p>
      <w:pPr>
        <w:pStyle w:val="TOC1"/>
      </w:pPr>
      <w:hyperlink w:anchor="_Toc300000016" w:history="1">
        <w:r>
          <w:rPr>
            <w:noProof/>
          </w:rPr>
          <w:t>10.</w:t>
        </w:r>
        <w:r>
          <w:rPr>
            <w:noProof/>
          </w:rPr>
          <w:tab/>
        </w:r>
        <w:r>
          <w:rPr>
            <w:noProof/>
          </w:rPr>
          <w:t xml:space="preserve">Localisation</w:t>
        </w:r>
        <w:r>
          <w:rPr>
            <w:noProof/>
            <w:webHidden/>
          </w:rPr>
          <w:tab/>
        </w:r>
        <w:r>
          <w:rPr>
            <w:noProof/>
            <w:webHidden/>
          </w:rPr>
          <w:fldChar w:fldCharType="begin"/>
        </w:r>
        <w:r>
          <w:rPr>
            <w:noProof/>
            <w:webHidden/>
          </w:rPr>
          <w:instrText xml:space="preserve"> PAGEREF _Toc300000016 \h </w:instrText>
        </w:r>
        <w:r>
          <w:rPr>
            <w:noProof/>
            <w:webHidden/>
          </w:rPr>
          <w:fldChar w:fldCharType="separate"/>
        </w:r>
        <w:r>
          <w:rPr>
            <w:noProof/>
            <w:webHidden/>
          </w:rPr>
          <w:t>13</w:t>
        </w:r>
        <w:r>
          <w:rPr>
            <w:noProof/>
            <w:webHidden/>
          </w:rPr>
          <w:fldChar w:fldCharType="end"/>
        </w:r>
      </w:hyperlink>
    </w:p>
    <w:p>
      <w:pPr>
        <w:pStyle w:val="TOC1"/>
      </w:pPr>
      <w:hyperlink w:anchor="_Toc300000017" w:history="1">
        <w:r>
          <w:rPr>
            <w:noProof/>
          </w:rPr>
          <w:t>11.</w:t>
        </w:r>
        <w:r>
          <w:rPr>
            <w:noProof/>
          </w:rPr>
          <w:tab/>
        </w:r>
        <w:r>
          <w:rPr>
            <w:noProof/>
          </w:rPr>
          <w:t xml:space="preserve">Maintainability and quality</w:t>
        </w:r>
        <w:r>
          <w:rPr>
            <w:noProof/>
            <w:webHidden/>
          </w:rPr>
          <w:tab/>
        </w:r>
        <w:r>
          <w:rPr>
            <w:noProof/>
            <w:webHidden/>
          </w:rPr>
          <w:fldChar w:fldCharType="begin"/>
        </w:r>
        <w:r>
          <w:rPr>
            <w:noProof/>
            <w:webHidden/>
          </w:rPr>
          <w:instrText xml:space="preserve"> PAGEREF _Toc300000017 \h </w:instrText>
        </w:r>
        <w:r>
          <w:rPr>
            <w:noProof/>
            <w:webHidden/>
          </w:rPr>
          <w:fldChar w:fldCharType="separate"/>
        </w:r>
        <w:r>
          <w:rPr>
            <w:noProof/>
            <w:webHidden/>
          </w:rPr>
          <w:t>13</w:t>
        </w:r>
        <w:r>
          <w:rPr>
            <w:noProof/>
            <w:webHidden/>
          </w:rPr>
          <w:fldChar w:fldCharType="end"/>
        </w:r>
      </w:hyperlink>
    </w:p>
    <w:p>
      <w:pPr>
        <w:pStyle w:val="TOC1"/>
      </w:pPr>
      <w:hyperlink w:anchor="_Toc300000018" w:history="1">
        <w:r>
          <w:rPr>
            <w:noProof/>
          </w:rPr>
          <w:t>12.</w:t>
        </w:r>
        <w:r>
          <w:rPr>
            <w:noProof/>
          </w:rPr>
          <w:tab/>
        </w:r>
        <w:r>
          <w:rPr>
            <w:noProof/>
          </w:rPr>
          <w:t xml:space="preserve">Observability</w:t>
        </w:r>
        <w:r>
          <w:rPr>
            <w:noProof/>
            <w:webHidden/>
          </w:rPr>
          <w:tab/>
        </w:r>
        <w:r>
          <w:rPr>
            <w:noProof/>
            <w:webHidden/>
          </w:rPr>
          <w:fldChar w:fldCharType="begin"/>
        </w:r>
        <w:r>
          <w:rPr>
            <w:noProof/>
            <w:webHidden/>
          </w:rPr>
          <w:instrText xml:space="preserve"> PAGEREF _Toc300000018 \h </w:instrText>
        </w:r>
        <w:r>
          <w:rPr>
            <w:noProof/>
            <w:webHidden/>
          </w:rPr>
          <w:fldChar w:fldCharType="separate"/>
        </w:r>
        <w:r>
          <w:rPr>
            <w:noProof/>
            <w:webHidden/>
          </w:rPr>
          <w:t>14</w:t>
        </w:r>
        <w:r>
          <w:rPr>
            <w:noProof/>
            <w:webHidden/>
          </w:rPr>
          <w:fldChar w:fldCharType="end"/>
        </w:r>
      </w:hyperlink>
    </w:p>
    <w:p>
      <w:pPr>
        <w:pStyle w:val="TOC1"/>
      </w:pPr>
      <w:hyperlink w:anchor="_Toc300000019" w:history="1">
        <w:r>
          <w:rPr>
            <w:noProof/>
          </w:rPr>
          <w:t>13.</w:t>
        </w:r>
        <w:r>
          <w:rPr>
            <w:noProof/>
          </w:rPr>
          <w:tab/>
        </w:r>
        <w:r>
          <w:rPr>
            <w:noProof/>
          </w:rPr>
          <w:t xml:space="preserve">Disaster recovery and backup</w:t>
        </w:r>
        <w:r>
          <w:rPr>
            <w:noProof/>
            <w:webHidden/>
          </w:rPr>
          <w:tab/>
        </w:r>
        <w:r>
          <w:rPr>
            <w:noProof/>
            <w:webHidden/>
          </w:rPr>
          <w:fldChar w:fldCharType="begin"/>
        </w:r>
        <w:r>
          <w:rPr>
            <w:noProof/>
            <w:webHidden/>
          </w:rPr>
          <w:instrText xml:space="preserve"> PAGEREF _Toc300000019 \h </w:instrText>
        </w:r>
        <w:r>
          <w:rPr>
            <w:noProof/>
            <w:webHidden/>
          </w:rPr>
          <w:fldChar w:fldCharType="separate"/>
        </w:r>
        <w:r>
          <w:rPr>
            <w:noProof/>
            <w:webHidden/>
          </w:rPr>
          <w:t>14</w:t>
        </w:r>
        <w:r>
          <w:rPr>
            <w:noProof/>
            <w:webHidden/>
          </w:rPr>
          <w:fldChar w:fldCharType="end"/>
        </w:r>
      </w:hyperlink>
    </w:p>
    <w:p>
      <w:pPr>
        <w:pStyle w:val="TOC1"/>
      </w:pPr>
      <w:hyperlink w:anchor="_Toc300000020" w:history="1">
        <w:r>
          <w:rPr>
            <w:noProof/>
          </w:rPr>
          <w:t>14.</w:t>
        </w:r>
        <w:r>
          <w:rPr>
            <w:noProof/>
          </w:rPr>
          <w:tab/>
        </w:r>
        <w:r>
          <w:rPr>
            <w:noProof/>
          </w:rPr>
          <w:t xml:space="preserve">Portability and deployment</w:t>
        </w:r>
        <w:r>
          <w:rPr>
            <w:noProof/>
            <w:webHidden/>
          </w:rPr>
          <w:tab/>
        </w:r>
        <w:r>
          <w:rPr>
            <w:noProof/>
            <w:webHidden/>
          </w:rPr>
          <w:fldChar w:fldCharType="begin"/>
        </w:r>
        <w:r>
          <w:rPr>
            <w:noProof/>
            <w:webHidden/>
          </w:rPr>
          <w:instrText xml:space="preserve"> PAGEREF _Toc300000020 \h </w:instrText>
        </w:r>
        <w:r>
          <w:rPr>
            <w:noProof/>
            <w:webHidden/>
          </w:rPr>
          <w:fldChar w:fldCharType="separate"/>
        </w:r>
        <w:r>
          <w:rPr>
            <w:noProof/>
            <w:webHidden/>
          </w:rPr>
          <w:t>15</w:t>
        </w:r>
        <w:r>
          <w:rPr>
            <w:noProof/>
            <w:webHidden/>
          </w:rPr>
          <w:fldChar w:fldCharType="end"/>
        </w:r>
      </w:hyperlink>
    </w:p>
    <w:p>
      <w:pPr>
        <w:pStyle w:val="TOC1"/>
      </w:pPr>
      <w:hyperlink w:anchor="_Toc300000021" w:history="1">
        <w:r>
          <w:rPr>
            <w:noProof/>
          </w:rPr>
          <w:t>15.</w:t>
        </w:r>
        <w:r>
          <w:rPr>
            <w:noProof/>
          </w:rPr>
          <w:tab/>
        </w:r>
        <w:r>
          <w:rPr>
            <w:noProof/>
          </w:rPr>
          <w:t xml:space="preserve">Auditability</w:t>
        </w:r>
        <w:r>
          <w:rPr>
            <w:noProof/>
            <w:webHidden/>
          </w:rPr>
          <w:tab/>
        </w:r>
        <w:r>
          <w:rPr>
            <w:noProof/>
            <w:webHidden/>
          </w:rPr>
          <w:fldChar w:fldCharType="begin"/>
        </w:r>
        <w:r>
          <w:rPr>
            <w:noProof/>
            <w:webHidden/>
          </w:rPr>
          <w:instrText xml:space="preserve"> PAGEREF _Toc300000021 \h </w:instrText>
        </w:r>
        <w:r>
          <w:rPr>
            <w:noProof/>
            <w:webHidden/>
          </w:rPr>
          <w:fldChar w:fldCharType="separate"/>
        </w:r>
        <w:r>
          <w:rPr>
            <w:noProof/>
            <w:webHidden/>
          </w:rPr>
          <w:t>16</w:t>
        </w:r>
        <w:r>
          <w:rPr>
            <w:noProof/>
            <w:webHidden/>
          </w:rPr>
          <w:fldChar w:fldCharType="end"/>
        </w:r>
      </w:hyperlink>
    </w:p>
    <w:p>
      <w:pPr>
        <w:pStyle w:val="TOC1"/>
      </w:pPr>
      <w:hyperlink w:anchor="_Toc300000022" w:history="1">
        <w:r>
          <w:rPr>
            <w:noProof/>
          </w:rPr>
          <w:t>16.</w:t>
        </w:r>
        <w:r>
          <w:rPr>
            <w:noProof/>
          </w:rPr>
          <w:tab/>
        </w:r>
        <w:r>
          <w:rPr>
            <w:noProof/>
          </w:rPr>
          <w:t xml:space="preserve">Configurability</w:t>
        </w:r>
        <w:r>
          <w:rPr>
            <w:noProof/>
            <w:webHidden/>
          </w:rPr>
          <w:tab/>
        </w:r>
        <w:r>
          <w:rPr>
            <w:noProof/>
            <w:webHidden/>
          </w:rPr>
          <w:fldChar w:fldCharType="begin"/>
        </w:r>
        <w:r>
          <w:rPr>
            <w:noProof/>
            <w:webHidden/>
          </w:rPr>
          <w:instrText xml:space="preserve"> PAGEREF _Toc300000022 \h </w:instrText>
        </w:r>
        <w:r>
          <w:rPr>
            <w:noProof/>
            <w:webHidden/>
          </w:rPr>
          <w:fldChar w:fldCharType="separate"/>
        </w:r>
        <w:r>
          <w:rPr>
            <w:noProof/>
            <w:webHidden/>
          </w:rPr>
          <w:t>16</w:t>
        </w:r>
        <w:r>
          <w:rPr>
            <w:noProof/>
            <w:webHidden/>
          </w:rPr>
          <w:fldChar w:fldCharType="end"/>
        </w:r>
      </w:hyperlink>
    </w:p>
    <w:p>
      <w:pPr>
        <w:pStyle w:val="TOC1"/>
      </w:pPr>
      <w:hyperlink w:anchor="_Toc300000023" w:history="1">
        <w:r>
          <w:rPr>
            <w:noProof/>
          </w:rPr>
          <w:t>17.</w:t>
        </w:r>
        <w:r>
          <w:rPr>
            <w:noProof/>
          </w:rPr>
          <w:tab/>
        </w:r>
        <w:r>
          <w:rPr>
            <w:noProof/>
          </w:rPr>
          <w:t xml:space="preserve">Data retention</w:t>
        </w:r>
        <w:r>
          <w:rPr>
            <w:noProof/>
            <w:webHidden/>
          </w:rPr>
          <w:tab/>
        </w:r>
        <w:r>
          <w:rPr>
            <w:noProof/>
            <w:webHidden/>
          </w:rPr>
          <w:fldChar w:fldCharType="begin"/>
        </w:r>
        <w:r>
          <w:rPr>
            <w:noProof/>
            <w:webHidden/>
          </w:rPr>
          <w:instrText xml:space="preserve"> PAGEREF _Toc300000023 \h </w:instrText>
        </w:r>
        <w:r>
          <w:rPr>
            <w:noProof/>
            <w:webHidden/>
          </w:rPr>
          <w:fldChar w:fldCharType="separate"/>
        </w:r>
        <w:r>
          <w:rPr>
            <w:noProof/>
            <w:webHidden/>
          </w:rPr>
          <w:t>17</w:t>
        </w:r>
        <w:r>
          <w:rPr>
            <w:noProof/>
            <w:webHidden/>
          </w:rPr>
          <w:fldChar w:fldCharType="end"/>
        </w:r>
      </w:hyperlink>
    </w:p>
    <w:p>
      <w:pPr>
        <w:pStyle w:val="TOC1"/>
      </w:pPr>
      <w:hyperlink w:anchor="_Toc300000024" w:history="1">
        <w:r>
          <w:rPr>
            <w:noProof/>
          </w:rPr>
          <w:t>18.</w:t>
        </w:r>
        <w:r>
          <w:rPr>
            <w:noProof/>
          </w:rPr>
          <w:tab/>
        </w:r>
        <w:r>
          <w:rPr>
            <w:noProof/>
          </w:rPr>
          <w:t xml:space="preserve">Compliance by design</w:t>
        </w:r>
        <w:r>
          <w:rPr>
            <w:noProof/>
            <w:webHidden/>
          </w:rPr>
          <w:tab/>
        </w:r>
        <w:r>
          <w:rPr>
            <w:noProof/>
            <w:webHidden/>
          </w:rPr>
          <w:fldChar w:fldCharType="begin"/>
        </w:r>
        <w:r>
          <w:rPr>
            <w:noProof/>
            <w:webHidden/>
          </w:rPr>
          <w:instrText xml:space="preserve"> PAGEREF _Toc300000024 \h </w:instrText>
        </w:r>
        <w:r>
          <w:rPr>
            <w:noProof/>
            <w:webHidden/>
          </w:rPr>
          <w:fldChar w:fldCharType="separate"/>
        </w:r>
        <w:r>
          <w:rPr>
            <w:noProof/>
            <w:webHidden/>
          </w:rPr>
          <w:t>17</w:t>
        </w:r>
        <w:r>
          <w:rPr>
            <w:noProof/>
            <w:webHidden/>
          </w:rPr>
          <w:fldChar w:fldCharType="end"/>
        </w:r>
      </w:hyperlink>
    </w:p>
    <w:p>
      <w:pPr>
        <w:pStyle w:val="TOC1"/>
      </w:pPr>
      <w:hyperlink w:anchor="_Toc300000025" w:history="1">
        <w:r>
          <w:rPr>
            <w:noProof/>
          </w:rPr>
          <w:t>19.</w:t>
        </w:r>
        <w:r>
          <w:rPr>
            <w:noProof/>
          </w:rPr>
          <w:tab/>
        </w:r>
        <w:r>
          <w:rPr>
            <w:noProof/>
          </w:rPr>
          <w:t xml:space="preserve">Requirements Sign-Off</w:t>
        </w:r>
        <w:r>
          <w:rPr>
            <w:noProof/>
            <w:webHidden/>
          </w:rPr>
          <w:tab/>
        </w:r>
        <w:r>
          <w:rPr>
            <w:noProof/>
            <w:webHidden/>
          </w:rPr>
          <w:fldChar w:fldCharType="begin"/>
        </w:r>
        <w:r>
          <w:rPr>
            <w:noProof/>
            <w:webHidden/>
          </w:rPr>
          <w:instrText xml:space="preserve"> PAGEREF _Toc300000025 \h </w:instrText>
        </w:r>
        <w:r>
          <w:rPr>
            <w:noProof/>
            <w:webHidden/>
          </w:rPr>
          <w:fldChar w:fldCharType="separate"/>
        </w:r>
        <w:r>
          <w:rPr>
            <w:noProof/>
            <w:webHidden/>
          </w:rPr>
          <w:t>18</w:t>
        </w:r>
        <w:r>
          <w:rPr>
            <w:noProof/>
            <w:webHidden/>
          </w:rPr>
          <w:fldChar w:fldCharType="end"/>
        </w:r>
      </w:hyperlink>
      <w:r>
        <w:rPr>
          <w:noProof/>
        </w:rPr>
        <w:fldChar w:fldCharType="end"/>
      </w:r>
    </w:p>
    <w:p w14:paraId="375D9C08"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 w:name="_Toc11824118"/>
      <w:bookmarkStart w:id="2" w:name="_Toc48319687"/>
      <w:bookmarkStart w:id="3" w:name="_Toc300000001"/>
      <w:r w:rsidRPr="00212D69">
        <w:rPr>
          <w:rStyle w:val="BookTitle"/>
          <w:b w:val="0"/>
        </w:rPr>
        <w:t xml:space="preserve"> </w:t>
      </w:r>
      <w:bookmarkStart w:id="4" w:name="_Toc233203387"/>
      <w:r w:rsidRPr="00465CAB">
        <w:rPr>
          <w:rStyle w:val="BookTitle"/>
          <w:bCs w:val="0"/>
          <w:i w:val="0"/>
          <w:iCs w:val="0"/>
          <w:spacing w:val="0"/>
        </w:rPr>
        <w:t>Document Control</w:t>
      </w:r>
      <w:bookmarkEnd w:id="1"/>
      <w:bookmarkEnd w:id="2"/>
      <w:bookmarkEnd w:id="4"/>
      <w:bookmarkEnd w:id="3"/>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286"/>
        <w:gridCol w:w="991"/>
        <w:gridCol w:w="1821"/>
        <w:gridCol w:w="1500"/>
        <w:gridCol w:w="2142"/>
        <w:gridCol w:w="1287"/>
      </w:tblGrid>
      <w:tr w:rsidR="002B183A" w14:paraId="4E198CD6" w14:textId="77777777" w:rsidTr="002923F3">
        <w:trPr>
          <w:cantSplit/>
          <w:trHeight w:val="440"/>
          <w:tblHeader/>
        </w:trPr>
        <w:tc>
          <w:tcPr>
            <w:tcW w:w="1286" w:type="dxa"/>
            <w:shd w:val="clear" w:color="auto" w:fill="0F4761"/>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Date</w:t>
            </w:r>
          </w:p>
        </w:tc>
        <w:tc>
          <w:tcPr>
            <w:tcW w:w="991" w:type="dxa"/>
            <w:shd w:val="clear" w:color="auto" w:fill="0F4761"/>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Version</w:t>
            </w:r>
          </w:p>
        </w:tc>
        <w:tc>
          <w:tcPr>
            <w:tcW w:w="1821" w:type="dxa"/>
            <w:shd w:val="clear" w:color="auto" w:fill="0F4761"/>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Author &amp; Business Unit Info</w:t>
            </w:r>
          </w:p>
        </w:tc>
        <w:tc>
          <w:tcPr>
            <w:tcW w:w="1500" w:type="dxa"/>
            <w:shd w:val="clear" w:color="auto" w:fill="0F4761"/>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Reviewed By &amp; Business Unit Info</w:t>
            </w:r>
          </w:p>
        </w:tc>
        <w:tc>
          <w:tcPr>
            <w:tcW w:w="2142" w:type="dxa"/>
            <w:shd w:val="clear" w:color="auto" w:fill="0F4761"/>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Approved By &amp; Business Unit Info</w:t>
            </w:r>
          </w:p>
        </w:tc>
        <w:tc>
          <w:tcPr>
            <w:tcW w:w="1287" w:type="dxa"/>
            <w:shd w:val="clear" w:color="auto" w:fill="0F4761"/>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Change History</w:t>
            </w:r>
          </w:p>
        </w:tc>
      </w:tr>
      <w:tr w:rsidR="002B183A" w:rsidRPr="00BB346A" w14:paraId="0CC92F71" w14:textId="77777777" w:rsidTr="002923F3">
        <w:trPr>
          <w:cantSplit/>
          <w:trHeight w:val="449"/>
        </w:trPr>
        <w:tc>
          <w:tcPr>
            <w:tcW w:w="1286" w:type="dxa"/>
            <w:vAlign w:val="top"/>
          </w:tcPr>
          <w:p w14:paraId="453CD40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08/10/2026</w:t>
            </w:r>
          </w:p>
        </w:tc>
        <w:tc>
          <w:tcPr>
            <w:tcW w:w="991" w:type="dxa"/>
            <w:vAlign w:val="top"/>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1.0</w:t>
            </w:r>
          </w:p>
        </w:tc>
        <w:tc>
          <w:tcPr>
            <w:tcW w:w="1821" w:type="dxa"/>
            <w:vAlign w:val="top"/>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Solution Architecture</w:t>
            </w:r>
          </w:p>
        </w:tc>
        <w:tc>
          <w:tcPr>
            <w:tcW w:w="1500" w:type="dxa"/>
            <w:vAlign w:val="top"/>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IT Architecture and IT Security</w:t>
            </w:r>
          </w:p>
        </w:tc>
        <w:tc>
          <w:tcPr>
            <w:tcW w:w="2142" w:type="dxa"/>
            <w:vAlign w:val="top"/>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Programme Sponsor</w:t>
            </w:r>
          </w:p>
        </w:tc>
        <w:tc>
          <w:tcPr>
            <w:tcW w:w="1287" w:type="dxa"/>
            <w:vAlign w:val="top"/>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 issue for submission</w:t>
            </w:r>
          </w:p>
        </w:tc>
      </w:tr>
    </w:tbl>
    <w:p w14:paraId="1D2DA8DE" w14:textId="77777777" w:rsidR="002B183A" w:rsidRDefault="002B183A" w:rsidP="002B183A">
      <w:pPr>
        <w:rPr>
          <w:rFonts w:ascii="Segoe UI" w:hAnsi="Segoe UI" w:cs="Segoe UI"/>
          <w:sz w:val="18"/>
          <w:szCs w:val="16"/>
          <w:lang w:bidi="en-US"/>
        </w:r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 w:name="_Toc233203388"/>
      <w:bookmarkStart w:id="6" w:name="_Toc300000002"/>
      <w:r>
        <w:rPr>
          <w:rStyle w:val="BookTitle"/>
          <w:bCs w:val="0"/>
          <w:i w:val="0"/>
          <w:iCs w:val="0"/>
          <w:spacing w:val="0"/>
        </w:rPr>
        <w:t>Acronyms</w:t>
      </w:r>
      <w:bookmarkEnd w:id="5"/>
      <w:bookmarkEnd w:id="6"/>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2046"/>
        <w:gridCol w:w="6981"/>
      </w:tblGrid>
      <w:tr w:rsidR="002B183A" w14:paraId="388F227F" w14:textId="77777777" w:rsidTr="002923F3">
        <w:trPr>
          <w:cantSplit/>
          <w:trHeight w:val="440"/>
          <w:tblHeader/>
        </w:trPr>
        <w:tc>
          <w:tcPr>
            <w:tcW w:w="2046" w:type="dxa"/>
            <w:shd w:val="clear" w:color="auto" w:fill="0F4761"/>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Acronym / Symbol</w:t>
            </w:r>
          </w:p>
        </w:tc>
        <w:tc>
          <w:tcPr>
            <w:tcW w:w="6981" w:type="dxa"/>
            <w:shd w:val="clear" w:color="auto" w:fill="0F4761"/>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Definition / Meaning</w:t>
            </w:r>
          </w:p>
        </w:tc>
      </w:tr>
      <w:tr w:rsidR="002B183A" w:rsidRPr="00BB346A" w14:paraId="73CFB63E" w14:textId="77777777" w:rsidTr="002923F3">
        <w:trPr>
          <w:cantSplit/>
          <w:trHeight w:val="449"/>
        </w:trPr>
        <w:tc>
          <w:tcPr>
            <w:tcW w:w="20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AES</w:t>
            </w:r>
          </w:p>
        </w:tc>
        <w:tc>
          <w:tcPr>
            <w:tcW w:w="69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Advanced Encryption Standard</w:t>
            </w:r>
          </w:p>
        </w:tc>
      </w:tr>
      <w:tr w:rsidR="002B183A" w:rsidRPr="00BB346A" w14:paraId="73CFB63E" w14:textId="77777777" w:rsidTr="002923F3">
        <w:trPr>
          <w:cantSplit/>
          <w:trHeight w:val="449"/>
        </w:trPr>
        <w:tc>
          <w:tcPr>
            <w:tcW w:w="20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API</w:t>
            </w:r>
          </w:p>
        </w:tc>
        <w:tc>
          <w:tcPr>
            <w:tcW w:w="69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Application Programming Interface</w:t>
            </w:r>
          </w:p>
        </w:tc>
      </w:tr>
      <w:tr w:rsidR="002B183A" w:rsidRPr="00BB346A" w14:paraId="73CFB63E" w14:textId="77777777" w:rsidTr="002923F3">
        <w:trPr>
          <w:cantSplit/>
          <w:trHeight w:val="449"/>
        </w:trPr>
        <w:tc>
          <w:tcPr>
            <w:tcW w:w="20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ASVS</w:t>
            </w:r>
          </w:p>
        </w:tc>
        <w:tc>
          <w:tcPr>
            <w:tcW w:w="69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Application Security Verification Standard</w:t>
            </w:r>
          </w:p>
        </w:tc>
      </w:tr>
      <w:tr w:rsidR="002B183A" w:rsidRPr="00BB346A" w14:paraId="73CFB63E" w14:textId="77777777" w:rsidTr="002923F3">
        <w:trPr>
          <w:cantSplit/>
          <w:trHeight w:val="449"/>
        </w:trPr>
        <w:tc>
          <w:tcPr>
            <w:tcW w:w="20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CI</w:t>
            </w:r>
          </w:p>
        </w:tc>
        <w:tc>
          <w:tcPr>
            <w:tcW w:w="69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Continuous integration</w:t>
            </w:r>
          </w:p>
        </w:tc>
      </w:tr>
      <w:tr w:rsidR="002B183A" w:rsidRPr="00BB346A" w14:paraId="73CFB63E" w14:textId="77777777" w:rsidTr="002923F3">
        <w:trPr>
          <w:cantSplit/>
          <w:trHeight w:val="449"/>
        </w:trPr>
        <w:tc>
          <w:tcPr>
            <w:tcW w:w="20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CORS</w:t>
            </w:r>
          </w:p>
        </w:tc>
        <w:tc>
          <w:tcPr>
            <w:tcW w:w="69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Cross-origin resource sharing</w:t>
            </w:r>
          </w:p>
        </w:tc>
      </w:tr>
      <w:tr w:rsidR="002B183A" w:rsidRPr="00BB346A" w14:paraId="73CFB63E" w14:textId="77777777" w:rsidTr="002923F3">
        <w:trPr>
          <w:cantSplit/>
          <w:trHeight w:val="449"/>
        </w:trPr>
        <w:tc>
          <w:tcPr>
            <w:tcW w:w="20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CPU</w:t>
            </w:r>
          </w:p>
        </w:tc>
        <w:tc>
          <w:tcPr>
            <w:tcW w:w="69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Central processing unit</w:t>
            </w:r>
          </w:p>
        </w:tc>
      </w:tr>
      <w:tr w:rsidR="002B183A" w:rsidRPr="00BB346A" w14:paraId="73CFB63E" w14:textId="77777777" w:rsidTr="002923F3">
        <w:trPr>
          <w:cantSplit/>
          <w:trHeight w:val="449"/>
        </w:trPr>
        <w:tc>
          <w:tcPr>
            <w:tcW w:w="20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CSP</w:t>
            </w:r>
          </w:p>
        </w:tc>
        <w:tc>
          <w:tcPr>
            <w:tcW w:w="69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Content security policy</w:t>
            </w:r>
          </w:p>
        </w:tc>
      </w:tr>
      <w:tr w:rsidR="002B183A" w:rsidRPr="00BB346A" w14:paraId="73CFB63E" w14:textId="77777777" w:rsidTr="002923F3">
        <w:trPr>
          <w:cantSplit/>
          <w:trHeight w:val="449"/>
        </w:trPr>
        <w:tc>
          <w:tcPr>
            <w:tcW w:w="20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DPIA</w:t>
            </w:r>
          </w:p>
        </w:tc>
        <w:tc>
          <w:tcPr>
            <w:tcW w:w="69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Data protection impact assessment</w:t>
            </w:r>
          </w:p>
        </w:tc>
      </w:tr>
      <w:tr w:rsidR="002B183A" w:rsidRPr="00BB346A" w14:paraId="73CFB63E" w14:textId="77777777" w:rsidTr="002923F3">
        <w:trPr>
          <w:cantSplit/>
          <w:trHeight w:val="449"/>
        </w:trPr>
        <w:tc>
          <w:tcPr>
            <w:tcW w:w="20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DR</w:t>
            </w:r>
          </w:p>
        </w:tc>
        <w:tc>
          <w:tcPr>
            <w:tcW w:w="69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Disaster recovery</w:t>
            </w:r>
          </w:p>
        </w:tc>
      </w:tr>
      <w:tr w:rsidR="002B183A" w:rsidRPr="00BB346A" w14:paraId="73CFB63E" w14:textId="77777777" w:rsidTr="002923F3">
        <w:trPr>
          <w:cantSplit/>
          <w:trHeight w:val="449"/>
        </w:trPr>
        <w:tc>
          <w:tcPr>
            <w:tcW w:w="20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FR</w:t>
            </w:r>
          </w:p>
        </w:tc>
        <w:tc>
          <w:tcPr>
            <w:tcW w:w="69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Functional requirement</w:t>
            </w:r>
          </w:p>
        </w:tc>
      </w:tr>
      <w:tr w:rsidR="002B183A" w:rsidRPr="00BB346A" w14:paraId="73CFB63E" w14:textId="77777777" w:rsidTr="002923F3">
        <w:trPr>
          <w:cantSplit/>
          <w:trHeight w:val="449"/>
        </w:trPr>
        <w:tc>
          <w:tcPr>
            <w:tcW w:w="20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GCM</w:t>
            </w:r>
          </w:p>
        </w:tc>
        <w:tc>
          <w:tcPr>
            <w:tcW w:w="69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Galois/Counter Mode</w:t>
            </w:r>
          </w:p>
        </w:tc>
      </w:tr>
      <w:tr w:rsidR="002B183A" w:rsidRPr="00BB346A" w14:paraId="73CFB63E" w14:textId="77777777" w:rsidTr="002923F3">
        <w:trPr>
          <w:cantSplit/>
          <w:trHeight w:val="449"/>
        </w:trPr>
        <w:tc>
          <w:tcPr>
            <w:tcW w:w="20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HSTS</w:t>
            </w:r>
          </w:p>
        </w:tc>
        <w:tc>
          <w:tcPr>
            <w:tcW w:w="69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HTTP Strict Transport Security</w:t>
            </w:r>
          </w:p>
        </w:tc>
      </w:tr>
      <w:tr w:rsidR="002B183A" w:rsidRPr="00BB346A" w14:paraId="73CFB63E" w14:textId="77777777" w:rsidTr="002923F3">
        <w:trPr>
          <w:cantSplit/>
          <w:trHeight w:val="449"/>
        </w:trPr>
        <w:tc>
          <w:tcPr>
            <w:tcW w:w="20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HTTP</w:t>
            </w:r>
          </w:p>
        </w:tc>
        <w:tc>
          <w:tcPr>
            <w:tcW w:w="69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Hypertext Transfer Protocol</w:t>
            </w:r>
          </w:p>
        </w:tc>
      </w:tr>
      <w:tr w:rsidR="002B183A" w:rsidRPr="00BB346A" w14:paraId="73CFB63E" w14:textId="77777777" w:rsidTr="002923F3">
        <w:trPr>
          <w:cantSplit/>
          <w:trHeight w:val="449"/>
        </w:trPr>
        <w:tc>
          <w:tcPr>
            <w:tcW w:w="20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ID</w:t>
            </w:r>
          </w:p>
        </w:tc>
        <w:tc>
          <w:tcPr>
            <w:tcW w:w="69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Identifier</w:t>
            </w:r>
          </w:p>
        </w:tc>
      </w:tr>
      <w:tr w:rsidR="002B183A" w:rsidRPr="00BB346A" w14:paraId="73CFB63E" w14:textId="77777777" w:rsidTr="002923F3">
        <w:trPr>
          <w:cantSplit/>
          <w:trHeight w:val="449"/>
        </w:trPr>
        <w:tc>
          <w:tcPr>
            <w:tcW w:w="20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IDOR</w:t>
            </w:r>
          </w:p>
        </w:tc>
        <w:tc>
          <w:tcPr>
            <w:tcW w:w="69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Insecure direct object reference</w:t>
            </w:r>
          </w:p>
        </w:tc>
      </w:tr>
      <w:tr w:rsidR="002B183A" w:rsidRPr="00BB346A" w14:paraId="73CFB63E" w14:textId="77777777" w:rsidTr="002923F3">
        <w:trPr>
          <w:cantSplit/>
          <w:trHeight w:val="449"/>
        </w:trPr>
        <w:tc>
          <w:tcPr>
            <w:tcW w:w="20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w:t>
            </w:r>
          </w:p>
        </w:tc>
        <w:tc>
          <w:tcPr>
            <w:tcW w:w="69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Information technology</w:t>
            </w:r>
          </w:p>
        </w:tc>
      </w:tr>
      <w:tr w:rsidR="002B183A" w:rsidRPr="00BB346A" w14:paraId="73CFB63E" w14:textId="77777777" w:rsidTr="002923F3">
        <w:trPr>
          <w:cantSplit/>
          <w:trHeight w:val="449"/>
        </w:trPr>
        <w:tc>
          <w:tcPr>
            <w:tcW w:w="20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LTS</w:t>
            </w:r>
          </w:p>
        </w:tc>
        <w:tc>
          <w:tcPr>
            <w:tcW w:w="69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Long-term support</w:t>
            </w:r>
          </w:p>
        </w:tc>
      </w:tr>
      <w:tr w:rsidR="002B183A" w:rsidRPr="00BB346A" w14:paraId="73CFB63E" w14:textId="77777777" w:rsidTr="002923F3">
        <w:trPr>
          <w:cantSplit/>
          <w:trHeight w:val="449"/>
        </w:trPr>
        <w:tc>
          <w:tcPr>
            <w:tcW w:w="20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MB</w:t>
            </w:r>
          </w:p>
        </w:tc>
        <w:tc>
          <w:tcPr>
            <w:tcW w:w="69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Megabyte</w:t>
            </w:r>
          </w:p>
        </w:tc>
      </w:tr>
      <w:tr w:rsidR="002B183A" w:rsidRPr="00BB346A" w14:paraId="73CFB63E" w14:textId="77777777" w:rsidTr="002923F3">
        <w:trPr>
          <w:cantSplit/>
          <w:trHeight w:val="449"/>
        </w:trPr>
        <w:tc>
          <w:tcPr>
            <w:tcW w:w="20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OTP</w:t>
            </w:r>
          </w:p>
        </w:tc>
        <w:tc>
          <w:tcPr>
            <w:tcW w:w="69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One-time password</w:t>
            </w:r>
          </w:p>
        </w:tc>
      </w:tr>
      <w:tr w:rsidR="002B183A" w:rsidRPr="00BB346A" w14:paraId="73CFB63E" w14:textId="77777777" w:rsidTr="002923F3">
        <w:trPr>
          <w:cantSplit/>
          <w:trHeight w:val="449"/>
        </w:trPr>
        <w:tc>
          <w:tcPr>
            <w:tcW w:w="20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OWASP</w:t>
            </w:r>
          </w:p>
        </w:tc>
        <w:tc>
          <w:tcPr>
            <w:tcW w:w="69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Open Worldwide Application Security Project</w:t>
            </w:r>
          </w:p>
        </w:tc>
      </w:tr>
      <w:tr w:rsidR="002B183A" w:rsidRPr="00BB346A" w14:paraId="73CFB63E" w14:textId="77777777" w:rsidTr="002923F3">
        <w:trPr>
          <w:cantSplit/>
          <w:trHeight w:val="449"/>
        </w:trPr>
        <w:tc>
          <w:tcPr>
            <w:tcW w:w="20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PITR</w:t>
            </w:r>
          </w:p>
        </w:tc>
        <w:tc>
          <w:tcPr>
            <w:tcW w:w="69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Point-in-time recovery</w:t>
            </w:r>
          </w:p>
        </w:tc>
      </w:tr>
      <w:tr w:rsidR="002B183A" w:rsidRPr="00BB346A" w14:paraId="73CFB63E" w14:textId="77777777" w:rsidTr="002923F3">
        <w:trPr>
          <w:cantSplit/>
          <w:trHeight w:val="449"/>
        </w:trPr>
        <w:tc>
          <w:tcPr>
            <w:tcW w:w="20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QA</w:t>
            </w:r>
          </w:p>
        </w:tc>
        <w:tc>
          <w:tcPr>
            <w:tcW w:w="69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Quality assurance</w:t>
            </w:r>
          </w:p>
        </w:tc>
      </w:tr>
      <w:tr w:rsidR="002B183A" w:rsidRPr="00BB346A" w14:paraId="73CFB63E" w14:textId="77777777" w:rsidTr="002923F3">
        <w:trPr>
          <w:cantSplit/>
          <w:trHeight w:val="449"/>
        </w:trPr>
        <w:tc>
          <w:tcPr>
            <w:tcW w:w="20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SHA</w:t>
            </w:r>
          </w:p>
        </w:tc>
        <w:tc>
          <w:tcPr>
            <w:tcW w:w="69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Secure Hash Algorithm</w:t>
            </w:r>
          </w:p>
        </w:tc>
      </w:tr>
      <w:tr w:rsidR="002B183A" w:rsidRPr="00BB346A" w14:paraId="73CFB63E" w14:textId="77777777" w:rsidTr="002923F3">
        <w:trPr>
          <w:cantSplit/>
          <w:trHeight w:val="449"/>
        </w:trPr>
        <w:tc>
          <w:tcPr>
            <w:tcW w:w="20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SMS</w:t>
            </w:r>
          </w:p>
        </w:tc>
        <w:tc>
          <w:tcPr>
            <w:tcW w:w="69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Short message service</w:t>
            </w:r>
          </w:p>
        </w:tc>
      </w:tr>
      <w:tr w:rsidR="002B183A" w:rsidRPr="00BB346A" w14:paraId="73CFB63E" w14:textId="77777777" w:rsidTr="002923F3">
        <w:trPr>
          <w:cantSplit/>
          <w:trHeight w:val="449"/>
        </w:trPr>
        <w:tc>
          <w:tcPr>
            <w:tcW w:w="20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SQL</w:t>
            </w:r>
          </w:p>
        </w:tc>
        <w:tc>
          <w:tcPr>
            <w:tcW w:w="69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Structured Query Language</w:t>
            </w:r>
          </w:p>
        </w:tc>
      </w:tr>
      <w:tr w:rsidR="002B183A" w:rsidRPr="00BB346A" w14:paraId="73CFB63E" w14:textId="77777777" w:rsidTr="002923F3">
        <w:trPr>
          <w:cantSplit/>
          <w:trHeight w:val="449"/>
        </w:trPr>
        <w:tc>
          <w:tcPr>
            <w:tcW w:w="20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TLS</w:t>
            </w:r>
          </w:p>
        </w:tc>
        <w:tc>
          <w:tcPr>
            <w:tcW w:w="69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Transport Layer Security</w:t>
            </w:r>
          </w:p>
        </w:tc>
      </w:tr>
      <w:tr w:rsidR="002B183A" w:rsidRPr="00BB346A" w14:paraId="73CFB63E" w14:textId="77777777" w:rsidTr="002923F3">
        <w:trPr>
          <w:cantSplit/>
          <w:trHeight w:val="449"/>
        </w:trPr>
        <w:tc>
          <w:tcPr>
            <w:tcW w:w="20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TOTP</w:t>
            </w:r>
          </w:p>
        </w:tc>
        <w:tc>
          <w:tcPr>
            <w:tcW w:w="69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Time-based one-time password</w:t>
            </w:r>
          </w:p>
        </w:tc>
      </w:tr>
      <w:tr w:rsidR="002B183A" w:rsidRPr="00BB346A" w14:paraId="73CFB63E" w14:textId="77777777" w:rsidTr="002923F3">
        <w:trPr>
          <w:cantSplit/>
          <w:trHeight w:val="449"/>
        </w:trPr>
        <w:tc>
          <w:tcPr>
            <w:tcW w:w="20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UAT</w:t>
            </w:r>
          </w:p>
        </w:tc>
        <w:tc>
          <w:tcPr>
            <w:tcW w:w="69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acceptance testing</w:t>
            </w:r>
          </w:p>
        </w:tc>
      </w:tr>
      <w:tr w:rsidR="002B183A" w:rsidRPr="00BB346A" w14:paraId="73CFB63E" w14:textId="77777777" w:rsidTr="002923F3">
        <w:trPr>
          <w:cantSplit/>
          <w:trHeight w:val="449"/>
        </w:trPr>
        <w:tc>
          <w:tcPr>
            <w:tcW w:w="20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w:t>
            </w:r>
          </w:p>
        </w:tc>
        <w:tc>
          <w:tcPr>
            <w:tcW w:w="69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story</w:t>
            </w:r>
          </w:p>
        </w:tc>
      </w:tr>
      <w:tr w:rsidR="002B183A" w:rsidRPr="00BB346A" w14:paraId="73CFB63E" w14:textId="77777777" w:rsidTr="002923F3">
        <w:trPr>
          <w:cantSplit/>
          <w:trHeight w:val="449"/>
        </w:trPr>
        <w:tc>
          <w:tcPr>
            <w:tcW w:w="20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WAL</w:t>
            </w:r>
          </w:p>
        </w:tc>
        <w:tc>
          <w:tcPr>
            <w:tcW w:w="69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Write-ahead log</w:t>
            </w:r>
          </w:p>
        </w:tc>
      </w:tr>
      <w:tr w:rsidR="002B183A" w:rsidRPr="00BB346A" w14:paraId="73CFB63E" w14:textId="77777777" w:rsidTr="002923F3">
        <w:trPr>
          <w:cantSplit/>
          <w:trHeight w:val="449"/>
        </w:trPr>
        <w:tc>
          <w:tcPr>
            <w:tcW w:w="204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WCAG</w:t>
            </w:r>
          </w:p>
        </w:tc>
        <w:tc>
          <w:tcPr>
            <w:tcW w:w="698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Web Content Accessibility Guidelines</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 w:name="_Toc300000003"/>
      <w:r>
        <w:rPr>
          <w:rStyle w:val="BookTitle"/>
          <w:bCs w:val="0"/>
          <w:i w:val="0"/>
          <w:iCs w:val="0"/>
          <w:spacing w:val="0"/>
        </w:rPr>
        <w:t xml:space="preserve">Introduction</w:t>
      </w:r>
      <w:bookmarkEnd w:id="7"/>
    </w:p>
    <w:p>
      <w:pPr>
        <w:pStyle w:val="Heading2"/>
      </w:pPr>
      <w:bookmarkStart w:id="8" w:name="_Toc300000004"/>
      <w:r>
        <w:t xml:space="preserve">Purpose</w:t>
      </w:r>
      <w:bookmarkEnd w:id="8"/>
    </w:p>
    <w:p>
      <w:pPr>
        <w:pStyle w:val="FirstParagraph"/>
      </w:pPr>
      <w:r>
        <w:t xml:space="preserve">This document states how well the TASCO Growth Platform must perform: speed, capacity, availability, security, privacy, accessibility, recovery, maintainability and compliance. Each requirement has a measurable target, a verification method and its build status.</w:t>
      </w:r>
    </w:p>
    <w:p>
      <w:pPr>
        <w:pStyle w:val="Heading2"/>
      </w:pPr>
      <w:bookmarkStart w:id="9" w:name="_Toc300000005"/>
      <w:r>
        <w:t xml:space="preserve">Scope</w:t>
      </w:r>
      <w:bookmarkEnd w:id="9"/>
    </w:p>
    <w:p>
      <w:pPr>
        <w:pStyle w:val="FirstParagraph"/>
      </w:pPr>
      <w:r>
        <w:t xml:space="preserve">The requirements apply to the staff console, the customer app, the partner API, the background jobs and the integrations with TASCO core, VETC and the messaging and voice providers. Functional behaviour is in TGP-BUS-02.</w:t>
      </w:r>
    </w:p>
    <w:p>
      <w:pPr>
        <w:pStyle w:val="Heading2"/>
      </w:pPr>
      <w:bookmarkStart w:id="10" w:name="_Toc300000006"/>
      <w:r>
        <w:t xml:space="preserve">Audience</w:t>
      </w:r>
      <w:bookmarkEnd w:id="10"/>
    </w:p>
    <w:p>
      <w:pPr>
        <w:pStyle w:val="FirstParagraph"/>
      </w:pPr>
      <w:r>
        <w:t xml:space="preserve">TASCO IT architecture, IT security and operations, VETC integration, and the iorta TechNXT architecture and QA teams.</w:t>
      </w:r>
    </w:p>
    <w:p>
      <w:pPr>
        <w:pStyle w:val="Heading2"/>
      </w:pPr>
      <w:bookmarkStart w:id="11" w:name="_Toc300000007"/>
      <w:r>
        <w:t xml:space="preserve">Related documents</w:t>
      </w:r>
      <w:bookmarkEnd w:id="1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005"/>
        <w:gridCol w:w="7022"/>
      </w:tblGrid>
      <w:tr>
        <w:trPr>
          <w:cantSplit/>
          <w:tblHeader/>
        </w:trPr>
        <w:tc>
          <w:tcPr>
            <w:tcW w:w="2005" w:type="dxa"/>
            <w:shd w:val="clear" w:color="auto" w:fill="0F4761"/>
            <w:vAlign w:val="center"/>
          </w:tcPr>
          <w:p>
            <w:pPr>
              <w:pStyle w:val="TableHeading"/>
              <w:jc w:val="left"/>
            </w:pPr>
            <w:r>
              <w:rPr>
                <w:color w:val="FFFFFF"/>
              </w:rPr>
              <w:t xml:space="preserve">ID</w:t>
            </w:r>
          </w:p>
        </w:tc>
        <w:tc>
          <w:tcPr>
            <w:tcW w:w="7022" w:type="dxa"/>
            <w:shd w:val="clear" w:color="auto" w:fill="0F4761"/>
            <w:vAlign w:val="center"/>
          </w:tcPr>
          <w:p>
            <w:pPr>
              <w:pStyle w:val="TableHeading"/>
              <w:jc w:val="left"/>
            </w:pPr>
            <w:r>
              <w:rPr>
                <w:color w:val="FFFFFF"/>
              </w:rPr>
              <w:t xml:space="preserve">Title</w:t>
            </w:r>
          </w:p>
        </w:tc>
      </w:tr>
      <w:tr>
        <w:trPr>
          <w:cantSplit/>
        </w:trPr>
        <w:tc>
          <w:tcPr>
            <w:tcW w:w="2005" w:type="dxa"/>
            <w:noWrap/>
            <w:vAlign w:val="top"/>
          </w:tcPr>
          <w:p>
            <w:pPr>
              <w:pStyle w:val="TableText"/>
              <w:jc w:val="left"/>
            </w:pPr>
            <w:r>
              <w:t xml:space="preserve">TGP-BUS-02</w:t>
            </w:r>
          </w:p>
        </w:tc>
        <w:tc>
          <w:tcPr>
            <w:tcW w:w="7022" w:type="dxa"/>
            <w:vAlign w:val="top"/>
          </w:tcPr>
          <w:p>
            <w:pPr>
              <w:pStyle w:val="TableText"/>
              <w:jc w:val="left"/>
            </w:pPr>
            <w:r>
              <w:t xml:space="preserve">Functional Requirements Specification</w:t>
            </w:r>
          </w:p>
        </w:tc>
      </w:tr>
      <w:tr>
        <w:trPr>
          <w:cantSplit/>
        </w:trPr>
        <w:tc>
          <w:tcPr>
            <w:tcW w:w="2005" w:type="dxa"/>
            <w:shd w:val="clear" w:color="auto" w:fill="F4F7FB"/>
            <w:noWrap/>
            <w:vAlign w:val="top"/>
          </w:tcPr>
          <w:p>
            <w:pPr>
              <w:pStyle w:val="TableText"/>
              <w:jc w:val="left"/>
            </w:pPr>
            <w:r>
              <w:t xml:space="preserve">TGP-ARC-04</w:t>
            </w:r>
          </w:p>
        </w:tc>
        <w:tc>
          <w:tcPr>
            <w:tcW w:w="7022" w:type="dxa"/>
            <w:shd w:val="clear" w:color="auto" w:fill="F4F7FB"/>
            <w:vAlign w:val="top"/>
          </w:tcPr>
          <w:p>
            <w:pPr>
              <w:pStyle w:val="TableText"/>
              <w:jc w:val="left"/>
            </w:pPr>
            <w:r>
              <w:t xml:space="preserve">Security Architecture</w:t>
            </w:r>
          </w:p>
        </w:tc>
      </w:tr>
      <w:tr>
        <w:trPr>
          <w:cantSplit/>
        </w:trPr>
        <w:tc>
          <w:tcPr>
            <w:tcW w:w="2005" w:type="dxa"/>
            <w:noWrap/>
            <w:vAlign w:val="top"/>
          </w:tcPr>
          <w:p>
            <w:pPr>
              <w:pStyle w:val="TableText"/>
              <w:jc w:val="left"/>
            </w:pPr>
            <w:r>
              <w:t xml:space="preserve">TGP-ARC-05</w:t>
            </w:r>
          </w:p>
        </w:tc>
        <w:tc>
          <w:tcPr>
            <w:tcW w:w="7022" w:type="dxa"/>
            <w:vAlign w:val="top"/>
          </w:tcPr>
          <w:p>
            <w:pPr>
              <w:pStyle w:val="TableText"/>
              <w:jc w:val="left"/>
            </w:pPr>
            <w:r>
              <w:t xml:space="preserve">Deployment and Infrastructure Architecture</w:t>
            </w:r>
          </w:p>
        </w:tc>
      </w:tr>
      <w:tr>
        <w:trPr>
          <w:cantSplit/>
        </w:trPr>
        <w:tc>
          <w:tcPr>
            <w:tcW w:w="2005" w:type="dxa"/>
            <w:shd w:val="clear" w:color="auto" w:fill="F4F7FB"/>
            <w:noWrap/>
            <w:vAlign w:val="top"/>
          </w:tcPr>
          <w:p>
            <w:pPr>
              <w:pStyle w:val="TableText"/>
              <w:jc w:val="left"/>
            </w:pPr>
            <w:r>
              <w:t xml:space="preserve">TGP-QA-03</w:t>
            </w:r>
          </w:p>
        </w:tc>
        <w:tc>
          <w:tcPr>
            <w:tcW w:w="7022" w:type="dxa"/>
            <w:shd w:val="clear" w:color="auto" w:fill="F4F7FB"/>
            <w:vAlign w:val="top"/>
          </w:tcPr>
          <w:p>
            <w:pPr>
              <w:pStyle w:val="TableText"/>
              <w:jc w:val="left"/>
            </w:pPr>
            <w:r>
              <w:t xml:space="preserve">Performance and Capacity Test Plan</w:t>
            </w:r>
          </w:p>
        </w:tc>
      </w:tr>
      <w:tr>
        <w:trPr>
          <w:cantSplit/>
        </w:trPr>
        <w:tc>
          <w:tcPr>
            <w:tcW w:w="2005" w:type="dxa"/>
            <w:noWrap/>
            <w:vAlign w:val="top"/>
          </w:tcPr>
          <w:p>
            <w:pPr>
              <w:pStyle w:val="TableText"/>
              <w:jc w:val="left"/>
            </w:pPr>
            <w:r>
              <w:t xml:space="preserve">TGP-OPS-02</w:t>
            </w:r>
          </w:p>
        </w:tc>
        <w:tc>
          <w:tcPr>
            <w:tcW w:w="7022" w:type="dxa"/>
            <w:vAlign w:val="top"/>
          </w:tcPr>
          <w:p>
            <w:pPr>
              <w:pStyle w:val="TableText"/>
              <w:jc w:val="left"/>
            </w:pPr>
            <w:r>
              <w:t xml:space="preserve">Monitoring and Alerting</w:t>
            </w:r>
          </w:p>
        </w:tc>
      </w:tr>
      <w:tr>
        <w:trPr>
          <w:cantSplit/>
        </w:trPr>
        <w:tc>
          <w:tcPr>
            <w:tcW w:w="2005" w:type="dxa"/>
            <w:shd w:val="clear" w:color="auto" w:fill="F4F7FB"/>
            <w:noWrap/>
            <w:vAlign w:val="top"/>
          </w:tcPr>
          <w:p>
            <w:pPr>
              <w:pStyle w:val="TableText"/>
              <w:jc w:val="left"/>
            </w:pPr>
            <w:r>
              <w:t xml:space="preserve">TGP-OPS-03</w:t>
            </w:r>
          </w:p>
        </w:tc>
        <w:tc>
          <w:tcPr>
            <w:tcW w:w="7022" w:type="dxa"/>
            <w:shd w:val="clear" w:color="auto" w:fill="F4F7FB"/>
            <w:vAlign w:val="top"/>
          </w:tcPr>
          <w:p>
            <w:pPr>
              <w:pStyle w:val="TableText"/>
              <w:jc w:val="left"/>
            </w:pPr>
            <w:r>
              <w:t xml:space="preserve">Disaster Recovery and Business Continuity Plan</w:t>
            </w:r>
          </w:p>
        </w:tc>
      </w:tr>
    </w:tbl>
    <w:p>
      <w:pPr>
        <w:pStyle w:val="Heading2"/>
      </w:pPr>
      <w:bookmarkStart w:id="12" w:name="_Toc300000008"/>
      <w:r>
        <w:t xml:space="preserve">Conventions and baseline</w:t>
      </w:r>
      <w:bookmarkEnd w:id="12"/>
    </w:p>
    <w:p>
      <w:pPr>
        <w:pStyle w:val="FirstParagraph"/>
      </w:pPr>
      <w:r>
        <w:t xml:space="preserve">Requirements are numbered NFR-nnn. Status is Built (in place and tested), Partial (in place with a gap noted) or Planned. Targets are proposed; they are agreed with TASCO and VETC IT during discovery and confirmed by a full-scale performance test in pre-production before the base grows beyond the pilot.</w:t>
      </w:r>
    </w:p>
    <w:p>
      <w:pPr>
        <w:pStyle w:val="BodyText"/>
      </w:pPr>
      <w:r>
        <w:t xml:space="preserve">The current quality baseline is 271 automated tests (268 pass, 0 fail, 3 to-do for manual or roadmap scenarios), plus a separate PostgreSQL suite of 8 tests, all passing. Line coverage is above 99%, and there are no lint errors. TGP-QA-01 Test Strategy records the coverage figures of each build. A load smoke test on a single instance on 8 October 2026 reached 194 requests per second with a 95th-percentile response time of 210 ms and no errors.</w:t>
      </w:r>
    </w:p>
    <w:p>
      <w:pPr>
        <w:pStyle w:val="Heading2"/>
      </w:pPr>
      <w:bookmarkStart w:id="13" w:name="_Toc300000009"/>
      <w:r>
        <w:t xml:space="preserve">Workload model</w:t>
      </w:r>
      <w:bookmarkEnd w:id="13"/>
    </w:p>
    <w:p>
      <w:pPr>
        <w:pStyle w:val="FirstParagraph"/>
      </w:pPr>
      <w:r>
        <w:t xml:space="preserve">Sizing uses the VETC car base of 6,000,000 vehicles from the brief. The pilot covers 50,000 to 100,000 vehicles.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606"/>
        <w:gridCol w:w="3479"/>
        <w:gridCol w:w="4942"/>
      </w:tblGrid>
      <w:tr>
        <w:trPr>
          <w:cantSplit/>
          <w:tblHeader/>
        </w:trPr>
        <w:tc>
          <w:tcPr>
            <w:tcW w:w="606" w:type="dxa"/>
            <w:shd w:val="clear" w:color="auto" w:fill="0F4761"/>
            <w:vAlign w:val="center"/>
          </w:tcPr>
          <w:p>
            <w:pPr>
              <w:pStyle w:val="TableHeading"/>
              <w:jc w:val="left"/>
            </w:pPr>
            <w:r>
              <w:rPr>
                <w:color w:val="FFFFFF"/>
              </w:rPr>
              <w:t xml:space="preserve">Ref</w:t>
            </w:r>
          </w:p>
        </w:tc>
        <w:tc>
          <w:tcPr>
            <w:tcW w:w="3479" w:type="dxa"/>
            <w:shd w:val="clear" w:color="auto" w:fill="0F4761"/>
            <w:vAlign w:val="center"/>
          </w:tcPr>
          <w:p>
            <w:pPr>
              <w:pStyle w:val="TableHeading"/>
              <w:jc w:val="left"/>
            </w:pPr>
            <w:r>
              <w:rPr>
                <w:color w:val="FFFFFF"/>
              </w:rPr>
              <w:t xml:space="preserve">Assumption</w:t>
            </w:r>
          </w:p>
        </w:tc>
        <w:tc>
          <w:tcPr>
            <w:tcW w:w="4942" w:type="dxa"/>
            <w:shd w:val="clear" w:color="auto" w:fill="0F4761"/>
            <w:vAlign w:val="center"/>
          </w:tcPr>
          <w:p>
            <w:pPr>
              <w:pStyle w:val="TableHeading"/>
              <w:jc w:val="left"/>
            </w:pPr>
            <w:r>
              <w:rPr>
                <w:color w:val="FFFFFF"/>
              </w:rPr>
              <w:t xml:space="preserve">Value</w:t>
            </w:r>
          </w:p>
        </w:tc>
      </w:tr>
      <w:tr>
        <w:trPr>
          <w:cantSplit/>
        </w:trPr>
        <w:tc>
          <w:tcPr>
            <w:tcW w:w="606" w:type="dxa"/>
            <w:noWrap/>
            <w:vAlign w:val="top"/>
          </w:tcPr>
          <w:p>
            <w:pPr>
              <w:pStyle w:val="TableText"/>
              <w:jc w:val="left"/>
            </w:pPr>
            <w:r>
              <w:t xml:space="preserve">W-1</w:t>
            </w:r>
          </w:p>
        </w:tc>
        <w:tc>
          <w:tcPr>
            <w:tcW w:w="3479" w:type="dxa"/>
            <w:vAlign w:val="top"/>
          </w:tcPr>
          <w:p>
            <w:pPr>
              <w:pStyle w:val="TableText"/>
              <w:jc w:val="left"/>
            </w:pPr>
            <w:r>
              <w:t xml:space="preserve">Vehicle profiles</w:t>
            </w:r>
          </w:p>
        </w:tc>
        <w:tc>
          <w:tcPr>
            <w:tcW w:w="4942" w:type="dxa"/>
            <w:vAlign w:val="top"/>
          </w:tcPr>
          <w:p>
            <w:pPr>
              <w:pStyle w:val="TableText"/>
              <w:jc w:val="left"/>
            </w:pPr>
            <w:r>
              <w:t xml:space="preserve">6 million (12 million source records, about two per vehicle)</w:t>
            </w:r>
          </w:p>
        </w:tc>
      </w:tr>
      <w:tr>
        <w:trPr>
          <w:cantSplit/>
        </w:trPr>
        <w:tc>
          <w:tcPr>
            <w:tcW w:w="606" w:type="dxa"/>
            <w:shd w:val="clear" w:color="auto" w:fill="F4F7FB"/>
            <w:noWrap/>
            <w:vAlign w:val="top"/>
          </w:tcPr>
          <w:p>
            <w:pPr>
              <w:pStyle w:val="TableText"/>
              <w:jc w:val="left"/>
            </w:pPr>
            <w:r>
              <w:t xml:space="preserve">W-2</w:t>
            </w:r>
          </w:p>
        </w:tc>
        <w:tc>
          <w:tcPr>
            <w:tcW w:w="3479" w:type="dxa"/>
            <w:shd w:val="clear" w:color="auto" w:fill="F4F7FB"/>
            <w:vAlign w:val="top"/>
          </w:tcPr>
          <w:p>
            <w:pPr>
              <w:pStyle w:val="TableText"/>
              <w:jc w:val="left"/>
            </w:pPr>
            <w:r>
              <w:t xml:space="preserve">Leads re-scored</w:t>
            </w:r>
          </w:p>
        </w:tc>
        <w:tc>
          <w:tcPr>
            <w:tcW w:w="4942" w:type="dxa"/>
            <w:shd w:val="clear" w:color="auto" w:fill="F4F7FB"/>
            <w:vAlign w:val="top"/>
          </w:tcPr>
          <w:p>
            <w:pPr>
              <w:pStyle w:val="TableText"/>
              <w:jc w:val="left"/>
            </w:pPr>
            <w:r>
              <w:t xml:space="preserve">6 million nightly (full); up to 50,000 an hour on events (partial)</w:t>
            </w:r>
          </w:p>
        </w:tc>
      </w:tr>
      <w:tr>
        <w:trPr>
          <w:cantSplit/>
        </w:trPr>
        <w:tc>
          <w:tcPr>
            <w:tcW w:w="606" w:type="dxa"/>
            <w:noWrap/>
            <w:vAlign w:val="top"/>
          </w:tcPr>
          <w:p>
            <w:pPr>
              <w:pStyle w:val="TableText"/>
              <w:jc w:val="left"/>
            </w:pPr>
            <w:r>
              <w:t xml:space="preserve">W-3</w:t>
            </w:r>
          </w:p>
        </w:tc>
        <w:tc>
          <w:tcPr>
            <w:tcW w:w="3479" w:type="dxa"/>
            <w:vAlign w:val="top"/>
          </w:tcPr>
          <w:p>
            <w:pPr>
              <w:pStyle w:val="TableText"/>
              <w:jc w:val="left"/>
            </w:pPr>
            <w:r>
              <w:t xml:space="preserve">Touchpoints due per day at peak (month end and Tết)</w:t>
            </w:r>
          </w:p>
        </w:tc>
        <w:tc>
          <w:tcPr>
            <w:tcW w:w="4942" w:type="dxa"/>
            <w:vAlign w:val="top"/>
          </w:tcPr>
          <w:p>
            <w:pPr>
              <w:pStyle w:val="TableText"/>
              <w:jc w:val="left"/>
            </w:pPr>
            <w:r>
              <w:t xml:space="preserve">300,000</w:t>
            </w:r>
          </w:p>
        </w:tc>
      </w:tr>
      <w:tr>
        <w:trPr>
          <w:cantSplit/>
        </w:trPr>
        <w:tc>
          <w:tcPr>
            <w:tcW w:w="606" w:type="dxa"/>
            <w:shd w:val="clear" w:color="auto" w:fill="F4F7FB"/>
            <w:noWrap/>
            <w:vAlign w:val="top"/>
          </w:tcPr>
          <w:p>
            <w:pPr>
              <w:pStyle w:val="TableText"/>
              <w:jc w:val="left"/>
            </w:pPr>
            <w:r>
              <w:t xml:space="preserve">W-4</w:t>
            </w:r>
          </w:p>
        </w:tc>
        <w:tc>
          <w:tcPr>
            <w:tcW w:w="3479" w:type="dxa"/>
            <w:shd w:val="clear" w:color="auto" w:fill="F4F7FB"/>
            <w:vAlign w:val="top"/>
          </w:tcPr>
          <w:p>
            <w:pPr>
              <w:pStyle w:val="TableText"/>
              <w:jc w:val="left"/>
            </w:pPr>
            <w:r>
              <w:t xml:space="preserve">Concurrent staff users</w:t>
            </w:r>
          </w:p>
        </w:tc>
        <w:tc>
          <w:tcPr>
            <w:tcW w:w="4942" w:type="dxa"/>
            <w:shd w:val="clear" w:color="auto" w:fill="F4F7FB"/>
            <w:vAlign w:val="top"/>
          </w:tcPr>
          <w:p>
            <w:pPr>
              <w:pStyle w:val="TableText"/>
              <w:jc w:val="left"/>
            </w:pPr>
            <w:r>
              <w:t xml:space="preserve">300 (200 telesales, 100 others)</w:t>
            </w:r>
          </w:p>
        </w:tc>
      </w:tr>
      <w:tr>
        <w:trPr>
          <w:cantSplit/>
        </w:trPr>
        <w:tc>
          <w:tcPr>
            <w:tcW w:w="606" w:type="dxa"/>
            <w:noWrap/>
            <w:vAlign w:val="top"/>
          </w:tcPr>
          <w:p>
            <w:pPr>
              <w:pStyle w:val="TableText"/>
              <w:jc w:val="left"/>
            </w:pPr>
            <w:r>
              <w:t xml:space="preserve">W-5</w:t>
            </w:r>
          </w:p>
        </w:tc>
        <w:tc>
          <w:tcPr>
            <w:tcW w:w="3479" w:type="dxa"/>
            <w:vAlign w:val="top"/>
          </w:tcPr>
          <w:p>
            <w:pPr>
              <w:pStyle w:val="TableText"/>
              <w:jc w:val="left"/>
            </w:pPr>
            <w:r>
              <w:t xml:space="preserve">Customer app load during a push campaign</w:t>
            </w:r>
          </w:p>
        </w:tc>
        <w:tc>
          <w:tcPr>
            <w:tcW w:w="4942" w:type="dxa"/>
            <w:vAlign w:val="top"/>
          </w:tcPr>
          <w:p>
            <w:pPr>
              <w:pStyle w:val="TableText"/>
              <w:jc w:val="left"/>
            </w:pPr>
            <w:r>
              <w:t xml:space="preserve">2,000 requests per second for 15 minutes (burst); 300 per second sustained at full scale</w:t>
            </w:r>
          </w:p>
        </w:tc>
      </w:tr>
      <w:tr>
        <w:trPr>
          <w:cantSplit/>
        </w:trPr>
        <w:tc>
          <w:tcPr>
            <w:tcW w:w="606" w:type="dxa"/>
            <w:shd w:val="clear" w:color="auto" w:fill="F4F7FB"/>
            <w:noWrap/>
            <w:vAlign w:val="top"/>
          </w:tcPr>
          <w:p>
            <w:pPr>
              <w:pStyle w:val="TableText"/>
              <w:jc w:val="left"/>
            </w:pPr>
            <w:r>
              <w:t xml:space="preserve">W-6</w:t>
            </w:r>
          </w:p>
        </w:tc>
        <w:tc>
          <w:tcPr>
            <w:tcW w:w="3479" w:type="dxa"/>
            <w:shd w:val="clear" w:color="auto" w:fill="F4F7FB"/>
            <w:vAlign w:val="top"/>
          </w:tcPr>
          <w:p>
            <w:pPr>
              <w:pStyle w:val="TableText"/>
              <w:jc w:val="left"/>
            </w:pPr>
            <w:r>
              <w:t xml:space="preserve">Concurrent assistant calls (vendor side)</w:t>
            </w:r>
          </w:p>
        </w:tc>
        <w:tc>
          <w:tcPr>
            <w:tcW w:w="4942" w:type="dxa"/>
            <w:shd w:val="clear" w:color="auto" w:fill="F4F7FB"/>
            <w:vAlign w:val="top"/>
          </w:tcPr>
          <w:p>
            <w:pPr>
              <w:pStyle w:val="TableText"/>
              <w:jc w:val="left"/>
            </w:pPr>
            <w:r>
              <w:t xml:space="preserve">200</w:t>
            </w:r>
          </w:p>
        </w:tc>
      </w:tr>
      <w:tr>
        <w:trPr>
          <w:cantSplit/>
        </w:trPr>
        <w:tc>
          <w:tcPr>
            <w:tcW w:w="606" w:type="dxa"/>
            <w:noWrap/>
            <w:vAlign w:val="top"/>
          </w:tcPr>
          <w:p>
            <w:pPr>
              <w:pStyle w:val="TableText"/>
              <w:jc w:val="left"/>
            </w:pPr>
            <w:r>
              <w:t xml:space="preserve">W-7</w:t>
            </w:r>
          </w:p>
        </w:tc>
        <w:tc>
          <w:tcPr>
            <w:tcW w:w="3479" w:type="dxa"/>
            <w:vAlign w:val="top"/>
          </w:tcPr>
          <w:p>
            <w:pPr>
              <w:pStyle w:val="TableText"/>
              <w:jc w:val="left"/>
            </w:pPr>
            <w:r>
              <w:t xml:space="preserve">Partner API peak</w:t>
            </w:r>
          </w:p>
        </w:tc>
        <w:tc>
          <w:tcPr>
            <w:tcW w:w="4942" w:type="dxa"/>
            <w:vAlign w:val="top"/>
          </w:tcPr>
          <w:p>
            <w:pPr>
              <w:pStyle w:val="TableText"/>
              <w:jc w:val="left"/>
            </w:pPr>
            <w:r>
              <w:t xml:space="preserve">50 requests per second</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4" w:name="_Toc300000010"/>
      <w:r>
        <w:rPr>
          <w:rStyle w:val="BookTitle"/>
          <w:bCs w:val="0"/>
          <w:i w:val="0"/>
          <w:iCs w:val="0"/>
          <w:spacing w:val="0"/>
        </w:rPr>
        <w:t xml:space="preserve">Performance</w:t>
      </w:r>
      <w:bookmarkEnd w:id="1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36"/>
        <w:gridCol w:w="1660"/>
        <w:gridCol w:w="2075"/>
        <w:gridCol w:w="2178"/>
        <w:gridCol w:w="2178"/>
      </w:tblGrid>
      <w:tr>
        <w:trPr>
          <w:cantSplit/>
          <w:tblHeader/>
        </w:trPr>
        <w:tc>
          <w:tcPr>
            <w:tcW w:w="936" w:type="dxa"/>
            <w:shd w:val="clear" w:color="auto" w:fill="0F4761"/>
            <w:vAlign w:val="center"/>
          </w:tcPr>
          <w:p>
            <w:pPr>
              <w:pStyle w:val="TableHeading"/>
              <w:jc w:val="left"/>
            </w:pPr>
            <w:r>
              <w:rPr>
                <w:color w:val="FFFFFF"/>
              </w:rPr>
              <w:t xml:space="preserve">ID</w:t>
            </w:r>
          </w:p>
        </w:tc>
        <w:tc>
          <w:tcPr>
            <w:tcW w:w="1660" w:type="dxa"/>
            <w:shd w:val="clear" w:color="auto" w:fill="0F4761"/>
            <w:vAlign w:val="center"/>
          </w:tcPr>
          <w:p>
            <w:pPr>
              <w:pStyle w:val="TableHeading"/>
              <w:jc w:val="left"/>
            </w:pPr>
            <w:r>
              <w:rPr>
                <w:color w:val="FFFFFF"/>
              </w:rPr>
              <w:t xml:space="preserve">Requirement</w:t>
            </w:r>
          </w:p>
        </w:tc>
        <w:tc>
          <w:tcPr>
            <w:tcW w:w="2075" w:type="dxa"/>
            <w:shd w:val="clear" w:color="auto" w:fill="0F4761"/>
            <w:vAlign w:val="center"/>
          </w:tcPr>
          <w:p>
            <w:pPr>
              <w:pStyle w:val="TableHeading"/>
              <w:jc w:val="left"/>
            </w:pPr>
            <w:r>
              <w:rPr>
                <w:color w:val="FFFFFF"/>
              </w:rPr>
              <w:t xml:space="preserve">Target</w:t>
            </w:r>
          </w:p>
        </w:tc>
        <w:tc>
          <w:tcPr>
            <w:tcW w:w="2178" w:type="dxa"/>
            <w:shd w:val="clear" w:color="auto" w:fill="0F4761"/>
            <w:vAlign w:val="center"/>
          </w:tcPr>
          <w:p>
            <w:pPr>
              <w:pStyle w:val="TableHeading"/>
              <w:jc w:val="left"/>
            </w:pPr>
            <w:r>
              <w:rPr>
                <w:color w:val="FFFFFF"/>
              </w:rPr>
              <w:t xml:space="preserve">Verification</w:t>
            </w:r>
          </w:p>
        </w:tc>
        <w:tc>
          <w:tcPr>
            <w:tcW w:w="2178" w:type="dxa"/>
            <w:shd w:val="clear" w:color="auto" w:fill="0F4761"/>
            <w:vAlign w:val="center"/>
          </w:tcPr>
          <w:p>
            <w:pPr>
              <w:pStyle w:val="TableHeading"/>
              <w:jc w:val="left"/>
            </w:pPr>
            <w:r>
              <w:rPr>
                <w:color w:val="FFFFFF"/>
              </w:rPr>
              <w:t xml:space="preserve">Status</w:t>
            </w:r>
          </w:p>
        </w:tc>
      </w:tr>
      <w:tr>
        <w:trPr>
          <w:cantSplit/>
        </w:trPr>
        <w:tc>
          <w:tcPr>
            <w:tcW w:w="936" w:type="dxa"/>
            <w:noWrap/>
            <w:vAlign w:val="top"/>
          </w:tcPr>
          <w:p>
            <w:pPr>
              <w:pStyle w:val="TableText"/>
              <w:jc w:val="left"/>
            </w:pPr>
            <w:r>
              <w:t xml:space="preserve">NFR-001</w:t>
            </w:r>
          </w:p>
        </w:tc>
        <w:tc>
          <w:tcPr>
            <w:tcW w:w="1660" w:type="dxa"/>
            <w:vAlign w:val="top"/>
          </w:tcPr>
          <w:p>
            <w:pPr>
              <w:pStyle w:val="TableText"/>
              <w:jc w:val="left"/>
            </w:pPr>
            <w:r>
              <w:t xml:space="preserve">Response time of read screens: leads, Customer 360, customer home, certificate check</w:t>
            </w:r>
          </w:p>
        </w:tc>
        <w:tc>
          <w:tcPr>
            <w:tcW w:w="2075" w:type="dxa"/>
            <w:vAlign w:val="top"/>
          </w:tcPr>
          <w:p>
            <w:pPr>
              <w:pStyle w:val="TableText"/>
              <w:jc w:val="left"/>
            </w:pPr>
            <w:r>
              <w:t xml:space="preserve">95th percentile 300 ms or less, 99th percentile 800 ms or less at W-4 and W-5 load</w:t>
            </w:r>
          </w:p>
        </w:tc>
        <w:tc>
          <w:tcPr>
            <w:tcW w:w="2178" w:type="dxa"/>
            <w:vAlign w:val="top"/>
          </w:tcPr>
          <w:p>
            <w:pPr>
              <w:pStyle w:val="TableText"/>
              <w:jc w:val="left"/>
            </w:pPr>
            <w:r>
              <w:t xml:space="preserve">Load test; request duration metrics</w:t>
            </w:r>
          </w:p>
        </w:tc>
        <w:tc>
          <w:tcPr>
            <w:tcW w:w="2178" w:type="dxa"/>
            <w:vAlign w:val="top"/>
          </w:tcPr>
          <w:p>
            <w:pPr>
              <w:pStyle w:val="TableText"/>
              <w:jc w:val="left"/>
            </w:pPr>
            <w:r>
              <w:t xml:space="preserve">Partial: metrics and smoke test in place; full-scale test planned</w:t>
            </w:r>
          </w:p>
        </w:tc>
      </w:tr>
      <w:tr>
        <w:trPr>
          <w:cantSplit/>
        </w:trPr>
        <w:tc>
          <w:tcPr>
            <w:tcW w:w="936" w:type="dxa"/>
            <w:shd w:val="clear" w:color="auto" w:fill="F4F7FB"/>
            <w:noWrap/>
            <w:vAlign w:val="top"/>
          </w:tcPr>
          <w:p>
            <w:pPr>
              <w:pStyle w:val="TableText"/>
              <w:jc w:val="left"/>
            </w:pPr>
            <w:r>
              <w:t xml:space="preserve">NFR-002</w:t>
            </w:r>
          </w:p>
        </w:tc>
        <w:tc>
          <w:tcPr>
            <w:tcW w:w="1660" w:type="dxa"/>
            <w:shd w:val="clear" w:color="auto" w:fill="F4F7FB"/>
            <w:vAlign w:val="top"/>
          </w:tcPr>
          <w:p>
            <w:pPr>
              <w:pStyle w:val="TableText"/>
              <w:jc w:val="left"/>
            </w:pPr>
            <w:r>
              <w:t xml:space="preserve">Response time of a quote</w:t>
            </w:r>
          </w:p>
        </w:tc>
        <w:tc>
          <w:tcPr>
            <w:tcW w:w="2075" w:type="dxa"/>
            <w:shd w:val="clear" w:color="auto" w:fill="F4F7FB"/>
            <w:vAlign w:val="top"/>
          </w:tcPr>
          <w:p>
            <w:pPr>
              <w:pStyle w:val="TableText"/>
              <w:jc w:val="left"/>
            </w:pPr>
            <w:r>
              <w:t xml:space="preserve">95th percentile 500 ms or less, excluding TASCO core response time</w:t>
            </w:r>
          </w:p>
        </w:tc>
        <w:tc>
          <w:tcPr>
            <w:tcW w:w="2178" w:type="dxa"/>
            <w:shd w:val="clear" w:color="auto" w:fill="F4F7FB"/>
            <w:vAlign w:val="top"/>
          </w:tcPr>
          <w:p>
            <w:pPr>
              <w:pStyle w:val="TableText"/>
              <w:jc w:val="left"/>
            </w:pPr>
            <w:r>
              <w:t xml:space="preserve">Load test including quotes</w:t>
            </w:r>
          </w:p>
        </w:tc>
        <w:tc>
          <w:tcPr>
            <w:tcW w:w="2178" w:type="dxa"/>
            <w:shd w:val="clear" w:color="auto" w:fill="F4F7FB"/>
            <w:vAlign w:val="top"/>
          </w:tcPr>
          <w:p>
            <w:pPr>
              <w:pStyle w:val="TableText"/>
              <w:jc w:val="left"/>
            </w:pPr>
            <w:r>
              <w:t xml:space="preserve">Partial: smoke level only</w:t>
            </w:r>
          </w:p>
        </w:tc>
      </w:tr>
      <w:tr>
        <w:trPr>
          <w:cantSplit/>
        </w:trPr>
        <w:tc>
          <w:tcPr>
            <w:tcW w:w="936" w:type="dxa"/>
            <w:noWrap/>
            <w:vAlign w:val="top"/>
          </w:tcPr>
          <w:p>
            <w:pPr>
              <w:pStyle w:val="TableText"/>
              <w:jc w:val="left"/>
            </w:pPr>
            <w:r>
              <w:t xml:space="preserve">NFR-003</w:t>
            </w:r>
          </w:p>
        </w:tc>
        <w:tc>
          <w:tcPr>
            <w:tcW w:w="1660" w:type="dxa"/>
            <w:vAlign w:val="top"/>
          </w:tcPr>
          <w:p>
            <w:pPr>
              <w:pStyle w:val="TableText"/>
              <w:jc w:val="left"/>
            </w:pPr>
            <w:r>
              <w:t xml:space="preserve">Purchase (pay and issue) end to end, excluding upstream time</w:t>
            </w:r>
          </w:p>
        </w:tc>
        <w:tc>
          <w:tcPr>
            <w:tcW w:w="2075" w:type="dxa"/>
            <w:vAlign w:val="top"/>
          </w:tcPr>
          <w:p>
            <w:pPr>
              <w:pStyle w:val="TableText"/>
              <w:jc w:val="left"/>
            </w:pPr>
            <w:r>
              <w:t xml:space="preserve">95th percentile 1.5 s or less; upstream timeout 5 s with two retries</w:t>
            </w:r>
          </w:p>
        </w:tc>
        <w:tc>
          <w:tcPr>
            <w:tcW w:w="2178" w:type="dxa"/>
            <w:vAlign w:val="top"/>
          </w:tcPr>
          <w:p>
            <w:pPr>
              <w:pStyle w:val="TableText"/>
              <w:jc w:val="left"/>
            </w:pPr>
            <w:r>
              <w:t xml:space="preserve">Load test; resilience settings</w:t>
            </w:r>
          </w:p>
        </w:tc>
        <w:tc>
          <w:tcPr>
            <w:tcW w:w="2178" w:type="dxa"/>
            <w:vAlign w:val="top"/>
          </w:tcPr>
          <w:p>
            <w:pPr>
              <w:pStyle w:val="TableText"/>
              <w:jc w:val="left"/>
            </w:pPr>
            <w:r>
              <w:t xml:space="preserve">Built (timeout 5,000 ms, two retries)</w:t>
            </w:r>
          </w:p>
        </w:tc>
      </w:tr>
      <w:tr>
        <w:trPr>
          <w:cantSplit/>
        </w:trPr>
        <w:tc>
          <w:tcPr>
            <w:tcW w:w="936" w:type="dxa"/>
            <w:shd w:val="clear" w:color="auto" w:fill="F4F7FB"/>
            <w:noWrap/>
            <w:vAlign w:val="top"/>
          </w:tcPr>
          <w:p>
            <w:pPr>
              <w:pStyle w:val="TableText"/>
              <w:jc w:val="left"/>
            </w:pPr>
            <w:r>
              <w:t xml:space="preserve">NFR-004</w:t>
            </w:r>
          </w:p>
        </w:tc>
        <w:tc>
          <w:tcPr>
            <w:tcW w:w="1660" w:type="dxa"/>
            <w:shd w:val="clear" w:color="auto" w:fill="F4F7FB"/>
            <w:vAlign w:val="top"/>
          </w:tcPr>
          <w:p>
            <w:pPr>
              <w:pStyle w:val="TableText"/>
              <w:jc w:val="left"/>
            </w:pPr>
            <w:r>
              <w:t xml:space="preserve">Assistant dialogue turn, excluding speech recognition and synthesis</w:t>
            </w:r>
          </w:p>
        </w:tc>
        <w:tc>
          <w:tcPr>
            <w:tcW w:w="2075" w:type="dxa"/>
            <w:shd w:val="clear" w:color="auto" w:fill="F4F7FB"/>
            <w:vAlign w:val="top"/>
          </w:tcPr>
          <w:p>
            <w:pPr>
              <w:pStyle w:val="TableText"/>
              <w:jc w:val="left"/>
            </w:pPr>
            <w:r>
              <w:t xml:space="preserve">95th percentile 150 ms or less per turn</w:t>
            </w:r>
          </w:p>
        </w:tc>
        <w:tc>
          <w:tcPr>
            <w:tcW w:w="2178" w:type="dxa"/>
            <w:shd w:val="clear" w:color="auto" w:fill="F4F7FB"/>
            <w:vAlign w:val="top"/>
          </w:tcPr>
          <w:p>
            <w:pPr>
              <w:pStyle w:val="TableText"/>
              <w:jc w:val="left"/>
            </w:pPr>
            <w:r>
              <w:t xml:space="preserve">Unit benchmark</w:t>
            </w:r>
          </w:p>
        </w:tc>
        <w:tc>
          <w:tcPr>
            <w:tcW w:w="2178" w:type="dxa"/>
            <w:shd w:val="clear" w:color="auto" w:fill="F4F7FB"/>
            <w:vAlign w:val="top"/>
          </w:tcPr>
          <w:p>
            <w:pPr>
              <w:pStyle w:val="TableText"/>
              <w:jc w:val="left"/>
            </w:pPr>
            <w:r>
              <w:t xml:space="preserve">Planned</w:t>
            </w:r>
          </w:p>
        </w:tc>
      </w:tr>
      <w:tr>
        <w:trPr>
          <w:cantSplit/>
        </w:trPr>
        <w:tc>
          <w:tcPr>
            <w:tcW w:w="936" w:type="dxa"/>
            <w:noWrap/>
            <w:vAlign w:val="top"/>
          </w:tcPr>
          <w:p>
            <w:pPr>
              <w:pStyle w:val="TableText"/>
              <w:jc w:val="left"/>
            </w:pPr>
            <w:r>
              <w:t xml:space="preserve">NFR-005</w:t>
            </w:r>
          </w:p>
        </w:tc>
        <w:tc>
          <w:tcPr>
            <w:tcW w:w="1660" w:type="dxa"/>
            <w:vAlign w:val="top"/>
          </w:tcPr>
          <w:p>
            <w:pPr>
              <w:pStyle w:val="TableText"/>
              <w:jc w:val="left"/>
            </w:pPr>
            <w:r>
              <w:t xml:space="preserve">Ingestion throughput</w:t>
            </w:r>
          </w:p>
        </w:tc>
        <w:tc>
          <w:tcPr>
            <w:tcW w:w="2075" w:type="dxa"/>
            <w:vAlign w:val="top"/>
          </w:tcPr>
          <w:p>
            <w:pPr>
              <w:pStyle w:val="TableText"/>
              <w:jc w:val="left"/>
            </w:pPr>
            <w:r>
              <w:t xml:space="preserve">2,000 records per second per worker or more; 12 million records rebuilt in four hours or less with four workers</w:t>
            </w:r>
          </w:p>
        </w:tc>
        <w:tc>
          <w:tcPr>
            <w:tcW w:w="2178" w:type="dxa"/>
            <w:vAlign w:val="top"/>
          </w:tcPr>
          <w:p>
            <w:pPr>
              <w:pStyle w:val="TableText"/>
              <w:jc w:val="left"/>
            </w:pPr>
            <w:r>
              <w:t xml:space="preserve">Batch benchmark</w:t>
            </w:r>
          </w:p>
        </w:tc>
        <w:tc>
          <w:tcPr>
            <w:tcW w:w="2178" w:type="dxa"/>
            <w:vAlign w:val="top"/>
          </w:tcPr>
          <w:p>
            <w:pPr>
              <w:pStyle w:val="TableText"/>
              <w:jc w:val="left"/>
            </w:pPr>
            <w:r>
              <w:t xml:space="preserve">Partial: incremental rebuild in chunks of 500 plates</w:t>
            </w:r>
          </w:p>
        </w:tc>
      </w:tr>
      <w:tr>
        <w:trPr>
          <w:cantSplit/>
        </w:trPr>
        <w:tc>
          <w:tcPr>
            <w:tcW w:w="936" w:type="dxa"/>
            <w:shd w:val="clear" w:color="auto" w:fill="F4F7FB"/>
            <w:noWrap/>
            <w:vAlign w:val="top"/>
          </w:tcPr>
          <w:p>
            <w:pPr>
              <w:pStyle w:val="TableText"/>
              <w:jc w:val="left"/>
            </w:pPr>
            <w:r>
              <w:t xml:space="preserve">NFR-006</w:t>
            </w:r>
          </w:p>
        </w:tc>
        <w:tc>
          <w:tcPr>
            <w:tcW w:w="1660" w:type="dxa"/>
            <w:shd w:val="clear" w:color="auto" w:fill="F4F7FB"/>
            <w:vAlign w:val="top"/>
          </w:tcPr>
          <w:p>
            <w:pPr>
              <w:pStyle w:val="TableText"/>
              <w:jc w:val="left"/>
            </w:pPr>
            <w:r>
              <w:t xml:space="preserve">Lead recompute</w:t>
            </w:r>
          </w:p>
        </w:tc>
        <w:tc>
          <w:tcPr>
            <w:tcW w:w="2075" w:type="dxa"/>
            <w:shd w:val="clear" w:color="auto" w:fill="F4F7FB"/>
            <w:vAlign w:val="top"/>
          </w:tcPr>
          <w:p>
            <w:pPr>
              <w:pStyle w:val="TableText"/>
              <w:jc w:val="left"/>
            </w:pPr>
            <w:r>
              <w:t xml:space="preserve">Full 6 million in three hours or less nightly; event-driven updates visible within 60 seconds</w:t>
            </w:r>
          </w:p>
        </w:tc>
        <w:tc>
          <w:tcPr>
            <w:tcW w:w="2178" w:type="dxa"/>
            <w:shd w:val="clear" w:color="auto" w:fill="F4F7FB"/>
            <w:vAlign w:val="top"/>
          </w:tcPr>
          <w:p>
            <w:pPr>
              <w:pStyle w:val="TableText"/>
              <w:jc w:val="left"/>
            </w:pPr>
            <w:r>
              <w:t xml:space="preserve">Job timings</w:t>
            </w:r>
          </w:p>
        </w:tc>
        <w:tc>
          <w:tcPr>
            <w:tcW w:w="2178" w:type="dxa"/>
            <w:shd w:val="clear" w:color="auto" w:fill="F4F7FB"/>
            <w:vAlign w:val="top"/>
          </w:tcPr>
          <w:p>
            <w:pPr>
              <w:pStyle w:val="TableText"/>
              <w:jc w:val="left"/>
            </w:pPr>
            <w:r>
              <w:t xml:space="preserve">Partial: paged by 1,000; parallel workers planned</w:t>
            </w:r>
          </w:p>
        </w:tc>
      </w:tr>
      <w:tr>
        <w:trPr>
          <w:cantSplit/>
        </w:trPr>
        <w:tc>
          <w:tcPr>
            <w:tcW w:w="936" w:type="dxa"/>
            <w:noWrap/>
            <w:vAlign w:val="top"/>
          </w:tcPr>
          <w:p>
            <w:pPr>
              <w:pStyle w:val="TableText"/>
              <w:jc w:val="left"/>
            </w:pPr>
            <w:r>
              <w:t xml:space="preserve">NFR-007</w:t>
            </w:r>
          </w:p>
        </w:tc>
        <w:tc>
          <w:tcPr>
            <w:tcW w:w="1660" w:type="dxa"/>
            <w:vAlign w:val="top"/>
          </w:tcPr>
          <w:p>
            <w:pPr>
              <w:pStyle w:val="TableText"/>
              <w:jc w:val="left"/>
            </w:pPr>
            <w:r>
              <w:t xml:space="preserve">Journey run</w:t>
            </w:r>
          </w:p>
        </w:tc>
        <w:tc>
          <w:tcPr>
            <w:tcW w:w="2075" w:type="dxa"/>
            <w:vAlign w:val="top"/>
          </w:tcPr>
          <w:p>
            <w:pPr>
              <w:pStyle w:val="TableText"/>
              <w:jc w:val="left"/>
            </w:pPr>
            <w:r>
              <w:t xml:space="preserve">300,000 due touchpoints executed inside the 08:00 to 20:00 window in two hours or less</w:t>
            </w:r>
          </w:p>
        </w:tc>
        <w:tc>
          <w:tcPr>
            <w:tcW w:w="2178" w:type="dxa"/>
            <w:vAlign w:val="top"/>
          </w:tcPr>
          <w:p>
            <w:pPr>
              <w:pStyle w:val="TableText"/>
              <w:jc w:val="left"/>
            </w:pPr>
            <w:r>
              <w:t xml:space="preserve">Journey run summary</w:t>
            </w:r>
          </w:p>
        </w:tc>
        <w:tc>
          <w:tcPr>
            <w:tcW w:w="2178" w:type="dxa"/>
            <w:vAlign w:val="top"/>
          </w:tcPr>
          <w:p>
            <w:pPr>
              <w:pStyle w:val="TableText"/>
              <w:jc w:val="left"/>
            </w:pPr>
            <w:r>
              <w:t xml:space="preserve">Planned (sharding)</w:t>
            </w:r>
          </w:p>
        </w:tc>
      </w:tr>
      <w:tr>
        <w:trPr>
          <w:cantSplit/>
        </w:trPr>
        <w:tc>
          <w:tcPr>
            <w:tcW w:w="936" w:type="dxa"/>
            <w:shd w:val="clear" w:color="auto" w:fill="F4F7FB"/>
            <w:noWrap/>
            <w:vAlign w:val="top"/>
          </w:tcPr>
          <w:p>
            <w:pPr>
              <w:pStyle w:val="TableText"/>
              <w:jc w:val="left"/>
            </w:pPr>
            <w:r>
              <w:t xml:space="preserve">NFR-008</w:t>
            </w:r>
          </w:p>
        </w:tc>
        <w:tc>
          <w:tcPr>
            <w:tcW w:w="1660" w:type="dxa"/>
            <w:shd w:val="clear" w:color="auto" w:fill="F4F7FB"/>
            <w:vAlign w:val="top"/>
          </w:tcPr>
          <w:p>
            <w:pPr>
              <w:pStyle w:val="TableText"/>
              <w:jc w:val="left"/>
            </w:pPr>
            <w:r>
              <w:t xml:space="preserve">Rule change propagation</w:t>
            </w:r>
          </w:p>
        </w:tc>
        <w:tc>
          <w:tcPr>
            <w:tcW w:w="2075" w:type="dxa"/>
            <w:shd w:val="clear" w:color="auto" w:fill="F4F7FB"/>
            <w:vAlign w:val="top"/>
          </w:tcPr>
          <w:p>
            <w:pPr>
              <w:pStyle w:val="TableText"/>
              <w:jc w:val="left"/>
            </w:pPr>
            <w:r>
              <w:t xml:space="preserve">Approved rules active on all servers within 15 seconds</w:t>
            </w:r>
          </w:p>
        </w:tc>
        <w:tc>
          <w:tcPr>
            <w:tcW w:w="2178" w:type="dxa"/>
            <w:shd w:val="clear" w:color="auto" w:fill="F4F7FB"/>
            <w:vAlign w:val="top"/>
          </w:tcPr>
          <w:p>
            <w:pPr>
              <w:pStyle w:val="TableText"/>
              <w:jc w:val="left"/>
            </w:pPr>
            <w:r>
              <w:t xml:space="preserve">Cache expiry and activation event</w:t>
            </w:r>
          </w:p>
        </w:tc>
        <w:tc>
          <w:tcPr>
            <w:tcW w:w="2178" w:type="dxa"/>
            <w:shd w:val="clear" w:color="auto" w:fill="F4F7FB"/>
            <w:vAlign w:val="top"/>
          </w:tcPr>
          <w:p>
            <w:pPr>
              <w:pStyle w:val="TableText"/>
              <w:jc w:val="left"/>
            </w:pPr>
            <w:r>
              <w:t xml:space="preserve">Built</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5" w:name="_Toc300000011"/>
      <w:r>
        <w:rPr>
          <w:rStyle w:val="BookTitle"/>
          <w:bCs w:val="0"/>
          <w:i w:val="0"/>
          <w:iCs w:val="0"/>
          <w:spacing w:val="0"/>
        </w:rPr>
        <w:t xml:space="preserve">Scalability</w:t>
      </w:r>
      <w:bookmarkEnd w:id="1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36"/>
        <w:gridCol w:w="1660"/>
        <w:gridCol w:w="2075"/>
        <w:gridCol w:w="2178"/>
        <w:gridCol w:w="2178"/>
      </w:tblGrid>
      <w:tr>
        <w:trPr>
          <w:cantSplit/>
          <w:tblHeader/>
        </w:trPr>
        <w:tc>
          <w:tcPr>
            <w:tcW w:w="936" w:type="dxa"/>
            <w:shd w:val="clear" w:color="auto" w:fill="0F4761"/>
            <w:vAlign w:val="center"/>
          </w:tcPr>
          <w:p>
            <w:pPr>
              <w:pStyle w:val="TableHeading"/>
              <w:jc w:val="left"/>
            </w:pPr>
            <w:r>
              <w:rPr>
                <w:color w:val="FFFFFF"/>
              </w:rPr>
              <w:t xml:space="preserve">ID</w:t>
            </w:r>
          </w:p>
        </w:tc>
        <w:tc>
          <w:tcPr>
            <w:tcW w:w="1660" w:type="dxa"/>
            <w:shd w:val="clear" w:color="auto" w:fill="0F4761"/>
            <w:vAlign w:val="center"/>
          </w:tcPr>
          <w:p>
            <w:pPr>
              <w:pStyle w:val="TableHeading"/>
              <w:jc w:val="left"/>
            </w:pPr>
            <w:r>
              <w:rPr>
                <w:color w:val="FFFFFF"/>
              </w:rPr>
              <w:t xml:space="preserve">Requirement</w:t>
            </w:r>
          </w:p>
        </w:tc>
        <w:tc>
          <w:tcPr>
            <w:tcW w:w="2075" w:type="dxa"/>
            <w:shd w:val="clear" w:color="auto" w:fill="0F4761"/>
            <w:vAlign w:val="center"/>
          </w:tcPr>
          <w:p>
            <w:pPr>
              <w:pStyle w:val="TableHeading"/>
              <w:jc w:val="left"/>
            </w:pPr>
            <w:r>
              <w:rPr>
                <w:color w:val="FFFFFF"/>
              </w:rPr>
              <w:t xml:space="preserve">Target</w:t>
            </w:r>
          </w:p>
        </w:tc>
        <w:tc>
          <w:tcPr>
            <w:tcW w:w="2178" w:type="dxa"/>
            <w:shd w:val="clear" w:color="auto" w:fill="0F4761"/>
            <w:vAlign w:val="center"/>
          </w:tcPr>
          <w:p>
            <w:pPr>
              <w:pStyle w:val="TableHeading"/>
              <w:jc w:val="left"/>
            </w:pPr>
            <w:r>
              <w:rPr>
                <w:color w:val="FFFFFF"/>
              </w:rPr>
              <w:t xml:space="preserve">Verification</w:t>
            </w:r>
          </w:p>
        </w:tc>
        <w:tc>
          <w:tcPr>
            <w:tcW w:w="2178" w:type="dxa"/>
            <w:shd w:val="clear" w:color="auto" w:fill="0F4761"/>
            <w:vAlign w:val="center"/>
          </w:tcPr>
          <w:p>
            <w:pPr>
              <w:pStyle w:val="TableHeading"/>
              <w:jc w:val="left"/>
            </w:pPr>
            <w:r>
              <w:rPr>
                <w:color w:val="FFFFFF"/>
              </w:rPr>
              <w:t xml:space="preserve">Status</w:t>
            </w:r>
          </w:p>
        </w:tc>
      </w:tr>
      <w:tr>
        <w:trPr>
          <w:cantSplit/>
        </w:trPr>
        <w:tc>
          <w:tcPr>
            <w:tcW w:w="936" w:type="dxa"/>
            <w:noWrap/>
            <w:vAlign w:val="top"/>
          </w:tcPr>
          <w:p>
            <w:pPr>
              <w:pStyle w:val="TableText"/>
              <w:jc w:val="left"/>
            </w:pPr>
            <w:r>
              <w:t xml:space="preserve">NFR-009</w:t>
            </w:r>
          </w:p>
        </w:tc>
        <w:tc>
          <w:tcPr>
            <w:tcW w:w="1660" w:type="dxa"/>
            <w:vAlign w:val="top"/>
          </w:tcPr>
          <w:p>
            <w:pPr>
              <w:pStyle w:val="TableText"/>
              <w:jc w:val="left"/>
            </w:pPr>
            <w:r>
              <w:t xml:space="preserve">Horizontal scaling of the API tier</w:t>
            </w:r>
          </w:p>
        </w:tc>
        <w:tc>
          <w:tcPr>
            <w:tcW w:w="2075" w:type="dxa"/>
            <w:vAlign w:val="top"/>
          </w:tcPr>
          <w:p>
            <w:pPr>
              <w:pStyle w:val="TableText"/>
              <w:jc w:val="left"/>
            </w:pPr>
            <w:r>
              <w:t xml:space="preserve">Stateless servers behind a load balancer; autoscaling from 3 to 20 pods at 65% CPU</w:t>
            </w:r>
          </w:p>
        </w:tc>
        <w:tc>
          <w:tcPr>
            <w:tcW w:w="2178" w:type="dxa"/>
            <w:vAlign w:val="top"/>
          </w:tcPr>
          <w:p>
            <w:pPr>
              <w:pStyle w:val="TableText"/>
              <w:jc w:val="left"/>
            </w:pPr>
            <w:r>
              <w:t xml:space="preserve">Kubernetes autoscaling test</w:t>
            </w:r>
          </w:p>
        </w:tc>
        <w:tc>
          <w:tcPr>
            <w:tcW w:w="2178" w:type="dxa"/>
            <w:vAlign w:val="top"/>
          </w:tcPr>
          <w:p>
            <w:pPr>
              <w:pStyle w:val="TableText"/>
              <w:jc w:val="left"/>
            </w:pPr>
            <w:r>
              <w:t xml:space="preserve">Partial: stateless; shared store for sign-out revocation and rate limits planned (E-15)</w:t>
            </w:r>
          </w:p>
        </w:tc>
      </w:tr>
      <w:tr>
        <w:trPr>
          <w:cantSplit/>
        </w:trPr>
        <w:tc>
          <w:tcPr>
            <w:tcW w:w="936" w:type="dxa"/>
            <w:shd w:val="clear" w:color="auto" w:fill="F4F7FB"/>
            <w:noWrap/>
            <w:vAlign w:val="top"/>
          </w:tcPr>
          <w:p>
            <w:pPr>
              <w:pStyle w:val="TableText"/>
              <w:jc w:val="left"/>
            </w:pPr>
            <w:r>
              <w:t xml:space="preserve">NFR-010</w:t>
            </w:r>
          </w:p>
        </w:tc>
        <w:tc>
          <w:tcPr>
            <w:tcW w:w="1660" w:type="dxa"/>
            <w:shd w:val="clear" w:color="auto" w:fill="F4F7FB"/>
            <w:vAlign w:val="top"/>
          </w:tcPr>
          <w:p>
            <w:pPr>
              <w:pStyle w:val="TableText"/>
              <w:jc w:val="left"/>
            </w:pPr>
            <w:r>
              <w:t xml:space="preserve">Data volume</w:t>
            </w:r>
          </w:p>
        </w:tc>
        <w:tc>
          <w:tcPr>
            <w:tcW w:w="2075" w:type="dxa"/>
            <w:shd w:val="clear" w:color="auto" w:fill="F4F7FB"/>
            <w:vAlign w:val="top"/>
          </w:tcPr>
          <w:p>
            <w:pPr>
              <w:pStyle w:val="TableText"/>
              <w:jc w:val="left"/>
            </w:pPr>
            <w:r>
              <w:t xml:space="preserve">6 million profiles, 12 million source records and 50 million messages a year without query-plan regressions; every filter uses an indexed column</w:t>
            </w:r>
          </w:p>
        </w:tc>
        <w:tc>
          <w:tcPr>
            <w:tcW w:w="2178" w:type="dxa"/>
            <w:shd w:val="clear" w:color="auto" w:fill="F4F7FB"/>
            <w:vAlign w:val="top"/>
          </w:tcPr>
          <w:p>
            <w:pPr>
              <w:pStyle w:val="TableText"/>
              <w:jc w:val="left"/>
            </w:pPr>
            <w:r>
              <w:t xml:space="preserve">PostgreSQL suite; query-plan review in the performance test</w:t>
            </w:r>
          </w:p>
        </w:tc>
        <w:tc>
          <w:tcPr>
            <w:tcW w:w="2178" w:type="dxa"/>
            <w:shd w:val="clear" w:color="auto" w:fill="F4F7FB"/>
            <w:vAlign w:val="top"/>
          </w:tcPr>
          <w:p>
            <w:pPr>
              <w:pStyle w:val="TableText"/>
              <w:jc w:val="left"/>
            </w:pPr>
            <w:r>
              <w:t xml:space="preserve">Built: filters limited to declared indexed columns</w:t>
            </w:r>
          </w:p>
        </w:tc>
      </w:tr>
      <w:tr>
        <w:trPr>
          <w:cantSplit/>
        </w:trPr>
        <w:tc>
          <w:tcPr>
            <w:tcW w:w="936" w:type="dxa"/>
            <w:noWrap/>
            <w:vAlign w:val="top"/>
          </w:tcPr>
          <w:p>
            <w:pPr>
              <w:pStyle w:val="TableText"/>
              <w:jc w:val="left"/>
            </w:pPr>
            <w:r>
              <w:t xml:space="preserve">NFR-011</w:t>
            </w:r>
          </w:p>
        </w:tc>
        <w:tc>
          <w:tcPr>
            <w:tcW w:w="1660" w:type="dxa"/>
            <w:vAlign w:val="top"/>
          </w:tcPr>
          <w:p>
            <w:pPr>
              <w:pStyle w:val="TableText"/>
              <w:jc w:val="left"/>
            </w:pPr>
            <w:r>
              <w:t xml:space="preserve">Background work scales out</w:t>
            </w:r>
          </w:p>
        </w:tc>
        <w:tc>
          <w:tcPr>
            <w:tcW w:w="2075" w:type="dxa"/>
            <w:vAlign w:val="top"/>
          </w:tcPr>
          <w:p>
            <w:pPr>
              <w:pStyle w:val="TableText"/>
              <w:jc w:val="left"/>
            </w:pPr>
            <w:r>
              <w:t xml:space="preserve">Event relay safe on many servers, at-least-once delivery, idempotent handlers, at most five attempts</w:t>
            </w:r>
          </w:p>
        </w:tc>
        <w:tc>
          <w:tcPr>
            <w:tcW w:w="2178" w:type="dxa"/>
            <w:vAlign w:val="top"/>
          </w:tcPr>
          <w:p>
            <w:pPr>
              <w:pStyle w:val="TableText"/>
              <w:jc w:val="left"/>
            </w:pPr>
            <w:r>
              <w:t xml:space="preserve">PostgreSQL suite (exclusive claims); store unit tests</w:t>
            </w:r>
          </w:p>
        </w:tc>
        <w:tc>
          <w:tcPr>
            <w:tcW w:w="2178" w:type="dxa"/>
            <w:vAlign w:val="top"/>
          </w:tcPr>
          <w:p>
            <w:pPr>
              <w:pStyle w:val="TableText"/>
              <w:jc w:val="left"/>
            </w:pPr>
            <w:r>
              <w:t xml:space="preserve">Built</w:t>
            </w:r>
          </w:p>
        </w:tc>
      </w:tr>
      <w:tr>
        <w:trPr>
          <w:cantSplit/>
        </w:trPr>
        <w:tc>
          <w:tcPr>
            <w:tcW w:w="936" w:type="dxa"/>
            <w:shd w:val="clear" w:color="auto" w:fill="F4F7FB"/>
            <w:noWrap/>
            <w:vAlign w:val="top"/>
          </w:tcPr>
          <w:p>
            <w:pPr>
              <w:pStyle w:val="TableText"/>
              <w:jc w:val="left"/>
            </w:pPr>
            <w:r>
              <w:t xml:space="preserve">NFR-012</w:t>
            </w:r>
          </w:p>
        </w:tc>
        <w:tc>
          <w:tcPr>
            <w:tcW w:w="1660" w:type="dxa"/>
            <w:shd w:val="clear" w:color="auto" w:fill="F4F7FB"/>
            <w:vAlign w:val="top"/>
          </w:tcPr>
          <w:p>
            <w:pPr>
              <w:pStyle w:val="TableText"/>
              <w:jc w:val="left"/>
            </w:pPr>
            <w:r>
              <w:t xml:space="preserve">Event streaming readiness</w:t>
            </w:r>
          </w:p>
        </w:tc>
        <w:tc>
          <w:tcPr>
            <w:tcW w:w="2075" w:type="dxa"/>
            <w:shd w:val="clear" w:color="auto" w:fill="F4F7FB"/>
            <w:vAlign w:val="top"/>
          </w:tcPr>
          <w:p>
            <w:pPr>
              <w:pStyle w:val="TableText"/>
              <w:jc w:val="left"/>
            </w:pPr>
            <w:r>
              <w:t xml:space="preserve">The event outbox can forward to Kafka or Pub/Sub without changing publishers</w:t>
            </w:r>
          </w:p>
        </w:tc>
        <w:tc>
          <w:tcPr>
            <w:tcW w:w="2178" w:type="dxa"/>
            <w:shd w:val="clear" w:color="auto" w:fill="F4F7FB"/>
            <w:vAlign w:val="top"/>
          </w:tcPr>
          <w:p>
            <w:pPr>
              <w:pStyle w:val="TableText"/>
              <w:jc w:val="left"/>
            </w:pPr>
            <w:r>
              <w:t xml:space="preserve">Design review</w:t>
            </w:r>
          </w:p>
        </w:tc>
        <w:tc>
          <w:tcPr>
            <w:tcW w:w="2178" w:type="dxa"/>
            <w:shd w:val="clear" w:color="auto" w:fill="F4F7FB"/>
            <w:vAlign w:val="top"/>
          </w:tcPr>
          <w:p>
            <w:pPr>
              <w:pStyle w:val="TableText"/>
              <w:jc w:val="left"/>
            </w:pPr>
            <w:r>
              <w:t xml:space="preserve">Planned</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6" w:name="_Toc300000012"/>
      <w:r>
        <w:rPr>
          <w:rStyle w:val="BookTitle"/>
          <w:bCs w:val="0"/>
          <w:i w:val="0"/>
          <w:iCs w:val="0"/>
          <w:spacing w:val="0"/>
        </w:rPr>
        <w:t xml:space="preserve">Availability and resilience</w:t>
      </w:r>
      <w:bookmarkEnd w:id="1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36"/>
        <w:gridCol w:w="1660"/>
        <w:gridCol w:w="2075"/>
        <w:gridCol w:w="2178"/>
        <w:gridCol w:w="2178"/>
      </w:tblGrid>
      <w:tr>
        <w:trPr>
          <w:cantSplit/>
          <w:tblHeader/>
        </w:trPr>
        <w:tc>
          <w:tcPr>
            <w:tcW w:w="936" w:type="dxa"/>
            <w:shd w:val="clear" w:color="auto" w:fill="0F4761"/>
            <w:vAlign w:val="center"/>
          </w:tcPr>
          <w:p>
            <w:pPr>
              <w:pStyle w:val="TableHeading"/>
              <w:jc w:val="left"/>
            </w:pPr>
            <w:r>
              <w:rPr>
                <w:color w:val="FFFFFF"/>
              </w:rPr>
              <w:t xml:space="preserve">ID</w:t>
            </w:r>
          </w:p>
        </w:tc>
        <w:tc>
          <w:tcPr>
            <w:tcW w:w="1660" w:type="dxa"/>
            <w:shd w:val="clear" w:color="auto" w:fill="0F4761"/>
            <w:vAlign w:val="center"/>
          </w:tcPr>
          <w:p>
            <w:pPr>
              <w:pStyle w:val="TableHeading"/>
              <w:jc w:val="left"/>
            </w:pPr>
            <w:r>
              <w:rPr>
                <w:color w:val="FFFFFF"/>
              </w:rPr>
              <w:t xml:space="preserve">Requirement</w:t>
            </w:r>
          </w:p>
        </w:tc>
        <w:tc>
          <w:tcPr>
            <w:tcW w:w="2075" w:type="dxa"/>
            <w:shd w:val="clear" w:color="auto" w:fill="0F4761"/>
            <w:vAlign w:val="center"/>
          </w:tcPr>
          <w:p>
            <w:pPr>
              <w:pStyle w:val="TableHeading"/>
              <w:jc w:val="left"/>
            </w:pPr>
            <w:r>
              <w:rPr>
                <w:color w:val="FFFFFF"/>
              </w:rPr>
              <w:t xml:space="preserve">Target</w:t>
            </w:r>
          </w:p>
        </w:tc>
        <w:tc>
          <w:tcPr>
            <w:tcW w:w="2178" w:type="dxa"/>
            <w:shd w:val="clear" w:color="auto" w:fill="0F4761"/>
            <w:vAlign w:val="center"/>
          </w:tcPr>
          <w:p>
            <w:pPr>
              <w:pStyle w:val="TableHeading"/>
              <w:jc w:val="left"/>
            </w:pPr>
            <w:r>
              <w:rPr>
                <w:color w:val="FFFFFF"/>
              </w:rPr>
              <w:t xml:space="preserve">Verification</w:t>
            </w:r>
          </w:p>
        </w:tc>
        <w:tc>
          <w:tcPr>
            <w:tcW w:w="2178" w:type="dxa"/>
            <w:shd w:val="clear" w:color="auto" w:fill="0F4761"/>
            <w:vAlign w:val="center"/>
          </w:tcPr>
          <w:p>
            <w:pPr>
              <w:pStyle w:val="TableHeading"/>
              <w:jc w:val="left"/>
            </w:pPr>
            <w:r>
              <w:rPr>
                <w:color w:val="FFFFFF"/>
              </w:rPr>
              <w:t xml:space="preserve">Status</w:t>
            </w:r>
          </w:p>
        </w:tc>
      </w:tr>
      <w:tr>
        <w:trPr>
          <w:cantSplit/>
        </w:trPr>
        <w:tc>
          <w:tcPr>
            <w:tcW w:w="936" w:type="dxa"/>
            <w:noWrap/>
            <w:vAlign w:val="top"/>
          </w:tcPr>
          <w:p>
            <w:pPr>
              <w:pStyle w:val="TableText"/>
              <w:jc w:val="left"/>
            </w:pPr>
            <w:r>
              <w:t xml:space="preserve">NFR-013</w:t>
            </w:r>
          </w:p>
        </w:tc>
        <w:tc>
          <w:tcPr>
            <w:tcW w:w="1660" w:type="dxa"/>
            <w:vAlign w:val="top"/>
          </w:tcPr>
          <w:p>
            <w:pPr>
              <w:pStyle w:val="TableText"/>
              <w:jc w:val="left"/>
            </w:pPr>
            <w:r>
              <w:t xml:space="preserve">Customer purchase path: customer app, partner API, certificate check</w:t>
            </w:r>
          </w:p>
        </w:tc>
        <w:tc>
          <w:tcPr>
            <w:tcW w:w="2075" w:type="dxa"/>
            <w:vAlign w:val="top"/>
          </w:tcPr>
          <w:p>
            <w:pPr>
              <w:pStyle w:val="TableText"/>
              <w:jc w:val="left"/>
            </w:pPr>
            <w:r>
              <w:t xml:space="preserve">99.9% monthly (43.8 minutes of downtime or less)</w:t>
            </w:r>
          </w:p>
        </w:tc>
        <w:tc>
          <w:tcPr>
            <w:tcW w:w="2178" w:type="dxa"/>
            <w:vAlign w:val="top"/>
          </w:tcPr>
          <w:p>
            <w:pPr>
              <w:pStyle w:val="TableText"/>
              <w:jc w:val="left"/>
            </w:pPr>
            <w:r>
              <w:t xml:space="preserve">Uptime probe on readiness; synthetic purchase</w:t>
            </w:r>
          </w:p>
        </w:tc>
        <w:tc>
          <w:tcPr>
            <w:tcW w:w="2178" w:type="dxa"/>
            <w:vAlign w:val="top"/>
          </w:tcPr>
          <w:p>
            <w:pPr>
              <w:pStyle w:val="TableText"/>
              <w:jc w:val="left"/>
            </w:pPr>
            <w:r>
              <w:t xml:space="preserve">Partial</w:t>
            </w:r>
          </w:p>
        </w:tc>
      </w:tr>
      <w:tr>
        <w:trPr>
          <w:cantSplit/>
        </w:trPr>
        <w:tc>
          <w:tcPr>
            <w:tcW w:w="936" w:type="dxa"/>
            <w:shd w:val="clear" w:color="auto" w:fill="F4F7FB"/>
            <w:noWrap/>
            <w:vAlign w:val="top"/>
          </w:tcPr>
          <w:p>
            <w:pPr>
              <w:pStyle w:val="TableText"/>
              <w:jc w:val="left"/>
            </w:pPr>
            <w:r>
              <w:t xml:space="preserve">NFR-014</w:t>
            </w:r>
          </w:p>
        </w:tc>
        <w:tc>
          <w:tcPr>
            <w:tcW w:w="1660" w:type="dxa"/>
            <w:shd w:val="clear" w:color="auto" w:fill="F4F7FB"/>
            <w:vAlign w:val="top"/>
          </w:tcPr>
          <w:p>
            <w:pPr>
              <w:pStyle w:val="TableText"/>
              <w:jc w:val="left"/>
            </w:pPr>
            <w:r>
              <w:t xml:space="preserve">Staff console and staff APIs</w:t>
            </w:r>
          </w:p>
        </w:tc>
        <w:tc>
          <w:tcPr>
            <w:tcW w:w="2075" w:type="dxa"/>
            <w:shd w:val="clear" w:color="auto" w:fill="F4F7FB"/>
            <w:vAlign w:val="top"/>
          </w:tcPr>
          <w:p>
            <w:pPr>
              <w:pStyle w:val="TableText"/>
              <w:jc w:val="left"/>
            </w:pPr>
            <w:r>
              <w:t xml:space="preserve">99.5% monthly during 07:00 to 21:00 Vietnam time</w:t>
            </w:r>
          </w:p>
        </w:tc>
        <w:tc>
          <w:tcPr>
            <w:tcW w:w="2178" w:type="dxa"/>
            <w:shd w:val="clear" w:color="auto" w:fill="F4F7FB"/>
            <w:vAlign w:val="top"/>
          </w:tcPr>
          <w:p>
            <w:pPr>
              <w:pStyle w:val="TableText"/>
              <w:jc w:val="left"/>
            </w:pPr>
            <w:r>
              <w:t xml:space="preserve">Uptime probe</w:t>
            </w:r>
          </w:p>
        </w:tc>
        <w:tc>
          <w:tcPr>
            <w:tcW w:w="2178" w:type="dxa"/>
            <w:shd w:val="clear" w:color="auto" w:fill="F4F7FB"/>
            <w:vAlign w:val="top"/>
          </w:tcPr>
          <w:p>
            <w:pPr>
              <w:pStyle w:val="TableText"/>
              <w:jc w:val="left"/>
            </w:pPr>
            <w:r>
              <w:t xml:space="preserve">Partial</w:t>
            </w:r>
          </w:p>
        </w:tc>
      </w:tr>
      <w:tr>
        <w:trPr>
          <w:cantSplit/>
        </w:trPr>
        <w:tc>
          <w:tcPr>
            <w:tcW w:w="936" w:type="dxa"/>
            <w:noWrap/>
            <w:vAlign w:val="top"/>
          </w:tcPr>
          <w:p>
            <w:pPr>
              <w:pStyle w:val="TableText"/>
              <w:jc w:val="left"/>
            </w:pPr>
            <w:r>
              <w:t xml:space="preserve">NFR-015</w:t>
            </w:r>
          </w:p>
        </w:tc>
        <w:tc>
          <w:tcPr>
            <w:tcW w:w="1660" w:type="dxa"/>
            <w:vAlign w:val="top"/>
          </w:tcPr>
          <w:p>
            <w:pPr>
              <w:pStyle w:val="TableText"/>
              <w:jc w:val="left"/>
            </w:pPr>
            <w:r>
              <w:t xml:space="preserve">Graceful degradation</w:t>
            </w:r>
          </w:p>
        </w:tc>
        <w:tc>
          <w:tcPr>
            <w:tcW w:w="2075" w:type="dxa"/>
            <w:vAlign w:val="top"/>
          </w:tcPr>
          <w:p>
            <w:pPr>
              <w:pStyle w:val="TableText"/>
              <w:jc w:val="left"/>
            </w:pPr>
            <w:r>
              <w:t xml:space="preserve">Failure of one integration (wallet, core, Zalo, SMS, push, voice) affects only that feature. A circuit opens after five failures and retries after 30 seconds</w:t>
            </w:r>
          </w:p>
        </w:tc>
        <w:tc>
          <w:tcPr>
            <w:tcW w:w="2178" w:type="dxa"/>
            <w:vAlign w:val="top"/>
          </w:tcPr>
          <w:p>
            <w:pPr>
              <w:pStyle w:val="TableText"/>
              <w:jc w:val="left"/>
            </w:pPr>
            <w:r>
              <w:t xml:space="preserve">Failure test; circuit state on the operations screen</w:t>
            </w:r>
          </w:p>
        </w:tc>
        <w:tc>
          <w:tcPr>
            <w:tcW w:w="2178" w:type="dxa"/>
            <w:vAlign w:val="top"/>
          </w:tcPr>
          <w:p>
            <w:pPr>
              <w:pStyle w:val="TableText"/>
              <w:jc w:val="left"/>
            </w:pPr>
            <w:r>
              <w:t xml:space="preserve">Built</w:t>
            </w:r>
          </w:p>
        </w:tc>
      </w:tr>
      <w:tr>
        <w:trPr>
          <w:cantSplit/>
        </w:trPr>
        <w:tc>
          <w:tcPr>
            <w:tcW w:w="936" w:type="dxa"/>
            <w:shd w:val="clear" w:color="auto" w:fill="F4F7FB"/>
            <w:noWrap/>
            <w:vAlign w:val="top"/>
          </w:tcPr>
          <w:p>
            <w:pPr>
              <w:pStyle w:val="TableText"/>
              <w:jc w:val="left"/>
            </w:pPr>
            <w:r>
              <w:t xml:space="preserve">NFR-016</w:t>
            </w:r>
          </w:p>
        </w:tc>
        <w:tc>
          <w:tcPr>
            <w:tcW w:w="1660" w:type="dxa"/>
            <w:shd w:val="clear" w:color="auto" w:fill="F4F7FB"/>
            <w:vAlign w:val="top"/>
          </w:tcPr>
          <w:p>
            <w:pPr>
              <w:pStyle w:val="TableText"/>
              <w:jc w:val="left"/>
            </w:pPr>
            <w:r>
              <w:t xml:space="preserve">No double charge</w:t>
            </w:r>
          </w:p>
        </w:tc>
        <w:tc>
          <w:tcPr>
            <w:tcW w:w="2075" w:type="dxa"/>
            <w:shd w:val="clear" w:color="auto" w:fill="F4F7FB"/>
            <w:vAlign w:val="top"/>
          </w:tcPr>
          <w:p>
            <w:pPr>
              <w:pStyle w:val="TableText"/>
              <w:jc w:val="left"/>
            </w:pPr>
            <w:r>
              <w:t xml:space="preserve">No duplicate debits under retries or concurrent taps: idempotency key on order and wallet, atomic quote claim</w:t>
            </w:r>
          </w:p>
        </w:tc>
        <w:tc>
          <w:tcPr>
            <w:tcW w:w="2178" w:type="dxa"/>
            <w:shd w:val="clear" w:color="auto" w:fill="F4F7FB"/>
            <w:vAlign w:val="top"/>
          </w:tcPr>
          <w:p>
            <w:pPr>
              <w:pStyle w:val="TableText"/>
              <w:jc w:val="left"/>
            </w:pPr>
            <w:r>
              <w:t xml:space="preserve">Sales integration and security tests</w:t>
            </w:r>
          </w:p>
        </w:tc>
        <w:tc>
          <w:tcPr>
            <w:tcW w:w="2178" w:type="dxa"/>
            <w:shd w:val="clear" w:color="auto" w:fill="F4F7FB"/>
            <w:vAlign w:val="top"/>
          </w:tcPr>
          <w:p>
            <w:pPr>
              <w:pStyle w:val="TableText"/>
              <w:jc w:val="left"/>
            </w:pPr>
            <w:r>
              <w:t xml:space="preserve">Built</w:t>
            </w:r>
          </w:p>
        </w:tc>
      </w:tr>
      <w:tr>
        <w:trPr>
          <w:cantSplit/>
        </w:trPr>
        <w:tc>
          <w:tcPr>
            <w:tcW w:w="936" w:type="dxa"/>
            <w:noWrap/>
            <w:vAlign w:val="top"/>
          </w:tcPr>
          <w:p>
            <w:pPr>
              <w:pStyle w:val="TableText"/>
              <w:jc w:val="left"/>
            </w:pPr>
            <w:r>
              <w:t xml:space="preserve">NFR-017</w:t>
            </w:r>
          </w:p>
        </w:tc>
        <w:tc>
          <w:tcPr>
            <w:tcW w:w="1660" w:type="dxa"/>
            <w:vAlign w:val="top"/>
          </w:tcPr>
          <w:p>
            <w:pPr>
              <w:pStyle w:val="TableText"/>
              <w:jc w:val="left"/>
            </w:pPr>
            <w:r>
              <w:t xml:space="preserve">Compensation</w:t>
            </w:r>
          </w:p>
        </w:tc>
        <w:tc>
          <w:tcPr>
            <w:tcW w:w="2075" w:type="dxa"/>
            <w:vAlign w:val="top"/>
          </w:tcPr>
          <w:p>
            <w:pPr>
              <w:pStyle w:val="TableText"/>
              <w:jc w:val="left"/>
            </w:pPr>
            <w:r>
              <w:t xml:space="preserve">Every issuance failure after payment is refunded (issued lines cancelled) or flagged as</w:t>
            </w:r>
            <w:r>
              <w:t xml:space="preserve"> </w:t>
            </w:r>
            <w:r>
              <w:t xml:space="preserve">“</w:t>
            </w:r>
            <w:r>
              <w:t xml:space="preserve">compensation failed</w:t>
            </w:r>
            <w:r>
              <w:t xml:space="preserve">”</w:t>
            </w:r>
            <w:r>
              <w:t xml:space="preserve">; reconciliation finds no unexplained mismatch daily</w:t>
            </w:r>
          </w:p>
        </w:tc>
        <w:tc>
          <w:tcPr>
            <w:tcW w:w="2178" w:type="dxa"/>
            <w:vAlign w:val="top"/>
          </w:tcPr>
          <w:p>
            <w:pPr>
              <w:pStyle w:val="TableText"/>
              <w:jc w:val="left"/>
            </w:pPr>
            <w:r>
              <w:t xml:space="preserve">Reconciliation report; sales integration tests</w:t>
            </w:r>
          </w:p>
        </w:tc>
        <w:tc>
          <w:tcPr>
            <w:tcW w:w="2178" w:type="dxa"/>
            <w:vAlign w:val="top"/>
          </w:tcPr>
          <w:p>
            <w:pPr>
              <w:pStyle w:val="TableText"/>
              <w:jc w:val="left"/>
            </w:pPr>
            <w:r>
              <w:t xml:space="preserve">Built</w:t>
            </w:r>
          </w:p>
        </w:tc>
      </w:tr>
      <w:tr>
        <w:trPr>
          <w:cantSplit/>
        </w:trPr>
        <w:tc>
          <w:tcPr>
            <w:tcW w:w="936" w:type="dxa"/>
            <w:shd w:val="clear" w:color="auto" w:fill="F4F7FB"/>
            <w:noWrap/>
            <w:vAlign w:val="top"/>
          </w:tcPr>
          <w:p>
            <w:pPr>
              <w:pStyle w:val="TableText"/>
              <w:jc w:val="left"/>
            </w:pPr>
            <w:r>
              <w:t xml:space="preserve">NFR-070</w:t>
            </w:r>
          </w:p>
        </w:tc>
        <w:tc>
          <w:tcPr>
            <w:tcW w:w="1660" w:type="dxa"/>
            <w:shd w:val="clear" w:color="auto" w:fill="F4F7FB"/>
            <w:vAlign w:val="top"/>
          </w:tcPr>
          <w:p>
            <w:pPr>
              <w:pStyle w:val="TableText"/>
              <w:jc w:val="left"/>
            </w:pPr>
            <w:r>
              <w:t xml:space="preserve">Pricing integrity</w:t>
            </w:r>
          </w:p>
        </w:tc>
        <w:tc>
          <w:tcPr>
            <w:tcW w:w="2075" w:type="dxa"/>
            <w:shd w:val="clear" w:color="auto" w:fill="F4F7FB"/>
            <w:vAlign w:val="top"/>
          </w:tcPr>
          <w:p>
            <w:pPr>
              <w:pStyle w:val="TableText"/>
              <w:jc w:val="left"/>
            </w:pPr>
            <w:r>
              <w:t xml:space="preserve">No difference between the premium quoted and the premium issued: core binds the core quote reference, and indicative quotes cannot be paid until re-rated</w:t>
            </w:r>
          </w:p>
        </w:tc>
        <w:tc>
          <w:tcPr>
            <w:tcW w:w="2178" w:type="dxa"/>
            <w:shd w:val="clear" w:color="auto" w:fill="F4F7FB"/>
            <w:vAlign w:val="top"/>
          </w:tcPr>
          <w:p>
            <w:pPr>
              <w:pStyle w:val="TableText"/>
              <w:jc w:val="left"/>
            </w:pPr>
            <w:r>
              <w:t xml:space="preserve">Core rating integration tests; reconciliation</w:t>
            </w:r>
          </w:p>
        </w:tc>
        <w:tc>
          <w:tcPr>
            <w:tcW w:w="2178" w:type="dxa"/>
            <w:shd w:val="clear" w:color="auto" w:fill="F4F7FB"/>
            <w:vAlign w:val="top"/>
          </w:tcPr>
          <w:p>
            <w:pPr>
              <w:pStyle w:val="TableText"/>
              <w:jc w:val="left"/>
            </w:pPr>
            <w:r>
              <w:t xml:space="preserve">Built</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7" w:name="_Toc300000013"/>
      <w:r>
        <w:rPr>
          <w:rStyle w:val="BookTitle"/>
          <w:bCs w:val="0"/>
          <w:i w:val="0"/>
          <w:iCs w:val="0"/>
          <w:spacing w:val="0"/>
        </w:rPr>
        <w:t xml:space="preserve">Security</w:t>
      </w:r>
      <w:bookmarkEnd w:id="17"/>
    </w:p>
    <w:p>
      <w:pPr>
        <w:pStyle w:val="FirstParagraph"/>
      </w:pPr>
      <w:r>
        <w:t xml:space="preserve">The platform is aligned with OWASP ASVS 4.0 Level 2. The controls are described in TGP-ARC-04 Security Architecture.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36"/>
        <w:gridCol w:w="1660"/>
        <w:gridCol w:w="2075"/>
        <w:gridCol w:w="2178"/>
        <w:gridCol w:w="2178"/>
      </w:tblGrid>
      <w:tr>
        <w:trPr>
          <w:cantSplit/>
          <w:tblHeader/>
        </w:trPr>
        <w:tc>
          <w:tcPr>
            <w:tcW w:w="936" w:type="dxa"/>
            <w:shd w:val="clear" w:color="auto" w:fill="0F4761"/>
            <w:vAlign w:val="center"/>
          </w:tcPr>
          <w:p>
            <w:pPr>
              <w:pStyle w:val="TableHeading"/>
              <w:jc w:val="left"/>
            </w:pPr>
            <w:r>
              <w:rPr>
                <w:color w:val="FFFFFF"/>
              </w:rPr>
              <w:t xml:space="preserve">ID</w:t>
            </w:r>
          </w:p>
        </w:tc>
        <w:tc>
          <w:tcPr>
            <w:tcW w:w="1660" w:type="dxa"/>
            <w:shd w:val="clear" w:color="auto" w:fill="0F4761"/>
            <w:vAlign w:val="center"/>
          </w:tcPr>
          <w:p>
            <w:pPr>
              <w:pStyle w:val="TableHeading"/>
              <w:jc w:val="left"/>
            </w:pPr>
            <w:r>
              <w:rPr>
                <w:color w:val="FFFFFF"/>
              </w:rPr>
              <w:t xml:space="preserve">Requirement</w:t>
            </w:r>
          </w:p>
        </w:tc>
        <w:tc>
          <w:tcPr>
            <w:tcW w:w="2075" w:type="dxa"/>
            <w:shd w:val="clear" w:color="auto" w:fill="0F4761"/>
            <w:vAlign w:val="center"/>
          </w:tcPr>
          <w:p>
            <w:pPr>
              <w:pStyle w:val="TableHeading"/>
              <w:jc w:val="left"/>
            </w:pPr>
            <w:r>
              <w:rPr>
                <w:color w:val="FFFFFF"/>
              </w:rPr>
              <w:t xml:space="preserve">Target</w:t>
            </w:r>
          </w:p>
        </w:tc>
        <w:tc>
          <w:tcPr>
            <w:tcW w:w="2178" w:type="dxa"/>
            <w:shd w:val="clear" w:color="auto" w:fill="0F4761"/>
            <w:vAlign w:val="center"/>
          </w:tcPr>
          <w:p>
            <w:pPr>
              <w:pStyle w:val="TableHeading"/>
              <w:jc w:val="left"/>
            </w:pPr>
            <w:r>
              <w:rPr>
                <w:color w:val="FFFFFF"/>
              </w:rPr>
              <w:t xml:space="preserve">Verification</w:t>
            </w:r>
          </w:p>
        </w:tc>
        <w:tc>
          <w:tcPr>
            <w:tcW w:w="2178" w:type="dxa"/>
            <w:shd w:val="clear" w:color="auto" w:fill="0F4761"/>
            <w:vAlign w:val="center"/>
          </w:tcPr>
          <w:p>
            <w:pPr>
              <w:pStyle w:val="TableHeading"/>
              <w:jc w:val="left"/>
            </w:pPr>
            <w:r>
              <w:rPr>
                <w:color w:val="FFFFFF"/>
              </w:rPr>
              <w:t xml:space="preserve">Status</w:t>
            </w:r>
          </w:p>
        </w:tc>
      </w:tr>
      <w:tr>
        <w:trPr>
          <w:cantSplit/>
        </w:trPr>
        <w:tc>
          <w:tcPr>
            <w:tcW w:w="936" w:type="dxa"/>
            <w:noWrap/>
            <w:vAlign w:val="top"/>
          </w:tcPr>
          <w:p>
            <w:pPr>
              <w:pStyle w:val="TableText"/>
              <w:jc w:val="left"/>
            </w:pPr>
            <w:r>
              <w:t xml:space="preserve">NFR-018</w:t>
            </w:r>
          </w:p>
        </w:tc>
        <w:tc>
          <w:tcPr>
            <w:tcW w:w="1660" w:type="dxa"/>
            <w:vAlign w:val="top"/>
          </w:tcPr>
          <w:p>
            <w:pPr>
              <w:pStyle w:val="TableText"/>
              <w:jc w:val="left"/>
            </w:pPr>
            <w:r>
              <w:t xml:space="preserve">ASVS Level 2 compliance across V1 to V14</w:t>
            </w:r>
          </w:p>
        </w:tc>
        <w:tc>
          <w:tcPr>
            <w:tcW w:w="2075" w:type="dxa"/>
            <w:vAlign w:val="top"/>
          </w:tcPr>
          <w:p>
            <w:pPr>
              <w:pStyle w:val="TableText"/>
              <w:jc w:val="left"/>
            </w:pPr>
            <w:r>
              <w:t xml:space="preserve">No open high or critical findings at go-live; annual independent penetration test</w:t>
            </w:r>
          </w:p>
        </w:tc>
        <w:tc>
          <w:tcPr>
            <w:tcW w:w="2178" w:type="dxa"/>
            <w:vAlign w:val="top"/>
          </w:tcPr>
          <w:p>
            <w:pPr>
              <w:pStyle w:val="TableText"/>
              <w:jc w:val="left"/>
            </w:pPr>
            <w:r>
              <w:t xml:space="preserve">Security test suite; static analysis, dynamic baseline scan and image scan in CI; external test</w:t>
            </w:r>
          </w:p>
        </w:tc>
        <w:tc>
          <w:tcPr>
            <w:tcW w:w="2178" w:type="dxa"/>
            <w:vAlign w:val="top"/>
          </w:tcPr>
          <w:p>
            <w:pPr>
              <w:pStyle w:val="TableText"/>
              <w:jc w:val="left"/>
            </w:pPr>
            <w:r>
              <w:t xml:space="preserve">Partial: external penetration test pending</w:t>
            </w:r>
          </w:p>
        </w:tc>
      </w:tr>
      <w:tr>
        <w:trPr>
          <w:cantSplit/>
        </w:trPr>
        <w:tc>
          <w:tcPr>
            <w:tcW w:w="936" w:type="dxa"/>
            <w:shd w:val="clear" w:color="auto" w:fill="F4F7FB"/>
            <w:noWrap/>
            <w:vAlign w:val="top"/>
          </w:tcPr>
          <w:p>
            <w:pPr>
              <w:pStyle w:val="TableText"/>
              <w:jc w:val="left"/>
            </w:pPr>
            <w:r>
              <w:t xml:space="preserve">NFR-019</w:t>
            </w:r>
          </w:p>
        </w:tc>
        <w:tc>
          <w:tcPr>
            <w:tcW w:w="1660" w:type="dxa"/>
            <w:shd w:val="clear" w:color="auto" w:fill="F4F7FB"/>
            <w:vAlign w:val="top"/>
          </w:tcPr>
          <w:p>
            <w:pPr>
              <w:pStyle w:val="TableText"/>
              <w:jc w:val="left"/>
            </w:pPr>
            <w:r>
              <w:t xml:space="preserve">Authentication (V2)</w:t>
            </w:r>
          </w:p>
        </w:tc>
        <w:tc>
          <w:tcPr>
            <w:tcW w:w="2075" w:type="dxa"/>
            <w:shd w:val="clear" w:color="auto" w:fill="F4F7FB"/>
            <w:vAlign w:val="top"/>
          </w:tcPr>
          <w:p>
            <w:pPr>
              <w:pStyle w:val="TableText"/>
              <w:jc w:val="left"/>
            </w:pPr>
            <w:r>
              <w:t xml:space="preserve">Passwords 12 to 128 characters, hashed with scrypt; lockout after five failures (password or code) for 15 minutes; TOTP mandatory for privileged roles, self-enrolled, codes not reusable; sign-in limited to 10 a minute per address</w:t>
            </w:r>
          </w:p>
        </w:tc>
        <w:tc>
          <w:tcPr>
            <w:tcW w:w="2178" w:type="dxa"/>
            <w:shd w:val="clear" w:color="auto" w:fill="F4F7FB"/>
            <w:vAlign w:val="top"/>
          </w:tcPr>
          <w:p>
            <w:pPr>
              <w:pStyle w:val="TableText"/>
              <w:jc w:val="left"/>
            </w:pPr>
            <w:r>
              <w:t xml:space="preserve">Security and governance tests</w:t>
            </w:r>
          </w:p>
        </w:tc>
        <w:tc>
          <w:tcPr>
            <w:tcW w:w="2178" w:type="dxa"/>
            <w:shd w:val="clear" w:color="auto" w:fill="F4F7FB"/>
            <w:vAlign w:val="top"/>
          </w:tcPr>
          <w:p>
            <w:pPr>
              <w:pStyle w:val="TableText"/>
              <w:jc w:val="left"/>
            </w:pPr>
            <w:r>
              <w:t xml:space="preserve">Built</w:t>
            </w:r>
          </w:p>
        </w:tc>
      </w:tr>
      <w:tr>
        <w:trPr>
          <w:cantSplit/>
        </w:trPr>
        <w:tc>
          <w:tcPr>
            <w:tcW w:w="936" w:type="dxa"/>
            <w:noWrap/>
            <w:vAlign w:val="top"/>
          </w:tcPr>
          <w:p>
            <w:pPr>
              <w:pStyle w:val="TableText"/>
              <w:jc w:val="left"/>
            </w:pPr>
            <w:r>
              <w:t xml:space="preserve">NFR-020</w:t>
            </w:r>
          </w:p>
        </w:tc>
        <w:tc>
          <w:tcPr>
            <w:tcW w:w="1660" w:type="dxa"/>
            <w:vAlign w:val="top"/>
          </w:tcPr>
          <w:p>
            <w:pPr>
              <w:pStyle w:val="TableText"/>
              <w:jc w:val="left"/>
            </w:pPr>
            <w:r>
              <w:t xml:space="preserve">Session management (V3)</w:t>
            </w:r>
          </w:p>
        </w:tc>
        <w:tc>
          <w:tcPr>
            <w:tcW w:w="2075" w:type="dxa"/>
            <w:vAlign w:val="top"/>
          </w:tcPr>
          <w:p>
            <w:pPr>
              <w:pStyle w:val="TableText"/>
              <w:jc w:val="left"/>
            </w:pPr>
            <w:r>
              <w:t xml:space="preserve">Access token life 30 minutes or less; sign-out effective on all servers</w:t>
            </w:r>
          </w:p>
        </w:tc>
        <w:tc>
          <w:tcPr>
            <w:tcW w:w="2178" w:type="dxa"/>
            <w:vAlign w:val="top"/>
          </w:tcPr>
          <w:p>
            <w:pPr>
              <w:pStyle w:val="TableText"/>
              <w:jc w:val="left"/>
            </w:pPr>
            <w:r>
              <w:t xml:space="preserve">Security tests</w:t>
            </w:r>
          </w:p>
        </w:tc>
        <w:tc>
          <w:tcPr>
            <w:tcW w:w="2178" w:type="dxa"/>
            <w:vAlign w:val="top"/>
          </w:tcPr>
          <w:p>
            <w:pPr>
              <w:pStyle w:val="TableText"/>
              <w:jc w:val="left"/>
            </w:pPr>
            <w:r>
              <w:t xml:space="preserve">Partial: password, role, status and region changes revoke tokens everywhere; sign-out revocation is per server (E-15)</w:t>
            </w:r>
          </w:p>
        </w:tc>
      </w:tr>
      <w:tr>
        <w:trPr>
          <w:cantSplit/>
        </w:trPr>
        <w:tc>
          <w:tcPr>
            <w:tcW w:w="936" w:type="dxa"/>
            <w:shd w:val="clear" w:color="auto" w:fill="F4F7FB"/>
            <w:noWrap/>
            <w:vAlign w:val="top"/>
          </w:tcPr>
          <w:p>
            <w:pPr>
              <w:pStyle w:val="TableText"/>
              <w:jc w:val="left"/>
            </w:pPr>
            <w:r>
              <w:t xml:space="preserve">NFR-021</w:t>
            </w:r>
          </w:p>
        </w:tc>
        <w:tc>
          <w:tcPr>
            <w:tcW w:w="1660" w:type="dxa"/>
            <w:shd w:val="clear" w:color="auto" w:fill="F4F7FB"/>
            <w:vAlign w:val="top"/>
          </w:tcPr>
          <w:p>
            <w:pPr>
              <w:pStyle w:val="TableText"/>
              <w:jc w:val="left"/>
            </w:pPr>
            <w:r>
              <w:t xml:space="preserve">Access control (V4)</w:t>
            </w:r>
          </w:p>
        </w:tc>
        <w:tc>
          <w:tcPr>
            <w:tcW w:w="2075" w:type="dxa"/>
            <w:shd w:val="clear" w:color="auto" w:fill="F4F7FB"/>
            <w:vAlign w:val="top"/>
          </w:tcPr>
          <w:p>
            <w:pPr>
              <w:pStyle w:val="TableText"/>
              <w:jc w:val="left"/>
            </w:pPr>
            <w:r>
              <w:t xml:space="preserve">Deny by default; role and attribute checks on every route; partners see only their own quotes and policies; customers see only their vehicle; no IDOR findings</w:t>
            </w:r>
          </w:p>
        </w:tc>
        <w:tc>
          <w:tcPr>
            <w:tcW w:w="2178" w:type="dxa"/>
            <w:shd w:val="clear" w:color="auto" w:fill="F4F7FB"/>
            <w:vAlign w:val="top"/>
          </w:tcPr>
          <w:p>
            <w:pPr>
              <w:pStyle w:val="TableText"/>
              <w:jc w:val="left"/>
            </w:pPr>
            <w:r>
              <w:t xml:space="preserve">Security tests</w:t>
            </w:r>
          </w:p>
        </w:tc>
        <w:tc>
          <w:tcPr>
            <w:tcW w:w="2178" w:type="dxa"/>
            <w:shd w:val="clear" w:color="auto" w:fill="F4F7FB"/>
            <w:vAlign w:val="top"/>
          </w:tcPr>
          <w:p>
            <w:pPr>
              <w:pStyle w:val="TableText"/>
              <w:jc w:val="left"/>
            </w:pPr>
            <w:r>
              <w:t xml:space="preserve">Built: partner key scopes enforced; malformed identifiers rejected</w:t>
            </w:r>
          </w:p>
        </w:tc>
      </w:tr>
      <w:tr>
        <w:trPr>
          <w:cantSplit/>
        </w:trPr>
        <w:tc>
          <w:tcPr>
            <w:tcW w:w="936" w:type="dxa"/>
            <w:noWrap/>
            <w:vAlign w:val="top"/>
          </w:tcPr>
          <w:p>
            <w:pPr>
              <w:pStyle w:val="TableText"/>
              <w:jc w:val="left"/>
            </w:pPr>
            <w:r>
              <w:t xml:space="preserve">NFR-022</w:t>
            </w:r>
          </w:p>
        </w:tc>
        <w:tc>
          <w:tcPr>
            <w:tcW w:w="1660" w:type="dxa"/>
            <w:vAlign w:val="top"/>
          </w:tcPr>
          <w:p>
            <w:pPr>
              <w:pStyle w:val="TableText"/>
              <w:jc w:val="left"/>
            </w:pPr>
            <w:r>
              <w:t xml:space="preserve">Input validation (V5)</w:t>
            </w:r>
          </w:p>
        </w:tc>
        <w:tc>
          <w:tcPr>
            <w:tcW w:w="2075" w:type="dxa"/>
            <w:vAlign w:val="top"/>
          </w:tcPr>
          <w:p>
            <w:pPr>
              <w:pStyle w:val="TableText"/>
              <w:jc w:val="left"/>
            </w:pPr>
            <w:r>
              <w:t xml:space="preserve">Allow-list schemas on every request (types, lengths, enumerations, patterns); body 1 MB or less; parameterised SQL only; only declared columns can be filtered</w:t>
            </w:r>
          </w:p>
        </w:tc>
        <w:tc>
          <w:tcPr>
            <w:tcW w:w="2178" w:type="dxa"/>
            <w:vAlign w:val="top"/>
          </w:tcPr>
          <w:p>
            <w:pPr>
              <w:pStyle w:val="TableText"/>
              <w:jc w:val="left"/>
            </w:pPr>
            <w:r>
              <w:t xml:space="preserve">Security tests with injection and hostile input</w:t>
            </w:r>
          </w:p>
        </w:tc>
        <w:tc>
          <w:tcPr>
            <w:tcW w:w="2178" w:type="dxa"/>
            <w:vAlign w:val="top"/>
          </w:tcPr>
          <w:p>
            <w:pPr>
              <w:pStyle w:val="TableText"/>
              <w:jc w:val="left"/>
            </w:pPr>
            <w:r>
              <w:t xml:space="preserve">Built</w:t>
            </w:r>
          </w:p>
        </w:tc>
      </w:tr>
      <w:tr>
        <w:trPr>
          <w:cantSplit/>
        </w:trPr>
        <w:tc>
          <w:tcPr>
            <w:tcW w:w="936" w:type="dxa"/>
            <w:shd w:val="clear" w:color="auto" w:fill="F4F7FB"/>
            <w:noWrap/>
            <w:vAlign w:val="top"/>
          </w:tcPr>
          <w:p>
            <w:pPr>
              <w:pStyle w:val="TableText"/>
              <w:jc w:val="left"/>
            </w:pPr>
            <w:r>
              <w:t xml:space="preserve">NFR-023</w:t>
            </w:r>
          </w:p>
        </w:tc>
        <w:tc>
          <w:tcPr>
            <w:tcW w:w="1660" w:type="dxa"/>
            <w:shd w:val="clear" w:color="auto" w:fill="F4F7FB"/>
            <w:vAlign w:val="top"/>
          </w:tcPr>
          <w:p>
            <w:pPr>
              <w:pStyle w:val="TableText"/>
              <w:jc w:val="left"/>
            </w:pPr>
            <w:r>
              <w:t xml:space="preserve">Cryptography (V6)</w:t>
            </w:r>
          </w:p>
        </w:tc>
        <w:tc>
          <w:tcPr>
            <w:tcW w:w="2075" w:type="dxa"/>
            <w:shd w:val="clear" w:color="auto" w:fill="F4F7FB"/>
            <w:vAlign w:val="top"/>
          </w:tcPr>
          <w:p>
            <w:pPr>
              <w:pStyle w:val="TableText"/>
              <w:jc w:val="left"/>
            </w:pPr>
            <w:r>
              <w:t xml:space="preserve">Personal data encrypted at rest with AES-256-GCM and key rotation; blind index for phone search; API keys stored as SHA-256 hashes; TLS 1.2 or higher; HSTS in production</w:t>
            </w:r>
          </w:p>
        </w:tc>
        <w:tc>
          <w:tcPr>
            <w:tcW w:w="2178" w:type="dxa"/>
            <w:shd w:val="clear" w:color="auto" w:fill="F4F7FB"/>
            <w:vAlign w:val="top"/>
          </w:tcPr>
          <w:p>
            <w:pPr>
              <w:pStyle w:val="TableText"/>
              <w:jc w:val="left"/>
            </w:pPr>
            <w:r>
              <w:t xml:space="preserve">Configuration review</w:t>
            </w:r>
          </w:p>
        </w:tc>
        <w:tc>
          <w:tcPr>
            <w:tcW w:w="2178" w:type="dxa"/>
            <w:shd w:val="clear" w:color="auto" w:fill="F4F7FB"/>
            <w:vAlign w:val="top"/>
          </w:tcPr>
          <w:p>
            <w:pPr>
              <w:pStyle w:val="TableText"/>
              <w:jc w:val="left"/>
            </w:pPr>
            <w:r>
              <w:t xml:space="preserve">Built</w:t>
            </w:r>
          </w:p>
        </w:tc>
      </w:tr>
      <w:tr>
        <w:trPr>
          <w:cantSplit/>
        </w:trPr>
        <w:tc>
          <w:tcPr>
            <w:tcW w:w="936" w:type="dxa"/>
            <w:noWrap/>
            <w:vAlign w:val="top"/>
          </w:tcPr>
          <w:p>
            <w:pPr>
              <w:pStyle w:val="TableText"/>
              <w:jc w:val="left"/>
            </w:pPr>
            <w:r>
              <w:t xml:space="preserve">NFR-024</w:t>
            </w:r>
          </w:p>
        </w:tc>
        <w:tc>
          <w:tcPr>
            <w:tcW w:w="1660" w:type="dxa"/>
            <w:vAlign w:val="top"/>
          </w:tcPr>
          <w:p>
            <w:pPr>
              <w:pStyle w:val="TableText"/>
              <w:jc w:val="left"/>
            </w:pPr>
            <w:r>
              <w:t xml:space="preserve">HTTP security (V14)</w:t>
            </w:r>
          </w:p>
        </w:tc>
        <w:tc>
          <w:tcPr>
            <w:tcW w:w="2075" w:type="dxa"/>
            <w:vAlign w:val="top"/>
          </w:tcPr>
          <w:p>
            <w:pPr>
              <w:pStyle w:val="TableText"/>
              <w:jc w:val="left"/>
            </w:pPr>
            <w:r>
              <w:t xml:space="preserve">Strict CSP with no inline script; framing denied; no content sniffing; no referrer; CORS allow-list; global limit of 300 requests a minute; client address taken from the right-most trusted proxy</w:t>
            </w:r>
          </w:p>
        </w:tc>
        <w:tc>
          <w:tcPr>
            <w:tcW w:w="2178" w:type="dxa"/>
            <w:vAlign w:val="top"/>
          </w:tcPr>
          <w:p>
            <w:pPr>
              <w:pStyle w:val="TableText"/>
              <w:jc w:val="left"/>
            </w:pPr>
            <w:r>
              <w:t xml:space="preserve">Security tests</w:t>
            </w:r>
          </w:p>
        </w:tc>
        <w:tc>
          <w:tcPr>
            <w:tcW w:w="2178" w:type="dxa"/>
            <w:vAlign w:val="top"/>
          </w:tcPr>
          <w:p>
            <w:pPr>
              <w:pStyle w:val="TableText"/>
              <w:jc w:val="left"/>
            </w:pPr>
            <w:r>
              <w:t xml:space="preserve">Built</w:t>
            </w:r>
          </w:p>
        </w:tc>
      </w:tr>
      <w:tr>
        <w:trPr>
          <w:cantSplit/>
        </w:trPr>
        <w:tc>
          <w:tcPr>
            <w:tcW w:w="936" w:type="dxa"/>
            <w:shd w:val="clear" w:color="auto" w:fill="F4F7FB"/>
            <w:noWrap/>
            <w:vAlign w:val="top"/>
          </w:tcPr>
          <w:p>
            <w:pPr>
              <w:pStyle w:val="TableText"/>
              <w:jc w:val="left"/>
            </w:pPr>
            <w:r>
              <w:t xml:space="preserve">NFR-025</w:t>
            </w:r>
          </w:p>
        </w:tc>
        <w:tc>
          <w:tcPr>
            <w:tcW w:w="1660" w:type="dxa"/>
            <w:shd w:val="clear" w:color="auto" w:fill="F4F7FB"/>
            <w:vAlign w:val="top"/>
          </w:tcPr>
          <w:p>
            <w:pPr>
              <w:pStyle w:val="TableText"/>
              <w:jc w:val="left"/>
            </w:pPr>
            <w:r>
              <w:t xml:space="preserve">Secrets</w:t>
            </w:r>
          </w:p>
        </w:tc>
        <w:tc>
          <w:tcPr>
            <w:tcW w:w="2075" w:type="dxa"/>
            <w:shd w:val="clear" w:color="auto" w:fill="F4F7FB"/>
            <w:vAlign w:val="top"/>
          </w:tcPr>
          <w:p>
            <w:pPr>
              <w:pStyle w:val="TableText"/>
              <w:jc w:val="left"/>
            </w:pPr>
            <w:r>
              <w:t xml:space="preserve">No secrets in code; secrets mounted from Kubernetes, Docker or Vault; production refuses to start with missing secrets, without a database, with demo mode on, or with local rating unless TASCO approves it; optional token protects the metrics endpoint</w:t>
            </w:r>
          </w:p>
        </w:tc>
        <w:tc>
          <w:tcPr>
            <w:tcW w:w="2178" w:type="dxa"/>
            <w:shd w:val="clear" w:color="auto" w:fill="F4F7FB"/>
            <w:vAlign w:val="top"/>
          </w:tcPr>
          <w:p>
            <w:pPr>
              <w:pStyle w:val="TableText"/>
              <w:jc w:val="left"/>
            </w:pPr>
            <w:r>
              <w:t xml:space="preserve">Platform unit tests</w:t>
            </w:r>
          </w:p>
        </w:tc>
        <w:tc>
          <w:tcPr>
            <w:tcW w:w="2178" w:type="dxa"/>
            <w:shd w:val="clear" w:color="auto" w:fill="F4F7FB"/>
            <w:vAlign w:val="top"/>
          </w:tcPr>
          <w:p>
            <w:pPr>
              <w:pStyle w:val="TableText"/>
              <w:jc w:val="left"/>
            </w:pPr>
            <w:r>
              <w:t xml:space="preserve">Built</w:t>
            </w:r>
          </w:p>
        </w:tc>
      </w:tr>
      <w:tr>
        <w:trPr>
          <w:cantSplit/>
        </w:trPr>
        <w:tc>
          <w:tcPr>
            <w:tcW w:w="936" w:type="dxa"/>
            <w:noWrap/>
            <w:vAlign w:val="top"/>
          </w:tcPr>
          <w:p>
            <w:pPr>
              <w:pStyle w:val="TableText"/>
              <w:jc w:val="left"/>
            </w:pPr>
            <w:r>
              <w:t xml:space="preserve">NFR-026</w:t>
            </w:r>
          </w:p>
        </w:tc>
        <w:tc>
          <w:tcPr>
            <w:tcW w:w="1660" w:type="dxa"/>
            <w:vAlign w:val="top"/>
          </w:tcPr>
          <w:p>
            <w:pPr>
              <w:pStyle w:val="TableText"/>
              <w:jc w:val="left"/>
            </w:pPr>
            <w:r>
              <w:t xml:space="preserve">Dependency hygiene</w:t>
            </w:r>
          </w:p>
        </w:tc>
        <w:tc>
          <w:tcPr>
            <w:tcW w:w="2075" w:type="dxa"/>
            <w:vAlign w:val="top"/>
          </w:tcPr>
          <w:p>
            <w:pPr>
              <w:pStyle w:val="TableText"/>
              <w:jc w:val="left"/>
            </w:pPr>
            <w:r>
              <w:t xml:space="preserve">Dependency audit at high severity passes in CI; minimal runtime dependencies (currently one, the PostgreSQL driver)</w:t>
            </w:r>
          </w:p>
        </w:tc>
        <w:tc>
          <w:tcPr>
            <w:tcW w:w="2178" w:type="dxa"/>
            <w:vAlign w:val="top"/>
          </w:tcPr>
          <w:p>
            <w:pPr>
              <w:pStyle w:val="TableText"/>
              <w:jc w:val="left"/>
            </w:pPr>
            <w:r>
              <w:t xml:space="preserve">CI: dependency audit and review, secret scan, software bill of materials</w:t>
            </w:r>
          </w:p>
        </w:tc>
        <w:tc>
          <w:tcPr>
            <w:tcW w:w="2178" w:type="dxa"/>
            <w:vAlign w:val="top"/>
          </w:tcPr>
          <w:p>
            <w:pPr>
              <w:pStyle w:val="TableText"/>
              <w:jc w:val="left"/>
            </w:pPr>
            <w:r>
              <w:t xml:space="preserve">Built</w:t>
            </w:r>
          </w:p>
        </w:tc>
      </w:tr>
      <w:tr>
        <w:trPr>
          <w:cantSplit/>
        </w:trPr>
        <w:tc>
          <w:tcPr>
            <w:tcW w:w="936" w:type="dxa"/>
            <w:shd w:val="clear" w:color="auto" w:fill="F4F7FB"/>
            <w:noWrap/>
            <w:vAlign w:val="top"/>
          </w:tcPr>
          <w:p>
            <w:pPr>
              <w:pStyle w:val="TableText"/>
              <w:jc w:val="left"/>
            </w:pPr>
            <w:r>
              <w:t xml:space="preserve">NFR-027</w:t>
            </w:r>
          </w:p>
        </w:tc>
        <w:tc>
          <w:tcPr>
            <w:tcW w:w="1660" w:type="dxa"/>
            <w:shd w:val="clear" w:color="auto" w:fill="F4F7FB"/>
            <w:vAlign w:val="top"/>
          </w:tcPr>
          <w:p>
            <w:pPr>
              <w:pStyle w:val="TableText"/>
              <w:jc w:val="left"/>
            </w:pPr>
            <w:r>
              <w:t xml:space="preserve">Voice-channel fraud resistance</w:t>
            </w:r>
          </w:p>
        </w:tc>
        <w:tc>
          <w:tcPr>
            <w:tcW w:w="2075" w:type="dxa"/>
            <w:shd w:val="clear" w:color="auto" w:fill="F4F7FB"/>
            <w:vAlign w:val="top"/>
          </w:tcPr>
          <w:p>
            <w:pPr>
              <w:pStyle w:val="TableText"/>
              <w:jc w:val="left"/>
            </w:pPr>
            <w:r>
              <w:t xml:space="preserve">The assistant never asks for an OTP, card or payment; the plate is verified before any personal data is disclosed; plate and phone are masked in summaries</w:t>
            </w:r>
          </w:p>
        </w:tc>
        <w:tc>
          <w:tcPr>
            <w:tcW w:w="2178" w:type="dxa"/>
            <w:shd w:val="clear" w:color="auto" w:fill="F4F7FB"/>
            <w:vAlign w:val="top"/>
          </w:tcPr>
          <w:p>
            <w:pPr>
              <w:pStyle w:val="TableText"/>
              <w:jc w:val="left"/>
            </w:pPr>
            <w:r>
              <w:t xml:space="preserve">Script review; assistant unit tests</w:t>
            </w:r>
          </w:p>
        </w:tc>
        <w:tc>
          <w:tcPr>
            <w:tcW w:w="2178" w:type="dxa"/>
            <w:shd w:val="clear" w:color="auto" w:fill="F4F7FB"/>
            <w:vAlign w:val="top"/>
          </w:tcPr>
          <w:p>
            <w:pPr>
              <w:pStyle w:val="TableText"/>
              <w:jc w:val="left"/>
            </w:pPr>
            <w:r>
              <w:t xml:space="preserve">Built</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8" w:name="_Toc300000014"/>
      <w:r>
        <w:rPr>
          <w:rStyle w:val="BookTitle"/>
          <w:bCs w:val="0"/>
          <w:i w:val="0"/>
          <w:iCs w:val="0"/>
          <w:spacing w:val="0"/>
        </w:rPr>
        <w:t xml:space="preserve">Privacy and data protection</w:t>
      </w:r>
      <w:bookmarkEnd w:id="18"/>
    </w:p>
    <w:p>
      <w:pPr>
        <w:pStyle w:val="FirstParagraph"/>
      </w:pPr>
      <w:r>
        <w:t xml:space="preserve">The legal basis is to be confirmed by TASCO legal: the Personal Data Protection Law 91/2025/QH15 (effective 1 January 2026), Decree 13/2023/ND-CP, Decree 91/2020/ND-CP on spam messages and calls, the Law on Insurance Business 08/2022/QH15, and the Cybersecurity Law 2018 with Decree 53/2022/ND-CP. The controls below are conservative engineering defaults, not legal advice.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36"/>
        <w:gridCol w:w="1660"/>
        <w:gridCol w:w="2075"/>
        <w:gridCol w:w="2178"/>
        <w:gridCol w:w="2178"/>
      </w:tblGrid>
      <w:tr>
        <w:trPr>
          <w:cantSplit/>
          <w:tblHeader/>
        </w:trPr>
        <w:tc>
          <w:tcPr>
            <w:tcW w:w="936" w:type="dxa"/>
            <w:shd w:val="clear" w:color="auto" w:fill="0F4761"/>
            <w:vAlign w:val="center"/>
          </w:tcPr>
          <w:p>
            <w:pPr>
              <w:pStyle w:val="TableHeading"/>
              <w:jc w:val="left"/>
            </w:pPr>
            <w:r>
              <w:rPr>
                <w:color w:val="FFFFFF"/>
              </w:rPr>
              <w:t xml:space="preserve">ID</w:t>
            </w:r>
          </w:p>
        </w:tc>
        <w:tc>
          <w:tcPr>
            <w:tcW w:w="1660" w:type="dxa"/>
            <w:shd w:val="clear" w:color="auto" w:fill="0F4761"/>
            <w:vAlign w:val="center"/>
          </w:tcPr>
          <w:p>
            <w:pPr>
              <w:pStyle w:val="TableHeading"/>
              <w:jc w:val="left"/>
            </w:pPr>
            <w:r>
              <w:rPr>
                <w:color w:val="FFFFFF"/>
              </w:rPr>
              <w:t xml:space="preserve">Requirement</w:t>
            </w:r>
          </w:p>
        </w:tc>
        <w:tc>
          <w:tcPr>
            <w:tcW w:w="2075" w:type="dxa"/>
            <w:shd w:val="clear" w:color="auto" w:fill="0F4761"/>
            <w:vAlign w:val="center"/>
          </w:tcPr>
          <w:p>
            <w:pPr>
              <w:pStyle w:val="TableHeading"/>
              <w:jc w:val="left"/>
            </w:pPr>
            <w:r>
              <w:rPr>
                <w:color w:val="FFFFFF"/>
              </w:rPr>
              <w:t xml:space="preserve">Target</w:t>
            </w:r>
          </w:p>
        </w:tc>
        <w:tc>
          <w:tcPr>
            <w:tcW w:w="2178" w:type="dxa"/>
            <w:shd w:val="clear" w:color="auto" w:fill="0F4761"/>
            <w:vAlign w:val="center"/>
          </w:tcPr>
          <w:p>
            <w:pPr>
              <w:pStyle w:val="TableHeading"/>
              <w:jc w:val="left"/>
            </w:pPr>
            <w:r>
              <w:rPr>
                <w:color w:val="FFFFFF"/>
              </w:rPr>
              <w:t xml:space="preserve">Verification</w:t>
            </w:r>
          </w:p>
        </w:tc>
        <w:tc>
          <w:tcPr>
            <w:tcW w:w="2178" w:type="dxa"/>
            <w:shd w:val="clear" w:color="auto" w:fill="0F4761"/>
            <w:vAlign w:val="center"/>
          </w:tcPr>
          <w:p>
            <w:pPr>
              <w:pStyle w:val="TableHeading"/>
              <w:jc w:val="left"/>
            </w:pPr>
            <w:r>
              <w:rPr>
                <w:color w:val="FFFFFF"/>
              </w:rPr>
              <w:t xml:space="preserve">Status</w:t>
            </w:r>
          </w:p>
        </w:tc>
      </w:tr>
      <w:tr>
        <w:trPr>
          <w:cantSplit/>
        </w:trPr>
        <w:tc>
          <w:tcPr>
            <w:tcW w:w="936" w:type="dxa"/>
            <w:noWrap/>
            <w:vAlign w:val="top"/>
          </w:tcPr>
          <w:p>
            <w:pPr>
              <w:pStyle w:val="TableText"/>
              <w:jc w:val="left"/>
            </w:pPr>
            <w:r>
              <w:t xml:space="preserve">NFR-028</w:t>
            </w:r>
          </w:p>
        </w:tc>
        <w:tc>
          <w:tcPr>
            <w:tcW w:w="1660" w:type="dxa"/>
            <w:vAlign w:val="top"/>
          </w:tcPr>
          <w:p>
            <w:pPr>
              <w:pStyle w:val="TableText"/>
              <w:jc w:val="left"/>
            </w:pPr>
            <w:r>
              <w:t xml:space="preserve">Consent by purpose and channel</w:t>
            </w:r>
          </w:p>
        </w:tc>
        <w:tc>
          <w:tcPr>
            <w:tcW w:w="2075" w:type="dxa"/>
            <w:vAlign w:val="top"/>
          </w:tcPr>
          <w:p>
            <w:pPr>
              <w:pStyle w:val="TableText"/>
              <w:jc w:val="left"/>
            </w:pPr>
            <w:r>
              <w:t xml:space="preserve">Marketing and call consent stored per profile, checked before every marketing message and call, audited, and honoured within one minute</w:t>
            </w:r>
          </w:p>
        </w:tc>
        <w:tc>
          <w:tcPr>
            <w:tcW w:w="2178" w:type="dxa"/>
            <w:vAlign w:val="top"/>
          </w:tcPr>
          <w:p>
            <w:pPr>
              <w:pStyle w:val="TableText"/>
              <w:jc w:val="left"/>
            </w:pPr>
            <w:r>
              <w:t xml:space="preserve">Contact policy integration tests</w:t>
            </w:r>
          </w:p>
        </w:tc>
        <w:tc>
          <w:tcPr>
            <w:tcW w:w="2178" w:type="dxa"/>
            <w:vAlign w:val="top"/>
          </w:tcPr>
          <w:p>
            <w:pPr>
              <w:pStyle w:val="TableText"/>
              <w:jc w:val="left"/>
            </w:pPr>
            <w:r>
              <w:t xml:space="preserve">Built</w:t>
            </w:r>
          </w:p>
        </w:tc>
      </w:tr>
      <w:tr>
        <w:trPr>
          <w:cantSplit/>
        </w:trPr>
        <w:tc>
          <w:tcPr>
            <w:tcW w:w="936" w:type="dxa"/>
            <w:shd w:val="clear" w:color="auto" w:fill="F4F7FB"/>
            <w:noWrap/>
            <w:vAlign w:val="top"/>
          </w:tcPr>
          <w:p>
            <w:pPr>
              <w:pStyle w:val="TableText"/>
              <w:jc w:val="left"/>
            </w:pPr>
            <w:r>
              <w:t xml:space="preserve">NFR-029</w:t>
            </w:r>
          </w:p>
        </w:tc>
        <w:tc>
          <w:tcPr>
            <w:tcW w:w="1660" w:type="dxa"/>
            <w:shd w:val="clear" w:color="auto" w:fill="F4F7FB"/>
            <w:vAlign w:val="top"/>
          </w:tcPr>
          <w:p>
            <w:pPr>
              <w:pStyle w:val="TableText"/>
              <w:jc w:val="left"/>
            </w:pPr>
            <w:r>
              <w:t xml:space="preserve">Data-subject rights</w:t>
            </w:r>
          </w:p>
        </w:tc>
        <w:tc>
          <w:tcPr>
            <w:tcW w:w="2075" w:type="dxa"/>
            <w:shd w:val="clear" w:color="auto" w:fill="F4F7FB"/>
            <w:vAlign w:val="top"/>
          </w:tcPr>
          <w:p>
            <w:pPr>
              <w:pStyle w:val="TableText"/>
              <w:jc w:val="left"/>
            </w:pPr>
            <w:r>
              <w:t xml:space="preserve">Every access or erasure request logged in the data-request register (FR-118) and answered within the response time in the service levels rule set, 72 hours from receipt, to be confirmed by TASCO legal. Identity verified before export or erasure; refusals, such as erasure while a policy is in force, carry a recorded reason</w:t>
            </w:r>
          </w:p>
        </w:tc>
        <w:tc>
          <w:tcPr>
            <w:tcW w:w="2178" w:type="dxa"/>
            <w:shd w:val="clear" w:color="auto" w:fill="F4F7FB"/>
            <w:vAlign w:val="top"/>
          </w:tcPr>
          <w:p>
            <w:pPr>
              <w:pStyle w:val="TableText"/>
              <w:jc w:val="left"/>
            </w:pPr>
            <w:r>
              <w:t xml:space="preserve">Governance, API and functional tests (US-060, US-061, US-078); overdue count on the data-requests screen</w:t>
            </w:r>
          </w:p>
        </w:tc>
        <w:tc>
          <w:tcPr>
            <w:tcW w:w="2178" w:type="dxa"/>
            <w:shd w:val="clear" w:color="auto" w:fill="F4F7FB"/>
            <w:vAlign w:val="top"/>
          </w:tcPr>
          <w:p>
            <w:pPr>
              <w:pStyle w:val="TableText"/>
              <w:jc w:val="left"/>
            </w:pPr>
            <w:r>
              <w:t xml:space="preserve">Built: register, due times and overdue alerts; meeting the deadline is an operational duty of compliance</w:t>
            </w:r>
          </w:p>
        </w:tc>
      </w:tr>
      <w:tr>
        <w:trPr>
          <w:cantSplit/>
        </w:trPr>
        <w:tc>
          <w:tcPr>
            <w:tcW w:w="936" w:type="dxa"/>
            <w:noWrap/>
            <w:vAlign w:val="top"/>
          </w:tcPr>
          <w:p>
            <w:pPr>
              <w:pStyle w:val="TableText"/>
              <w:jc w:val="left"/>
            </w:pPr>
            <w:r>
              <w:t xml:space="preserve">NFR-030</w:t>
            </w:r>
          </w:p>
        </w:tc>
        <w:tc>
          <w:tcPr>
            <w:tcW w:w="1660" w:type="dxa"/>
            <w:vAlign w:val="top"/>
          </w:tcPr>
          <w:p>
            <w:pPr>
              <w:pStyle w:val="TableText"/>
              <w:jc w:val="left"/>
            </w:pPr>
            <w:r>
              <w:t xml:space="preserve">Data residency</w:t>
            </w:r>
          </w:p>
        </w:tc>
        <w:tc>
          <w:tcPr>
            <w:tcW w:w="2075" w:type="dxa"/>
            <w:vAlign w:val="top"/>
          </w:tcPr>
          <w:p>
            <w:pPr>
              <w:pStyle w:val="TableText"/>
              <w:jc w:val="left"/>
            </w:pPr>
            <w:r>
              <w:t xml:space="preserve">Personal data of Vietnamese data subjects stored and processed in Vietnam, as proposed, or in another location approved by TASCO legal. A cross-border transfer impact assessment is filed for any offshore processor, such as a voice vendor</w:t>
            </w:r>
          </w:p>
        </w:tc>
        <w:tc>
          <w:tcPr>
            <w:tcW w:w="2178" w:type="dxa"/>
            <w:vAlign w:val="top"/>
          </w:tcPr>
          <w:p>
            <w:pPr>
              <w:pStyle w:val="TableText"/>
              <w:jc w:val="left"/>
            </w:pPr>
            <w:r>
              <w:t xml:space="preserve">Architecture review</w:t>
            </w:r>
          </w:p>
        </w:tc>
        <w:tc>
          <w:tcPr>
            <w:tcW w:w="2178" w:type="dxa"/>
            <w:vAlign w:val="top"/>
          </w:tcPr>
          <w:p>
            <w:pPr>
              <w:pStyle w:val="TableText"/>
              <w:jc w:val="left"/>
            </w:pPr>
            <w:r>
              <w:t xml:space="preserve">Planned; to be confirmed by TASCO legal</w:t>
            </w:r>
          </w:p>
        </w:tc>
      </w:tr>
      <w:tr>
        <w:trPr>
          <w:cantSplit/>
        </w:trPr>
        <w:tc>
          <w:tcPr>
            <w:tcW w:w="936" w:type="dxa"/>
            <w:shd w:val="clear" w:color="auto" w:fill="F4F7FB"/>
            <w:noWrap/>
            <w:vAlign w:val="top"/>
          </w:tcPr>
          <w:p>
            <w:pPr>
              <w:pStyle w:val="TableText"/>
              <w:jc w:val="left"/>
            </w:pPr>
            <w:r>
              <w:t xml:space="preserve">NFR-031</w:t>
            </w:r>
          </w:p>
        </w:tc>
        <w:tc>
          <w:tcPr>
            <w:tcW w:w="1660" w:type="dxa"/>
            <w:shd w:val="clear" w:color="auto" w:fill="F4F7FB"/>
            <w:vAlign w:val="top"/>
          </w:tcPr>
          <w:p>
            <w:pPr>
              <w:pStyle w:val="TableText"/>
              <w:jc w:val="left"/>
            </w:pPr>
            <w:r>
              <w:t xml:space="preserve">Data minimisation and masking</w:t>
            </w:r>
          </w:p>
        </w:tc>
        <w:tc>
          <w:tcPr>
            <w:tcW w:w="2075" w:type="dxa"/>
            <w:shd w:val="clear" w:color="auto" w:fill="F4F7FB"/>
            <w:vAlign w:val="top"/>
          </w:tcPr>
          <w:p>
            <w:pPr>
              <w:pStyle w:val="TableText"/>
              <w:jc w:val="left"/>
            </w:pPr>
            <w:r>
              <w:t xml:space="preserve">Staff without personal-data permission never see full name or phone; handoffs carry a masked phone; the certificate check shows a masked plate and no personal data</w:t>
            </w:r>
          </w:p>
        </w:tc>
        <w:tc>
          <w:tcPr>
            <w:tcW w:w="2178" w:type="dxa"/>
            <w:shd w:val="clear" w:color="auto" w:fill="F4F7FB"/>
            <w:vAlign w:val="top"/>
          </w:tcPr>
          <w:p>
            <w:pPr>
              <w:pStyle w:val="TableText"/>
              <w:jc w:val="left"/>
            </w:pPr>
            <w:r>
              <w:t xml:space="preserve">Security tests</w:t>
            </w:r>
          </w:p>
        </w:tc>
        <w:tc>
          <w:tcPr>
            <w:tcW w:w="2178" w:type="dxa"/>
            <w:shd w:val="clear" w:color="auto" w:fill="F4F7FB"/>
            <w:vAlign w:val="top"/>
          </w:tcPr>
          <w:p>
            <w:pPr>
              <w:pStyle w:val="TableText"/>
              <w:jc w:val="left"/>
            </w:pPr>
            <w:r>
              <w:t xml:space="preserve">Built</w:t>
            </w:r>
          </w:p>
        </w:tc>
      </w:tr>
      <w:tr>
        <w:trPr>
          <w:cantSplit/>
        </w:trPr>
        <w:tc>
          <w:tcPr>
            <w:tcW w:w="936" w:type="dxa"/>
            <w:noWrap/>
            <w:vAlign w:val="top"/>
          </w:tcPr>
          <w:p>
            <w:pPr>
              <w:pStyle w:val="TableText"/>
              <w:jc w:val="left"/>
            </w:pPr>
            <w:r>
              <w:t xml:space="preserve">NFR-032</w:t>
            </w:r>
          </w:p>
        </w:tc>
        <w:tc>
          <w:tcPr>
            <w:tcW w:w="1660" w:type="dxa"/>
            <w:vAlign w:val="top"/>
          </w:tcPr>
          <w:p>
            <w:pPr>
              <w:pStyle w:val="TableText"/>
              <w:jc w:val="left"/>
            </w:pPr>
            <w:r>
              <w:t xml:space="preserve">Processing records and impact assessment</w:t>
            </w:r>
          </w:p>
        </w:tc>
        <w:tc>
          <w:tcPr>
            <w:tcW w:w="2075" w:type="dxa"/>
            <w:vAlign w:val="top"/>
          </w:tcPr>
          <w:p>
            <w:pPr>
              <w:pStyle w:val="TableText"/>
              <w:jc w:val="left"/>
            </w:pPr>
            <w:r>
              <w:t xml:space="preserve">A DPIA and processing register for each purpose: renewal, conquest, assistant calls, partner sharing</w:t>
            </w:r>
          </w:p>
        </w:tc>
        <w:tc>
          <w:tcPr>
            <w:tcW w:w="2178" w:type="dxa"/>
            <w:vAlign w:val="top"/>
          </w:tcPr>
          <w:p>
            <w:pPr>
              <w:pStyle w:val="TableText"/>
              <w:jc w:val="left"/>
            </w:pPr>
            <w:r>
              <w:t xml:space="preserve">Compliance sign-off</w:t>
            </w:r>
          </w:p>
        </w:tc>
        <w:tc>
          <w:tcPr>
            <w:tcW w:w="2178" w:type="dxa"/>
            <w:vAlign w:val="top"/>
          </w:tcPr>
          <w:p>
            <w:pPr>
              <w:pStyle w:val="TableText"/>
              <w:jc w:val="left"/>
            </w:pPr>
            <w:r>
              <w:t xml:space="preserve">Planned</w:t>
            </w:r>
          </w:p>
        </w:tc>
      </w:tr>
      <w:tr>
        <w:trPr>
          <w:cantSplit/>
        </w:trPr>
        <w:tc>
          <w:tcPr>
            <w:tcW w:w="936" w:type="dxa"/>
            <w:shd w:val="clear" w:color="auto" w:fill="F4F7FB"/>
            <w:noWrap/>
            <w:vAlign w:val="top"/>
          </w:tcPr>
          <w:p>
            <w:pPr>
              <w:pStyle w:val="TableText"/>
              <w:jc w:val="left"/>
            </w:pPr>
            <w:r>
              <w:t xml:space="preserve">NFR-033</w:t>
            </w:r>
          </w:p>
        </w:tc>
        <w:tc>
          <w:tcPr>
            <w:tcW w:w="1660" w:type="dxa"/>
            <w:shd w:val="clear" w:color="auto" w:fill="F4F7FB"/>
            <w:vAlign w:val="top"/>
          </w:tcPr>
          <w:p>
            <w:pPr>
              <w:pStyle w:val="TableText"/>
              <w:jc w:val="left"/>
            </w:pPr>
            <w:r>
              <w:t xml:space="preserve">Synthetic data outside production</w:t>
            </w:r>
          </w:p>
        </w:tc>
        <w:tc>
          <w:tcPr>
            <w:tcW w:w="2075" w:type="dxa"/>
            <w:shd w:val="clear" w:color="auto" w:fill="F4F7FB"/>
            <w:vAlign w:val="top"/>
          </w:tcPr>
          <w:p>
            <w:pPr>
              <w:pStyle w:val="TableText"/>
              <w:jc w:val="left"/>
            </w:pPr>
            <w:r>
              <w:t xml:space="preserve">Non-production environments use synthetic data or irreversibly masked extracts</w:t>
            </w:r>
          </w:p>
        </w:tc>
        <w:tc>
          <w:tcPr>
            <w:tcW w:w="2178" w:type="dxa"/>
            <w:shd w:val="clear" w:color="auto" w:fill="F4F7FB"/>
            <w:vAlign w:val="top"/>
          </w:tcPr>
          <w:p>
            <w:pPr>
              <w:pStyle w:val="TableText"/>
              <w:jc w:val="left"/>
            </w:pPr>
            <w:r>
              <w:t xml:space="preserve">Environment audit</w:t>
            </w:r>
          </w:p>
        </w:tc>
        <w:tc>
          <w:tcPr>
            <w:tcW w:w="2178" w:type="dxa"/>
            <w:shd w:val="clear" w:color="auto" w:fill="F4F7FB"/>
            <w:vAlign w:val="top"/>
          </w:tcPr>
          <w:p>
            <w:pPr>
              <w:pStyle w:val="TableText"/>
              <w:jc w:val="left"/>
            </w:pPr>
            <w:r>
              <w:t xml:space="preserve">Built (synthetic data generator)</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9" w:name="_Toc300000015"/>
      <w:r>
        <w:rPr>
          <w:rStyle w:val="BookTitle"/>
          <w:bCs w:val="0"/>
          <w:i w:val="0"/>
          <w:iCs w:val="0"/>
          <w:spacing w:val="0"/>
        </w:rPr>
        <w:t xml:space="preserve">Accessibility and usability</w:t>
      </w:r>
      <w:bookmarkEnd w:id="1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36"/>
        <w:gridCol w:w="1660"/>
        <w:gridCol w:w="2075"/>
        <w:gridCol w:w="2178"/>
        <w:gridCol w:w="2178"/>
      </w:tblGrid>
      <w:tr>
        <w:trPr>
          <w:cantSplit/>
          <w:tblHeader/>
        </w:trPr>
        <w:tc>
          <w:tcPr>
            <w:tcW w:w="936" w:type="dxa"/>
            <w:shd w:val="clear" w:color="auto" w:fill="0F4761"/>
            <w:vAlign w:val="center"/>
          </w:tcPr>
          <w:p>
            <w:pPr>
              <w:pStyle w:val="TableHeading"/>
              <w:jc w:val="left"/>
            </w:pPr>
            <w:r>
              <w:rPr>
                <w:color w:val="FFFFFF"/>
              </w:rPr>
              <w:t xml:space="preserve">ID</w:t>
            </w:r>
          </w:p>
        </w:tc>
        <w:tc>
          <w:tcPr>
            <w:tcW w:w="1660" w:type="dxa"/>
            <w:shd w:val="clear" w:color="auto" w:fill="0F4761"/>
            <w:vAlign w:val="center"/>
          </w:tcPr>
          <w:p>
            <w:pPr>
              <w:pStyle w:val="TableHeading"/>
              <w:jc w:val="left"/>
            </w:pPr>
            <w:r>
              <w:rPr>
                <w:color w:val="FFFFFF"/>
              </w:rPr>
              <w:t xml:space="preserve">Requirement</w:t>
            </w:r>
          </w:p>
        </w:tc>
        <w:tc>
          <w:tcPr>
            <w:tcW w:w="2075" w:type="dxa"/>
            <w:shd w:val="clear" w:color="auto" w:fill="0F4761"/>
            <w:vAlign w:val="center"/>
          </w:tcPr>
          <w:p>
            <w:pPr>
              <w:pStyle w:val="TableHeading"/>
              <w:jc w:val="left"/>
            </w:pPr>
            <w:r>
              <w:rPr>
                <w:color w:val="FFFFFF"/>
              </w:rPr>
              <w:t xml:space="preserve">Target</w:t>
            </w:r>
          </w:p>
        </w:tc>
        <w:tc>
          <w:tcPr>
            <w:tcW w:w="2178" w:type="dxa"/>
            <w:shd w:val="clear" w:color="auto" w:fill="0F4761"/>
            <w:vAlign w:val="center"/>
          </w:tcPr>
          <w:p>
            <w:pPr>
              <w:pStyle w:val="TableHeading"/>
              <w:jc w:val="left"/>
            </w:pPr>
            <w:r>
              <w:rPr>
                <w:color w:val="FFFFFF"/>
              </w:rPr>
              <w:t xml:space="preserve">Verification</w:t>
            </w:r>
          </w:p>
        </w:tc>
        <w:tc>
          <w:tcPr>
            <w:tcW w:w="2178" w:type="dxa"/>
            <w:shd w:val="clear" w:color="auto" w:fill="0F4761"/>
            <w:vAlign w:val="center"/>
          </w:tcPr>
          <w:p>
            <w:pPr>
              <w:pStyle w:val="TableHeading"/>
              <w:jc w:val="left"/>
            </w:pPr>
            <w:r>
              <w:rPr>
                <w:color w:val="FFFFFF"/>
              </w:rPr>
              <w:t xml:space="preserve">Status</w:t>
            </w:r>
          </w:p>
        </w:tc>
      </w:tr>
      <w:tr>
        <w:trPr>
          <w:cantSplit/>
        </w:trPr>
        <w:tc>
          <w:tcPr>
            <w:tcW w:w="936" w:type="dxa"/>
            <w:noWrap/>
            <w:vAlign w:val="top"/>
          </w:tcPr>
          <w:p>
            <w:pPr>
              <w:pStyle w:val="TableText"/>
              <w:jc w:val="left"/>
            </w:pPr>
            <w:r>
              <w:t xml:space="preserve">NFR-034</w:t>
            </w:r>
          </w:p>
        </w:tc>
        <w:tc>
          <w:tcPr>
            <w:tcW w:w="1660" w:type="dxa"/>
            <w:vAlign w:val="top"/>
          </w:tcPr>
          <w:p>
            <w:pPr>
              <w:pStyle w:val="TableText"/>
              <w:jc w:val="left"/>
            </w:pPr>
            <w:r>
              <w:t xml:space="preserve">Accessibility</w:t>
            </w:r>
          </w:p>
        </w:tc>
        <w:tc>
          <w:tcPr>
            <w:tcW w:w="2075" w:type="dxa"/>
            <w:vAlign w:val="top"/>
          </w:tcPr>
          <w:p>
            <w:pPr>
              <w:pStyle w:val="TableText"/>
              <w:jc w:val="left"/>
            </w:pPr>
            <w:r>
              <w:t xml:space="preserve">WCAG 2.2 Level AA for the console and the customer app: contrast 4.5:1 or more, full keyboard use, visible focus, targets of 24 × 24 px or more, labelled fields, reduced motion respected</w:t>
            </w:r>
          </w:p>
        </w:tc>
        <w:tc>
          <w:tcPr>
            <w:tcW w:w="2178" w:type="dxa"/>
            <w:vAlign w:val="top"/>
          </w:tcPr>
          <w:p>
            <w:pPr>
              <w:pStyle w:val="TableText"/>
              <w:jc w:val="left"/>
            </w:pPr>
            <w:r>
              <w:t xml:space="preserve">Automated scan with no serious issues; manual screen-reader check (TalkBack and VoiceOver)</w:t>
            </w:r>
          </w:p>
        </w:tc>
        <w:tc>
          <w:tcPr>
            <w:tcW w:w="2178" w:type="dxa"/>
            <w:vAlign w:val="top"/>
          </w:tcPr>
          <w:p>
            <w:pPr>
              <w:pStyle w:val="TableText"/>
              <w:jc w:val="left"/>
            </w:pPr>
            <w:r>
              <w:t xml:space="preserve">Partial: review findings G-1 to G-4 fixed; automated scan in the build pipeline (G-5) planned (TGP-UX-02)</w:t>
            </w:r>
          </w:p>
        </w:tc>
      </w:tr>
      <w:tr>
        <w:trPr>
          <w:cantSplit/>
        </w:trPr>
        <w:tc>
          <w:tcPr>
            <w:tcW w:w="936" w:type="dxa"/>
            <w:shd w:val="clear" w:color="auto" w:fill="F4F7FB"/>
            <w:noWrap/>
            <w:vAlign w:val="top"/>
          </w:tcPr>
          <w:p>
            <w:pPr>
              <w:pStyle w:val="TableText"/>
              <w:jc w:val="left"/>
            </w:pPr>
            <w:r>
              <w:t xml:space="preserve">NFR-035</w:t>
            </w:r>
          </w:p>
        </w:tc>
        <w:tc>
          <w:tcPr>
            <w:tcW w:w="1660" w:type="dxa"/>
            <w:shd w:val="clear" w:color="auto" w:fill="F4F7FB"/>
            <w:vAlign w:val="top"/>
          </w:tcPr>
          <w:p>
            <w:pPr>
              <w:pStyle w:val="TableText"/>
              <w:jc w:val="left"/>
            </w:pPr>
            <w:r>
              <w:t xml:space="preserve">Customer task efficiency</w:t>
            </w:r>
          </w:p>
        </w:tc>
        <w:tc>
          <w:tcPr>
            <w:tcW w:w="2075" w:type="dxa"/>
            <w:shd w:val="clear" w:color="auto" w:fill="F4F7FB"/>
            <w:vAlign w:val="top"/>
          </w:tcPr>
          <w:p>
            <w:pPr>
              <w:pStyle w:val="TableText"/>
              <w:jc w:val="left"/>
            </w:pPr>
            <w:r>
              <w:t xml:space="preserve">Quick renewal in three steps where the case allows it (FR-119); the full renewal flow in six steps; median renewal time 60 seconds or less</w:t>
            </w:r>
          </w:p>
        </w:tc>
        <w:tc>
          <w:tcPr>
            <w:tcW w:w="2178" w:type="dxa"/>
            <w:shd w:val="clear" w:color="auto" w:fill="F4F7FB"/>
            <w:vAlign w:val="top"/>
          </w:tcPr>
          <w:p>
            <w:pPr>
              <w:pStyle w:val="TableText"/>
              <w:jc w:val="left"/>
            </w:pPr>
            <w:r>
              <w:t xml:space="preserve">Usability test with at least 8 participants per segment; adoption dashboard</w:t>
            </w:r>
          </w:p>
        </w:tc>
        <w:tc>
          <w:tcPr>
            <w:tcW w:w="2178" w:type="dxa"/>
            <w:shd w:val="clear" w:color="auto" w:fill="F4F7FB"/>
            <w:vAlign w:val="top"/>
          </w:tcPr>
          <w:p>
            <w:pPr>
              <w:pStyle w:val="TableText"/>
              <w:jc w:val="left"/>
            </w:pPr>
            <w:r>
              <w:t xml:space="preserve">Partial: both paths built; the median time is measured in usability testing and the pilot</w:t>
            </w:r>
          </w:p>
        </w:tc>
      </w:tr>
      <w:tr>
        <w:trPr>
          <w:cantSplit/>
        </w:trPr>
        <w:tc>
          <w:tcPr>
            <w:tcW w:w="936" w:type="dxa"/>
            <w:noWrap/>
            <w:vAlign w:val="top"/>
          </w:tcPr>
          <w:p>
            <w:pPr>
              <w:pStyle w:val="TableText"/>
              <w:jc w:val="left"/>
            </w:pPr>
            <w:r>
              <w:t xml:space="preserve">NFR-036</w:t>
            </w:r>
          </w:p>
        </w:tc>
        <w:tc>
          <w:tcPr>
            <w:tcW w:w="1660" w:type="dxa"/>
            <w:vAlign w:val="top"/>
          </w:tcPr>
          <w:p>
            <w:pPr>
              <w:pStyle w:val="TableText"/>
              <w:jc w:val="left"/>
            </w:pPr>
            <w:r>
              <w:t xml:space="preserve">Staff task efficiency</w:t>
            </w:r>
          </w:p>
        </w:tc>
        <w:tc>
          <w:tcPr>
            <w:tcW w:w="2075" w:type="dxa"/>
            <w:vAlign w:val="top"/>
          </w:tcPr>
          <w:p>
            <w:pPr>
              <w:pStyle w:val="TableText"/>
              <w:jc w:val="left"/>
            </w:pPr>
            <w:r>
              <w:t xml:space="preserve">Agent reaches the next lead and its talking points within two clicks of home; first contact on a handoff within two business hours</w:t>
            </w:r>
          </w:p>
        </w:tc>
        <w:tc>
          <w:tcPr>
            <w:tcW w:w="2178" w:type="dxa"/>
            <w:vAlign w:val="top"/>
          </w:tcPr>
          <w:p>
            <w:pPr>
              <w:pStyle w:val="TableText"/>
              <w:jc w:val="left"/>
            </w:pPr>
            <w:r>
              <w:t xml:space="preserve">Usability test; handoff timestamps</w:t>
            </w:r>
          </w:p>
        </w:tc>
        <w:tc>
          <w:tcPr>
            <w:tcW w:w="2178" w:type="dxa"/>
            <w:vAlign w:val="top"/>
          </w:tcPr>
          <w:p>
            <w:pPr>
              <w:pStyle w:val="TableText"/>
              <w:jc w:val="left"/>
            </w:pPr>
            <w:r>
              <w:t xml:space="preserve">Planned</w:t>
            </w:r>
          </w:p>
        </w:tc>
      </w:tr>
      <w:tr>
        <w:trPr>
          <w:cantSplit/>
        </w:trPr>
        <w:tc>
          <w:tcPr>
            <w:tcW w:w="936" w:type="dxa"/>
            <w:shd w:val="clear" w:color="auto" w:fill="F4F7FB"/>
            <w:noWrap/>
            <w:vAlign w:val="top"/>
          </w:tcPr>
          <w:p>
            <w:pPr>
              <w:pStyle w:val="TableText"/>
              <w:jc w:val="left"/>
            </w:pPr>
            <w:r>
              <w:t xml:space="preserve">NFR-037</w:t>
            </w:r>
          </w:p>
        </w:tc>
        <w:tc>
          <w:tcPr>
            <w:tcW w:w="1660" w:type="dxa"/>
            <w:shd w:val="clear" w:color="auto" w:fill="F4F7FB"/>
            <w:vAlign w:val="top"/>
          </w:tcPr>
          <w:p>
            <w:pPr>
              <w:pStyle w:val="TableText"/>
              <w:jc w:val="left"/>
            </w:pPr>
            <w:r>
              <w:t xml:space="preserve">Explainability</w:t>
            </w:r>
          </w:p>
        </w:tc>
        <w:tc>
          <w:tcPr>
            <w:tcW w:w="2075" w:type="dxa"/>
            <w:shd w:val="clear" w:color="auto" w:fill="F4F7FB"/>
            <w:vAlign w:val="top"/>
          </w:tcPr>
          <w:p>
            <w:pPr>
              <w:pStyle w:val="TableText"/>
              <w:jc w:val="left"/>
            </w:pPr>
            <w:r>
              <w:t xml:space="preserve">Every score, action and benefit shown to staff carries a readable reason</w:t>
            </w:r>
          </w:p>
        </w:tc>
        <w:tc>
          <w:tcPr>
            <w:tcW w:w="2178" w:type="dxa"/>
            <w:shd w:val="clear" w:color="auto" w:fill="F4F7FB"/>
            <w:vAlign w:val="top"/>
          </w:tcPr>
          <w:p>
            <w:pPr>
              <w:pStyle w:val="TableText"/>
              <w:jc w:val="left"/>
            </w:pPr>
            <w:r>
              <w:t xml:space="preserve">Interface review</w:t>
            </w:r>
          </w:p>
        </w:tc>
        <w:tc>
          <w:tcPr>
            <w:tcW w:w="2178" w:type="dxa"/>
            <w:shd w:val="clear" w:color="auto" w:fill="F4F7FB"/>
            <w:vAlign w:val="top"/>
          </w:tcPr>
          <w:p>
            <w:pPr>
              <w:pStyle w:val="TableText"/>
              <w:jc w:val="left"/>
            </w:pPr>
            <w:r>
              <w:t xml:space="preserve">Built</w:t>
            </w:r>
          </w:p>
        </w:tc>
      </w:tr>
      <w:tr>
        <w:trPr>
          <w:cantSplit/>
        </w:trPr>
        <w:tc>
          <w:tcPr>
            <w:tcW w:w="936" w:type="dxa"/>
            <w:noWrap/>
            <w:vAlign w:val="top"/>
          </w:tcPr>
          <w:p>
            <w:pPr>
              <w:pStyle w:val="TableText"/>
              <w:jc w:val="left"/>
            </w:pPr>
            <w:r>
              <w:t xml:space="preserve">NFR-038</w:t>
            </w:r>
          </w:p>
        </w:tc>
        <w:tc>
          <w:tcPr>
            <w:tcW w:w="1660" w:type="dxa"/>
            <w:vAlign w:val="top"/>
          </w:tcPr>
          <w:p>
            <w:pPr>
              <w:pStyle w:val="TableText"/>
              <w:jc w:val="left"/>
            </w:pPr>
            <w:r>
              <w:t xml:space="preserve">Help</w:t>
            </w:r>
          </w:p>
        </w:tc>
        <w:tc>
          <w:tcPr>
            <w:tcW w:w="2075" w:type="dxa"/>
            <w:vAlign w:val="top"/>
          </w:tcPr>
          <w:p>
            <w:pPr>
              <w:pStyle w:val="TableText"/>
              <w:jc w:val="left"/>
            </w:pPr>
            <w:r>
              <w:t xml:space="preserve">Contextual help on every console screen in Vietnamese and English</w:t>
            </w:r>
          </w:p>
        </w:tc>
        <w:tc>
          <w:tcPr>
            <w:tcW w:w="2178" w:type="dxa"/>
            <w:vAlign w:val="top"/>
          </w:tcPr>
          <w:p>
            <w:pPr>
              <w:pStyle w:val="TableText"/>
              <w:jc w:val="left"/>
            </w:pPr>
            <w:r>
              <w:t xml:space="preserve">Interface review</w:t>
            </w:r>
          </w:p>
        </w:tc>
        <w:tc>
          <w:tcPr>
            <w:tcW w:w="2178" w:type="dxa"/>
            <w:vAlign w:val="top"/>
          </w:tcPr>
          <w:p>
            <w:pPr>
              <w:pStyle w:val="TableText"/>
              <w:jc w:val="left"/>
            </w:pPr>
            <w:r>
              <w:t xml:space="preserve">Built</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0" w:name="_Toc300000016"/>
      <w:r>
        <w:rPr>
          <w:rStyle w:val="BookTitle"/>
          <w:bCs w:val="0"/>
          <w:i w:val="0"/>
          <w:iCs w:val="0"/>
          <w:spacing w:val="0"/>
        </w:rPr>
        <w:t xml:space="preserve">Localisation</w:t>
      </w:r>
      <w:bookmarkEnd w:id="2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36"/>
        <w:gridCol w:w="1660"/>
        <w:gridCol w:w="2075"/>
        <w:gridCol w:w="2178"/>
        <w:gridCol w:w="2178"/>
      </w:tblGrid>
      <w:tr>
        <w:trPr>
          <w:cantSplit/>
          <w:tblHeader/>
        </w:trPr>
        <w:tc>
          <w:tcPr>
            <w:tcW w:w="936" w:type="dxa"/>
            <w:shd w:val="clear" w:color="auto" w:fill="0F4761"/>
            <w:vAlign w:val="center"/>
          </w:tcPr>
          <w:p>
            <w:pPr>
              <w:pStyle w:val="TableHeading"/>
              <w:jc w:val="left"/>
            </w:pPr>
            <w:r>
              <w:rPr>
                <w:color w:val="FFFFFF"/>
              </w:rPr>
              <w:t xml:space="preserve">ID</w:t>
            </w:r>
          </w:p>
        </w:tc>
        <w:tc>
          <w:tcPr>
            <w:tcW w:w="1660" w:type="dxa"/>
            <w:shd w:val="clear" w:color="auto" w:fill="0F4761"/>
            <w:vAlign w:val="center"/>
          </w:tcPr>
          <w:p>
            <w:pPr>
              <w:pStyle w:val="TableHeading"/>
              <w:jc w:val="left"/>
            </w:pPr>
            <w:r>
              <w:rPr>
                <w:color w:val="FFFFFF"/>
              </w:rPr>
              <w:t xml:space="preserve">Requirement</w:t>
            </w:r>
          </w:p>
        </w:tc>
        <w:tc>
          <w:tcPr>
            <w:tcW w:w="2075" w:type="dxa"/>
            <w:shd w:val="clear" w:color="auto" w:fill="0F4761"/>
            <w:vAlign w:val="center"/>
          </w:tcPr>
          <w:p>
            <w:pPr>
              <w:pStyle w:val="TableHeading"/>
              <w:jc w:val="left"/>
            </w:pPr>
            <w:r>
              <w:rPr>
                <w:color w:val="FFFFFF"/>
              </w:rPr>
              <w:t xml:space="preserve">Target</w:t>
            </w:r>
          </w:p>
        </w:tc>
        <w:tc>
          <w:tcPr>
            <w:tcW w:w="2178" w:type="dxa"/>
            <w:shd w:val="clear" w:color="auto" w:fill="0F4761"/>
            <w:vAlign w:val="center"/>
          </w:tcPr>
          <w:p>
            <w:pPr>
              <w:pStyle w:val="TableHeading"/>
              <w:jc w:val="left"/>
            </w:pPr>
            <w:r>
              <w:rPr>
                <w:color w:val="FFFFFF"/>
              </w:rPr>
              <w:t xml:space="preserve">Verification</w:t>
            </w:r>
          </w:p>
        </w:tc>
        <w:tc>
          <w:tcPr>
            <w:tcW w:w="2178" w:type="dxa"/>
            <w:shd w:val="clear" w:color="auto" w:fill="0F4761"/>
            <w:vAlign w:val="center"/>
          </w:tcPr>
          <w:p>
            <w:pPr>
              <w:pStyle w:val="TableHeading"/>
              <w:jc w:val="left"/>
            </w:pPr>
            <w:r>
              <w:rPr>
                <w:color w:val="FFFFFF"/>
              </w:rPr>
              <w:t xml:space="preserve">Status</w:t>
            </w:r>
          </w:p>
        </w:tc>
      </w:tr>
      <w:tr>
        <w:trPr>
          <w:cantSplit/>
        </w:trPr>
        <w:tc>
          <w:tcPr>
            <w:tcW w:w="936" w:type="dxa"/>
            <w:noWrap/>
            <w:vAlign w:val="top"/>
          </w:tcPr>
          <w:p>
            <w:pPr>
              <w:pStyle w:val="TableText"/>
              <w:jc w:val="left"/>
            </w:pPr>
            <w:r>
              <w:t xml:space="preserve">NFR-039</w:t>
            </w:r>
          </w:p>
        </w:tc>
        <w:tc>
          <w:tcPr>
            <w:tcW w:w="1660" w:type="dxa"/>
            <w:vAlign w:val="top"/>
          </w:tcPr>
          <w:p>
            <w:pPr>
              <w:pStyle w:val="TableText"/>
              <w:jc w:val="left"/>
            </w:pPr>
            <w:r>
              <w:t xml:space="preserve">Bilingual interface</w:t>
            </w:r>
          </w:p>
        </w:tc>
        <w:tc>
          <w:tcPr>
            <w:tcW w:w="2075" w:type="dxa"/>
            <w:vAlign w:val="top"/>
          </w:tcPr>
          <w:p>
            <w:pPr>
              <w:pStyle w:val="TableText"/>
              <w:jc w:val="left"/>
            </w:pPr>
            <w:r>
              <w:t xml:space="preserve">Vietnamese (default for customers) and English, switchable at runtime; all interface text held outside the code</w:t>
            </w:r>
          </w:p>
        </w:tc>
        <w:tc>
          <w:tcPr>
            <w:tcW w:w="2178" w:type="dxa"/>
            <w:vAlign w:val="top"/>
          </w:tcPr>
          <w:p>
            <w:pPr>
              <w:pStyle w:val="TableText"/>
              <w:jc w:val="left"/>
            </w:pPr>
            <w:r>
              <w:t xml:space="preserve">Pseudo-localisation test</w:t>
            </w:r>
          </w:p>
        </w:tc>
        <w:tc>
          <w:tcPr>
            <w:tcW w:w="2178" w:type="dxa"/>
            <w:vAlign w:val="top"/>
          </w:tcPr>
          <w:p>
            <w:pPr>
              <w:pStyle w:val="TableText"/>
              <w:jc w:val="left"/>
            </w:pPr>
            <w:r>
              <w:t xml:space="preserve">Built: runtime switch; pseudo-localisation test planned</w:t>
            </w:r>
          </w:p>
        </w:tc>
      </w:tr>
      <w:tr>
        <w:trPr>
          <w:cantSplit/>
        </w:trPr>
        <w:tc>
          <w:tcPr>
            <w:tcW w:w="936" w:type="dxa"/>
            <w:shd w:val="clear" w:color="auto" w:fill="F4F7FB"/>
            <w:noWrap/>
            <w:vAlign w:val="top"/>
          </w:tcPr>
          <w:p>
            <w:pPr>
              <w:pStyle w:val="TableText"/>
              <w:jc w:val="left"/>
            </w:pPr>
            <w:r>
              <w:t xml:space="preserve">NFR-040</w:t>
            </w:r>
          </w:p>
        </w:tc>
        <w:tc>
          <w:tcPr>
            <w:tcW w:w="1660" w:type="dxa"/>
            <w:shd w:val="clear" w:color="auto" w:fill="F4F7FB"/>
            <w:vAlign w:val="top"/>
          </w:tcPr>
          <w:p>
            <w:pPr>
              <w:pStyle w:val="TableText"/>
              <w:jc w:val="left"/>
            </w:pPr>
            <w:r>
              <w:t xml:space="preserve">Vietnamese conventions</w:t>
            </w:r>
          </w:p>
        </w:tc>
        <w:tc>
          <w:tcPr>
            <w:tcW w:w="2075" w:type="dxa"/>
            <w:shd w:val="clear" w:color="auto" w:fill="F4F7FB"/>
            <w:vAlign w:val="top"/>
          </w:tcPr>
          <w:p>
            <w:pPr>
              <w:pStyle w:val="TableText"/>
              <w:jc w:val="left"/>
            </w:pPr>
            <w:r>
              <w:t xml:space="preserve">Dates dd/mm/yyyy; currency in Vietnamese format (480.700 đ); full diacritics; accent-insensitive search and matching</w:t>
            </w:r>
          </w:p>
        </w:tc>
        <w:tc>
          <w:tcPr>
            <w:tcW w:w="2178" w:type="dxa"/>
            <w:shd w:val="clear" w:color="auto" w:fill="F4F7FB"/>
            <w:vAlign w:val="top"/>
          </w:tcPr>
          <w:p>
            <w:pPr>
              <w:pStyle w:val="TableText"/>
              <w:jc w:val="left"/>
            </w:pPr>
            <w:r>
              <w:t xml:space="preserve">Unit tests</w:t>
            </w:r>
          </w:p>
        </w:tc>
        <w:tc>
          <w:tcPr>
            <w:tcW w:w="2178" w:type="dxa"/>
            <w:shd w:val="clear" w:color="auto" w:fill="F4F7FB"/>
            <w:vAlign w:val="top"/>
          </w:tcPr>
          <w:p>
            <w:pPr>
              <w:pStyle w:val="TableText"/>
              <w:jc w:val="left"/>
            </w:pPr>
            <w:r>
              <w:t xml:space="preserve">Built</w:t>
            </w:r>
          </w:p>
        </w:tc>
      </w:tr>
      <w:tr>
        <w:trPr>
          <w:cantSplit/>
        </w:trPr>
        <w:tc>
          <w:tcPr>
            <w:tcW w:w="936" w:type="dxa"/>
            <w:noWrap/>
            <w:vAlign w:val="top"/>
          </w:tcPr>
          <w:p>
            <w:pPr>
              <w:pStyle w:val="TableText"/>
              <w:jc w:val="left"/>
            </w:pPr>
            <w:r>
              <w:t xml:space="preserve">NFR-041</w:t>
            </w:r>
          </w:p>
        </w:tc>
        <w:tc>
          <w:tcPr>
            <w:tcW w:w="1660" w:type="dxa"/>
            <w:vAlign w:val="top"/>
          </w:tcPr>
          <w:p>
            <w:pPr>
              <w:pStyle w:val="TableText"/>
              <w:jc w:val="left"/>
            </w:pPr>
            <w:r>
              <w:t xml:space="preserve">Customer wording reviewed by TASCO</w:t>
            </w:r>
          </w:p>
        </w:tc>
        <w:tc>
          <w:tcPr>
            <w:tcW w:w="2075" w:type="dxa"/>
            <w:vAlign w:val="top"/>
          </w:tcPr>
          <w:p>
            <w:pPr>
              <w:pStyle w:val="TableText"/>
              <w:jc w:val="left"/>
            </w:pPr>
            <w:r>
              <w:t xml:space="preserve">All templates and assistant lines approved through maker-checker before activation</w:t>
            </w:r>
          </w:p>
        </w:tc>
        <w:tc>
          <w:tcPr>
            <w:tcW w:w="2178" w:type="dxa"/>
            <w:vAlign w:val="top"/>
          </w:tcPr>
          <w:p>
            <w:pPr>
              <w:pStyle w:val="TableText"/>
              <w:jc w:val="left"/>
            </w:pPr>
            <w:r>
              <w:t xml:space="preserve">Rules audit trail</w:t>
            </w:r>
          </w:p>
        </w:tc>
        <w:tc>
          <w:tcPr>
            <w:tcW w:w="2178" w:type="dxa"/>
            <w:vAlign w:val="top"/>
          </w:tcPr>
          <w:p>
            <w:pPr>
              <w:pStyle w:val="TableText"/>
              <w:jc w:val="left"/>
            </w:pPr>
            <w:r>
              <w:t xml:space="preserve">Built</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1" w:name="_Toc300000017"/>
      <w:r>
        <w:rPr>
          <w:rStyle w:val="BookTitle"/>
          <w:bCs w:val="0"/>
          <w:i w:val="0"/>
          <w:iCs w:val="0"/>
          <w:spacing w:val="0"/>
        </w:rPr>
        <w:t xml:space="preserve">Maintainability and quality</w:t>
      </w:r>
      <w:bookmarkEnd w:id="2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36"/>
        <w:gridCol w:w="1660"/>
        <w:gridCol w:w="2075"/>
        <w:gridCol w:w="2178"/>
        <w:gridCol w:w="2178"/>
      </w:tblGrid>
      <w:tr>
        <w:trPr>
          <w:cantSplit/>
          <w:tblHeader/>
        </w:trPr>
        <w:tc>
          <w:tcPr>
            <w:tcW w:w="936" w:type="dxa"/>
            <w:shd w:val="clear" w:color="auto" w:fill="0F4761"/>
            <w:vAlign w:val="center"/>
          </w:tcPr>
          <w:p>
            <w:pPr>
              <w:pStyle w:val="TableHeading"/>
              <w:jc w:val="left"/>
            </w:pPr>
            <w:r>
              <w:rPr>
                <w:color w:val="FFFFFF"/>
              </w:rPr>
              <w:t xml:space="preserve">ID</w:t>
            </w:r>
          </w:p>
        </w:tc>
        <w:tc>
          <w:tcPr>
            <w:tcW w:w="1660" w:type="dxa"/>
            <w:shd w:val="clear" w:color="auto" w:fill="0F4761"/>
            <w:vAlign w:val="center"/>
          </w:tcPr>
          <w:p>
            <w:pPr>
              <w:pStyle w:val="TableHeading"/>
              <w:jc w:val="left"/>
            </w:pPr>
            <w:r>
              <w:rPr>
                <w:color w:val="FFFFFF"/>
              </w:rPr>
              <w:t xml:space="preserve">Requirement</w:t>
            </w:r>
          </w:p>
        </w:tc>
        <w:tc>
          <w:tcPr>
            <w:tcW w:w="2075" w:type="dxa"/>
            <w:shd w:val="clear" w:color="auto" w:fill="0F4761"/>
            <w:vAlign w:val="center"/>
          </w:tcPr>
          <w:p>
            <w:pPr>
              <w:pStyle w:val="TableHeading"/>
              <w:jc w:val="left"/>
            </w:pPr>
            <w:r>
              <w:rPr>
                <w:color w:val="FFFFFF"/>
              </w:rPr>
              <w:t xml:space="preserve">Target</w:t>
            </w:r>
          </w:p>
        </w:tc>
        <w:tc>
          <w:tcPr>
            <w:tcW w:w="2178" w:type="dxa"/>
            <w:shd w:val="clear" w:color="auto" w:fill="0F4761"/>
            <w:vAlign w:val="center"/>
          </w:tcPr>
          <w:p>
            <w:pPr>
              <w:pStyle w:val="TableHeading"/>
              <w:jc w:val="left"/>
            </w:pPr>
            <w:r>
              <w:rPr>
                <w:color w:val="FFFFFF"/>
              </w:rPr>
              <w:t xml:space="preserve">Verification</w:t>
            </w:r>
          </w:p>
        </w:tc>
        <w:tc>
          <w:tcPr>
            <w:tcW w:w="2178" w:type="dxa"/>
            <w:shd w:val="clear" w:color="auto" w:fill="0F4761"/>
            <w:vAlign w:val="center"/>
          </w:tcPr>
          <w:p>
            <w:pPr>
              <w:pStyle w:val="TableHeading"/>
              <w:jc w:val="left"/>
            </w:pPr>
            <w:r>
              <w:rPr>
                <w:color w:val="FFFFFF"/>
              </w:rPr>
              <w:t xml:space="preserve">Status</w:t>
            </w:r>
          </w:p>
        </w:tc>
      </w:tr>
      <w:tr>
        <w:trPr>
          <w:cantSplit/>
        </w:trPr>
        <w:tc>
          <w:tcPr>
            <w:tcW w:w="936" w:type="dxa"/>
            <w:noWrap/>
            <w:vAlign w:val="top"/>
          </w:tcPr>
          <w:p>
            <w:pPr>
              <w:pStyle w:val="TableText"/>
              <w:jc w:val="left"/>
            </w:pPr>
            <w:r>
              <w:t xml:space="preserve">NFR-042</w:t>
            </w:r>
          </w:p>
        </w:tc>
        <w:tc>
          <w:tcPr>
            <w:tcW w:w="1660" w:type="dxa"/>
            <w:vAlign w:val="top"/>
          </w:tcPr>
          <w:p>
            <w:pPr>
              <w:pStyle w:val="TableText"/>
              <w:jc w:val="left"/>
            </w:pPr>
            <w:r>
              <w:t xml:space="preserve">Automated test coverage</w:t>
            </w:r>
          </w:p>
        </w:tc>
        <w:tc>
          <w:tcPr>
            <w:tcW w:w="2075" w:type="dxa"/>
            <w:vAlign w:val="top"/>
          </w:tcPr>
          <w:p>
            <w:pPr>
              <w:pStyle w:val="TableText"/>
              <w:jc w:val="left"/>
            </w:pPr>
            <w:r>
              <w:t xml:space="preserve">Lines 80% or more, functions 80% or more, branches 70% or more (excluding start-up code and the PostgreSQL adapter, which has its own suite)</w:t>
            </w:r>
          </w:p>
        </w:tc>
        <w:tc>
          <w:tcPr>
            <w:tcW w:w="2178" w:type="dxa"/>
            <w:vAlign w:val="top"/>
          </w:tcPr>
          <w:p>
            <w:pPr>
              <w:pStyle w:val="TableText"/>
              <w:jc w:val="left"/>
            </w:pPr>
            <w:r>
              <w:t xml:space="preserve">Coverage gate in CI</w:t>
            </w:r>
          </w:p>
        </w:tc>
        <w:tc>
          <w:tcPr>
            <w:tcW w:w="2178" w:type="dxa"/>
            <w:vAlign w:val="top"/>
          </w:tcPr>
          <w:p>
            <w:pPr>
              <w:pStyle w:val="TableText"/>
              <w:jc w:val="left"/>
            </w:pPr>
            <w:r>
              <w:t xml:space="preserve">Built: above 99% of lines (figures per build in TGP-QA-01)</w:t>
            </w:r>
          </w:p>
        </w:tc>
      </w:tr>
      <w:tr>
        <w:trPr>
          <w:cantSplit/>
        </w:trPr>
        <w:tc>
          <w:tcPr>
            <w:tcW w:w="936" w:type="dxa"/>
            <w:shd w:val="clear" w:color="auto" w:fill="F4F7FB"/>
            <w:noWrap/>
            <w:vAlign w:val="top"/>
          </w:tcPr>
          <w:p>
            <w:pPr>
              <w:pStyle w:val="TableText"/>
              <w:jc w:val="left"/>
            </w:pPr>
            <w:r>
              <w:t xml:space="preserve">NFR-043</w:t>
            </w:r>
          </w:p>
        </w:tc>
        <w:tc>
          <w:tcPr>
            <w:tcW w:w="1660" w:type="dxa"/>
            <w:shd w:val="clear" w:color="auto" w:fill="F4F7FB"/>
            <w:vAlign w:val="top"/>
          </w:tcPr>
          <w:p>
            <w:pPr>
              <w:pStyle w:val="TableText"/>
              <w:jc w:val="left"/>
            </w:pPr>
            <w:r>
              <w:t xml:space="preserve">Static analysis</w:t>
            </w:r>
          </w:p>
        </w:tc>
        <w:tc>
          <w:tcPr>
            <w:tcW w:w="2075" w:type="dxa"/>
            <w:shd w:val="clear" w:color="auto" w:fill="F4F7FB"/>
            <w:vAlign w:val="top"/>
          </w:tcPr>
          <w:p>
            <w:pPr>
              <w:pStyle w:val="TableText"/>
              <w:jc w:val="left"/>
            </w:pPr>
            <w:r>
              <w:t xml:space="preserve">No lint errors on any commit</w:t>
            </w:r>
          </w:p>
        </w:tc>
        <w:tc>
          <w:tcPr>
            <w:tcW w:w="2178" w:type="dxa"/>
            <w:shd w:val="clear" w:color="auto" w:fill="F4F7FB"/>
            <w:vAlign w:val="top"/>
          </w:tcPr>
          <w:p>
            <w:pPr>
              <w:pStyle w:val="TableText"/>
              <w:jc w:val="left"/>
            </w:pPr>
            <w:r>
              <w:t xml:space="preserve">Lint in CI</w:t>
            </w:r>
          </w:p>
        </w:tc>
        <w:tc>
          <w:tcPr>
            <w:tcW w:w="2178" w:type="dxa"/>
            <w:shd w:val="clear" w:color="auto" w:fill="F4F7FB"/>
            <w:vAlign w:val="top"/>
          </w:tcPr>
          <w:p>
            <w:pPr>
              <w:pStyle w:val="TableText"/>
              <w:jc w:val="left"/>
            </w:pPr>
            <w:r>
              <w:t xml:space="preserve">Built</w:t>
            </w:r>
          </w:p>
        </w:tc>
      </w:tr>
      <w:tr>
        <w:trPr>
          <w:cantSplit/>
        </w:trPr>
        <w:tc>
          <w:tcPr>
            <w:tcW w:w="936" w:type="dxa"/>
            <w:noWrap/>
            <w:vAlign w:val="top"/>
          </w:tcPr>
          <w:p>
            <w:pPr>
              <w:pStyle w:val="TableText"/>
              <w:jc w:val="left"/>
            </w:pPr>
            <w:r>
              <w:t xml:space="preserve">NFR-044</w:t>
            </w:r>
          </w:p>
        </w:tc>
        <w:tc>
          <w:tcPr>
            <w:tcW w:w="1660" w:type="dxa"/>
            <w:vAlign w:val="top"/>
          </w:tcPr>
          <w:p>
            <w:pPr>
              <w:pStyle w:val="TableText"/>
              <w:jc w:val="left"/>
            </w:pPr>
            <w:r>
              <w:t xml:space="preserve">Architecture</w:t>
            </w:r>
          </w:p>
        </w:tc>
        <w:tc>
          <w:tcPr>
            <w:tcW w:w="2075" w:type="dxa"/>
            <w:vAlign w:val="top"/>
          </w:tcPr>
          <w:p>
            <w:pPr>
              <w:pStyle w:val="TableText"/>
              <w:jc w:val="left"/>
            </w:pPr>
            <w:r>
              <w:t xml:space="preserve">Ports and adapters: pure domain logic, application services, adapters behind interfaces; no business thresholds in domain code</w:t>
            </w:r>
          </w:p>
        </w:tc>
        <w:tc>
          <w:tcPr>
            <w:tcW w:w="2178" w:type="dxa"/>
            <w:vAlign w:val="top"/>
          </w:tcPr>
          <w:p>
            <w:pPr>
              <w:pStyle w:val="TableText"/>
              <w:jc w:val="left"/>
            </w:pPr>
            <w:r>
              <w:t xml:space="preserve">Code review; dependency rule check</w:t>
            </w:r>
          </w:p>
        </w:tc>
        <w:tc>
          <w:tcPr>
            <w:tcW w:w="2178" w:type="dxa"/>
            <w:vAlign w:val="top"/>
          </w:tcPr>
          <w:p>
            <w:pPr>
              <w:pStyle w:val="TableText"/>
              <w:jc w:val="left"/>
            </w:pPr>
            <w:r>
              <w:t xml:space="preserve">Built; remaining literals listed in E-05</w:t>
            </w:r>
          </w:p>
        </w:tc>
      </w:tr>
      <w:tr>
        <w:trPr>
          <w:cantSplit/>
        </w:trPr>
        <w:tc>
          <w:tcPr>
            <w:tcW w:w="936" w:type="dxa"/>
            <w:shd w:val="clear" w:color="auto" w:fill="F4F7FB"/>
            <w:noWrap/>
            <w:vAlign w:val="top"/>
          </w:tcPr>
          <w:p>
            <w:pPr>
              <w:pStyle w:val="TableText"/>
              <w:jc w:val="left"/>
            </w:pPr>
            <w:r>
              <w:t xml:space="preserve">NFR-045</w:t>
            </w:r>
          </w:p>
        </w:tc>
        <w:tc>
          <w:tcPr>
            <w:tcW w:w="1660" w:type="dxa"/>
            <w:shd w:val="clear" w:color="auto" w:fill="F4F7FB"/>
            <w:vAlign w:val="top"/>
          </w:tcPr>
          <w:p>
            <w:pPr>
              <w:pStyle w:val="TableText"/>
              <w:jc w:val="left"/>
            </w:pPr>
            <w:r>
              <w:t xml:space="preserve">API first</w:t>
            </w:r>
          </w:p>
        </w:tc>
        <w:tc>
          <w:tcPr>
            <w:tcW w:w="2075" w:type="dxa"/>
            <w:shd w:val="clear" w:color="auto" w:fill="F4F7FB"/>
            <w:vAlign w:val="top"/>
          </w:tcPr>
          <w:p>
            <w:pPr>
              <w:pStyle w:val="TableText"/>
              <w:jc w:val="left"/>
            </w:pPr>
            <w:r>
              <w:t xml:space="preserve">Every route described in OpenAPI 3, generated from the route table</w:t>
            </w:r>
          </w:p>
        </w:tc>
        <w:tc>
          <w:tcPr>
            <w:tcW w:w="2178" w:type="dxa"/>
            <w:shd w:val="clear" w:color="auto" w:fill="F4F7FB"/>
            <w:vAlign w:val="top"/>
          </w:tcPr>
          <w:p>
            <w:pPr>
              <w:pStyle w:val="TableText"/>
              <w:jc w:val="left"/>
            </w:pPr>
            <w:r>
              <w:t xml:space="preserve">CI comparison of the published description</w:t>
            </w:r>
          </w:p>
        </w:tc>
        <w:tc>
          <w:tcPr>
            <w:tcW w:w="2178" w:type="dxa"/>
            <w:shd w:val="clear" w:color="auto" w:fill="F4F7FB"/>
            <w:vAlign w:val="top"/>
          </w:tcPr>
          <w:p>
            <w:pPr>
              <w:pStyle w:val="TableText"/>
              <w:jc w:val="left"/>
            </w:pPr>
            <w:r>
              <w:t xml:space="preserve">Built (103 routes, 92 OpenAPI paths)</w:t>
            </w:r>
          </w:p>
        </w:tc>
      </w:tr>
      <w:tr>
        <w:trPr>
          <w:cantSplit/>
        </w:trPr>
        <w:tc>
          <w:tcPr>
            <w:tcW w:w="936" w:type="dxa"/>
            <w:noWrap/>
            <w:vAlign w:val="top"/>
          </w:tcPr>
          <w:p>
            <w:pPr>
              <w:pStyle w:val="TableText"/>
              <w:jc w:val="left"/>
            </w:pPr>
            <w:r>
              <w:t xml:space="preserve">NFR-046</w:t>
            </w:r>
          </w:p>
        </w:tc>
        <w:tc>
          <w:tcPr>
            <w:tcW w:w="1660" w:type="dxa"/>
            <w:vAlign w:val="top"/>
          </w:tcPr>
          <w:p>
            <w:pPr>
              <w:pStyle w:val="TableText"/>
              <w:jc w:val="left"/>
            </w:pPr>
            <w:r>
              <w:t xml:space="preserve">Schema governance</w:t>
            </w:r>
          </w:p>
        </w:tc>
        <w:tc>
          <w:tcPr>
            <w:tcW w:w="2075" w:type="dxa"/>
            <w:vAlign w:val="top"/>
          </w:tcPr>
          <w:p>
            <w:pPr>
              <w:pStyle w:val="TableText"/>
              <w:jc w:val="left"/>
            </w:pPr>
            <w:r>
              <w:t xml:space="preserve">Database migrations match the data registry; applied migrations are never edited; migrations take a lock</w:t>
            </w:r>
          </w:p>
        </w:tc>
        <w:tc>
          <w:tcPr>
            <w:tcW w:w="2178" w:type="dxa"/>
            <w:vAlign w:val="top"/>
          </w:tcPr>
          <w:p>
            <w:pPr>
              <w:pStyle w:val="TableText"/>
              <w:jc w:val="left"/>
            </w:pPr>
            <w:r>
              <w:t xml:space="preserve">Schema drift test; PostgreSQL suite</w:t>
            </w:r>
          </w:p>
        </w:tc>
        <w:tc>
          <w:tcPr>
            <w:tcW w:w="2178" w:type="dxa"/>
            <w:vAlign w:val="top"/>
          </w:tcPr>
          <w:p>
            <w:pPr>
              <w:pStyle w:val="TableText"/>
              <w:jc w:val="left"/>
            </w:pPr>
            <w:r>
              <w:t xml:space="preserve">Built</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2" w:name="_Toc300000018"/>
      <w:r>
        <w:rPr>
          <w:rStyle w:val="BookTitle"/>
          <w:bCs w:val="0"/>
          <w:i w:val="0"/>
          <w:iCs w:val="0"/>
          <w:spacing w:val="0"/>
        </w:rPr>
        <w:t xml:space="preserve">Observability</w:t>
      </w:r>
      <w:bookmarkEnd w:id="2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36"/>
        <w:gridCol w:w="1660"/>
        <w:gridCol w:w="2075"/>
        <w:gridCol w:w="2178"/>
        <w:gridCol w:w="2178"/>
      </w:tblGrid>
      <w:tr>
        <w:trPr>
          <w:cantSplit/>
          <w:tblHeader/>
        </w:trPr>
        <w:tc>
          <w:tcPr>
            <w:tcW w:w="936" w:type="dxa"/>
            <w:shd w:val="clear" w:color="auto" w:fill="0F4761"/>
            <w:vAlign w:val="center"/>
          </w:tcPr>
          <w:p>
            <w:pPr>
              <w:pStyle w:val="TableHeading"/>
              <w:jc w:val="left"/>
            </w:pPr>
            <w:r>
              <w:rPr>
                <w:color w:val="FFFFFF"/>
              </w:rPr>
              <w:t xml:space="preserve">ID</w:t>
            </w:r>
          </w:p>
        </w:tc>
        <w:tc>
          <w:tcPr>
            <w:tcW w:w="1660" w:type="dxa"/>
            <w:shd w:val="clear" w:color="auto" w:fill="0F4761"/>
            <w:vAlign w:val="center"/>
          </w:tcPr>
          <w:p>
            <w:pPr>
              <w:pStyle w:val="TableHeading"/>
              <w:jc w:val="left"/>
            </w:pPr>
            <w:r>
              <w:rPr>
                <w:color w:val="FFFFFF"/>
              </w:rPr>
              <w:t xml:space="preserve">Requirement</w:t>
            </w:r>
          </w:p>
        </w:tc>
        <w:tc>
          <w:tcPr>
            <w:tcW w:w="2075" w:type="dxa"/>
            <w:shd w:val="clear" w:color="auto" w:fill="0F4761"/>
            <w:vAlign w:val="center"/>
          </w:tcPr>
          <w:p>
            <w:pPr>
              <w:pStyle w:val="TableHeading"/>
              <w:jc w:val="left"/>
            </w:pPr>
            <w:r>
              <w:rPr>
                <w:color w:val="FFFFFF"/>
              </w:rPr>
              <w:t xml:space="preserve">Target</w:t>
            </w:r>
          </w:p>
        </w:tc>
        <w:tc>
          <w:tcPr>
            <w:tcW w:w="2178" w:type="dxa"/>
            <w:shd w:val="clear" w:color="auto" w:fill="0F4761"/>
            <w:vAlign w:val="center"/>
          </w:tcPr>
          <w:p>
            <w:pPr>
              <w:pStyle w:val="TableHeading"/>
              <w:jc w:val="left"/>
            </w:pPr>
            <w:r>
              <w:rPr>
                <w:color w:val="FFFFFF"/>
              </w:rPr>
              <w:t xml:space="preserve">Verification</w:t>
            </w:r>
          </w:p>
        </w:tc>
        <w:tc>
          <w:tcPr>
            <w:tcW w:w="2178" w:type="dxa"/>
            <w:shd w:val="clear" w:color="auto" w:fill="0F4761"/>
            <w:vAlign w:val="center"/>
          </w:tcPr>
          <w:p>
            <w:pPr>
              <w:pStyle w:val="TableHeading"/>
              <w:jc w:val="left"/>
            </w:pPr>
            <w:r>
              <w:rPr>
                <w:color w:val="FFFFFF"/>
              </w:rPr>
              <w:t xml:space="preserve">Status</w:t>
            </w:r>
          </w:p>
        </w:tc>
      </w:tr>
      <w:tr>
        <w:trPr>
          <w:cantSplit/>
        </w:trPr>
        <w:tc>
          <w:tcPr>
            <w:tcW w:w="936" w:type="dxa"/>
            <w:noWrap/>
            <w:vAlign w:val="top"/>
          </w:tcPr>
          <w:p>
            <w:pPr>
              <w:pStyle w:val="TableText"/>
              <w:jc w:val="left"/>
            </w:pPr>
            <w:r>
              <w:t xml:space="preserve">NFR-047</w:t>
            </w:r>
          </w:p>
        </w:tc>
        <w:tc>
          <w:tcPr>
            <w:tcW w:w="1660" w:type="dxa"/>
            <w:vAlign w:val="top"/>
          </w:tcPr>
          <w:p>
            <w:pPr>
              <w:pStyle w:val="TableText"/>
              <w:jc w:val="left"/>
            </w:pPr>
            <w:r>
              <w:t xml:space="preserve">Metrics</w:t>
            </w:r>
          </w:p>
        </w:tc>
        <w:tc>
          <w:tcPr>
            <w:tcW w:w="2075" w:type="dxa"/>
            <w:vAlign w:val="top"/>
          </w:tcPr>
          <w:p>
            <w:pPr>
              <w:pStyle w:val="TableText"/>
              <w:jc w:val="left"/>
            </w:pPr>
            <w:r>
              <w:t xml:space="preserve">Request rate, errors and duration by route; quotes, completed orders, messages, assistant calls, integration calls and short-circuits</w:t>
            </w:r>
          </w:p>
        </w:tc>
        <w:tc>
          <w:tcPr>
            <w:tcW w:w="2178" w:type="dxa"/>
            <w:vAlign w:val="top"/>
          </w:tcPr>
          <w:p>
            <w:pPr>
              <w:pStyle w:val="TableText"/>
              <w:jc w:val="left"/>
            </w:pPr>
            <w:r>
              <w:t xml:space="preserve">Dashboard review</w:t>
            </w:r>
          </w:p>
        </w:tc>
        <w:tc>
          <w:tcPr>
            <w:tcW w:w="2178" w:type="dxa"/>
            <w:vAlign w:val="top"/>
          </w:tcPr>
          <w:p>
            <w:pPr>
              <w:pStyle w:val="TableText"/>
              <w:jc w:val="left"/>
            </w:pPr>
            <w:r>
              <w:t xml:space="preserve">Built</w:t>
            </w:r>
          </w:p>
        </w:tc>
      </w:tr>
      <w:tr>
        <w:trPr>
          <w:cantSplit/>
        </w:trPr>
        <w:tc>
          <w:tcPr>
            <w:tcW w:w="936" w:type="dxa"/>
            <w:shd w:val="clear" w:color="auto" w:fill="F4F7FB"/>
            <w:noWrap/>
            <w:vAlign w:val="top"/>
          </w:tcPr>
          <w:p>
            <w:pPr>
              <w:pStyle w:val="TableText"/>
              <w:jc w:val="left"/>
            </w:pPr>
            <w:r>
              <w:t xml:space="preserve">NFR-048</w:t>
            </w:r>
          </w:p>
        </w:tc>
        <w:tc>
          <w:tcPr>
            <w:tcW w:w="1660" w:type="dxa"/>
            <w:shd w:val="clear" w:color="auto" w:fill="F4F7FB"/>
            <w:vAlign w:val="top"/>
          </w:tcPr>
          <w:p>
            <w:pPr>
              <w:pStyle w:val="TableText"/>
              <w:jc w:val="left"/>
            </w:pPr>
            <w:r>
              <w:t xml:space="preserve">Logs</w:t>
            </w:r>
          </w:p>
        </w:tc>
        <w:tc>
          <w:tcPr>
            <w:tcW w:w="2075" w:type="dxa"/>
            <w:shd w:val="clear" w:color="auto" w:fill="F4F7FB"/>
            <w:vAlign w:val="top"/>
          </w:tcPr>
          <w:p>
            <w:pPr>
              <w:pStyle w:val="TableText"/>
              <w:jc w:val="left"/>
            </w:pPr>
            <w:r>
              <w:t xml:space="preserve">Structured logs with a request ID carried across calls; no personal data in logs</w:t>
            </w:r>
          </w:p>
        </w:tc>
        <w:tc>
          <w:tcPr>
            <w:tcW w:w="2178" w:type="dxa"/>
            <w:shd w:val="clear" w:color="auto" w:fill="F4F7FB"/>
            <w:vAlign w:val="top"/>
          </w:tcPr>
          <w:p>
            <w:pPr>
              <w:pStyle w:val="TableText"/>
              <w:jc w:val="left"/>
            </w:pPr>
            <w:r>
              <w:t xml:space="preserve">Log review; security test</w:t>
            </w:r>
          </w:p>
        </w:tc>
        <w:tc>
          <w:tcPr>
            <w:tcW w:w="2178" w:type="dxa"/>
            <w:shd w:val="clear" w:color="auto" w:fill="F4F7FB"/>
            <w:vAlign w:val="top"/>
          </w:tcPr>
          <w:p>
            <w:pPr>
              <w:pStyle w:val="TableText"/>
              <w:jc w:val="left"/>
            </w:pPr>
            <w:r>
              <w:t xml:space="preserve">Built</w:t>
            </w:r>
          </w:p>
        </w:tc>
      </w:tr>
      <w:tr>
        <w:trPr>
          <w:cantSplit/>
        </w:trPr>
        <w:tc>
          <w:tcPr>
            <w:tcW w:w="936" w:type="dxa"/>
            <w:noWrap/>
            <w:vAlign w:val="top"/>
          </w:tcPr>
          <w:p>
            <w:pPr>
              <w:pStyle w:val="TableText"/>
              <w:jc w:val="left"/>
            </w:pPr>
            <w:r>
              <w:t xml:space="preserve">NFR-049</w:t>
            </w:r>
          </w:p>
        </w:tc>
        <w:tc>
          <w:tcPr>
            <w:tcW w:w="1660" w:type="dxa"/>
            <w:vAlign w:val="top"/>
          </w:tcPr>
          <w:p>
            <w:pPr>
              <w:pStyle w:val="TableText"/>
              <w:jc w:val="left"/>
            </w:pPr>
            <w:r>
              <w:t xml:space="preserve">Alerting</w:t>
            </w:r>
          </w:p>
        </w:tc>
        <w:tc>
          <w:tcPr>
            <w:tcW w:w="2075" w:type="dxa"/>
            <w:vAlign w:val="top"/>
          </w:tcPr>
          <w:p>
            <w:pPr>
              <w:pStyle w:val="TableText"/>
              <w:jc w:val="left"/>
            </w:pPr>
            <w:r>
              <w:t xml:space="preserve">Alerts on error-budget burn, a circuit open for more than five minutes, event backlog above 10,000 or older than ten minutes, failed jobs and audit-chain failure</w:t>
            </w:r>
          </w:p>
        </w:tc>
        <w:tc>
          <w:tcPr>
            <w:tcW w:w="2178" w:type="dxa"/>
            <w:vAlign w:val="top"/>
          </w:tcPr>
          <w:p>
            <w:pPr>
              <w:pStyle w:val="TableText"/>
              <w:jc w:val="left"/>
            </w:pPr>
            <w:r>
              <w:t xml:space="preserve">Alert runbook test</w:t>
            </w:r>
          </w:p>
        </w:tc>
        <w:tc>
          <w:tcPr>
            <w:tcW w:w="2178" w:type="dxa"/>
            <w:vAlign w:val="top"/>
          </w:tcPr>
          <w:p>
            <w:pPr>
              <w:pStyle w:val="TableText"/>
              <w:jc w:val="left"/>
            </w:pPr>
            <w:r>
              <w:t xml:space="preserve">Planned</w:t>
            </w:r>
          </w:p>
        </w:tc>
      </w:tr>
      <w:tr>
        <w:trPr>
          <w:cantSplit/>
        </w:trPr>
        <w:tc>
          <w:tcPr>
            <w:tcW w:w="936" w:type="dxa"/>
            <w:shd w:val="clear" w:color="auto" w:fill="F4F7FB"/>
            <w:noWrap/>
            <w:vAlign w:val="top"/>
          </w:tcPr>
          <w:p>
            <w:pPr>
              <w:pStyle w:val="TableText"/>
              <w:jc w:val="left"/>
            </w:pPr>
            <w:r>
              <w:t xml:space="preserve">NFR-050</w:t>
            </w:r>
          </w:p>
        </w:tc>
        <w:tc>
          <w:tcPr>
            <w:tcW w:w="1660" w:type="dxa"/>
            <w:shd w:val="clear" w:color="auto" w:fill="F4F7FB"/>
            <w:vAlign w:val="top"/>
          </w:tcPr>
          <w:p>
            <w:pPr>
              <w:pStyle w:val="TableText"/>
              <w:jc w:val="left"/>
            </w:pPr>
            <w:r>
              <w:t xml:space="preserve">Business observability</w:t>
            </w:r>
          </w:p>
        </w:tc>
        <w:tc>
          <w:tcPr>
            <w:tcW w:w="2075" w:type="dxa"/>
            <w:shd w:val="clear" w:color="auto" w:fill="F4F7FB"/>
            <w:vAlign w:val="top"/>
          </w:tcPr>
          <w:p>
            <w:pPr>
              <w:pStyle w:val="TableText"/>
              <w:jc w:val="left"/>
            </w:pPr>
            <w:r>
              <w:t xml:space="preserve">Growth, economics, adoption and governance dashboards current within five minutes</w:t>
            </w:r>
          </w:p>
        </w:tc>
        <w:tc>
          <w:tcPr>
            <w:tcW w:w="2178" w:type="dxa"/>
            <w:shd w:val="clear" w:color="auto" w:fill="F4F7FB"/>
            <w:vAlign w:val="top"/>
          </w:tcPr>
          <w:p>
            <w:pPr>
              <w:pStyle w:val="TableText"/>
              <w:jc w:val="left"/>
            </w:pPr>
            <w:r>
              <w:t xml:space="preserve">FR-100 to FR-102</w:t>
            </w:r>
          </w:p>
        </w:tc>
        <w:tc>
          <w:tcPr>
            <w:tcW w:w="2178" w:type="dxa"/>
            <w:shd w:val="clear" w:color="auto" w:fill="F4F7FB"/>
            <w:vAlign w:val="top"/>
          </w:tcPr>
          <w:p>
            <w:pPr>
              <w:pStyle w:val="TableText"/>
              <w:jc w:val="left"/>
            </w:pPr>
            <w:r>
              <w:t xml:space="preserve">Built (computed on demand)</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3" w:name="_Toc300000019"/>
      <w:r>
        <w:rPr>
          <w:rStyle w:val="BookTitle"/>
          <w:bCs w:val="0"/>
          <w:i w:val="0"/>
          <w:iCs w:val="0"/>
          <w:spacing w:val="0"/>
        </w:rPr>
        <w:t xml:space="preserve">Disaster recovery and backup</w:t>
      </w:r>
      <w:bookmarkEnd w:id="23"/>
    </w:p>
    <w:p>
      <w:pPr>
        <w:pStyle w:val="FirstParagraph"/>
      </w:pPr>
      <w:r>
        <w:t xml:space="preserve">The committed targets match the proposal. Tighter design objectives are stated where the architecture supports them.</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36"/>
        <w:gridCol w:w="1660"/>
        <w:gridCol w:w="2075"/>
        <w:gridCol w:w="2178"/>
        <w:gridCol w:w="2178"/>
      </w:tblGrid>
      <w:tr>
        <w:trPr>
          <w:cantSplit/>
          <w:tblHeader/>
        </w:trPr>
        <w:tc>
          <w:tcPr>
            <w:tcW w:w="936" w:type="dxa"/>
            <w:shd w:val="clear" w:color="auto" w:fill="0F4761"/>
            <w:vAlign w:val="center"/>
          </w:tcPr>
          <w:p>
            <w:pPr>
              <w:pStyle w:val="TableHeading"/>
              <w:jc w:val="left"/>
            </w:pPr>
            <w:r>
              <w:rPr>
                <w:color w:val="FFFFFF"/>
              </w:rPr>
              <w:t xml:space="preserve">ID</w:t>
            </w:r>
          </w:p>
        </w:tc>
        <w:tc>
          <w:tcPr>
            <w:tcW w:w="1660" w:type="dxa"/>
            <w:shd w:val="clear" w:color="auto" w:fill="0F4761"/>
            <w:vAlign w:val="center"/>
          </w:tcPr>
          <w:p>
            <w:pPr>
              <w:pStyle w:val="TableHeading"/>
              <w:jc w:val="left"/>
            </w:pPr>
            <w:r>
              <w:rPr>
                <w:color w:val="FFFFFF"/>
              </w:rPr>
              <w:t xml:space="preserve">Requirement</w:t>
            </w:r>
          </w:p>
        </w:tc>
        <w:tc>
          <w:tcPr>
            <w:tcW w:w="2075" w:type="dxa"/>
            <w:shd w:val="clear" w:color="auto" w:fill="0F4761"/>
            <w:vAlign w:val="center"/>
          </w:tcPr>
          <w:p>
            <w:pPr>
              <w:pStyle w:val="TableHeading"/>
              <w:jc w:val="left"/>
            </w:pPr>
            <w:r>
              <w:rPr>
                <w:color w:val="FFFFFF"/>
              </w:rPr>
              <w:t xml:space="preserve">Target</w:t>
            </w:r>
          </w:p>
        </w:tc>
        <w:tc>
          <w:tcPr>
            <w:tcW w:w="2178" w:type="dxa"/>
            <w:shd w:val="clear" w:color="auto" w:fill="0F4761"/>
            <w:vAlign w:val="center"/>
          </w:tcPr>
          <w:p>
            <w:pPr>
              <w:pStyle w:val="TableHeading"/>
              <w:jc w:val="left"/>
            </w:pPr>
            <w:r>
              <w:rPr>
                <w:color w:val="FFFFFF"/>
              </w:rPr>
              <w:t xml:space="preserve">Verification</w:t>
            </w:r>
          </w:p>
        </w:tc>
        <w:tc>
          <w:tcPr>
            <w:tcW w:w="2178" w:type="dxa"/>
            <w:shd w:val="clear" w:color="auto" w:fill="0F4761"/>
            <w:vAlign w:val="center"/>
          </w:tcPr>
          <w:p>
            <w:pPr>
              <w:pStyle w:val="TableHeading"/>
              <w:jc w:val="left"/>
            </w:pPr>
            <w:r>
              <w:rPr>
                <w:color w:val="FFFFFF"/>
              </w:rPr>
              <w:t xml:space="preserve">Status</w:t>
            </w:r>
          </w:p>
        </w:tc>
      </w:tr>
      <w:tr>
        <w:trPr>
          <w:cantSplit/>
        </w:trPr>
        <w:tc>
          <w:tcPr>
            <w:tcW w:w="936" w:type="dxa"/>
            <w:noWrap/>
            <w:vAlign w:val="top"/>
          </w:tcPr>
          <w:p>
            <w:pPr>
              <w:pStyle w:val="TableText"/>
              <w:jc w:val="left"/>
            </w:pPr>
            <w:r>
              <w:t xml:space="preserve">NFR-051</w:t>
            </w:r>
          </w:p>
        </w:tc>
        <w:tc>
          <w:tcPr>
            <w:tcW w:w="1660" w:type="dxa"/>
            <w:vAlign w:val="top"/>
          </w:tcPr>
          <w:p>
            <w:pPr>
              <w:pStyle w:val="TableText"/>
              <w:jc w:val="left"/>
            </w:pPr>
            <w:r>
              <w:t xml:space="preserve">Recovery point objective</w:t>
            </w:r>
          </w:p>
        </w:tc>
        <w:tc>
          <w:tcPr>
            <w:tcW w:w="2075" w:type="dxa"/>
            <w:vAlign w:val="top"/>
          </w:tcPr>
          <w:p>
            <w:pPr>
              <w:pStyle w:val="TableText"/>
              <w:jc w:val="left"/>
            </w:pPr>
            <w:r>
              <w:t xml:space="preserve">15 minutes or less (committed); design objective 5 minutes through continuous WAL archiving and PITR</w:t>
            </w:r>
          </w:p>
        </w:tc>
        <w:tc>
          <w:tcPr>
            <w:tcW w:w="2178" w:type="dxa"/>
            <w:vAlign w:val="top"/>
          </w:tcPr>
          <w:p>
            <w:pPr>
              <w:pStyle w:val="TableText"/>
              <w:jc w:val="left"/>
            </w:pPr>
            <w:r>
              <w:t xml:space="preserve">Quarterly restore drill</w:t>
            </w:r>
          </w:p>
        </w:tc>
        <w:tc>
          <w:tcPr>
            <w:tcW w:w="2178" w:type="dxa"/>
            <w:vAlign w:val="top"/>
          </w:tcPr>
          <w:p>
            <w:pPr>
              <w:pStyle w:val="TableText"/>
              <w:jc w:val="left"/>
            </w:pPr>
            <w:r>
              <w:t xml:space="preserve">Planned (infrastructure)</w:t>
            </w:r>
          </w:p>
        </w:tc>
      </w:tr>
      <w:tr>
        <w:trPr>
          <w:cantSplit/>
        </w:trPr>
        <w:tc>
          <w:tcPr>
            <w:tcW w:w="936" w:type="dxa"/>
            <w:shd w:val="clear" w:color="auto" w:fill="F4F7FB"/>
            <w:noWrap/>
            <w:vAlign w:val="top"/>
          </w:tcPr>
          <w:p>
            <w:pPr>
              <w:pStyle w:val="TableText"/>
              <w:jc w:val="left"/>
            </w:pPr>
            <w:r>
              <w:t xml:space="preserve">NFR-052</w:t>
            </w:r>
          </w:p>
        </w:tc>
        <w:tc>
          <w:tcPr>
            <w:tcW w:w="1660" w:type="dxa"/>
            <w:shd w:val="clear" w:color="auto" w:fill="F4F7FB"/>
            <w:vAlign w:val="top"/>
          </w:tcPr>
          <w:p>
            <w:pPr>
              <w:pStyle w:val="TableText"/>
              <w:jc w:val="left"/>
            </w:pPr>
            <w:r>
              <w:t xml:space="preserve">Recovery time objective</w:t>
            </w:r>
          </w:p>
        </w:tc>
        <w:tc>
          <w:tcPr>
            <w:tcW w:w="2075" w:type="dxa"/>
            <w:shd w:val="clear" w:color="auto" w:fill="F4F7FB"/>
            <w:vAlign w:val="top"/>
          </w:tcPr>
          <w:p>
            <w:pPr>
              <w:pStyle w:val="TableText"/>
              <w:jc w:val="left"/>
            </w:pPr>
            <w:r>
              <w:t xml:space="preserve">4 hours or less for the platform (committed); design objective 1 hour for the purchase path</w:t>
            </w:r>
          </w:p>
        </w:tc>
        <w:tc>
          <w:tcPr>
            <w:tcW w:w="2178" w:type="dxa"/>
            <w:shd w:val="clear" w:color="auto" w:fill="F4F7FB"/>
            <w:vAlign w:val="top"/>
          </w:tcPr>
          <w:p>
            <w:pPr>
              <w:pStyle w:val="TableText"/>
              <w:jc w:val="left"/>
            </w:pPr>
            <w:r>
              <w:t xml:space="preserve">Annual DR exercise</w:t>
            </w:r>
          </w:p>
        </w:tc>
        <w:tc>
          <w:tcPr>
            <w:tcW w:w="2178" w:type="dxa"/>
            <w:shd w:val="clear" w:color="auto" w:fill="F4F7FB"/>
            <w:vAlign w:val="top"/>
          </w:tcPr>
          <w:p>
            <w:pPr>
              <w:pStyle w:val="TableText"/>
              <w:jc w:val="left"/>
            </w:pPr>
            <w:r>
              <w:t xml:space="preserve">Planned</w:t>
            </w:r>
          </w:p>
        </w:tc>
      </w:tr>
      <w:tr>
        <w:trPr>
          <w:cantSplit/>
        </w:trPr>
        <w:tc>
          <w:tcPr>
            <w:tcW w:w="936" w:type="dxa"/>
            <w:noWrap/>
            <w:vAlign w:val="top"/>
          </w:tcPr>
          <w:p>
            <w:pPr>
              <w:pStyle w:val="TableText"/>
              <w:jc w:val="left"/>
            </w:pPr>
            <w:r>
              <w:t xml:space="preserve">NFR-053</w:t>
            </w:r>
          </w:p>
        </w:tc>
        <w:tc>
          <w:tcPr>
            <w:tcW w:w="1660" w:type="dxa"/>
            <w:vAlign w:val="top"/>
          </w:tcPr>
          <w:p>
            <w:pPr>
              <w:pStyle w:val="TableText"/>
              <w:jc w:val="left"/>
            </w:pPr>
            <w:r>
              <w:t xml:space="preserve">Backups</w:t>
            </w:r>
          </w:p>
        </w:tc>
        <w:tc>
          <w:tcPr>
            <w:tcW w:w="2075" w:type="dxa"/>
            <w:vAlign w:val="top"/>
          </w:tcPr>
          <w:p>
            <w:pPr>
              <w:pStyle w:val="TableText"/>
              <w:jc w:val="left"/>
            </w:pPr>
            <w:r>
              <w:t xml:space="preserve">Encrypted; PITR for 35 days; monthly backups kept 13 months; stored in a separate account or region approved under NFR-030; restore tested quarterly</w:t>
            </w:r>
          </w:p>
        </w:tc>
        <w:tc>
          <w:tcPr>
            <w:tcW w:w="2178" w:type="dxa"/>
            <w:vAlign w:val="top"/>
          </w:tcPr>
          <w:p>
            <w:pPr>
              <w:pStyle w:val="TableText"/>
              <w:jc w:val="left"/>
            </w:pPr>
            <w:r>
              <w:t xml:space="preserve">Backup report</w:t>
            </w:r>
          </w:p>
        </w:tc>
        <w:tc>
          <w:tcPr>
            <w:tcW w:w="2178" w:type="dxa"/>
            <w:vAlign w:val="top"/>
          </w:tcPr>
          <w:p>
            <w:pPr>
              <w:pStyle w:val="TableText"/>
              <w:jc w:val="left"/>
            </w:pPr>
            <w:r>
              <w:t xml:space="preserve">Planned</w:t>
            </w:r>
          </w:p>
        </w:tc>
      </w:tr>
      <w:tr>
        <w:trPr>
          <w:cantSplit/>
        </w:trPr>
        <w:tc>
          <w:tcPr>
            <w:tcW w:w="936" w:type="dxa"/>
            <w:shd w:val="clear" w:color="auto" w:fill="F4F7FB"/>
            <w:noWrap/>
            <w:vAlign w:val="top"/>
          </w:tcPr>
          <w:p>
            <w:pPr>
              <w:pStyle w:val="TableText"/>
              <w:jc w:val="left"/>
            </w:pPr>
            <w:r>
              <w:t xml:space="preserve">NFR-054</w:t>
            </w:r>
          </w:p>
        </w:tc>
        <w:tc>
          <w:tcPr>
            <w:tcW w:w="1660" w:type="dxa"/>
            <w:shd w:val="clear" w:color="auto" w:fill="F4F7FB"/>
            <w:vAlign w:val="top"/>
          </w:tcPr>
          <w:p>
            <w:pPr>
              <w:pStyle w:val="TableText"/>
              <w:jc w:val="left"/>
            </w:pPr>
            <w:r>
              <w:t xml:space="preserve">Audit integrity after restore</w:t>
            </w:r>
          </w:p>
        </w:tc>
        <w:tc>
          <w:tcPr>
            <w:tcW w:w="2075" w:type="dxa"/>
            <w:shd w:val="clear" w:color="auto" w:fill="F4F7FB"/>
            <w:vAlign w:val="top"/>
          </w:tcPr>
          <w:p>
            <w:pPr>
              <w:pStyle w:val="TableText"/>
              <w:jc w:val="left"/>
            </w:pPr>
            <w:r>
              <w:t xml:space="preserve">The audit hash chain verifies after every restore</w:t>
            </w:r>
          </w:p>
        </w:tc>
        <w:tc>
          <w:tcPr>
            <w:tcW w:w="2178" w:type="dxa"/>
            <w:shd w:val="clear" w:color="auto" w:fill="F4F7FB"/>
            <w:vAlign w:val="top"/>
          </w:tcPr>
          <w:p>
            <w:pPr>
              <w:pStyle w:val="TableText"/>
              <w:jc w:val="left"/>
            </w:pPr>
            <w:r>
              <w:t xml:space="preserve">DR runbook</w:t>
            </w:r>
          </w:p>
        </w:tc>
        <w:tc>
          <w:tcPr>
            <w:tcW w:w="2178" w:type="dxa"/>
            <w:shd w:val="clear" w:color="auto" w:fill="F4F7FB"/>
            <w:vAlign w:val="top"/>
          </w:tcPr>
          <w:p>
            <w:pPr>
              <w:pStyle w:val="TableText"/>
              <w:jc w:val="left"/>
            </w:pPr>
            <w:r>
              <w:t xml:space="preserve">Built (verification)</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4" w:name="_Toc300000020"/>
      <w:r>
        <w:rPr>
          <w:rStyle w:val="BookTitle"/>
          <w:bCs w:val="0"/>
          <w:i w:val="0"/>
          <w:iCs w:val="0"/>
          <w:spacing w:val="0"/>
        </w:rPr>
        <w:t xml:space="preserve">Portability and deployment</w:t>
      </w:r>
      <w:bookmarkEnd w:id="2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36"/>
        <w:gridCol w:w="1660"/>
        <w:gridCol w:w="2075"/>
        <w:gridCol w:w="2178"/>
        <w:gridCol w:w="2178"/>
      </w:tblGrid>
      <w:tr>
        <w:trPr>
          <w:cantSplit/>
          <w:tblHeader/>
        </w:trPr>
        <w:tc>
          <w:tcPr>
            <w:tcW w:w="936" w:type="dxa"/>
            <w:shd w:val="clear" w:color="auto" w:fill="0F4761"/>
            <w:vAlign w:val="center"/>
          </w:tcPr>
          <w:p>
            <w:pPr>
              <w:pStyle w:val="TableHeading"/>
              <w:jc w:val="left"/>
            </w:pPr>
            <w:r>
              <w:rPr>
                <w:color w:val="FFFFFF"/>
              </w:rPr>
              <w:t xml:space="preserve">ID</w:t>
            </w:r>
          </w:p>
        </w:tc>
        <w:tc>
          <w:tcPr>
            <w:tcW w:w="1660" w:type="dxa"/>
            <w:shd w:val="clear" w:color="auto" w:fill="0F4761"/>
            <w:vAlign w:val="center"/>
          </w:tcPr>
          <w:p>
            <w:pPr>
              <w:pStyle w:val="TableHeading"/>
              <w:jc w:val="left"/>
            </w:pPr>
            <w:r>
              <w:rPr>
                <w:color w:val="FFFFFF"/>
              </w:rPr>
              <w:t xml:space="preserve">Requirement</w:t>
            </w:r>
          </w:p>
        </w:tc>
        <w:tc>
          <w:tcPr>
            <w:tcW w:w="2075" w:type="dxa"/>
            <w:shd w:val="clear" w:color="auto" w:fill="0F4761"/>
            <w:vAlign w:val="center"/>
          </w:tcPr>
          <w:p>
            <w:pPr>
              <w:pStyle w:val="TableHeading"/>
              <w:jc w:val="left"/>
            </w:pPr>
            <w:r>
              <w:rPr>
                <w:color w:val="FFFFFF"/>
              </w:rPr>
              <w:t xml:space="preserve">Target</w:t>
            </w:r>
          </w:p>
        </w:tc>
        <w:tc>
          <w:tcPr>
            <w:tcW w:w="2178" w:type="dxa"/>
            <w:shd w:val="clear" w:color="auto" w:fill="0F4761"/>
            <w:vAlign w:val="center"/>
          </w:tcPr>
          <w:p>
            <w:pPr>
              <w:pStyle w:val="TableHeading"/>
              <w:jc w:val="left"/>
            </w:pPr>
            <w:r>
              <w:rPr>
                <w:color w:val="FFFFFF"/>
              </w:rPr>
              <w:t xml:space="preserve">Verification</w:t>
            </w:r>
          </w:p>
        </w:tc>
        <w:tc>
          <w:tcPr>
            <w:tcW w:w="2178" w:type="dxa"/>
            <w:shd w:val="clear" w:color="auto" w:fill="0F4761"/>
            <w:vAlign w:val="center"/>
          </w:tcPr>
          <w:p>
            <w:pPr>
              <w:pStyle w:val="TableHeading"/>
              <w:jc w:val="left"/>
            </w:pPr>
            <w:r>
              <w:rPr>
                <w:color w:val="FFFFFF"/>
              </w:rPr>
              <w:t xml:space="preserve">Status</w:t>
            </w:r>
          </w:p>
        </w:tc>
      </w:tr>
      <w:tr>
        <w:trPr>
          <w:cantSplit/>
        </w:trPr>
        <w:tc>
          <w:tcPr>
            <w:tcW w:w="936" w:type="dxa"/>
            <w:noWrap/>
            <w:vAlign w:val="top"/>
          </w:tcPr>
          <w:p>
            <w:pPr>
              <w:pStyle w:val="TableText"/>
              <w:jc w:val="left"/>
            </w:pPr>
            <w:r>
              <w:t xml:space="preserve">NFR-055</w:t>
            </w:r>
          </w:p>
        </w:tc>
        <w:tc>
          <w:tcPr>
            <w:tcW w:w="1660" w:type="dxa"/>
            <w:vAlign w:val="top"/>
          </w:tcPr>
          <w:p>
            <w:pPr>
              <w:pStyle w:val="TableText"/>
              <w:jc w:val="left"/>
            </w:pPr>
            <w:r>
              <w:t xml:space="preserve">Runtime</w:t>
            </w:r>
          </w:p>
        </w:tc>
        <w:tc>
          <w:tcPr>
            <w:tcW w:w="2075" w:type="dxa"/>
            <w:vAlign w:val="top"/>
          </w:tcPr>
          <w:p>
            <w:pPr>
              <w:pStyle w:val="TableText"/>
              <w:jc w:val="left"/>
            </w:pPr>
            <w:r>
              <w:t xml:space="preserve">Node.js 22.12 LTS or later and PostgreSQL 15 or later; an in-memory store for demo and tests with identical behaviour, never in production</w:t>
            </w:r>
          </w:p>
        </w:tc>
        <w:tc>
          <w:tcPr>
            <w:tcW w:w="2178" w:type="dxa"/>
            <w:vAlign w:val="top"/>
          </w:tcPr>
          <w:p>
            <w:pPr>
              <w:pStyle w:val="TableText"/>
              <w:jc w:val="left"/>
            </w:pPr>
            <w:r>
              <w:t xml:space="preserve">CI runs the PostgreSQL suite</w:t>
            </w:r>
          </w:p>
        </w:tc>
        <w:tc>
          <w:tcPr>
            <w:tcW w:w="2178" w:type="dxa"/>
            <w:vAlign w:val="top"/>
          </w:tcPr>
          <w:p>
            <w:pPr>
              <w:pStyle w:val="TableText"/>
              <w:jc w:val="left"/>
            </w:pPr>
            <w:r>
              <w:t xml:space="preserve">Built</w:t>
            </w:r>
          </w:p>
        </w:tc>
      </w:tr>
      <w:tr>
        <w:trPr>
          <w:cantSplit/>
        </w:trPr>
        <w:tc>
          <w:tcPr>
            <w:tcW w:w="936" w:type="dxa"/>
            <w:shd w:val="clear" w:color="auto" w:fill="F4F7FB"/>
            <w:noWrap/>
            <w:vAlign w:val="top"/>
          </w:tcPr>
          <w:p>
            <w:pPr>
              <w:pStyle w:val="TableText"/>
              <w:jc w:val="left"/>
            </w:pPr>
            <w:r>
              <w:t xml:space="preserve">NFR-056</w:t>
            </w:r>
          </w:p>
        </w:tc>
        <w:tc>
          <w:tcPr>
            <w:tcW w:w="1660" w:type="dxa"/>
            <w:shd w:val="clear" w:color="auto" w:fill="F4F7FB"/>
            <w:vAlign w:val="top"/>
          </w:tcPr>
          <w:p>
            <w:pPr>
              <w:pStyle w:val="TableText"/>
              <w:jc w:val="left"/>
            </w:pPr>
            <w:r>
              <w:t xml:space="preserve">Packaging</w:t>
            </w:r>
          </w:p>
        </w:tc>
        <w:tc>
          <w:tcPr>
            <w:tcW w:w="2075" w:type="dxa"/>
            <w:shd w:val="clear" w:color="auto" w:fill="F4F7FB"/>
            <w:vAlign w:val="top"/>
          </w:tcPr>
          <w:p>
            <w:pPr>
              <w:pStyle w:val="TableText"/>
              <w:jc w:val="left"/>
            </w:pPr>
            <w:r>
              <w:t xml:space="preserve">Container image running as a non-root user (uid 1000) with a read-only file system and liveness and readiness checks</w:t>
            </w:r>
          </w:p>
        </w:tc>
        <w:tc>
          <w:tcPr>
            <w:tcW w:w="2178" w:type="dxa"/>
            <w:shd w:val="clear" w:color="auto" w:fill="F4F7FB"/>
            <w:vAlign w:val="top"/>
          </w:tcPr>
          <w:p>
            <w:pPr>
              <w:pStyle w:val="TableText"/>
              <w:jc w:val="left"/>
            </w:pPr>
            <w:r>
              <w:t xml:space="preserve">Image scan in CI</w:t>
            </w:r>
          </w:p>
        </w:tc>
        <w:tc>
          <w:tcPr>
            <w:tcW w:w="2178" w:type="dxa"/>
            <w:shd w:val="clear" w:color="auto" w:fill="F4F7FB"/>
            <w:vAlign w:val="top"/>
          </w:tcPr>
          <w:p>
            <w:pPr>
              <w:pStyle w:val="TableText"/>
              <w:jc w:val="left"/>
            </w:pPr>
            <w:r>
              <w:t xml:space="preserve">Built</w:t>
            </w:r>
          </w:p>
        </w:tc>
      </w:tr>
      <w:tr>
        <w:trPr>
          <w:cantSplit/>
        </w:trPr>
        <w:tc>
          <w:tcPr>
            <w:tcW w:w="936" w:type="dxa"/>
            <w:noWrap/>
            <w:vAlign w:val="top"/>
          </w:tcPr>
          <w:p>
            <w:pPr>
              <w:pStyle w:val="TableText"/>
              <w:jc w:val="left"/>
            </w:pPr>
            <w:r>
              <w:t xml:space="preserve">NFR-057</w:t>
            </w:r>
          </w:p>
        </w:tc>
        <w:tc>
          <w:tcPr>
            <w:tcW w:w="1660" w:type="dxa"/>
            <w:vAlign w:val="top"/>
          </w:tcPr>
          <w:p>
            <w:pPr>
              <w:pStyle w:val="TableText"/>
              <w:jc w:val="left"/>
            </w:pPr>
            <w:r>
              <w:t xml:space="preserve">Targets</w:t>
            </w:r>
          </w:p>
        </w:tc>
        <w:tc>
          <w:tcPr>
            <w:tcW w:w="2075" w:type="dxa"/>
            <w:vAlign w:val="top"/>
          </w:tcPr>
          <w:p>
            <w:pPr>
              <w:pStyle w:val="TableText"/>
              <w:jc w:val="left"/>
            </w:pPr>
            <w:r>
              <w:t xml:space="preserve">Deployable to Kubernetes, with scheduled jobs for journeys, recompute, reconciliation, retention, event relay and catalogue sync, and to a platform service for demo and UAT. No proprietary managed services required</w:t>
            </w:r>
          </w:p>
        </w:tc>
        <w:tc>
          <w:tcPr>
            <w:tcW w:w="2178" w:type="dxa"/>
            <w:vAlign w:val="top"/>
          </w:tcPr>
          <w:p>
            <w:pPr>
              <w:pStyle w:val="TableText"/>
              <w:jc w:val="left"/>
            </w:pPr>
            <w:r>
              <w:t xml:space="preserve">Deployment rehearsal</w:t>
            </w:r>
          </w:p>
        </w:tc>
        <w:tc>
          <w:tcPr>
            <w:tcW w:w="2178" w:type="dxa"/>
            <w:vAlign w:val="top"/>
          </w:tcPr>
          <w:p>
            <w:pPr>
              <w:pStyle w:val="TableText"/>
              <w:jc w:val="left"/>
            </w:pPr>
            <w:r>
              <w:t xml:space="preserve">Built: Kubernetes manifests and jobs; UAT live with PostgreSQL</w:t>
            </w:r>
          </w:p>
        </w:tc>
      </w:tr>
      <w:tr>
        <w:trPr>
          <w:cantSplit/>
        </w:trPr>
        <w:tc>
          <w:tcPr>
            <w:tcW w:w="936" w:type="dxa"/>
            <w:shd w:val="clear" w:color="auto" w:fill="F4F7FB"/>
            <w:noWrap/>
            <w:vAlign w:val="top"/>
          </w:tcPr>
          <w:p>
            <w:pPr>
              <w:pStyle w:val="TableText"/>
              <w:jc w:val="left"/>
            </w:pPr>
            <w:r>
              <w:t xml:space="preserve">NFR-058</w:t>
            </w:r>
          </w:p>
        </w:tc>
        <w:tc>
          <w:tcPr>
            <w:tcW w:w="1660" w:type="dxa"/>
            <w:shd w:val="clear" w:color="auto" w:fill="F4F7FB"/>
            <w:vAlign w:val="top"/>
          </w:tcPr>
          <w:p>
            <w:pPr>
              <w:pStyle w:val="TableText"/>
              <w:jc w:val="left"/>
            </w:pPr>
            <w:r>
              <w:t xml:space="preserve">Configuration</w:t>
            </w:r>
          </w:p>
        </w:tc>
        <w:tc>
          <w:tcPr>
            <w:tcW w:w="2075" w:type="dxa"/>
            <w:shd w:val="clear" w:color="auto" w:fill="F4F7FB"/>
            <w:vAlign w:val="top"/>
          </w:tcPr>
          <w:p>
            <w:pPr>
              <w:pStyle w:val="TableText"/>
              <w:jc w:val="left"/>
            </w:pPr>
            <w:r>
              <w:t xml:space="preserve">All settings from the environment; secrets mounted as files</w:t>
            </w:r>
          </w:p>
        </w:tc>
        <w:tc>
          <w:tcPr>
            <w:tcW w:w="2178" w:type="dxa"/>
            <w:shd w:val="clear" w:color="auto" w:fill="F4F7FB"/>
            <w:vAlign w:val="top"/>
          </w:tcPr>
          <w:p>
            <w:pPr>
              <w:pStyle w:val="TableText"/>
              <w:jc w:val="left"/>
            </w:pPr>
            <w:r>
              <w:t xml:space="preserve">Configuration review</w:t>
            </w:r>
          </w:p>
        </w:tc>
        <w:tc>
          <w:tcPr>
            <w:tcW w:w="2178" w:type="dxa"/>
            <w:shd w:val="clear" w:color="auto" w:fill="F4F7FB"/>
            <w:vAlign w:val="top"/>
          </w:tcPr>
          <w:p>
            <w:pPr>
              <w:pStyle w:val="TableText"/>
              <w:jc w:val="left"/>
            </w:pPr>
            <w:r>
              <w:t xml:space="preserve">Built</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5" w:name="_Toc300000021"/>
      <w:r>
        <w:rPr>
          <w:rStyle w:val="BookTitle"/>
          <w:bCs w:val="0"/>
          <w:i w:val="0"/>
          <w:iCs w:val="0"/>
          <w:spacing w:val="0"/>
        </w:rPr>
        <w:t xml:space="preserve">Auditability</w:t>
      </w:r>
      <w:bookmarkEnd w:id="2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36"/>
        <w:gridCol w:w="1660"/>
        <w:gridCol w:w="2075"/>
        <w:gridCol w:w="2178"/>
        <w:gridCol w:w="2178"/>
      </w:tblGrid>
      <w:tr>
        <w:trPr>
          <w:cantSplit/>
          <w:tblHeader/>
        </w:trPr>
        <w:tc>
          <w:tcPr>
            <w:tcW w:w="936" w:type="dxa"/>
            <w:shd w:val="clear" w:color="auto" w:fill="0F4761"/>
            <w:vAlign w:val="center"/>
          </w:tcPr>
          <w:p>
            <w:pPr>
              <w:pStyle w:val="TableHeading"/>
              <w:jc w:val="left"/>
            </w:pPr>
            <w:r>
              <w:rPr>
                <w:color w:val="FFFFFF"/>
              </w:rPr>
              <w:t xml:space="preserve">ID</w:t>
            </w:r>
          </w:p>
        </w:tc>
        <w:tc>
          <w:tcPr>
            <w:tcW w:w="1660" w:type="dxa"/>
            <w:shd w:val="clear" w:color="auto" w:fill="0F4761"/>
            <w:vAlign w:val="center"/>
          </w:tcPr>
          <w:p>
            <w:pPr>
              <w:pStyle w:val="TableHeading"/>
              <w:jc w:val="left"/>
            </w:pPr>
            <w:r>
              <w:rPr>
                <w:color w:val="FFFFFF"/>
              </w:rPr>
              <w:t xml:space="preserve">Requirement</w:t>
            </w:r>
          </w:p>
        </w:tc>
        <w:tc>
          <w:tcPr>
            <w:tcW w:w="2075" w:type="dxa"/>
            <w:shd w:val="clear" w:color="auto" w:fill="0F4761"/>
            <w:vAlign w:val="center"/>
          </w:tcPr>
          <w:p>
            <w:pPr>
              <w:pStyle w:val="TableHeading"/>
              <w:jc w:val="left"/>
            </w:pPr>
            <w:r>
              <w:rPr>
                <w:color w:val="FFFFFF"/>
              </w:rPr>
              <w:t xml:space="preserve">Target</w:t>
            </w:r>
          </w:p>
        </w:tc>
        <w:tc>
          <w:tcPr>
            <w:tcW w:w="2178" w:type="dxa"/>
            <w:shd w:val="clear" w:color="auto" w:fill="0F4761"/>
            <w:vAlign w:val="center"/>
          </w:tcPr>
          <w:p>
            <w:pPr>
              <w:pStyle w:val="TableHeading"/>
              <w:jc w:val="left"/>
            </w:pPr>
            <w:r>
              <w:rPr>
                <w:color w:val="FFFFFF"/>
              </w:rPr>
              <w:t xml:space="preserve">Verification</w:t>
            </w:r>
          </w:p>
        </w:tc>
        <w:tc>
          <w:tcPr>
            <w:tcW w:w="2178" w:type="dxa"/>
            <w:shd w:val="clear" w:color="auto" w:fill="0F4761"/>
            <w:vAlign w:val="center"/>
          </w:tcPr>
          <w:p>
            <w:pPr>
              <w:pStyle w:val="TableHeading"/>
              <w:jc w:val="left"/>
            </w:pPr>
            <w:r>
              <w:rPr>
                <w:color w:val="FFFFFF"/>
              </w:rPr>
              <w:t xml:space="preserve">Status</w:t>
            </w:r>
          </w:p>
        </w:tc>
      </w:tr>
      <w:tr>
        <w:trPr>
          <w:cantSplit/>
        </w:trPr>
        <w:tc>
          <w:tcPr>
            <w:tcW w:w="936" w:type="dxa"/>
            <w:noWrap/>
            <w:vAlign w:val="top"/>
          </w:tcPr>
          <w:p>
            <w:pPr>
              <w:pStyle w:val="TableText"/>
              <w:jc w:val="left"/>
            </w:pPr>
            <w:r>
              <w:t xml:space="preserve">NFR-059</w:t>
            </w:r>
          </w:p>
        </w:tc>
        <w:tc>
          <w:tcPr>
            <w:tcW w:w="1660" w:type="dxa"/>
            <w:vAlign w:val="top"/>
          </w:tcPr>
          <w:p>
            <w:pPr>
              <w:pStyle w:val="TableText"/>
              <w:jc w:val="left"/>
            </w:pPr>
            <w:r>
              <w:t xml:space="preserve">Completeness</w:t>
            </w:r>
          </w:p>
        </w:tc>
        <w:tc>
          <w:tcPr>
            <w:tcW w:w="2075" w:type="dxa"/>
            <w:vAlign w:val="top"/>
          </w:tcPr>
          <w:p>
            <w:pPr>
              <w:pStyle w:val="TableText"/>
              <w:jc w:val="left"/>
            </w:pPr>
            <w:r>
              <w:t xml:space="preserve">All state changes and all views of personal data audited (FR-097)</w:t>
            </w:r>
          </w:p>
        </w:tc>
        <w:tc>
          <w:tcPr>
            <w:tcW w:w="2178" w:type="dxa"/>
            <w:vAlign w:val="top"/>
          </w:tcPr>
          <w:p>
            <w:pPr>
              <w:pStyle w:val="TableText"/>
              <w:jc w:val="left"/>
            </w:pPr>
            <w:r>
              <w:t xml:space="preserve">Audit coverage test</w:t>
            </w:r>
          </w:p>
        </w:tc>
        <w:tc>
          <w:tcPr>
            <w:tcW w:w="2178" w:type="dxa"/>
            <w:vAlign w:val="top"/>
          </w:tcPr>
          <w:p>
            <w:pPr>
              <w:pStyle w:val="TableText"/>
              <w:jc w:val="left"/>
            </w:pPr>
            <w:r>
              <w:t xml:space="preserve">Built</w:t>
            </w:r>
          </w:p>
        </w:tc>
      </w:tr>
      <w:tr>
        <w:trPr>
          <w:cantSplit/>
        </w:trPr>
        <w:tc>
          <w:tcPr>
            <w:tcW w:w="936" w:type="dxa"/>
            <w:shd w:val="clear" w:color="auto" w:fill="F4F7FB"/>
            <w:noWrap/>
            <w:vAlign w:val="top"/>
          </w:tcPr>
          <w:p>
            <w:pPr>
              <w:pStyle w:val="TableText"/>
              <w:jc w:val="left"/>
            </w:pPr>
            <w:r>
              <w:t xml:space="preserve">NFR-060</w:t>
            </w:r>
          </w:p>
        </w:tc>
        <w:tc>
          <w:tcPr>
            <w:tcW w:w="1660" w:type="dxa"/>
            <w:shd w:val="clear" w:color="auto" w:fill="F4F7FB"/>
            <w:vAlign w:val="top"/>
          </w:tcPr>
          <w:p>
            <w:pPr>
              <w:pStyle w:val="TableText"/>
              <w:jc w:val="left"/>
            </w:pPr>
            <w:r>
              <w:t xml:space="preserve">Immutability</w:t>
            </w:r>
          </w:p>
        </w:tc>
        <w:tc>
          <w:tcPr>
            <w:tcW w:w="2075" w:type="dxa"/>
            <w:shd w:val="clear" w:color="auto" w:fill="F4F7FB"/>
            <w:vAlign w:val="top"/>
          </w:tcPr>
          <w:p>
            <w:pPr>
              <w:pStyle w:val="TableText"/>
              <w:jc w:val="left"/>
            </w:pPr>
            <w:r>
              <w:t xml:space="preserve">Audit log append-only (database triggers reject update, delete and truncate) and hash-chained; verified daily</w:t>
            </w:r>
          </w:p>
        </w:tc>
        <w:tc>
          <w:tcPr>
            <w:tcW w:w="2178" w:type="dxa"/>
            <w:shd w:val="clear" w:color="auto" w:fill="F4F7FB"/>
            <w:vAlign w:val="top"/>
          </w:tcPr>
          <w:p>
            <w:pPr>
              <w:pStyle w:val="TableText"/>
              <w:jc w:val="left"/>
            </w:pPr>
            <w:r>
              <w:t xml:space="preserve">PostgreSQL suite</w:t>
            </w:r>
          </w:p>
        </w:tc>
        <w:tc>
          <w:tcPr>
            <w:tcW w:w="2178" w:type="dxa"/>
            <w:shd w:val="clear" w:color="auto" w:fill="F4F7FB"/>
            <w:vAlign w:val="top"/>
          </w:tcPr>
          <w:p>
            <w:pPr>
              <w:pStyle w:val="TableText"/>
              <w:jc w:val="left"/>
            </w:pPr>
            <w:r>
              <w:t xml:space="preserve">Built</w:t>
            </w:r>
          </w:p>
        </w:tc>
      </w:tr>
      <w:tr>
        <w:trPr>
          <w:cantSplit/>
        </w:trPr>
        <w:tc>
          <w:tcPr>
            <w:tcW w:w="936" w:type="dxa"/>
            <w:noWrap/>
            <w:vAlign w:val="top"/>
          </w:tcPr>
          <w:p>
            <w:pPr>
              <w:pStyle w:val="TableText"/>
              <w:jc w:val="left"/>
            </w:pPr>
            <w:r>
              <w:t xml:space="preserve">NFR-061</w:t>
            </w:r>
          </w:p>
        </w:tc>
        <w:tc>
          <w:tcPr>
            <w:tcW w:w="1660" w:type="dxa"/>
            <w:vAlign w:val="top"/>
          </w:tcPr>
          <w:p>
            <w:pPr>
              <w:pStyle w:val="TableText"/>
              <w:jc w:val="left"/>
            </w:pPr>
            <w:r>
              <w:t xml:space="preserve">Reproducible decisions</w:t>
            </w:r>
          </w:p>
        </w:tc>
        <w:tc>
          <w:tcPr>
            <w:tcW w:w="2075" w:type="dxa"/>
            <w:vAlign w:val="top"/>
          </w:tcPr>
          <w:p>
            <w:pPr>
              <w:pStyle w:val="TableText"/>
              <w:jc w:val="left"/>
            </w:pPr>
            <w:r>
              <w:t xml:space="preserve">Every lead evaluation can be reproduced from the rule versions (ID and checksum) and facts in force at the time</w:t>
            </w:r>
          </w:p>
        </w:tc>
        <w:tc>
          <w:tcPr>
            <w:tcW w:w="2178" w:type="dxa"/>
            <w:vAlign w:val="top"/>
          </w:tcPr>
          <w:p>
            <w:pPr>
              <w:pStyle w:val="TableText"/>
              <w:jc w:val="left"/>
            </w:pPr>
            <w:r>
              <w:t xml:space="preserve">Rule snapshot on the operations screen</w:t>
            </w:r>
          </w:p>
        </w:tc>
        <w:tc>
          <w:tcPr>
            <w:tcW w:w="2178" w:type="dxa"/>
            <w:vAlign w:val="top"/>
          </w:tcPr>
          <w:p>
            <w:pPr>
              <w:pStyle w:val="TableText"/>
              <w:jc w:val="left"/>
            </w:pPr>
            <w:r>
              <w:t xml:space="preserve">Partial: storing the rule version on each lead is planned</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6" w:name="_Toc300000022"/>
      <w:r>
        <w:rPr>
          <w:rStyle w:val="BookTitle"/>
          <w:bCs w:val="0"/>
          <w:i w:val="0"/>
          <w:iCs w:val="0"/>
          <w:spacing w:val="0"/>
        </w:rPr>
        <w:t xml:space="preserve">Configurability</w:t>
      </w:r>
      <w:bookmarkEnd w:id="2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36"/>
        <w:gridCol w:w="1660"/>
        <w:gridCol w:w="2075"/>
        <w:gridCol w:w="2178"/>
        <w:gridCol w:w="2178"/>
      </w:tblGrid>
      <w:tr>
        <w:trPr>
          <w:cantSplit/>
          <w:tblHeader/>
        </w:trPr>
        <w:tc>
          <w:tcPr>
            <w:tcW w:w="936" w:type="dxa"/>
            <w:shd w:val="clear" w:color="auto" w:fill="0F4761"/>
            <w:vAlign w:val="center"/>
          </w:tcPr>
          <w:p>
            <w:pPr>
              <w:pStyle w:val="TableHeading"/>
              <w:jc w:val="left"/>
            </w:pPr>
            <w:r>
              <w:rPr>
                <w:color w:val="FFFFFF"/>
              </w:rPr>
              <w:t xml:space="preserve">ID</w:t>
            </w:r>
          </w:p>
        </w:tc>
        <w:tc>
          <w:tcPr>
            <w:tcW w:w="1660" w:type="dxa"/>
            <w:shd w:val="clear" w:color="auto" w:fill="0F4761"/>
            <w:vAlign w:val="center"/>
          </w:tcPr>
          <w:p>
            <w:pPr>
              <w:pStyle w:val="TableHeading"/>
              <w:jc w:val="left"/>
            </w:pPr>
            <w:r>
              <w:rPr>
                <w:color w:val="FFFFFF"/>
              </w:rPr>
              <w:t xml:space="preserve">Requirement</w:t>
            </w:r>
          </w:p>
        </w:tc>
        <w:tc>
          <w:tcPr>
            <w:tcW w:w="2075" w:type="dxa"/>
            <w:shd w:val="clear" w:color="auto" w:fill="0F4761"/>
            <w:vAlign w:val="center"/>
          </w:tcPr>
          <w:p>
            <w:pPr>
              <w:pStyle w:val="TableHeading"/>
              <w:jc w:val="left"/>
            </w:pPr>
            <w:r>
              <w:rPr>
                <w:color w:val="FFFFFF"/>
              </w:rPr>
              <w:t xml:space="preserve">Target</w:t>
            </w:r>
          </w:p>
        </w:tc>
        <w:tc>
          <w:tcPr>
            <w:tcW w:w="2178" w:type="dxa"/>
            <w:shd w:val="clear" w:color="auto" w:fill="0F4761"/>
            <w:vAlign w:val="center"/>
          </w:tcPr>
          <w:p>
            <w:pPr>
              <w:pStyle w:val="TableHeading"/>
              <w:jc w:val="left"/>
            </w:pPr>
            <w:r>
              <w:rPr>
                <w:color w:val="FFFFFF"/>
              </w:rPr>
              <w:t xml:space="preserve">Verification</w:t>
            </w:r>
          </w:p>
        </w:tc>
        <w:tc>
          <w:tcPr>
            <w:tcW w:w="2178" w:type="dxa"/>
            <w:shd w:val="clear" w:color="auto" w:fill="0F4761"/>
            <w:vAlign w:val="center"/>
          </w:tcPr>
          <w:p>
            <w:pPr>
              <w:pStyle w:val="TableHeading"/>
              <w:jc w:val="left"/>
            </w:pPr>
            <w:r>
              <w:rPr>
                <w:color w:val="FFFFFF"/>
              </w:rPr>
              <w:t xml:space="preserve">Status</w:t>
            </w:r>
          </w:p>
        </w:tc>
      </w:tr>
      <w:tr>
        <w:trPr>
          <w:cantSplit/>
        </w:trPr>
        <w:tc>
          <w:tcPr>
            <w:tcW w:w="936" w:type="dxa"/>
            <w:noWrap/>
            <w:vAlign w:val="top"/>
          </w:tcPr>
          <w:p>
            <w:pPr>
              <w:pStyle w:val="TableText"/>
              <w:jc w:val="left"/>
            </w:pPr>
            <w:r>
              <w:t xml:space="preserve">NFR-062</w:t>
            </w:r>
          </w:p>
        </w:tc>
        <w:tc>
          <w:tcPr>
            <w:tcW w:w="1660" w:type="dxa"/>
            <w:vAlign w:val="top"/>
          </w:tcPr>
          <w:p>
            <w:pPr>
              <w:pStyle w:val="TableText"/>
              <w:jc w:val="left"/>
            </w:pPr>
            <w:r>
              <w:t xml:space="preserve">No hard-coded business rules</w:t>
            </w:r>
          </w:p>
        </w:tc>
        <w:tc>
          <w:tcPr>
            <w:tcW w:w="2075" w:type="dxa"/>
            <w:vAlign w:val="top"/>
          </w:tcPr>
          <w:p>
            <w:pPr>
              <w:pStyle w:val="TableText"/>
              <w:jc w:val="left"/>
            </w:pPr>
            <w:r>
              <w:t xml:space="preserve">All thresholds, weights, tariffs, rates, journeys, wording, consent policy, commission and retention held in rule sets and changed by the business through maker-checker without a release</w:t>
            </w:r>
          </w:p>
        </w:tc>
        <w:tc>
          <w:tcPr>
            <w:tcW w:w="2178" w:type="dxa"/>
            <w:vAlign w:val="top"/>
          </w:tcPr>
          <w:p>
            <w:pPr>
              <w:pStyle w:val="TableText"/>
              <w:jc w:val="left"/>
            </w:pPr>
            <w:r>
              <w:t xml:space="preserve">Code review checklist; search for numeric literals in business logic</w:t>
            </w:r>
          </w:p>
        </w:tc>
        <w:tc>
          <w:tcPr>
            <w:tcW w:w="2178" w:type="dxa"/>
            <w:vAlign w:val="top"/>
          </w:tcPr>
          <w:p>
            <w:pPr>
              <w:pStyle w:val="TableText"/>
              <w:jc w:val="left"/>
            </w:pPr>
            <w:r>
              <w:t xml:space="preserve">Partial: service levels moved to a rule set; E-05 lists remaining literals</w:t>
            </w:r>
          </w:p>
        </w:tc>
      </w:tr>
      <w:tr>
        <w:trPr>
          <w:cantSplit/>
        </w:trPr>
        <w:tc>
          <w:tcPr>
            <w:tcW w:w="936" w:type="dxa"/>
            <w:shd w:val="clear" w:color="auto" w:fill="F4F7FB"/>
            <w:noWrap/>
            <w:vAlign w:val="top"/>
          </w:tcPr>
          <w:p>
            <w:pPr>
              <w:pStyle w:val="TableText"/>
              <w:jc w:val="left"/>
            </w:pPr>
            <w:r>
              <w:t xml:space="preserve">NFR-063</w:t>
            </w:r>
          </w:p>
        </w:tc>
        <w:tc>
          <w:tcPr>
            <w:tcW w:w="1660" w:type="dxa"/>
            <w:shd w:val="clear" w:color="auto" w:fill="F4F7FB"/>
            <w:vAlign w:val="top"/>
          </w:tcPr>
          <w:p>
            <w:pPr>
              <w:pStyle w:val="TableText"/>
              <w:jc w:val="left"/>
            </w:pPr>
            <w:r>
              <w:t xml:space="preserve">Safe change</w:t>
            </w:r>
          </w:p>
        </w:tc>
        <w:tc>
          <w:tcPr>
            <w:tcW w:w="2075" w:type="dxa"/>
            <w:shd w:val="clear" w:color="auto" w:fill="F4F7FB"/>
            <w:vAlign w:val="top"/>
          </w:tcPr>
          <w:p>
            <w:pPr>
              <w:pStyle w:val="TableText"/>
              <w:jc w:val="left"/>
            </w:pPr>
            <w:r>
              <w:t xml:space="preserve">Every rule change validated, simulated (scoring, next best action, journeys, benefits), approved by a second person, versioned and reversible</w:t>
            </w:r>
          </w:p>
        </w:tc>
        <w:tc>
          <w:tcPr>
            <w:tcW w:w="2178" w:type="dxa"/>
            <w:shd w:val="clear" w:color="auto" w:fill="F4F7FB"/>
            <w:vAlign w:val="top"/>
          </w:tcPr>
          <w:p>
            <w:pPr>
              <w:pStyle w:val="TableText"/>
              <w:jc w:val="left"/>
            </w:pPr>
            <w:r>
              <w:t xml:space="preserve">FR-083 to FR-087</w:t>
            </w:r>
          </w:p>
        </w:tc>
        <w:tc>
          <w:tcPr>
            <w:tcW w:w="2178" w:type="dxa"/>
            <w:shd w:val="clear" w:color="auto" w:fill="F4F7FB"/>
            <w:vAlign w:val="top"/>
          </w:tcPr>
          <w:p>
            <w:pPr>
              <w:pStyle w:val="TableText"/>
              <w:jc w:val="left"/>
            </w:pPr>
            <w:r>
              <w:t xml:space="preserve">Built</w:t>
            </w:r>
          </w:p>
        </w:tc>
      </w:tr>
      <w:tr>
        <w:trPr>
          <w:cantSplit/>
        </w:trPr>
        <w:tc>
          <w:tcPr>
            <w:tcW w:w="936" w:type="dxa"/>
            <w:noWrap/>
            <w:vAlign w:val="top"/>
          </w:tcPr>
          <w:p>
            <w:pPr>
              <w:pStyle w:val="TableText"/>
              <w:jc w:val="left"/>
            </w:pPr>
            <w:r>
              <w:t xml:space="preserve">NFR-064</w:t>
            </w:r>
          </w:p>
        </w:tc>
        <w:tc>
          <w:tcPr>
            <w:tcW w:w="1660" w:type="dxa"/>
            <w:vAlign w:val="top"/>
          </w:tcPr>
          <w:p>
            <w:pPr>
              <w:pStyle w:val="TableText"/>
              <w:jc w:val="left"/>
            </w:pPr>
            <w:r>
              <w:t xml:space="preserve">Lead time for business change</w:t>
            </w:r>
          </w:p>
        </w:tc>
        <w:tc>
          <w:tcPr>
            <w:tcW w:w="2075" w:type="dxa"/>
            <w:vAlign w:val="top"/>
          </w:tcPr>
          <w:p>
            <w:pPr>
              <w:pStyle w:val="TableText"/>
              <w:jc w:val="left"/>
            </w:pPr>
            <w:r>
              <w:t xml:space="preserve">One business day or less from request to activation of a rule change</w:t>
            </w:r>
          </w:p>
        </w:tc>
        <w:tc>
          <w:tcPr>
            <w:tcW w:w="2178" w:type="dxa"/>
            <w:vAlign w:val="top"/>
          </w:tcPr>
          <w:p>
            <w:pPr>
              <w:pStyle w:val="TableText"/>
              <w:jc w:val="left"/>
            </w:pPr>
            <w:r>
              <w:t xml:space="preserve">Adoption dashboard</w:t>
            </w:r>
          </w:p>
        </w:tc>
        <w:tc>
          <w:tcPr>
            <w:tcW w:w="2178" w:type="dxa"/>
            <w:vAlign w:val="top"/>
          </w:tcPr>
          <w:p>
            <w:pPr>
              <w:pStyle w:val="TableText"/>
              <w:jc w:val="left"/>
            </w:pPr>
            <w:r>
              <w:t xml:space="preserve">Built (workflow)</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7" w:name="_Toc300000023"/>
      <w:r>
        <w:rPr>
          <w:rStyle w:val="BookTitle"/>
          <w:bCs w:val="0"/>
          <w:i w:val="0"/>
          <w:iCs w:val="0"/>
          <w:spacing w:val="0"/>
        </w:rPr>
        <w:t xml:space="preserve">Data retention</w:t>
      </w:r>
      <w:bookmarkEnd w:id="2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36"/>
        <w:gridCol w:w="1660"/>
        <w:gridCol w:w="2075"/>
        <w:gridCol w:w="2178"/>
        <w:gridCol w:w="2178"/>
      </w:tblGrid>
      <w:tr>
        <w:trPr>
          <w:cantSplit/>
          <w:tblHeader/>
        </w:trPr>
        <w:tc>
          <w:tcPr>
            <w:tcW w:w="936" w:type="dxa"/>
            <w:shd w:val="clear" w:color="auto" w:fill="0F4761"/>
            <w:vAlign w:val="center"/>
          </w:tcPr>
          <w:p>
            <w:pPr>
              <w:pStyle w:val="TableHeading"/>
              <w:jc w:val="left"/>
            </w:pPr>
            <w:r>
              <w:rPr>
                <w:color w:val="FFFFFF"/>
              </w:rPr>
              <w:t xml:space="preserve">ID</w:t>
            </w:r>
          </w:p>
        </w:tc>
        <w:tc>
          <w:tcPr>
            <w:tcW w:w="1660" w:type="dxa"/>
            <w:shd w:val="clear" w:color="auto" w:fill="0F4761"/>
            <w:vAlign w:val="center"/>
          </w:tcPr>
          <w:p>
            <w:pPr>
              <w:pStyle w:val="TableHeading"/>
              <w:jc w:val="left"/>
            </w:pPr>
            <w:r>
              <w:rPr>
                <w:color w:val="FFFFFF"/>
              </w:rPr>
              <w:t xml:space="preserve">Requirement</w:t>
            </w:r>
          </w:p>
        </w:tc>
        <w:tc>
          <w:tcPr>
            <w:tcW w:w="2075" w:type="dxa"/>
            <w:shd w:val="clear" w:color="auto" w:fill="0F4761"/>
            <w:vAlign w:val="center"/>
          </w:tcPr>
          <w:p>
            <w:pPr>
              <w:pStyle w:val="TableHeading"/>
              <w:jc w:val="left"/>
            </w:pPr>
            <w:r>
              <w:rPr>
                <w:color w:val="FFFFFF"/>
              </w:rPr>
              <w:t xml:space="preserve">Target</w:t>
            </w:r>
          </w:p>
        </w:tc>
        <w:tc>
          <w:tcPr>
            <w:tcW w:w="2178" w:type="dxa"/>
            <w:shd w:val="clear" w:color="auto" w:fill="0F4761"/>
            <w:vAlign w:val="center"/>
          </w:tcPr>
          <w:p>
            <w:pPr>
              <w:pStyle w:val="TableHeading"/>
              <w:jc w:val="left"/>
            </w:pPr>
            <w:r>
              <w:rPr>
                <w:color w:val="FFFFFF"/>
              </w:rPr>
              <w:t xml:space="preserve">Verification</w:t>
            </w:r>
          </w:p>
        </w:tc>
        <w:tc>
          <w:tcPr>
            <w:tcW w:w="2178" w:type="dxa"/>
            <w:shd w:val="clear" w:color="auto" w:fill="0F4761"/>
            <w:vAlign w:val="center"/>
          </w:tcPr>
          <w:p>
            <w:pPr>
              <w:pStyle w:val="TableHeading"/>
              <w:jc w:val="left"/>
            </w:pPr>
            <w:r>
              <w:rPr>
                <w:color w:val="FFFFFF"/>
              </w:rPr>
              <w:t xml:space="preserve">Status</w:t>
            </w:r>
          </w:p>
        </w:tc>
      </w:tr>
      <w:tr>
        <w:trPr>
          <w:cantSplit/>
        </w:trPr>
        <w:tc>
          <w:tcPr>
            <w:tcW w:w="936" w:type="dxa"/>
            <w:noWrap/>
            <w:vAlign w:val="top"/>
          </w:tcPr>
          <w:p>
            <w:pPr>
              <w:pStyle w:val="TableText"/>
              <w:jc w:val="left"/>
            </w:pPr>
            <w:r>
              <w:t xml:space="preserve">NFR-065</w:t>
            </w:r>
          </w:p>
        </w:tc>
        <w:tc>
          <w:tcPr>
            <w:tcW w:w="1660" w:type="dxa"/>
            <w:vAlign w:val="top"/>
          </w:tcPr>
          <w:p>
            <w:pPr>
              <w:pStyle w:val="TableText"/>
              <w:jc w:val="left"/>
            </w:pPr>
            <w:r>
              <w:t xml:space="preserve">Retention schedule</w:t>
            </w:r>
          </w:p>
        </w:tc>
        <w:tc>
          <w:tcPr>
            <w:tcW w:w="2075" w:type="dxa"/>
            <w:vAlign w:val="top"/>
          </w:tcPr>
          <w:p>
            <w:pPr>
              <w:pStyle w:val="TableText"/>
              <w:jc w:val="left"/>
            </w:pPr>
            <w:r>
              <w:t xml:space="preserve">Source records 365 days (delete); profiles 1,825 days after last activity with no active policy (anonymise); assistant recordings and transcripts 180 days (delete); messages 365 days (archive); orders and certificates 3,650 days (archive, financial records); audit log 3,650 days (archive, never deleted early)</w:t>
            </w:r>
          </w:p>
        </w:tc>
        <w:tc>
          <w:tcPr>
            <w:tcW w:w="2178" w:type="dxa"/>
            <w:vAlign w:val="top"/>
          </w:tcPr>
          <w:p>
            <w:pPr>
              <w:pStyle w:val="TableText"/>
              <w:jc w:val="left"/>
            </w:pPr>
            <w:r>
              <w:t xml:space="preserve">Retention job report</w:t>
            </w:r>
          </w:p>
        </w:tc>
        <w:tc>
          <w:tcPr>
            <w:tcW w:w="2178" w:type="dxa"/>
            <w:vAlign w:val="top"/>
          </w:tcPr>
          <w:p>
            <w:pPr>
              <w:pStyle w:val="TableText"/>
              <w:jc w:val="left"/>
            </w:pPr>
            <w:r>
              <w:t xml:space="preserve">Partial: deletion built for source records and assistant sessions; archival planned (E-09)</w:t>
            </w:r>
          </w:p>
        </w:tc>
      </w:tr>
      <w:tr>
        <w:trPr>
          <w:cantSplit/>
        </w:trPr>
        <w:tc>
          <w:tcPr>
            <w:tcW w:w="936" w:type="dxa"/>
            <w:shd w:val="clear" w:color="auto" w:fill="F4F7FB"/>
            <w:noWrap/>
            <w:vAlign w:val="top"/>
          </w:tcPr>
          <w:p>
            <w:pPr>
              <w:pStyle w:val="TableText"/>
              <w:jc w:val="left"/>
            </w:pPr>
            <w:r>
              <w:t xml:space="preserve">NFR-066</w:t>
            </w:r>
          </w:p>
        </w:tc>
        <w:tc>
          <w:tcPr>
            <w:tcW w:w="1660" w:type="dxa"/>
            <w:shd w:val="clear" w:color="auto" w:fill="F4F7FB"/>
            <w:vAlign w:val="top"/>
          </w:tcPr>
          <w:p>
            <w:pPr>
              <w:pStyle w:val="TableText"/>
              <w:jc w:val="left"/>
            </w:pPr>
            <w:r>
              <w:t xml:space="preserve">Legal hold</w:t>
            </w:r>
          </w:p>
        </w:tc>
        <w:tc>
          <w:tcPr>
            <w:tcW w:w="2075" w:type="dxa"/>
            <w:shd w:val="clear" w:color="auto" w:fill="F4F7FB"/>
            <w:vAlign w:val="top"/>
          </w:tcPr>
          <w:p>
            <w:pPr>
              <w:pStyle w:val="TableText"/>
              <w:jc w:val="left"/>
            </w:pPr>
            <w:r>
              <w:t xml:space="preserve">A legal-hold flag suspends deletion for named records</w:t>
            </w:r>
          </w:p>
        </w:tc>
        <w:tc>
          <w:tcPr>
            <w:tcW w:w="2178" w:type="dxa"/>
            <w:shd w:val="clear" w:color="auto" w:fill="F4F7FB"/>
            <w:vAlign w:val="top"/>
          </w:tcPr>
          <w:p>
            <w:pPr>
              <w:pStyle w:val="TableText"/>
              <w:jc w:val="left"/>
            </w:pPr>
            <w:r>
              <w:t xml:space="preserve">Retention test</w:t>
            </w:r>
          </w:p>
        </w:tc>
        <w:tc>
          <w:tcPr>
            <w:tcW w:w="2178" w:type="dxa"/>
            <w:shd w:val="clear" w:color="auto" w:fill="F4F7FB"/>
            <w:vAlign w:val="top"/>
          </w:tcPr>
          <w:p>
            <w:pPr>
              <w:pStyle w:val="TableText"/>
              <w:jc w:val="left"/>
            </w:pPr>
            <w:r>
              <w:t xml:space="preserve">Planned</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8" w:name="_Toc300000024"/>
      <w:r>
        <w:rPr>
          <w:rStyle w:val="BookTitle"/>
          <w:bCs w:val="0"/>
          <w:i w:val="0"/>
          <w:iCs w:val="0"/>
          <w:spacing w:val="0"/>
        </w:rPr>
        <w:t xml:space="preserve">Compliance by design</w:t>
      </w:r>
      <w:bookmarkEnd w:id="2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36"/>
        <w:gridCol w:w="1660"/>
        <w:gridCol w:w="2075"/>
        <w:gridCol w:w="2178"/>
        <w:gridCol w:w="2178"/>
      </w:tblGrid>
      <w:tr>
        <w:trPr>
          <w:cantSplit/>
          <w:tblHeader/>
        </w:trPr>
        <w:tc>
          <w:tcPr>
            <w:tcW w:w="936" w:type="dxa"/>
            <w:shd w:val="clear" w:color="auto" w:fill="0F4761"/>
            <w:vAlign w:val="center"/>
          </w:tcPr>
          <w:p>
            <w:pPr>
              <w:pStyle w:val="TableHeading"/>
              <w:jc w:val="left"/>
            </w:pPr>
            <w:r>
              <w:rPr>
                <w:color w:val="FFFFFF"/>
              </w:rPr>
              <w:t xml:space="preserve">ID</w:t>
            </w:r>
          </w:p>
        </w:tc>
        <w:tc>
          <w:tcPr>
            <w:tcW w:w="1660" w:type="dxa"/>
            <w:shd w:val="clear" w:color="auto" w:fill="0F4761"/>
            <w:vAlign w:val="center"/>
          </w:tcPr>
          <w:p>
            <w:pPr>
              <w:pStyle w:val="TableHeading"/>
              <w:jc w:val="left"/>
            </w:pPr>
            <w:r>
              <w:rPr>
                <w:color w:val="FFFFFF"/>
              </w:rPr>
              <w:t xml:space="preserve">Requirement</w:t>
            </w:r>
          </w:p>
        </w:tc>
        <w:tc>
          <w:tcPr>
            <w:tcW w:w="2075" w:type="dxa"/>
            <w:shd w:val="clear" w:color="auto" w:fill="0F4761"/>
            <w:vAlign w:val="center"/>
          </w:tcPr>
          <w:p>
            <w:pPr>
              <w:pStyle w:val="TableHeading"/>
              <w:jc w:val="left"/>
            </w:pPr>
            <w:r>
              <w:rPr>
                <w:color w:val="FFFFFF"/>
              </w:rPr>
              <w:t xml:space="preserve">Target</w:t>
            </w:r>
          </w:p>
        </w:tc>
        <w:tc>
          <w:tcPr>
            <w:tcW w:w="2178" w:type="dxa"/>
            <w:shd w:val="clear" w:color="auto" w:fill="0F4761"/>
            <w:vAlign w:val="center"/>
          </w:tcPr>
          <w:p>
            <w:pPr>
              <w:pStyle w:val="TableHeading"/>
              <w:jc w:val="left"/>
            </w:pPr>
            <w:r>
              <w:rPr>
                <w:color w:val="FFFFFF"/>
              </w:rPr>
              <w:t xml:space="preserve">Verification</w:t>
            </w:r>
          </w:p>
        </w:tc>
        <w:tc>
          <w:tcPr>
            <w:tcW w:w="2178" w:type="dxa"/>
            <w:shd w:val="clear" w:color="auto" w:fill="0F4761"/>
            <w:vAlign w:val="center"/>
          </w:tcPr>
          <w:p>
            <w:pPr>
              <w:pStyle w:val="TableHeading"/>
              <w:jc w:val="left"/>
            </w:pPr>
            <w:r>
              <w:rPr>
                <w:color w:val="FFFFFF"/>
              </w:rPr>
              <w:t xml:space="preserve">Status</w:t>
            </w:r>
          </w:p>
        </w:tc>
      </w:tr>
      <w:tr>
        <w:trPr>
          <w:cantSplit/>
        </w:trPr>
        <w:tc>
          <w:tcPr>
            <w:tcW w:w="936" w:type="dxa"/>
            <w:noWrap/>
            <w:vAlign w:val="top"/>
          </w:tcPr>
          <w:p>
            <w:pPr>
              <w:pStyle w:val="TableText"/>
              <w:jc w:val="left"/>
            </w:pPr>
            <w:r>
              <w:t xml:space="preserve">NFR-067</w:t>
            </w:r>
          </w:p>
        </w:tc>
        <w:tc>
          <w:tcPr>
            <w:tcW w:w="1660" w:type="dxa"/>
            <w:vAlign w:val="top"/>
          </w:tcPr>
          <w:p>
            <w:pPr>
              <w:pStyle w:val="TableText"/>
              <w:jc w:val="left"/>
            </w:pPr>
            <w:r>
              <w:t xml:space="preserve">No discount language reaches customers</w:t>
            </w:r>
          </w:p>
        </w:tc>
        <w:tc>
          <w:tcPr>
            <w:tcW w:w="2075" w:type="dxa"/>
            <w:vAlign w:val="top"/>
          </w:tcPr>
          <w:p>
            <w:pPr>
              <w:pStyle w:val="TableText"/>
              <w:jc w:val="left"/>
            </w:pPr>
            <w:r>
              <w:t xml:space="preserve">No customer message containing copy-guard phrases: checked on save and blocked at send</w:t>
            </w:r>
          </w:p>
        </w:tc>
        <w:tc>
          <w:tcPr>
            <w:tcW w:w="2178" w:type="dxa"/>
            <w:vAlign w:val="top"/>
          </w:tcPr>
          <w:p>
            <w:pPr>
              <w:pStyle w:val="TableText"/>
              <w:jc w:val="left"/>
            </w:pPr>
            <w:r>
              <w:t xml:space="preserve">Blocked-message count of zero after go-live</w:t>
            </w:r>
          </w:p>
        </w:tc>
        <w:tc>
          <w:tcPr>
            <w:tcW w:w="2178" w:type="dxa"/>
            <w:vAlign w:val="top"/>
          </w:tcPr>
          <w:p>
            <w:pPr>
              <w:pStyle w:val="TableText"/>
              <w:jc w:val="left"/>
            </w:pPr>
            <w:r>
              <w:t xml:space="preserve">Built</w:t>
            </w:r>
          </w:p>
        </w:tc>
      </w:tr>
      <w:tr>
        <w:trPr>
          <w:cantSplit/>
        </w:trPr>
        <w:tc>
          <w:tcPr>
            <w:tcW w:w="936" w:type="dxa"/>
            <w:shd w:val="clear" w:color="auto" w:fill="F4F7FB"/>
            <w:noWrap/>
            <w:vAlign w:val="top"/>
          </w:tcPr>
          <w:p>
            <w:pPr>
              <w:pStyle w:val="TableText"/>
              <w:jc w:val="left"/>
            </w:pPr>
            <w:r>
              <w:t xml:space="preserve">NFR-068</w:t>
            </w:r>
          </w:p>
        </w:tc>
        <w:tc>
          <w:tcPr>
            <w:tcW w:w="1660" w:type="dxa"/>
            <w:shd w:val="clear" w:color="auto" w:fill="F4F7FB"/>
            <w:vAlign w:val="top"/>
          </w:tcPr>
          <w:p>
            <w:pPr>
              <w:pStyle w:val="TableText"/>
              <w:jc w:val="left"/>
            </w:pPr>
            <w:r>
              <w:t xml:space="preserve">Contact hygiene</w:t>
            </w:r>
          </w:p>
        </w:tc>
        <w:tc>
          <w:tcPr>
            <w:tcW w:w="2075" w:type="dxa"/>
            <w:shd w:val="clear" w:color="auto" w:fill="F4F7FB"/>
            <w:vAlign w:val="top"/>
          </w:tcPr>
          <w:p>
            <w:pPr>
              <w:pStyle w:val="TableText"/>
              <w:jc w:val="left"/>
            </w:pPr>
            <w:r>
              <w:t xml:space="preserve">No marketing contact outside 08:00 to 20:00 Vietnam time or above the caps</w:t>
            </w:r>
          </w:p>
        </w:tc>
        <w:tc>
          <w:tcPr>
            <w:tcW w:w="2178" w:type="dxa"/>
            <w:shd w:val="clear" w:color="auto" w:fill="F4F7FB"/>
            <w:vAlign w:val="top"/>
          </w:tcPr>
          <w:p>
            <w:pPr>
              <w:pStyle w:val="TableText"/>
              <w:jc w:val="left"/>
            </w:pPr>
            <w:r>
              <w:t xml:space="preserve">Message log analysis</w:t>
            </w:r>
          </w:p>
        </w:tc>
        <w:tc>
          <w:tcPr>
            <w:tcW w:w="2178" w:type="dxa"/>
            <w:shd w:val="clear" w:color="auto" w:fill="F4F7FB"/>
            <w:vAlign w:val="top"/>
          </w:tcPr>
          <w:p>
            <w:pPr>
              <w:pStyle w:val="TableText"/>
              <w:jc w:val="left"/>
            </w:pPr>
            <w:r>
              <w:t xml:space="preserve">Built for journeys, triggers and assistant campaigns</w:t>
            </w:r>
          </w:p>
        </w:tc>
      </w:tr>
      <w:tr>
        <w:trPr>
          <w:cantSplit/>
        </w:trPr>
        <w:tc>
          <w:tcPr>
            <w:tcW w:w="936" w:type="dxa"/>
            <w:noWrap/>
            <w:vAlign w:val="top"/>
          </w:tcPr>
          <w:p>
            <w:pPr>
              <w:pStyle w:val="TableText"/>
              <w:jc w:val="left"/>
            </w:pPr>
            <w:r>
              <w:t xml:space="preserve">NFR-069</w:t>
            </w:r>
          </w:p>
        </w:tc>
        <w:tc>
          <w:tcPr>
            <w:tcW w:w="1660" w:type="dxa"/>
            <w:vAlign w:val="top"/>
          </w:tcPr>
          <w:p>
            <w:pPr>
              <w:pStyle w:val="TableText"/>
              <w:jc w:val="left"/>
            </w:pPr>
            <w:r>
              <w:t xml:space="preserve">Commission caps</w:t>
            </w:r>
          </w:p>
        </w:tc>
        <w:tc>
          <w:tcPr>
            <w:tcW w:w="2075" w:type="dxa"/>
            <w:vAlign w:val="top"/>
          </w:tcPr>
          <w:p>
            <w:pPr>
              <w:pStyle w:val="TableText"/>
              <w:jc w:val="left"/>
            </w:pPr>
            <w:r>
              <w:t xml:space="preserve">No commission line above the statutory cap</w:t>
            </w:r>
          </w:p>
        </w:tc>
        <w:tc>
          <w:tcPr>
            <w:tcW w:w="2178" w:type="dxa"/>
            <w:vAlign w:val="top"/>
          </w:tcPr>
          <w:p>
            <w:pPr>
              <w:pStyle w:val="TableText"/>
              <w:jc w:val="left"/>
            </w:pPr>
            <w:r>
              <w:t xml:space="preserve">Save-time validation; statement audit</w:t>
            </w:r>
          </w:p>
        </w:tc>
        <w:tc>
          <w:tcPr>
            <w:tcW w:w="2178" w:type="dxa"/>
            <w:vAlign w:val="top"/>
          </w:tcPr>
          <w:p>
            <w:pPr>
              <w:pStyle w:val="TableText"/>
              <w:jc w:val="left"/>
            </w:pPr>
            <w:r>
              <w:t xml:space="preserve">Built</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29" w:name="_Toc300000025"/>
      <w:r>
        <w:rPr>
          <w:rStyle w:val="BookTitle"/>
          <w:bCs w:val="0"/>
          <w:i w:val="0"/>
          <w:iCs w:val="0"/>
          <w:spacing w:val="0"/>
        </w:rPr>
        <w:t xml:space="preserve">Requirements Sign-Off</w:t>
      </w:r>
      <w:bookmarkEnd w:id="2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2"/>
        <w:gridCol w:w="4822"/>
        <w:gridCol w:w="2261"/>
        <w:gridCol w:w="972"/>
      </w:tblGrid>
      <w:tr w:rsidR="002B183A" w14:paraId="0ABAE4AD" w14:textId="77777777" w:rsidTr="002923F3">
        <w:trPr>
          <w:cantSplit/>
          <w:trHeight w:val="440"/>
          <w:tblHeader/>
        </w:trPr>
        <w:tc>
          <w:tcPr>
            <w:tcW w:w="972" w:type="dxa"/>
            <w:shd w:val="clear" w:color="auto" w:fill="0F4761"/>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lastRenderedPageBreak/>
              <w:t>Serial Number</w:t>
            </w:r>
          </w:p>
        </w:tc>
        <w:tc>
          <w:tcPr>
            <w:tcW w:w="4822" w:type="dxa"/>
            <w:shd w:val="clear" w:color="auto" w:fill="0F4761"/>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Description</w:t>
            </w:r>
          </w:p>
        </w:tc>
        <w:tc>
          <w:tcPr>
            <w:tcW w:w="2261" w:type="dxa"/>
            <w:shd w:val="clear" w:color="auto" w:fill="0F4761"/>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Owner</w:t>
            </w:r>
          </w:p>
        </w:tc>
        <w:tc>
          <w:tcPr>
            <w:tcW w:w="972" w:type="dxa"/>
            <w:shd w:val="clear" w:color="auto" w:fill="0F4761"/>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Status</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1</w:t>
            </w:r>
          </w:p>
        </w:tc>
        <w:tc>
          <w:tcPr>
            <w:tcW w:w="4822"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Performance, availability and recovery targets agreed with TASCO and VETC IT in discovery</w:t>
            </w:r>
          </w:p>
        </w:tc>
        <w:tc>
          <w:tcPr>
            <w:tcW w:w="2261"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 Architecture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2</w:t>
            </w:r>
          </w:p>
        </w:tc>
        <w:tc>
          <w:tcPr>
            <w:tcW w:w="4822"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Production hosting location and data residency position (to be confirmed by TASCO legal)</w:t>
            </w:r>
          </w:p>
        </w:tc>
        <w:tc>
          <w:tcPr>
            <w:tcW w:w="2261"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Legal and IT Security</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3</w:t>
            </w:r>
          </w:p>
        </w:tc>
        <w:tc>
          <w:tcPr>
            <w:tcW w:w="4822"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Data protection impact assessment and processing register approved</w:t>
            </w:r>
          </w:p>
        </w:tc>
        <w:tc>
          <w:tcPr>
            <w:tcW w:w="2261"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Compliance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4</w:t>
            </w:r>
          </w:p>
        </w:tc>
        <w:tc>
          <w:tcPr>
            <w:tcW w:w="4822"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Independent penetration test scope and provider agreed</w:t>
            </w:r>
          </w:p>
        </w:tc>
        <w:tc>
          <w:tcPr>
            <w:tcW w:w="2261"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 Security</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5</w:t>
            </w:r>
          </w:p>
        </w:tc>
        <w:tc>
          <w:tcPr>
            <w:tcW w:w="4822"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Retention schedule and legal-hold rules confirmed (to be confirmed by TASCO legal)</w:t>
            </w:r>
          </w:p>
        </w:tc>
        <w:tc>
          <w:tcPr>
            <w:tcW w:w="2261"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Legal</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6</w:t>
            </w:r>
          </w:p>
        </w:tc>
        <w:tc>
          <w:tcPr>
            <w:tcW w:w="4822"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72-hour response time for data-subject requests confirmed (to be confirmed by TASCO legal)</w:t>
            </w:r>
          </w:p>
        </w:tc>
        <w:tc>
          <w:tcPr>
            <w:tcW w:w="2261"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Legal and Compliance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7</w:t>
            </w:r>
          </w:p>
        </w:tc>
        <w:tc>
          <w:tcPr>
            <w:tcW w:w="4822"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Workload assumptions W-1 to W-7 confirmed against VETC data</w:t>
            </w:r>
          </w:p>
        </w:tc>
        <w:tc>
          <w:tcPr>
            <w:tcW w:w="2261"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VETC Data and Integration Lead</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bl>
    <w:p w14:paraId="57CC15FC" w14:textId="77777777" w:rsidR="002B183A" w:rsidRDefault="002B183A" w:rsidP="002B183A">
      <w:pPr>
        <w:jc w:val="both"/>
        <w:rPr>
          <w:rFonts w:ascii="Segoe UI" w:eastAsia="Arial" w:hAnsi="Segoe UI" w:cs="Segoe UI"/>
          <w:color w:val="101820"/>
          <w:sz w:val="22"/>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4"/>
        <w:gridCol w:w="1534"/>
        <w:gridCol w:w="2403"/>
        <w:gridCol w:w="4116"/>
      </w:tblGrid>
      <w:tr w:rsidR="002B183A" w14:paraId="731A77C7" w14:textId="77777777" w:rsidTr="002923F3">
        <w:trPr>
          <w:cantSplit/>
          <w:trHeight w:val="440"/>
          <w:tblHeader/>
        </w:trPr>
        <w:tc>
          <w:tcPr>
            <w:tcW w:w="974" w:type="dxa"/>
            <w:shd w:val="clear" w:color="auto" w:fill="0F4761"/>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 xml:space="preserve">Sign Off </w:t>
            </w:r>
            <w:r w:rsidRPr="00FF67C3">
              <w:rPr>
                <w:rFonts w:ascii="Segoe UI" w:eastAsia="Arial" w:hAnsi="Segoe UI" w:cs="Segoe UI"/>
                <w:b/>
                <w:bCs/>
                <w:color w:val="FFFFFF"/>
                <w:sz w:val="16"/>
                <w:szCs w:val="16"/>
              </w:rPr>
              <w:t>Date</w:t>
            </w:r>
          </w:p>
        </w:tc>
        <w:tc>
          <w:tcPr>
            <w:tcW w:w="1534" w:type="dxa"/>
            <w:shd w:val="clear" w:color="auto" w:fill="0F4761"/>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Signature</w:t>
            </w:r>
          </w:p>
        </w:tc>
        <w:tc>
          <w:tcPr>
            <w:tcW w:w="2403" w:type="dxa"/>
            <w:shd w:val="clear" w:color="auto" w:fill="0F4761"/>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Approved By</w:t>
            </w:r>
          </w:p>
        </w:tc>
        <w:tc>
          <w:tcPr>
            <w:tcW w:w="4116" w:type="dxa"/>
            <w:shd w:val="clear" w:color="auto" w:fill="0F4761"/>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Department &amp; Project Role</w:t>
            </w:r>
          </w:p>
        </w:tc>
      </w:tr>
      <w:tr w:rsidR="002B183A" w:rsidRPr="00BB346A" w14:paraId="2AD1806B" w14:textId="77777777" w:rsidTr="002923F3">
        <w:trPr>
          <w:cantSplit/>
          <w:trHeight w:val="760"/>
        </w:trPr>
        <w:tc>
          <w:tcPr>
            <w:tcW w:w="974"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534"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403"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4116"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Programme Sponsor</w:t>
            </w:r>
          </w:p>
        </w:tc>
      </w:tr>
      <w:tr w:rsidR="002B183A" w:rsidRPr="00BB346A" w14:paraId="2AD1806B" w14:textId="77777777" w:rsidTr="002923F3">
        <w:trPr>
          <w:cantSplit/>
          <w:trHeight w:val="760"/>
        </w:trPr>
        <w:tc>
          <w:tcPr>
            <w:tcW w:w="974"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534"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403"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4116"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 Architecture and IT Security</w:t>
            </w:r>
          </w:p>
        </w:tc>
      </w:tr>
      <w:tr w:rsidR="002B183A" w:rsidRPr="00BB346A" w14:paraId="2AD1806B" w14:textId="77777777" w:rsidTr="002923F3">
        <w:trPr>
          <w:cantSplit/>
          <w:trHeight w:val="760"/>
        </w:trPr>
        <w:tc>
          <w:tcPr>
            <w:tcW w:w="974"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534"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403"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4116"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Solution Architecture</w:t>
            </w:r>
          </w:p>
        </w:tc>
      </w:tr>
    </w:tbl>
    <w:p w14:paraId="1146A836" w14:textId="10B273DD" w:rsidR="00EE516B" w:rsidRDefault="002B183A">
      <w:r w:rsidRPr="00FE19FE">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pStyle w:val="Heading2"/>
      <w:lvlText w:val="%1.%2."/>
      <w:lvlJc w:val="left"/>
      <w:pPr>
        <w:ind w:left="720" w:hanging="720"/>
      </w:pPr>
      <w:rPr>
        <w:rFonts w:ascii="Segoe UI" w:hAnsi="Segoe UI" w:hint="default"/>
        <w:b/>
        <w:i w:val="0"/>
        <w:color w:val="0F4761"/>
        <w:sz w:val="26"/>
        <w:szCs w:val="26"/>
      </w:rPr>
    </w:lvl>
    <w:lvl w:ilvl="2">
      <w:start w:val="1"/>
      <w:numFmt w:val="decimal"/>
      <w:pStyle w:val="Heading3"/>
      <w:lvlText w:val="%1.%2.%3."/>
      <w:lvlJc w:val="left"/>
      <w:pPr>
        <w:ind w:left="864" w:hanging="864"/>
      </w:pPr>
      <w:rPr>
        <w:rFonts w:ascii="Segoe UI" w:hAnsi="Segoe UI" w:hint="default"/>
        <w:b/>
        <w:i w:val="0"/>
        <w:color w:val="0F4761"/>
        <w:sz w:val="23"/>
        <w:szCs w:val="2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0">
    <w:nsid w:val="A990"/>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num w:numId="1" w16cid:durableId="1413504409">
    <w:abstractNumId w:val="0"/>
  </w:num>
  <w:num w:numId="2" w16cid:durableId="1722510407">
    <w:abstractNumId w:val="1"/>
  </w:num>
  <w:num w:numId="1000">
    <w:abstractNumId w:val="9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styleId="BodyText">
    <w:name w:val="Body Text"/>
    <w:basedOn w:val="Normal"/>
    <w:qFormat/>
    <w:pPr>
      <w:spacing w:before="0" w:after="140" w:line="276" w:lineRule="auto"/>
      <w:jc w:val="both"/>
    </w:pPr>
    <w:rPr>
      <w:rFonts w:ascii="Segoe UI" w:hAnsi="Segoe UI" w:eastAsia="Segoe UI" w:cs="Segoe UI"/>
      <w:color w:val="101820"/>
      <w:sz w:val="22"/>
      <w:szCs w:val="22"/>
    </w:rPr>
  </w:style>
  <w:style w:type="paragraph" w:customStyle="1" w:styleId="FirstParagraph">
    <w:name w:val="First Paragraph"/>
    <w:basedOn w:val="BodyText"/>
    <w:qFormat/>
  </w:style>
  <w:style w:type="paragraph" w:customStyle="1" w:styleId="Compact">
    <w:name w:val="Compact"/>
    <w:basedOn w:val="BodyText"/>
    <w:qFormat/>
    <w:pPr>
      <w:spacing w:before="0" w:after="60"/>
      <w:jc w:val="left"/>
    </w:pPr>
  </w:style>
  <w:style w:type="paragraph" w:customStyle="1" w:styleId="TableText">
    <w:name w:val="Table Text"/>
    <w:basedOn w:val="Normal"/>
    <w:qFormat/>
    <w:pPr>
      <w:spacing w:before="20" w:after="20" w:line="245" w:lineRule="auto"/>
      <w:jc w:val="left"/>
    </w:pPr>
    <w:rPr>
      <w:rFonts w:ascii="Segoe UI" w:hAnsi="Segoe UI" w:eastAsia="Segoe UI" w:cs="Segoe UI"/>
      <w:color w:val="101820"/>
      <w:sz w:val="19"/>
      <w:szCs w:val="19"/>
    </w:rPr>
  </w:style>
  <w:style w:type="paragraph" w:customStyle="1" w:styleId="TableHeading">
    <w:name w:val="Table Heading"/>
    <w:basedOn w:val="TableText"/>
    <w:qFormat/>
    <w:pPr>
      <w:keepNext/>
    </w:pPr>
    <w:rPr>
      <w:b/>
      <w:bCs/>
      <w:color w:val="FFFFFF"/>
    </w:rPr>
  </w:style>
  <w:style w:type="paragraph" w:styleId="Heading2">
    <w:name w:val="heading 2"/>
    <w:basedOn w:val="Normal"/>
    <w:next w:val="BodyText"/>
    <w:uiPriority w:val="9"/>
    <w:unhideWhenUsed/>
    <w:qFormat/>
    <w:pPr>
      <w:keepNext/>
      <w:keepLines/>
      <w:numPr>
        <w:ilvl w:val="1"/>
        <w:numId w:val="1"/>
      </w:numPr>
      <w:spacing w:before="280" w:after="100" w:line="259" w:lineRule="auto"/>
      <w:ind w:left="720" w:hanging="720"/>
      <w:outlineLvl w:val="1"/>
    </w:pPr>
    <w:rPr>
      <w:rFonts w:asciiTheme="majorHAnsi" w:eastAsiaTheme="majorEastAsia" w:hAnsiTheme="majorHAnsi" w:cstheme="majorBidi"/>
      <w:b/>
      <w:bCs/>
      <w:color w:val="0F4761"/>
      <w:sz w:val="26"/>
      <w:szCs w:val="26"/>
    </w:rPr>
  </w:style>
  <w:style w:type="paragraph" w:styleId="Heading3">
    <w:name w:val="heading 3"/>
    <w:basedOn w:val="Normal"/>
    <w:next w:val="BodyText"/>
    <w:uiPriority w:val="9"/>
    <w:unhideWhenUsed/>
    <w:qFormat/>
    <w:pPr>
      <w:keepNext/>
      <w:keepLines/>
      <w:numPr>
        <w:ilvl w:val="2"/>
        <w:numId w:val="1"/>
      </w:numPr>
      <w:spacing w:before="220" w:after="80" w:line="259" w:lineRule="auto"/>
      <w:ind w:left="864" w:hanging="864"/>
      <w:outlineLvl w:val="2"/>
    </w:pPr>
    <w:rPr>
      <w:rFonts w:asciiTheme="majorHAnsi" w:eastAsiaTheme="majorEastAsia" w:hAnsiTheme="majorHAnsi" w:cstheme="majorBidi"/>
      <w:b/>
      <w:bCs/>
      <w:color w:val="0F4761"/>
      <w:sz w:val="23"/>
      <w:szCs w:val="23"/>
    </w:rPr>
  </w:style>
  <w:style w:type="paragraph" w:styleId="Heading4">
    <w:name w:val="heading 4"/>
    <w:basedOn w:val="Normal"/>
    <w:next w:val="BodyText"/>
    <w:uiPriority w:val="9"/>
    <w:unhideWhenUsed/>
    <w:qFormat/>
    <w:pPr>
      <w:keepNext/>
      <w:keepLines/>
      <w:spacing w:before="180" w:after="60" w:line="259" w:lineRule="auto"/>
      <w:outlineLvl w:val="3"/>
    </w:pPr>
    <w:rPr>
      <w:rFonts w:ascii="Segoe UI" w:hAnsi="Segoe UI" w:eastAsia="Segoe UI" w:cs="Segoe UI"/>
      <w:b/>
      <w:bCs/>
      <w:color w:val="0F4761"/>
      <w:sz w:val="22"/>
      <w:szCs w:val="22"/>
    </w:rPr>
  </w:style>
  <w:style w:type="paragraph" w:styleId="Caption">
    <w:name w:val="caption"/>
    <w:basedOn w:val="Normal"/>
    <w:next w:val="BodyText"/>
    <w:qFormat/>
    <w:pPr>
      <w:spacing w:before="60" w:after="240" w:line="240" w:lineRule="auto"/>
      <w:jc w:val="center"/>
    </w:pPr>
    <w:rPr>
      <w:rFonts w:ascii="Segoe UI" w:hAnsi="Segoe UI" w:eastAsia="Segoe UI" w:cs="Segoe UI"/>
      <w:i/>
      <w:iCs/>
      <w:color w:val="0F4761"/>
      <w:sz w:val="18"/>
      <w:szCs w:val="18"/>
    </w:rPr>
  </w:style>
  <w:style w:type="paragraph" w:customStyle="1" w:styleId="TableCaption">
    <w:name w:val="Table Caption"/>
    <w:basedOn w:val="Caption"/>
    <w:qFormat/>
    <w:pPr>
      <w:keepNext/>
      <w:spacing w:before="160" w:after="80"/>
      <w:jc w:val="left"/>
    </w:pPr>
  </w:style>
  <w:style w:type="paragraph" w:customStyle="1" w:styleId="Figure">
    <w:name w:val="Figure"/>
    <w:basedOn w:val="Normal"/>
    <w:next w:val="Caption"/>
    <w:qFormat/>
    <w:pPr>
      <w:keepNext/>
      <w:spacing w:before="160" w:after="40" w:line="240" w:lineRule="auto"/>
      <w:jc w:val="center"/>
    </w:pPr>
  </w:style>
  <w:style w:type="paragraph" w:customStyle="1" w:styleId="FigureWide">
    <w:name w:val="Figure Wide"/>
    <w:basedOn w:val="Figure"/>
    <w:next w:val="Caption"/>
    <w:qFormat/>
  </w:style>
  <w:style w:type="paragraph" w:customStyle="1" w:styleId="CodeBlock">
    <w:name w:val="Code Block"/>
    <w:basedOn w:val="Normal"/>
    <w:next w:val="BodyText"/>
    <w:qFormat/>
    <w:pPr>
      <w:pBdr>
        <w:top w:val="single" w:sz="4" w:space="4" w:color="D3DCE6"/>
        <w:left w:val="single" w:sz="4" w:space="4" w:color="D3DCE6"/>
        <w:bottom w:val="single" w:sz="4" w:space="4" w:color="D3DCE6"/>
        <w:right w:val="single" w:sz="4" w:space="4" w:color="D3DCE6"/>
      </w:pBdr>
      <w:shd w:val="clear" w:color="auto" w:fill="F3F6FA"/>
      <w:spacing w:before="80" w:after="200" w:line="240" w:lineRule="auto"/>
      <w:ind w:left="113" w:right="113"/>
      <w:jc w:val="left"/>
    </w:pPr>
    <w:rPr>
      <w:rFonts w:ascii="Consolas" w:hAnsi="Consolas" w:eastAsia="Consolas" w:cs="Consolas"/>
      <w:color w:val="1F2937"/>
      <w:sz w:val="18"/>
      <w:szCs w:val="18"/>
    </w:rPr>
  </w:style>
  <w:style w:type="character" w:customStyle="1" w:styleId="CodeChar">
    <w:name w:val="Code Char"/>
    <w:basedOn w:val="DefaultParagraphFont"/>
    <w:qFormat/>
    <w:rPr>
      <w:rFonts w:ascii="Consolas" w:hAnsi="Consolas" w:eastAsia="Consolas" w:cs="Consolas"/>
      <w:color w:val="1F3864"/>
      <w:sz w:val="19"/>
      <w:szCs w:val="19"/>
    </w:rPr>
  </w:style>
  <w:style w:type="paragraph" w:customStyle="1" w:styleId="Callout">
    <w:name w:val="Callout"/>
    <w:basedOn w:val="Normal"/>
    <w:next w:val="BodyText"/>
    <w:qFormat/>
    <w:pPr>
      <w:pBdr>
        <w:left w:val="single" w:sz="24" w:space="8" w:color="1D74BA"/>
      </w:pBdr>
      <w:shd w:val="clear" w:color="auto" w:fill="E8F1FA"/>
      <w:spacing w:before="60" w:after="60" w:line="264" w:lineRule="auto"/>
      <w:ind w:left="227" w:right="113"/>
      <w:jc w:val="left"/>
    </w:pPr>
    <w:rPr>
      <w:rFonts w:ascii="Segoe UI" w:hAnsi="Segoe UI" w:eastAsia="Segoe UI" w:cs="Segoe UI"/>
      <w:color w:val="101820"/>
      <w:sz w:val="21"/>
      <w:szCs w:val="21"/>
    </w:rPr>
  </w:style>
  <w:style w:type="paragraph" w:styleId="TOC2">
    <w:name w:val="toc 2"/>
    <w:basedOn w:val="Normal"/>
    <w:next w:val="Normal"/>
    <w:uiPriority w:val="39"/>
    <w:unhideWhenUsed/>
    <w:pPr>
      <w:tabs>
        <w:tab w:val="left" w:pos="1260"/>
        <w:tab w:val="right" w:leader="dot" w:pos="9350"/>
      </w:tabs>
      <w:spacing w:after="60" w:line="264" w:lineRule="auto"/>
      <w:ind w:left="360"/>
    </w:pPr>
    <w:rPr>
      <w:rFonts w:ascii="Segoe UI" w:hAnsi="Segoe UI" w:eastAsia="Segoe UI" w:cs="Segoe UI"/>
      <w:noProof/>
      <w:color w:val="101820"/>
      <w:sz w:val="19"/>
      <w:szCs w:val="19"/>
    </w:rPr>
  </w:style>
  <w:style w:type="paragraph" w:styleId="TOC3">
    <w:name w:val="toc 3"/>
    <w:basedOn w:val="Normal"/>
    <w:next w:val="Normal"/>
    <w:uiPriority w:val="39"/>
    <w:unhideWhenUsed/>
    <w:pPr>
      <w:tabs>
        <w:tab w:val="left" w:pos="1700"/>
        <w:tab w:val="right" w:leader="dot" w:pos="9350"/>
      </w:tabs>
      <w:spacing w:after="40" w:line="264" w:lineRule="auto"/>
      <w:ind w:left="720"/>
    </w:pPr>
    <w:rPr>
      <w:rFonts w:ascii="Segoe UI" w:hAnsi="Segoe UI" w:eastAsia="Segoe UI" w:cs="Segoe UI"/>
      <w:noProof/>
      <w:color w:val="404A55"/>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footer" Target="footer2.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iorta TechNXT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Non-Functional Requirements</dc:title>
  <dc:subject>TGP-BUS-03</dc:subject>
  <dc:creator>iorta TechNXT</dc:creator>
  <cp:keywords>TGP-BUS-03; TASCO Insurance; iorta TechNXT</cp:keywords>
  <dc:description>TASCO Motor Insurance Growth Platform</dc:description>
  <cp:lastModifiedBy>iorta TechNXT</cp:lastModifiedBy>
  <cp:revision>1</cp:revision>
  <dcterms:created xsi:type="dcterms:W3CDTF">2026-10-08T03:54:37Z</dcterms:created>
  <dcterms:modified xsi:type="dcterms:W3CDTF">2026-10-08T03:54:37Z</dcterms:modified>
</cp:coreProperties>
</file>