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TGP-DEL-01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Project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1"/>
      </w:pPr>
      <w:hyperlink w:anchor="_Toc300000004" w:history="1">
        <w:r>
          <w:rPr>
            <w:noProof/>
          </w:rPr>
          <w:t>4.</w:t>
        </w:r>
        <w:r>
          <w:rPr>
            <w:noProof/>
          </w:rPr>
          <w:tab/>
        </w:r>
        <w:r>
          <w:rPr>
            <w:noProof/>
          </w:rPr>
          <w:t xml:space="preserve">Objectives and scope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1"/>
      </w:pPr>
      <w:hyperlink w:anchor="_Toc300000005" w:history="1">
        <w:r>
          <w:rPr>
            <w:noProof/>
          </w:rPr>
          <w:t>5.</w:t>
        </w:r>
        <w:r>
          <w:rPr>
            <w:noProof/>
          </w:rPr>
          <w:tab/>
        </w:r>
        <w:r>
          <w:rPr>
            <w:noProof/>
          </w:rPr>
          <w:t xml:space="preserve">Plan overview</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1"/>
      </w:pPr>
      <w:hyperlink w:anchor="_Toc300000006" w:history="1">
        <w:r>
          <w:rPr>
            <w:noProof/>
          </w:rPr>
          <w:t>6.</w:t>
        </w:r>
        <w:r>
          <w:rPr>
            <w:noProof/>
          </w:rPr>
          <w:tab/>
        </w:r>
        <w:r>
          <w:rPr>
            <w:noProof/>
          </w:rPr>
          <w:t xml:space="preserve">Stages</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6</w:t>
        </w:r>
        <w:r>
          <w:rPr>
            <w:noProof/>
            <w:webHidden/>
          </w:rPr>
          <w:fldChar w:fldCharType="end"/>
        </w:r>
      </w:hyperlink>
    </w:p>
    <w:p>
      <w:pPr>
        <w:pStyle w:val="TOC2"/>
      </w:pPr>
      <w:hyperlink w:anchor="_Toc300000007" w:history="1">
        <w:r>
          <w:rPr>
            <w:noProof/>
          </w:rPr>
          <w:t>6.1.</w:t>
        </w:r>
        <w:r>
          <w:rPr>
            <w:noProof/>
          </w:rPr>
          <w:tab/>
        </w:r>
        <w:r>
          <w:rPr>
            <w:noProof/>
          </w:rPr>
          <w:t xml:space="preserve">Discovery and design (weeks 1 and 2)</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6</w:t>
        </w:r>
        <w:r>
          <w:rPr>
            <w:noProof/>
            <w:webHidden/>
          </w:rPr>
          <w:fldChar w:fldCharType="end"/>
        </w:r>
      </w:hyperlink>
    </w:p>
    <w:p>
      <w:pPr>
        <w:pStyle w:val="TOC2"/>
      </w:pPr>
      <w:hyperlink w:anchor="_Toc300000008" w:history="1">
        <w:r>
          <w:rPr>
            <w:noProof/>
          </w:rPr>
          <w:t>6.2.</w:t>
        </w:r>
        <w:r>
          <w:rPr>
            <w:noProof/>
          </w:rPr>
          <w:tab/>
        </w:r>
        <w:r>
          <w:rPr>
            <w:noProof/>
          </w:rPr>
          <w:t xml:space="preserve">Build and integrate (weeks 3 to 10)</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2"/>
      </w:pPr>
      <w:hyperlink w:anchor="_Toc300000009" w:history="1">
        <w:r>
          <w:rPr>
            <w:noProof/>
          </w:rPr>
          <w:t>6.3.</w:t>
        </w:r>
        <w:r>
          <w:rPr>
            <w:noProof/>
          </w:rPr>
          <w:tab/>
        </w:r>
        <w:r>
          <w:rPr>
            <w:noProof/>
          </w:rPr>
          <w:t xml:space="preserve">Test and go-live (weeks 11 to 13)</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7</w:t>
        </w:r>
        <w:r>
          <w:rPr>
            <w:noProof/>
            <w:webHidden/>
          </w:rPr>
          <w:fldChar w:fldCharType="end"/>
        </w:r>
      </w:hyperlink>
    </w:p>
    <w:p>
      <w:pPr>
        <w:pStyle w:val="TOC2"/>
      </w:pPr>
      <w:hyperlink w:anchor="_Toc300000010" w:history="1">
        <w:r>
          <w:rPr>
            <w:noProof/>
          </w:rPr>
          <w:t>6.4.</w:t>
        </w:r>
        <w:r>
          <w:rPr>
            <w:noProof/>
          </w:rPr>
          <w:tab/>
        </w:r>
        <w:r>
          <w:rPr>
            <w:noProof/>
          </w:rPr>
          <w:t xml:space="preserve">Hypercare (weeks 14 to 17)</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8</w:t>
        </w:r>
        <w:r>
          <w:rPr>
            <w:noProof/>
            <w:webHidden/>
          </w:rPr>
          <w:fldChar w:fldCharType="end"/>
        </w:r>
      </w:hyperlink>
    </w:p>
    <w:p>
      <w:pPr>
        <w:pStyle w:val="TOC2"/>
      </w:pPr>
      <w:hyperlink w:anchor="_Toc300000011" w:history="1">
        <w:r>
          <w:rPr>
            <w:noProof/>
          </w:rPr>
          <w:t>6.5.</w:t>
        </w:r>
        <w:r>
          <w:rPr>
            <w:noProof/>
          </w:rPr>
          <w:tab/>
        </w:r>
        <w:r>
          <w:rPr>
            <w:noProof/>
          </w:rPr>
          <w:t xml:space="preserve">Pilot ramp-up and read-out (weeks 18 to about 27)</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6.6.</w:t>
        </w:r>
        <w:r>
          <w:rPr>
            <w:noProof/>
          </w:rPr>
          <w:tab/>
        </w:r>
        <w:r>
          <w:rPr>
            <w:noProof/>
          </w:rPr>
          <w:t xml:space="preserve">Scale phase (optional, after the read-out)</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1"/>
      </w:pPr>
      <w:hyperlink w:anchor="_Toc300000013" w:history="1">
        <w:r>
          <w:rPr>
            <w:noProof/>
          </w:rPr>
          <w:t>7.</w:t>
        </w:r>
        <w:r>
          <w:rPr>
            <w:noProof/>
          </w:rPr>
          <w:tab/>
        </w:r>
        <w:r>
          <w:rPr>
            <w:noProof/>
          </w:rPr>
          <w:t xml:space="preserve">Milestones</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1"/>
      </w:pPr>
      <w:hyperlink w:anchor="_Toc300000014" w:history="1">
        <w:r>
          <w:rPr>
            <w:noProof/>
          </w:rPr>
          <w:t>8.</w:t>
        </w:r>
        <w:r>
          <w:rPr>
            <w:noProof/>
          </w:rPr>
          <w:tab/>
        </w:r>
        <w:r>
          <w:rPr>
            <w:noProof/>
          </w:rPr>
          <w:t xml:space="preserve">Team and effort</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10</w:t>
        </w:r>
        <w:r>
          <w:rPr>
            <w:noProof/>
            <w:webHidden/>
          </w:rPr>
          <w:fldChar w:fldCharType="end"/>
        </w:r>
      </w:hyperlink>
    </w:p>
    <w:p>
      <w:pPr>
        <w:pStyle w:val="TOC1"/>
      </w:pPr>
      <w:hyperlink w:anchor="_Toc300000015" w:history="1">
        <w:r>
          <w:rPr>
            <w:noProof/>
          </w:rPr>
          <w:t>9.</w:t>
        </w:r>
        <w:r>
          <w:rPr>
            <w:noProof/>
          </w:rPr>
          <w:tab/>
        </w:r>
        <w:r>
          <w:rPr>
            <w:noProof/>
          </w:rPr>
          <w:t xml:space="preserve">Client responsibilities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11</w:t>
        </w:r>
        <w:r>
          <w:rPr>
            <w:noProof/>
            <w:webHidden/>
          </w:rPr>
          <w:fldChar w:fldCharType="end"/>
        </w:r>
      </w:hyperlink>
    </w:p>
    <w:p>
      <w:pPr>
        <w:pStyle w:val="TOC1"/>
      </w:pPr>
      <w:hyperlink w:anchor="_Toc300000016" w:history="1">
        <w:r>
          <w:rPr>
            <w:noProof/>
          </w:rPr>
          <w:t>10.</w:t>
        </w:r>
        <w:r>
          <w:rPr>
            <w:noProof/>
          </w:rPr>
          <w:tab/>
        </w:r>
        <w:r>
          <w:rPr>
            <w:noProof/>
          </w:rPr>
          <w:t xml:space="preserve">Dependencies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11</w:t>
        </w:r>
        <w:r>
          <w:rPr>
            <w:noProof/>
            <w:webHidden/>
          </w:rPr>
          <w:fldChar w:fldCharType="end"/>
        </w:r>
      </w:hyperlink>
    </w:p>
    <w:p>
      <w:pPr>
        <w:pStyle w:val="TOC1"/>
      </w:pPr>
      <w:hyperlink w:anchor="_Toc300000017" w:history="1">
        <w:r>
          <w:rPr>
            <w:noProof/>
          </w:rPr>
          <w:t>11.</w:t>
        </w:r>
        <w:r>
          <w:rPr>
            <w:noProof/>
          </w:rPr>
          <w:tab/>
        </w:r>
        <w:r>
          <w:rPr>
            <w:noProof/>
          </w:rPr>
          <w:t xml:space="preserve">Governance</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11</w:t>
        </w:r>
        <w:r>
          <w:rPr>
            <w:noProof/>
            <w:webHidden/>
          </w:rPr>
          <w:fldChar w:fldCharType="end"/>
        </w:r>
      </w:hyperlink>
    </w:p>
    <w:p>
      <w:pPr>
        <w:pStyle w:val="TOC1"/>
      </w:pPr>
      <w:hyperlink w:anchor="_Toc300000018" w:history="1">
        <w:r>
          <w:rPr>
            <w:noProof/>
          </w:rPr>
          <w:t>12.</w:t>
        </w:r>
        <w:r>
          <w:rPr>
            <w:noProof/>
          </w:rPr>
          <w:tab/>
        </w:r>
        <w:r>
          <w:rPr>
            <w:noProof/>
          </w:rPr>
          <w:t xml:space="preserve">Assumptions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12</w:t>
        </w:r>
        <w:r>
          <w:rPr>
            <w:noProof/>
            <w:webHidden/>
          </w:rPr>
          <w:fldChar w:fldCharType="end"/>
        </w:r>
      </w:hyperlink>
    </w:p>
    <w:p>
      <w:pPr>
        <w:pStyle w:val="TOC1"/>
      </w:pPr>
      <w:hyperlink w:anchor="_Toc300000019" w:history="1">
        <w:r>
          <w:rPr>
            <w:noProof/>
          </w:rPr>
          <w:t>13.</w:t>
        </w:r>
        <w:r>
          <w:rPr>
            <w:noProof/>
          </w:rPr>
          <w:tab/>
        </w:r>
        <w:r>
          <w:rPr>
            <w:noProof/>
          </w:rPr>
          <w:t xml:space="preserve">Appendix</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12</w:t>
        </w:r>
        <w:r>
          <w:rPr>
            <w:noProof/>
            <w:webHidden/>
          </w:rPr>
          <w:fldChar w:fldCharType="end"/>
        </w:r>
      </w:hyperlink>
    </w:p>
    <w:p>
      <w:pPr>
        <w:pStyle w:val="TOC2"/>
      </w:pPr>
      <w:hyperlink w:anchor="_Toc300000020" w:history="1">
        <w:r>
          <w:rPr>
            <w:noProof/>
          </w:rPr>
          <w:t>13.1.</w:t>
        </w:r>
        <w:r>
          <w:rPr>
            <w:noProof/>
          </w:rPr>
          <w:tab/>
        </w:r>
        <w:r>
          <w:rPr>
            <w:noProof/>
          </w:rPr>
          <w:t xml:space="preserve">Week calendar</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12</w:t>
        </w:r>
        <w:r>
          <w:rPr>
            <w:noProof/>
            <w:webHidden/>
          </w:rPr>
          <w:fldChar w:fldCharType="end"/>
        </w:r>
      </w:hyperlink>
    </w:p>
    <w:p>
      <w:pPr>
        <w:pStyle w:val="TOC1"/>
      </w:pPr>
      <w:hyperlink w:anchor="_Toc300000021" w:history="1">
        <w:r>
          <w:rPr>
            <w:noProof/>
          </w:rPr>
          <w:t>14.</w:t>
        </w:r>
        <w:r>
          <w:rPr>
            <w:noProof/>
          </w:rPr>
          <w:tab/>
        </w:r>
        <w:r>
          <w:rPr>
            <w:noProof/>
          </w:rPr>
          <w:t xml:space="preserve">Sign-Off</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13</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01"/>
        <w:gridCol w:w="925"/>
        <w:gridCol w:w="1700"/>
        <w:gridCol w:w="2000"/>
        <w:gridCol w:w="2000"/>
        <w:gridCol w:w="1201"/>
      </w:tblGrid>
      <w:tr w:rsidR="002B183A" w14:paraId="4E198CD6" w14:textId="77777777" w:rsidTr="002923F3">
        <w:trPr>
          <w:cantSplit/>
          <w:trHeight w:val="440"/>
          <w:tblHeader/>
        </w:trPr>
        <w:tc>
          <w:tcPr>
            <w:tcW w:w="1201"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2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00"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20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00"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01"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01"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2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00"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Delivery Management</w:t>
            </w:r>
          </w:p>
        </w:tc>
        <w:tc>
          <w:tcPr>
            <w:tcW w:w="20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Management</w:t>
            </w:r>
          </w:p>
        </w:tc>
        <w:tc>
          <w:tcPr>
            <w:tcW w:w="2000"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01"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38"/>
        <w:gridCol w:w="7489"/>
      </w:tblGrid>
      <w:tr w:rsidR="002B183A" w14:paraId="388F227F" w14:textId="77777777" w:rsidTr="002923F3">
        <w:trPr>
          <w:cantSplit/>
          <w:trHeight w:val="440"/>
          <w:tblHeader/>
        </w:trPr>
        <w:tc>
          <w:tcPr>
            <w:tcW w:w="1538"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89"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M0 to M4</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Contract milestones 0 to 4</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RACI</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Responsible, Accountable, Consulted, Informed</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SME</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Subject-Matter Expert</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UX</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Experience</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 Automatic Toll Collection Company</w:t>
            </w:r>
          </w:p>
        </w:tc>
      </w:tr>
      <w:tr w:rsidR="002B183A" w:rsidRPr="00BB346A" w14:paraId="73CFB63E" w14:textId="77777777" w:rsidTr="002923F3">
        <w:trPr>
          <w:cantSplit/>
          <w:trHeight w:val="449"/>
        </w:trPr>
        <w:tc>
          <w:tcPr>
            <w:tcW w:w="153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8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plan sets out how iorta TechNXT will deliver the minimum viable product (MVP) of the TASCO Growth Platform (the platform) for TASCO Insurance, with the VETC app as the first distribution host. It covers the 17-week MVP from discovery to the end of hypercare, the pilot read-out that follows, and the optional scale phase.</w:t>
      </w:r>
    </w:p>
    <w:p>
      <w:pPr>
        <w:pStyle w:val="BodyText"/>
      </w:pPr>
      <w:r>
        <w:t xml:space="preserve">The plan is the delivery view of the proposal. Dates, milestones, team effort and client commitments are the same as in the proposal, sections 16 to 23 and 28 to 29. All dates are indicative until the contract is signed and are re-baselined at milestone M1.</w:t>
      </w:r>
    </w:p>
    <w:p>
      <w:pPr>
        <w:pStyle w:val="BodyText"/>
      </w:pPr>
      <w:r>
        <w:t xml:space="preserve">The audience is the steering committee, the TASCO product owner, the TASCO and VETC integration leads and the iorta TechNXT delivery team.</w:t>
      </w:r>
    </w:p>
    <w:p>
      <w:pPr>
        <w:pStyle w:val="BodyText"/>
      </w:pPr>
      <w:r>
        <w:t xml:space="preserve">Related documents: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71"/>
        <w:gridCol w:w="3242"/>
        <w:gridCol w:w="4314"/>
      </w:tblGrid>
      <w:tr>
        <w:trPr>
          <w:cantSplit/>
          <w:tblHeader/>
        </w:trPr>
        <w:tc>
          <w:tcPr>
            <w:tcW w:w="1471" w:type="dxa"/>
            <w:shd w:val="clear" w:color="auto" w:fill="0F4761"/>
            <w:vAlign w:val="center"/>
          </w:tcPr>
          <w:p>
            <w:pPr>
              <w:pStyle w:val="TableHeading"/>
              <w:jc w:val="left"/>
            </w:pPr>
            <w:r>
              <w:rPr>
                <w:color w:val="FFFFFF"/>
              </w:rPr>
              <w:t xml:space="preserve">ID</w:t>
            </w:r>
          </w:p>
        </w:tc>
        <w:tc>
          <w:tcPr>
            <w:tcW w:w="3242" w:type="dxa"/>
            <w:shd w:val="clear" w:color="auto" w:fill="0F4761"/>
            <w:vAlign w:val="center"/>
          </w:tcPr>
          <w:p>
            <w:pPr>
              <w:pStyle w:val="TableHeading"/>
              <w:jc w:val="left"/>
            </w:pPr>
            <w:r>
              <w:rPr>
                <w:color w:val="FFFFFF"/>
              </w:rPr>
              <w:t xml:space="preserve">Title</w:t>
            </w:r>
          </w:p>
        </w:tc>
        <w:tc>
          <w:tcPr>
            <w:tcW w:w="4314" w:type="dxa"/>
            <w:shd w:val="clear" w:color="auto" w:fill="0F4761"/>
            <w:vAlign w:val="center"/>
          </w:tcPr>
          <w:p>
            <w:pPr>
              <w:pStyle w:val="TableHeading"/>
              <w:jc w:val="left"/>
            </w:pPr>
            <w:r>
              <w:rPr>
                <w:color w:val="FFFFFF"/>
              </w:rPr>
              <w:t xml:space="preserve">Relationship</w:t>
            </w:r>
          </w:p>
        </w:tc>
      </w:tr>
      <w:tr>
        <w:trPr>
          <w:cantSplit/>
        </w:trPr>
        <w:tc>
          <w:tcPr>
            <w:tcW w:w="1471" w:type="dxa"/>
            <w:noWrap/>
            <w:vAlign w:val="top"/>
          </w:tcPr>
          <w:p>
            <w:pPr>
              <w:pStyle w:val="TableText"/>
              <w:jc w:val="left"/>
            </w:pPr>
            <w:r>
              <w:t xml:space="preserve">TGP-DEL-02</w:t>
            </w:r>
          </w:p>
        </w:tc>
        <w:tc>
          <w:tcPr>
            <w:tcW w:w="3242" w:type="dxa"/>
            <w:vAlign w:val="top"/>
          </w:tcPr>
          <w:p>
            <w:pPr>
              <w:pStyle w:val="TableText"/>
              <w:jc w:val="left"/>
            </w:pPr>
            <w:r>
              <w:t xml:space="preserve">Delivery Methodology</w:t>
            </w:r>
          </w:p>
        </w:tc>
        <w:tc>
          <w:tcPr>
            <w:tcW w:w="4314" w:type="dxa"/>
            <w:vAlign w:val="top"/>
          </w:tcPr>
          <w:p>
            <w:pPr>
              <w:pStyle w:val="TableText"/>
              <w:jc w:val="left"/>
            </w:pPr>
            <w:r>
              <w:t xml:space="preserve">How sprints, quality gates and governance forums run</w:t>
            </w:r>
          </w:p>
        </w:tc>
      </w:tr>
      <w:tr>
        <w:trPr>
          <w:cantSplit/>
        </w:trPr>
        <w:tc>
          <w:tcPr>
            <w:tcW w:w="1471" w:type="dxa"/>
            <w:shd w:val="clear" w:color="auto" w:fill="F4F7FB"/>
            <w:noWrap/>
            <w:vAlign w:val="top"/>
          </w:tcPr>
          <w:p>
            <w:pPr>
              <w:pStyle w:val="TableText"/>
              <w:jc w:val="left"/>
            </w:pPr>
            <w:r>
              <w:t xml:space="preserve">TGP-DEL-03</w:t>
            </w:r>
          </w:p>
        </w:tc>
        <w:tc>
          <w:tcPr>
            <w:tcW w:w="3242" w:type="dxa"/>
            <w:shd w:val="clear" w:color="auto" w:fill="F4F7FB"/>
            <w:vAlign w:val="top"/>
          </w:tcPr>
          <w:p>
            <w:pPr>
              <w:pStyle w:val="TableText"/>
              <w:jc w:val="left"/>
            </w:pPr>
            <w:r>
              <w:t xml:space="preserve">RACI Matrix</w:t>
            </w:r>
          </w:p>
        </w:tc>
        <w:tc>
          <w:tcPr>
            <w:tcW w:w="4314" w:type="dxa"/>
            <w:shd w:val="clear" w:color="auto" w:fill="F4F7FB"/>
            <w:vAlign w:val="top"/>
          </w:tcPr>
          <w:p>
            <w:pPr>
              <w:pStyle w:val="TableText"/>
              <w:jc w:val="left"/>
            </w:pPr>
            <w:r>
              <w:t xml:space="preserve">Who does what for each activity in this plan</w:t>
            </w:r>
          </w:p>
        </w:tc>
      </w:tr>
      <w:tr>
        <w:trPr>
          <w:cantSplit/>
        </w:trPr>
        <w:tc>
          <w:tcPr>
            <w:tcW w:w="1471" w:type="dxa"/>
            <w:noWrap/>
            <w:vAlign w:val="top"/>
          </w:tcPr>
          <w:p>
            <w:pPr>
              <w:pStyle w:val="TableText"/>
              <w:jc w:val="left"/>
            </w:pPr>
            <w:r>
              <w:t xml:space="preserve">TGP-DEL-04</w:t>
            </w:r>
          </w:p>
        </w:tc>
        <w:tc>
          <w:tcPr>
            <w:tcW w:w="3242" w:type="dxa"/>
            <w:vAlign w:val="top"/>
          </w:tcPr>
          <w:p>
            <w:pPr>
              <w:pStyle w:val="TableText"/>
              <w:jc w:val="left"/>
            </w:pPr>
            <w:r>
              <w:t xml:space="preserve">Risk Register</w:t>
            </w:r>
          </w:p>
        </w:tc>
        <w:tc>
          <w:tcPr>
            <w:tcW w:w="4314" w:type="dxa"/>
            <w:vAlign w:val="top"/>
          </w:tcPr>
          <w:p>
            <w:pPr>
              <w:pStyle w:val="TableText"/>
              <w:jc w:val="left"/>
            </w:pPr>
            <w:r>
              <w:t xml:space="preserve">Delivery risks and their owners</w:t>
            </w:r>
          </w:p>
        </w:tc>
      </w:tr>
      <w:tr>
        <w:trPr>
          <w:cantSplit/>
        </w:trPr>
        <w:tc>
          <w:tcPr>
            <w:tcW w:w="1471" w:type="dxa"/>
            <w:shd w:val="clear" w:color="auto" w:fill="F4F7FB"/>
            <w:noWrap/>
            <w:vAlign w:val="top"/>
          </w:tcPr>
          <w:p>
            <w:pPr>
              <w:pStyle w:val="TableText"/>
              <w:jc w:val="left"/>
            </w:pPr>
            <w:r>
              <w:t xml:space="preserve">TGP-DEL-05</w:t>
            </w:r>
          </w:p>
        </w:tc>
        <w:tc>
          <w:tcPr>
            <w:tcW w:w="3242" w:type="dxa"/>
            <w:shd w:val="clear" w:color="auto" w:fill="F4F7FB"/>
            <w:vAlign w:val="top"/>
          </w:tcPr>
          <w:p>
            <w:pPr>
              <w:pStyle w:val="TableText"/>
              <w:jc w:val="left"/>
            </w:pPr>
            <w:r>
              <w:t xml:space="preserve">Knowledge Transfer Plan</w:t>
            </w:r>
          </w:p>
        </w:tc>
        <w:tc>
          <w:tcPr>
            <w:tcW w:w="4314" w:type="dxa"/>
            <w:shd w:val="clear" w:color="auto" w:fill="F4F7FB"/>
            <w:vAlign w:val="top"/>
          </w:tcPr>
          <w:p>
            <w:pPr>
              <w:pStyle w:val="TableText"/>
              <w:jc w:val="left"/>
            </w:pPr>
            <w:r>
              <w:t xml:space="preserve">Technical handover to TASCO IT</w:t>
            </w:r>
          </w:p>
        </w:tc>
      </w:tr>
      <w:tr>
        <w:trPr>
          <w:cantSplit/>
        </w:trPr>
        <w:tc>
          <w:tcPr>
            <w:tcW w:w="1471" w:type="dxa"/>
            <w:noWrap/>
            <w:vAlign w:val="top"/>
          </w:tcPr>
          <w:p>
            <w:pPr>
              <w:pStyle w:val="TableText"/>
              <w:jc w:val="left"/>
            </w:pPr>
            <w:r>
              <w:t xml:space="preserve">TGP-DEL-06</w:t>
            </w:r>
          </w:p>
        </w:tc>
        <w:tc>
          <w:tcPr>
            <w:tcW w:w="3242" w:type="dxa"/>
            <w:vAlign w:val="top"/>
          </w:tcPr>
          <w:p>
            <w:pPr>
              <w:pStyle w:val="TableText"/>
              <w:jc w:val="left"/>
            </w:pPr>
            <w:r>
              <w:t xml:space="preserve">Organisational Change and Training Plan</w:t>
            </w:r>
          </w:p>
        </w:tc>
        <w:tc>
          <w:tcPr>
            <w:tcW w:w="4314" w:type="dxa"/>
            <w:vAlign w:val="top"/>
          </w:tcPr>
          <w:p>
            <w:pPr>
              <w:pStyle w:val="TableText"/>
              <w:jc w:val="left"/>
            </w:pPr>
            <w:r>
              <w:t xml:space="preserve">Training schedule and adoption measures</w:t>
            </w:r>
          </w:p>
        </w:tc>
      </w:tr>
      <w:tr>
        <w:trPr>
          <w:cantSplit/>
        </w:trPr>
        <w:tc>
          <w:tcPr>
            <w:tcW w:w="1471" w:type="dxa"/>
            <w:shd w:val="clear" w:color="auto" w:fill="F4F7FB"/>
            <w:noWrap/>
            <w:vAlign w:val="top"/>
          </w:tcPr>
          <w:p>
            <w:pPr>
              <w:pStyle w:val="TableText"/>
              <w:jc w:val="left"/>
            </w:pPr>
            <w:r>
              <w:t xml:space="preserve">TGP-BUS-07</w:t>
            </w:r>
          </w:p>
        </w:tc>
        <w:tc>
          <w:tcPr>
            <w:tcW w:w="3242" w:type="dxa"/>
            <w:shd w:val="clear" w:color="auto" w:fill="F4F7FB"/>
            <w:vAlign w:val="top"/>
          </w:tcPr>
          <w:p>
            <w:pPr>
              <w:pStyle w:val="TableText"/>
              <w:jc w:val="left"/>
            </w:pPr>
            <w:r>
              <w:t xml:space="preserve">Commercials and Engagement Model</w:t>
            </w:r>
          </w:p>
        </w:tc>
        <w:tc>
          <w:tcPr>
            <w:tcW w:w="4314" w:type="dxa"/>
            <w:shd w:val="clear" w:color="auto" w:fill="F4F7FB"/>
            <w:vAlign w:val="top"/>
          </w:tcPr>
          <w:p>
            <w:pPr>
              <w:pStyle w:val="TableText"/>
              <w:jc w:val="left"/>
            </w:pPr>
            <w:r>
              <w:t xml:space="preserve">Price, payment milestones and options</w:t>
            </w:r>
          </w:p>
        </w:tc>
      </w:tr>
      <w:tr>
        <w:trPr>
          <w:cantSplit/>
        </w:trPr>
        <w:tc>
          <w:tcPr>
            <w:tcW w:w="1471" w:type="dxa"/>
            <w:noWrap/>
            <w:vAlign w:val="top"/>
          </w:tcPr>
          <w:p>
            <w:pPr>
              <w:pStyle w:val="TableText"/>
              <w:jc w:val="left"/>
            </w:pPr>
            <w:r>
              <w:t xml:space="preserve">TGP-OPS-05</w:t>
            </w:r>
          </w:p>
        </w:tc>
        <w:tc>
          <w:tcPr>
            <w:tcW w:w="3242" w:type="dxa"/>
            <w:vAlign w:val="top"/>
          </w:tcPr>
          <w:p>
            <w:pPr>
              <w:pStyle w:val="TableText"/>
              <w:jc w:val="left"/>
            </w:pPr>
            <w:r>
              <w:t xml:space="preserve">Go-Live and Hypercare Plan</w:t>
            </w:r>
          </w:p>
        </w:tc>
        <w:tc>
          <w:tcPr>
            <w:tcW w:w="4314" w:type="dxa"/>
            <w:vAlign w:val="top"/>
          </w:tcPr>
          <w:p>
            <w:pPr>
              <w:pStyle w:val="TableText"/>
              <w:jc w:val="left"/>
            </w:pPr>
            <w:r>
              <w:t xml:space="preserve">Cut-over and hypercare in detail</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Objectives and scope</w:t>
      </w:r>
      <w:bookmarkEnd w:id="8"/>
    </w:p>
    <w:p>
      <w:pPr>
        <w:pStyle w:val="FirstParagraph"/>
      </w:pPr>
      <w:r>
        <w:t xml:space="preserve">The MVP has one aim: to prove, in a controlled pilot, that the platform increases own-channel motor sales, repairs vehicle data and earns customer trust. The pilot covers 50,000 to 100,000 vehicles in one or two provinces, with a randomly selected control group of about 10% that receives business as usual.</w:t>
      </w:r>
    </w:p>
    <w:p>
      <w:pPr>
        <w:pStyle w:val="BodyText"/>
      </w:pPr>
      <w:r>
        <w:t xml:space="preserve">The platform already exists and runs in UAT. Sprint effort therefore goes into adapters for TASCO core and VETC, data loading, configuration with TASCO’s product team and production hardening, not into building screens.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604"/>
        <w:gridCol w:w="3423"/>
      </w:tblGrid>
      <w:tr>
        <w:trPr>
          <w:cantSplit/>
          <w:tblHeader/>
        </w:trPr>
        <w:tc>
          <w:tcPr>
            <w:tcW w:w="5604" w:type="dxa"/>
            <w:shd w:val="clear" w:color="auto" w:fill="0F4761"/>
            <w:vAlign w:val="center"/>
          </w:tcPr>
          <w:p>
            <w:pPr>
              <w:pStyle w:val="TableHeading"/>
              <w:jc w:val="left"/>
            </w:pPr>
            <w:r>
              <w:rPr>
                <w:color w:val="FFFFFF"/>
              </w:rPr>
              <w:t xml:space="preserve">In the MVP</w:t>
            </w:r>
          </w:p>
        </w:tc>
        <w:tc>
          <w:tcPr>
            <w:tcW w:w="3423" w:type="dxa"/>
            <w:shd w:val="clear" w:color="auto" w:fill="0F4761"/>
            <w:vAlign w:val="center"/>
          </w:tcPr>
          <w:p>
            <w:pPr>
              <w:pStyle w:val="TableHeading"/>
              <w:jc w:val="left"/>
            </w:pPr>
            <w:r>
              <w:rPr>
                <w:color w:val="FFFFFF"/>
              </w:rPr>
              <w:t xml:space="preserve">After the MVP (scale phase)</w:t>
            </w:r>
          </w:p>
        </w:tc>
      </w:tr>
      <w:tr>
        <w:trPr>
          <w:cantSplit/>
        </w:trPr>
        <w:tc>
          <w:tcPr>
            <w:tcW w:w="5604" w:type="dxa"/>
            <w:vAlign w:val="top"/>
          </w:tcPr>
          <w:p>
            <w:pPr>
              <w:pStyle w:val="TableText"/>
              <w:jc w:val="left"/>
            </w:pPr>
            <w:r>
              <w:t xml:space="preserve">TASCO core: catalogue sync, live rating, bind and issue, daily policy extract</w:t>
            </w:r>
          </w:p>
        </w:tc>
        <w:tc>
          <w:tcPr>
            <w:tcW w:w="3423" w:type="dxa"/>
            <w:vAlign w:val="top"/>
          </w:tcPr>
          <w:p>
            <w:pPr>
              <w:pStyle w:val="TableText"/>
              <w:jc w:val="left"/>
            </w:pPr>
            <w:r>
              <w:t xml:space="preserve">Claims system-to-system integration</w:t>
            </w:r>
          </w:p>
        </w:tc>
      </w:tr>
      <w:tr>
        <w:trPr>
          <w:cantSplit/>
        </w:trPr>
        <w:tc>
          <w:tcPr>
            <w:tcW w:w="5604" w:type="dxa"/>
            <w:shd w:val="clear" w:color="auto" w:fill="F4F7FB"/>
            <w:vAlign w:val="top"/>
          </w:tcPr>
          <w:p>
            <w:pPr>
              <w:pStyle w:val="TableText"/>
              <w:jc w:val="left"/>
            </w:pPr>
            <w:r>
              <w:t xml:space="preserve">VETC: data load and daily changes, tag-activation events, app web view, push, wallet debit and refund, reconciliation</w:t>
            </w:r>
          </w:p>
        </w:tc>
        <w:tc>
          <w:tcPr>
            <w:tcW w:w="3423" w:type="dxa"/>
            <w:shd w:val="clear" w:color="auto" w:fill="F4F7FB"/>
            <w:vAlign w:val="top"/>
          </w:tcPr>
          <w:p>
            <w:pPr>
              <w:pStyle w:val="TableText"/>
              <w:jc w:val="left"/>
            </w:pPr>
            <w:r>
              <w:t xml:space="preserve">VETC single sign-on, Zalo mini app, live feed of all VETC events</w:t>
            </w:r>
          </w:p>
        </w:tc>
      </w:tr>
      <w:tr>
        <w:trPr>
          <w:cantSplit/>
        </w:trPr>
        <w:tc>
          <w:tcPr>
            <w:tcW w:w="5604" w:type="dxa"/>
            <w:vAlign w:val="top"/>
          </w:tcPr>
          <w:p>
            <w:pPr>
              <w:pStyle w:val="TableText"/>
              <w:jc w:val="left"/>
            </w:pPr>
            <w:r>
              <w:t xml:space="preserve">Zalo ZNS and SMS brandname for approved templates</w:t>
            </w:r>
          </w:p>
        </w:tc>
        <w:tc>
          <w:tcPr>
            <w:tcW w:w="3423" w:type="dxa"/>
            <w:vAlign w:val="top"/>
          </w:tcPr>
          <w:p>
            <w:pPr>
              <w:pStyle w:val="TableText"/>
              <w:jc w:val="left"/>
            </w:pPr>
            <w:r>
              <w:t xml:space="preserve">Further messaging channels</w:t>
            </w:r>
          </w:p>
        </w:tc>
      </w:tr>
      <w:tr>
        <w:trPr>
          <w:cantSplit/>
        </w:trPr>
        <w:tc>
          <w:tcPr>
            <w:tcW w:w="5604" w:type="dxa"/>
            <w:shd w:val="clear" w:color="auto" w:fill="F4F7FB"/>
            <w:vAlign w:val="top"/>
          </w:tcPr>
          <w:p>
            <w:pPr>
              <w:pStyle w:val="TableText"/>
              <w:jc w:val="left"/>
            </w:pPr>
            <w:r>
              <w:t xml:space="preserve">One voice AI vendor with a Vietnamese script and telesales handoff</w:t>
            </w:r>
          </w:p>
        </w:tc>
        <w:tc>
          <w:tcPr>
            <w:tcW w:w="3423" w:type="dxa"/>
            <w:shd w:val="clear" w:color="auto" w:fill="F4F7FB"/>
            <w:vAlign w:val="top"/>
          </w:tcPr>
          <w:p>
            <w:pPr>
              <w:pStyle w:val="TableText"/>
              <w:jc w:val="left"/>
            </w:pPr>
            <w:r>
              <w:t xml:space="preserve">More voice vendors, outbound voice at full scale</w:t>
            </w:r>
          </w:p>
        </w:tc>
      </w:tr>
      <w:tr>
        <w:trPr>
          <w:cantSplit/>
        </w:trPr>
        <w:tc>
          <w:tcPr>
            <w:tcW w:w="5604" w:type="dxa"/>
            <w:vAlign w:val="top"/>
          </w:tcPr>
          <w:p>
            <w:pPr>
              <w:pStyle w:val="TableText"/>
              <w:jc w:val="left"/>
            </w:pPr>
            <w:r>
              <w:t xml:space="preserve">Renewal, conquest, new vehicle, lapsed recovery and cross-sell journeys; quick renewal in 3 steps where the case allows it, with the full flow always available</w:t>
            </w:r>
          </w:p>
        </w:tc>
        <w:tc>
          <w:tcPr>
            <w:tcW w:w="3423" w:type="dxa"/>
            <w:vAlign w:val="top"/>
          </w:tcPr>
          <w:p>
            <w:pPr>
              <w:pStyle w:val="TableText"/>
              <w:jc w:val="left"/>
            </w:pPr>
            <w:r>
              <w:t xml:space="preserve">A/B testing framework, score calibration</w:t>
            </w:r>
          </w:p>
        </w:tc>
      </w:tr>
      <w:tr>
        <w:trPr>
          <w:cantSplit/>
        </w:trPr>
        <w:tc>
          <w:tcPr>
            <w:tcW w:w="5604" w:type="dxa"/>
            <w:shd w:val="clear" w:color="auto" w:fill="F4F7FB"/>
            <w:vAlign w:val="top"/>
          </w:tcPr>
          <w:p>
            <w:pPr>
              <w:pStyle w:val="TableText"/>
              <w:jc w:val="left"/>
            </w:pPr>
            <w:r>
              <w:t xml:space="preserve">Data requests register for TASCO compliance (access and erasure, with response-time tracking)</w:t>
            </w:r>
          </w:p>
        </w:tc>
        <w:tc>
          <w:tcPr>
            <w:tcW w:w="3423" w:type="dxa"/>
            <w:shd w:val="clear" w:color="auto" w:fill="F4F7FB"/>
            <w:vAlign w:val="top"/>
          </w:tcPr>
          <w:p>
            <w:pPr>
              <w:pStyle w:val="TableText"/>
              <w:jc w:val="left"/>
            </w:pPr>
            <w:r>
              <w:t xml:space="preserve">Further data-subject rights as TASCO legal requires</w:t>
            </w:r>
          </w:p>
        </w:tc>
      </w:tr>
      <w:tr>
        <w:trPr>
          <w:cantSplit/>
        </w:trPr>
        <w:tc>
          <w:tcPr>
            <w:tcW w:w="5604" w:type="dxa"/>
            <w:vAlign w:val="top"/>
          </w:tcPr>
          <w:p>
            <w:pPr>
              <w:pStyle w:val="TableText"/>
              <w:jc w:val="left"/>
            </w:pPr>
            <w:r>
              <w:t xml:space="preserve">TNDS (one to three years), personal accident cover per seat, physical damage cover with inspection</w:t>
            </w:r>
          </w:p>
        </w:tc>
        <w:tc>
          <w:tcPr>
            <w:tcW w:w="3423" w:type="dxa"/>
            <w:vAlign w:val="top"/>
          </w:tcPr>
          <w:p>
            <w:pPr>
              <w:pStyle w:val="TableText"/>
              <w:jc w:val="left"/>
            </w:pPr>
            <w:r>
              <w:t xml:space="preserve">Further products</w:t>
            </w:r>
          </w:p>
        </w:tc>
      </w:tr>
      <w:tr>
        <w:trPr>
          <w:cantSplit/>
        </w:trPr>
        <w:tc>
          <w:tcPr>
            <w:tcW w:w="5604" w:type="dxa"/>
            <w:shd w:val="clear" w:color="auto" w:fill="F4F7FB"/>
            <w:vAlign w:val="top"/>
          </w:tcPr>
          <w:p>
            <w:pPr>
              <w:pStyle w:val="TableText"/>
              <w:jc w:val="left"/>
            </w:pPr>
            <w:r>
              <w:t xml:space="preserve">One partner live on the partner API</w:t>
            </w:r>
          </w:p>
        </w:tc>
        <w:tc>
          <w:tcPr>
            <w:tcW w:w="3423" w:type="dxa"/>
            <w:shd w:val="clear" w:color="auto" w:fill="F4F7FB"/>
            <w:vAlign w:val="top"/>
          </w:tcPr>
          <w:p>
            <w:pPr>
              <w:pStyle w:val="TableText"/>
              <w:jc w:val="left"/>
            </w:pPr>
            <w:r>
              <w:t xml:space="preserve">Partner onboarding at scale, fleet portal</w:t>
            </w:r>
          </w:p>
        </w:tc>
      </w:tr>
      <w:tr>
        <w:trPr>
          <w:cantSplit/>
        </w:trPr>
        <w:tc>
          <w:tcPr>
            <w:tcW w:w="5604" w:type="dxa"/>
            <w:vAlign w:val="top"/>
          </w:tcPr>
          <w:p>
            <w:pPr>
              <w:pStyle w:val="TableText"/>
              <w:jc w:val="left"/>
            </w:pPr>
            <w:r>
              <w:t xml:space="preserve">Pilot cohort of up to 100,000 vehicles</w:t>
            </w:r>
          </w:p>
        </w:tc>
        <w:tc>
          <w:tcPr>
            <w:tcW w:w="3423" w:type="dxa"/>
            <w:vAlign w:val="top"/>
          </w:tcPr>
          <w:p>
            <w:pPr>
              <w:pStyle w:val="TableText"/>
              <w:jc w:val="left"/>
            </w:pPr>
            <w:r>
              <w:t xml:space="preserve">Full base of about 6 million vehicles</w:t>
            </w:r>
          </w:p>
        </w:tc>
      </w:tr>
    </w:tbl>
    <w:p>
      <w:pPr>
        <w:pStyle w:val="BodyText"/>
        <w:spacing w:before="160"/>
      </w:pPr>
      <w:r>
        <w:t xml:space="preserve">The full scope is in TGP-BUS-02 Functional Requirements Specification. Acceptance is against the user-story acceptance criteria in TGP-BUS-04 User Stories and Acceptance Criteria.</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Plan overview</w:t>
      </w:r>
      <w:bookmarkEnd w:id="9"/>
    </w:p>
    <w:p>
      <w:pPr>
        <w:pStyle w:val="FirstParagraph"/>
      </w:pPr>
      <w:r>
        <w:t xml:space="preserve">The MVP runs for 17 weeks in four stages. Week 1 starts on Monday 2 November 2026, which assumes contract signature by 30 October 2026.</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80"/>
        <w:gridCol w:w="1238"/>
        <w:gridCol w:w="2238"/>
        <w:gridCol w:w="2871"/>
      </w:tblGrid>
      <w:tr>
        <w:trPr>
          <w:cantSplit/>
          <w:tblHeader/>
        </w:trPr>
        <w:tc>
          <w:tcPr>
            <w:tcW w:w="2680" w:type="dxa"/>
            <w:shd w:val="clear" w:color="auto" w:fill="0F4761"/>
            <w:vAlign w:val="center"/>
          </w:tcPr>
          <w:p>
            <w:pPr>
              <w:pStyle w:val="TableHeading"/>
              <w:jc w:val="left"/>
            </w:pPr>
            <w:r>
              <w:rPr>
                <w:color w:val="FFFFFF"/>
              </w:rPr>
              <w:t xml:space="preserve">Stage</w:t>
            </w:r>
          </w:p>
        </w:tc>
        <w:tc>
          <w:tcPr>
            <w:tcW w:w="1238" w:type="dxa"/>
            <w:shd w:val="clear" w:color="auto" w:fill="0F4761"/>
            <w:vAlign w:val="center"/>
          </w:tcPr>
          <w:p>
            <w:pPr>
              <w:pStyle w:val="TableHeading"/>
              <w:jc w:val="left"/>
            </w:pPr>
            <w:r>
              <w:rPr>
                <w:color w:val="FFFFFF"/>
              </w:rPr>
              <w:t xml:space="preserve">Weeks</w:t>
            </w:r>
          </w:p>
        </w:tc>
        <w:tc>
          <w:tcPr>
            <w:tcW w:w="2238" w:type="dxa"/>
            <w:shd w:val="clear" w:color="auto" w:fill="0F4761"/>
            <w:vAlign w:val="center"/>
          </w:tcPr>
          <w:p>
            <w:pPr>
              <w:pStyle w:val="TableHeading"/>
              <w:jc w:val="left"/>
            </w:pPr>
            <w:r>
              <w:rPr>
                <w:color w:val="FFFFFF"/>
              </w:rPr>
              <w:t xml:space="preserve">Dates</w:t>
            </w:r>
          </w:p>
        </w:tc>
        <w:tc>
          <w:tcPr>
            <w:tcW w:w="2871" w:type="dxa"/>
            <w:shd w:val="clear" w:color="auto" w:fill="0F4761"/>
            <w:vAlign w:val="center"/>
          </w:tcPr>
          <w:p>
            <w:pPr>
              <w:pStyle w:val="TableHeading"/>
              <w:jc w:val="left"/>
            </w:pPr>
            <w:r>
              <w:rPr>
                <w:color w:val="FFFFFF"/>
              </w:rPr>
              <w:t xml:space="preserve">Exit</w:t>
            </w:r>
          </w:p>
        </w:tc>
      </w:tr>
      <w:tr>
        <w:trPr>
          <w:cantSplit/>
        </w:trPr>
        <w:tc>
          <w:tcPr>
            <w:tcW w:w="2680" w:type="dxa"/>
            <w:vAlign w:val="top"/>
          </w:tcPr>
          <w:p>
            <w:pPr>
              <w:pStyle w:val="TableText"/>
              <w:jc w:val="left"/>
            </w:pPr>
            <w:r>
              <w:t xml:space="preserve">Discovery and design</w:t>
            </w:r>
          </w:p>
        </w:tc>
        <w:tc>
          <w:tcPr>
            <w:tcW w:w="1238" w:type="dxa"/>
            <w:vAlign w:val="top"/>
          </w:tcPr>
          <w:p>
            <w:pPr>
              <w:pStyle w:val="TableText"/>
              <w:jc w:val="left"/>
            </w:pPr>
            <w:r>
              <w:t xml:space="preserve">1 to 2</w:t>
            </w:r>
          </w:p>
        </w:tc>
        <w:tc>
          <w:tcPr>
            <w:tcW w:w="2238" w:type="dxa"/>
            <w:vAlign w:val="top"/>
          </w:tcPr>
          <w:p>
            <w:pPr>
              <w:pStyle w:val="TableText"/>
              <w:jc w:val="left"/>
            </w:pPr>
            <w:r>
              <w:t xml:space="preserve">02/11/2026 to 13/11/2026</w:t>
            </w:r>
          </w:p>
        </w:tc>
        <w:tc>
          <w:tcPr>
            <w:tcW w:w="2871" w:type="dxa"/>
            <w:vAlign w:val="top"/>
          </w:tcPr>
          <w:p>
            <w:pPr>
              <w:pStyle w:val="TableText"/>
              <w:jc w:val="left"/>
            </w:pPr>
            <w:r>
              <w:t xml:space="preserve">M1 Discovery complete</w:t>
            </w:r>
          </w:p>
        </w:tc>
      </w:tr>
      <w:tr>
        <w:trPr>
          <w:cantSplit/>
        </w:trPr>
        <w:tc>
          <w:tcPr>
            <w:tcW w:w="2680" w:type="dxa"/>
            <w:shd w:val="clear" w:color="auto" w:fill="F4F7FB"/>
            <w:vAlign w:val="top"/>
          </w:tcPr>
          <w:p>
            <w:pPr>
              <w:pStyle w:val="TableText"/>
              <w:jc w:val="left"/>
            </w:pPr>
            <w:r>
              <w:t xml:space="preserve">Build and integrate (four sprints)</w:t>
            </w:r>
          </w:p>
        </w:tc>
        <w:tc>
          <w:tcPr>
            <w:tcW w:w="1238" w:type="dxa"/>
            <w:shd w:val="clear" w:color="auto" w:fill="F4F7FB"/>
            <w:vAlign w:val="top"/>
          </w:tcPr>
          <w:p>
            <w:pPr>
              <w:pStyle w:val="TableText"/>
              <w:jc w:val="left"/>
            </w:pPr>
            <w:r>
              <w:t xml:space="preserve">3 to 10</w:t>
            </w:r>
          </w:p>
        </w:tc>
        <w:tc>
          <w:tcPr>
            <w:tcW w:w="2238" w:type="dxa"/>
            <w:shd w:val="clear" w:color="auto" w:fill="F4F7FB"/>
            <w:vAlign w:val="top"/>
          </w:tcPr>
          <w:p>
            <w:pPr>
              <w:pStyle w:val="TableText"/>
              <w:jc w:val="left"/>
            </w:pPr>
            <w:r>
              <w:t xml:space="preserve">16/11/2026 to 08/01/2027</w:t>
            </w:r>
          </w:p>
        </w:tc>
        <w:tc>
          <w:tcPr>
            <w:tcW w:w="2871" w:type="dxa"/>
            <w:shd w:val="clear" w:color="auto" w:fill="F4F7FB"/>
            <w:vAlign w:val="top"/>
          </w:tcPr>
          <w:p>
            <w:pPr>
              <w:pStyle w:val="TableText"/>
              <w:jc w:val="left"/>
            </w:pPr>
            <w:r>
              <w:t xml:space="preserve">M2 Integrated build</w:t>
            </w:r>
          </w:p>
        </w:tc>
      </w:tr>
      <w:tr>
        <w:trPr>
          <w:cantSplit/>
        </w:trPr>
        <w:tc>
          <w:tcPr>
            <w:tcW w:w="2680" w:type="dxa"/>
            <w:vAlign w:val="top"/>
          </w:tcPr>
          <w:p>
            <w:pPr>
              <w:pStyle w:val="TableText"/>
              <w:jc w:val="left"/>
            </w:pPr>
            <w:r>
              <w:t xml:space="preserve">SIT, UAT and security testing</w:t>
            </w:r>
          </w:p>
        </w:tc>
        <w:tc>
          <w:tcPr>
            <w:tcW w:w="1238" w:type="dxa"/>
            <w:vAlign w:val="top"/>
          </w:tcPr>
          <w:p>
            <w:pPr>
              <w:pStyle w:val="TableText"/>
              <w:jc w:val="left"/>
            </w:pPr>
            <w:r>
              <w:t xml:space="preserve">11 to 13</w:t>
            </w:r>
          </w:p>
        </w:tc>
        <w:tc>
          <w:tcPr>
            <w:tcW w:w="2238" w:type="dxa"/>
            <w:vAlign w:val="top"/>
          </w:tcPr>
          <w:p>
            <w:pPr>
              <w:pStyle w:val="TableText"/>
              <w:jc w:val="left"/>
            </w:pPr>
            <w:r>
              <w:t xml:space="preserve">11/01/2027 to 26/01/2027</w:t>
            </w:r>
          </w:p>
        </w:tc>
        <w:tc>
          <w:tcPr>
            <w:tcW w:w="2871" w:type="dxa"/>
            <w:vAlign w:val="top"/>
          </w:tcPr>
          <w:p>
            <w:pPr>
              <w:pStyle w:val="TableText"/>
              <w:jc w:val="left"/>
            </w:pPr>
            <w:r>
              <w:t xml:space="preserve">M3 Acceptance, then soft launch</w:t>
            </w:r>
          </w:p>
        </w:tc>
      </w:tr>
      <w:tr>
        <w:trPr>
          <w:cantSplit/>
        </w:trPr>
        <w:tc>
          <w:tcPr>
            <w:tcW w:w="2680" w:type="dxa"/>
            <w:shd w:val="clear" w:color="auto" w:fill="F4F7FB"/>
            <w:vAlign w:val="top"/>
          </w:tcPr>
          <w:p>
            <w:pPr>
              <w:pStyle w:val="TableText"/>
              <w:jc w:val="left"/>
            </w:pPr>
            <w:r>
              <w:t xml:space="preserve">Hypercare with Tết on-call</w:t>
            </w:r>
          </w:p>
        </w:tc>
        <w:tc>
          <w:tcPr>
            <w:tcW w:w="1238" w:type="dxa"/>
            <w:shd w:val="clear" w:color="auto" w:fill="F4F7FB"/>
            <w:vAlign w:val="top"/>
          </w:tcPr>
          <w:p>
            <w:pPr>
              <w:pStyle w:val="TableText"/>
              <w:jc w:val="left"/>
            </w:pPr>
            <w:r>
              <w:t xml:space="preserve">13 to 17</w:t>
            </w:r>
          </w:p>
        </w:tc>
        <w:tc>
          <w:tcPr>
            <w:tcW w:w="2238" w:type="dxa"/>
            <w:shd w:val="clear" w:color="auto" w:fill="F4F7FB"/>
            <w:vAlign w:val="top"/>
          </w:tcPr>
          <w:p>
            <w:pPr>
              <w:pStyle w:val="TableText"/>
              <w:jc w:val="left"/>
            </w:pPr>
            <w:r>
              <w:t xml:space="preserve">27/01/2027 to 26/02/2027</w:t>
            </w:r>
          </w:p>
        </w:tc>
        <w:tc>
          <w:tcPr>
            <w:tcW w:w="2871" w:type="dxa"/>
            <w:shd w:val="clear" w:color="auto" w:fill="F4F7FB"/>
            <w:vAlign w:val="top"/>
          </w:tcPr>
          <w:p>
            <w:pPr>
              <w:pStyle w:val="TableText"/>
              <w:jc w:val="left"/>
            </w:pPr>
            <w:r>
              <w:t xml:space="preserve">M4 Pilot live and hypercare complete</w:t>
            </w:r>
          </w:p>
        </w:tc>
      </w:tr>
      <w:tr>
        <w:trPr>
          <w:cantSplit/>
        </w:trPr>
        <w:tc>
          <w:tcPr>
            <w:tcW w:w="2680" w:type="dxa"/>
            <w:vAlign w:val="top"/>
          </w:tcPr>
          <w:p>
            <w:pPr>
              <w:pStyle w:val="TableText"/>
              <w:jc w:val="left"/>
            </w:pPr>
            <w:r>
              <w:t xml:space="preserve">Pilot ramp-up after Tết</w:t>
            </w:r>
          </w:p>
        </w:tc>
        <w:tc>
          <w:tcPr>
            <w:tcW w:w="1238" w:type="dxa"/>
            <w:vAlign w:val="top"/>
          </w:tcPr>
          <w:p>
            <w:pPr>
              <w:pStyle w:val="TableText"/>
              <w:jc w:val="left"/>
            </w:pPr>
            <w:r>
              <w:t xml:space="preserve">18 to 19</w:t>
            </w:r>
          </w:p>
        </w:tc>
        <w:tc>
          <w:tcPr>
            <w:tcW w:w="2238" w:type="dxa"/>
            <w:vAlign w:val="top"/>
          </w:tcPr>
          <w:p>
            <w:pPr>
              <w:pStyle w:val="TableText"/>
              <w:jc w:val="left"/>
            </w:pPr>
            <w:r>
              <w:t xml:space="preserve">01/03/2027 to 12/03/2027</w:t>
            </w:r>
          </w:p>
        </w:tc>
        <w:tc>
          <w:tcPr>
            <w:tcW w:w="2871" w:type="dxa"/>
            <w:vAlign w:val="top"/>
          </w:tcPr>
          <w:p>
            <w:pPr>
              <w:pStyle w:val="TableText"/>
              <w:jc w:val="left"/>
            </w:pPr>
            <w:r>
              <w:t xml:space="preserve">Full pilot cohort active</w:t>
            </w:r>
          </w:p>
        </w:tc>
      </w:tr>
      <w:tr>
        <w:trPr>
          <w:cantSplit/>
        </w:trPr>
        <w:tc>
          <w:tcPr>
            <w:tcW w:w="2680" w:type="dxa"/>
            <w:shd w:val="clear" w:color="auto" w:fill="F4F7FB"/>
            <w:vAlign w:val="top"/>
          </w:tcPr>
          <w:p>
            <w:pPr>
              <w:pStyle w:val="TableText"/>
              <w:jc w:val="left"/>
            </w:pPr>
            <w:r>
              <w:t xml:space="preserve">Pilot measurement and read-out</w:t>
            </w:r>
          </w:p>
        </w:tc>
        <w:tc>
          <w:tcPr>
            <w:tcW w:w="1238" w:type="dxa"/>
            <w:shd w:val="clear" w:color="auto" w:fill="F4F7FB"/>
            <w:vAlign w:val="top"/>
          </w:tcPr>
          <w:p>
            <w:pPr>
              <w:pStyle w:val="TableText"/>
              <w:jc w:val="left"/>
            </w:pPr>
            <w:r>
              <w:t xml:space="preserve">to about week 27</w:t>
            </w:r>
          </w:p>
        </w:tc>
        <w:tc>
          <w:tcPr>
            <w:tcW w:w="2238" w:type="dxa"/>
            <w:shd w:val="clear" w:color="auto" w:fill="F4F7FB"/>
            <w:vAlign w:val="top"/>
          </w:tcPr>
          <w:p>
            <w:pPr>
              <w:pStyle w:val="TableText"/>
              <w:jc w:val="left"/>
            </w:pPr>
            <w:r>
              <w:t xml:space="preserve">to early May 2027</w:t>
            </w:r>
          </w:p>
        </w:tc>
        <w:tc>
          <w:tcPr>
            <w:tcW w:w="2871" w:type="dxa"/>
            <w:shd w:val="clear" w:color="auto" w:fill="F4F7FB"/>
            <w:vAlign w:val="top"/>
          </w:tcPr>
          <w:p>
            <w:pPr>
              <w:pStyle w:val="TableText"/>
              <w:jc w:val="left"/>
            </w:pPr>
            <w:r>
              <w:t xml:space="preserve">Scale decision by the steering committee</w:t>
            </w:r>
          </w:p>
        </w:tc>
      </w:tr>
    </w:tbl>
    <w:p>
      <w:pPr>
        <w:pStyle w:val="BodyText"/>
        <w:spacing w:before="160"/>
      </w:pPr>
      <w:r>
        <w:t xml:space="preserve">The timeline below shows the same plan. Week 13 falls just before Tết (Lunar New Year, 6 February 2027), so the launch is a controlled soft launch to the first part of the cohort, followed by a change freeze over the holiday and the ramp-up after Tết.</w:t>
      </w:r>
    </w:p>
    <w:p xmlns:a="http://schemas.openxmlformats.org/drawingml/2006/main" xmlns:pic="http://schemas.openxmlformats.org/drawingml/2006/picture">
      <w:pPr>
        <w:pStyle w:val="Figure"/>
      </w:pPr>
      <w:r>
        <w:drawing>
          <wp:inline>
            <wp:extent cx="5727700" cy="4155186"/>
            <wp:effectExtent b="0" l="0" r="0" t="0"/>
            <wp:docPr descr="MVP plan, from discovery to the pilot read-out" title="" id="5002" name="Picture"/>
            <a:graphic>
              <a:graphicData uri="http://schemas.openxmlformats.org/drawingml/2006/picture">
                <pic:pic>
                  <pic:nvPicPr>
                    <pic:cNvPr descr="/home/user/TASCO/tools/docs-source/gen/.cache/mermaid/9815a2d76dc4c5a5.png" id="24" name="Picture"/>
                    <pic:cNvPicPr>
                      <a:picLocks noChangeArrowheads="1" noChangeAspect="1"/>
                    </pic:cNvPicPr>
                  </pic:nvPicPr>
                  <pic:blipFill>
                    <a:blip r:embed="rIdG1"/>
                    <a:stretch>
                      <a:fillRect/>
                    </a:stretch>
                  </pic:blipFill>
                  <pic:spPr bwMode="auto">
                    <a:xfrm>
                      <a:off x="0" y="0"/>
                      <a:ext cx="5727700" cy="4155186"/>
                    </a:xfrm>
                    <a:prstGeom prst="rect">
                      <a:avLst/>
                    </a:prstGeom>
                    <a:noFill/>
                    <a:ln w="9525">
                      <a:noFill/>
                      <a:headEnd/>
                      <a:tailEnd/>
                    </a:ln>
                  </pic:spPr>
                </pic:pic>
              </a:graphicData>
            </a:graphic>
          </wp:inline>
        </w:drawing>
      </w:r>
    </w:p>
    <w:p>
      <w:pPr>
        <w:pStyle w:val="Caption"/>
      </w:pPr>
      <w:r>
        <w:t xml:space="preserve">Figure 1 – MVP plan, from discovery to the pilot read-out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0" w:name="_Toc300000006"/>
      <w:r>
        <w:rPr>
          <w:rStyle w:val="BookTitle"/>
          <w:bCs w:val="0"/>
          <w:i w:val="0"/>
          <w:iCs w:val="0"/>
          <w:spacing w:val="0"/>
        </w:rPr>
        <w:t xml:space="preserve">Stages</w:t>
      </w:r>
      <w:bookmarkEnd w:id="10"/>
    </w:p>
    <w:p>
      <w:pPr>
        <w:pStyle w:val="Heading2"/>
      </w:pPr>
      <w:bookmarkStart w:id="11" w:name="_Toc300000007"/>
      <w:r>
        <w:t xml:space="preserve">Discovery and design (weeks 1 and 2)</w:t>
      </w:r>
      <w:bookmarkEnd w:id="11"/>
    </w:p>
    <w:p>
      <w:pPr>
        <w:pStyle w:val="FirstParagraph"/>
      </w:pPr>
      <w:r>
        <w:t xml:space="preserve">Discovery is run on site in Hà Nội. It confirms the decisions that only TASCO and VETC can make, so that the sprints can start on firm ground.</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531"/>
        <w:gridCol w:w="4313"/>
        <w:gridCol w:w="2183"/>
      </w:tblGrid>
      <w:tr>
        <w:trPr>
          <w:cantSplit/>
          <w:tblHeader/>
        </w:trPr>
        <w:tc>
          <w:tcPr>
            <w:tcW w:w="2531" w:type="dxa"/>
            <w:shd w:val="clear" w:color="auto" w:fill="0F4761"/>
            <w:vAlign w:val="center"/>
          </w:tcPr>
          <w:p>
            <w:pPr>
              <w:pStyle w:val="TableHeading"/>
              <w:jc w:val="left"/>
            </w:pPr>
            <w:r>
              <w:rPr>
                <w:color w:val="FFFFFF"/>
              </w:rPr>
              <w:t xml:space="preserve">Topic</w:t>
            </w:r>
          </w:p>
        </w:tc>
        <w:tc>
          <w:tcPr>
            <w:tcW w:w="4313" w:type="dxa"/>
            <w:shd w:val="clear" w:color="auto" w:fill="0F4761"/>
            <w:vAlign w:val="center"/>
          </w:tcPr>
          <w:p>
            <w:pPr>
              <w:pStyle w:val="TableHeading"/>
              <w:jc w:val="left"/>
            </w:pPr>
            <w:r>
              <w:rPr>
                <w:color w:val="FFFFFF"/>
              </w:rPr>
              <w:t xml:space="preserve">Output</w:t>
            </w:r>
          </w:p>
        </w:tc>
        <w:tc>
          <w:tcPr>
            <w:tcW w:w="2183" w:type="dxa"/>
            <w:shd w:val="clear" w:color="auto" w:fill="0F4761"/>
            <w:vAlign w:val="center"/>
          </w:tcPr>
          <w:p>
            <w:pPr>
              <w:pStyle w:val="TableHeading"/>
              <w:jc w:val="left"/>
            </w:pPr>
            <w:r>
              <w:rPr>
                <w:color w:val="FFFFFF"/>
              </w:rPr>
              <w:t xml:space="preserve">Decided by</w:t>
            </w:r>
          </w:p>
        </w:tc>
      </w:tr>
      <w:tr>
        <w:trPr>
          <w:cantSplit/>
        </w:trPr>
        <w:tc>
          <w:tcPr>
            <w:tcW w:w="2531" w:type="dxa"/>
            <w:vAlign w:val="top"/>
          </w:tcPr>
          <w:p>
            <w:pPr>
              <w:pStyle w:val="TableText"/>
              <w:jc w:val="left"/>
            </w:pPr>
            <w:r>
              <w:t xml:space="preserve">TASCO core integration path</w:t>
            </w:r>
          </w:p>
        </w:tc>
        <w:tc>
          <w:tcPr>
            <w:tcW w:w="4313" w:type="dxa"/>
            <w:vAlign w:val="top"/>
          </w:tcPr>
          <w:p>
            <w:pPr>
              <w:pStyle w:val="TableText"/>
              <w:jc w:val="left"/>
            </w:pPr>
            <w:r>
              <w:t xml:space="preserve">Live rating through TASCO core, or the interim path (approved tariff tables with core re-rating at issue). Decision in week 2.</w:t>
            </w:r>
          </w:p>
        </w:tc>
        <w:tc>
          <w:tcPr>
            <w:tcW w:w="2183" w:type="dxa"/>
            <w:vAlign w:val="top"/>
          </w:tcPr>
          <w:p>
            <w:pPr>
              <w:pStyle w:val="TableText"/>
              <w:jc w:val="left"/>
            </w:pPr>
            <w:r>
              <w:t xml:space="preserve">TASCO core system lead</w:t>
            </w:r>
          </w:p>
        </w:tc>
      </w:tr>
      <w:tr>
        <w:trPr>
          <w:cantSplit/>
        </w:trPr>
        <w:tc>
          <w:tcPr>
            <w:tcW w:w="2531" w:type="dxa"/>
            <w:shd w:val="clear" w:color="auto" w:fill="F4F7FB"/>
            <w:vAlign w:val="top"/>
          </w:tcPr>
          <w:p>
            <w:pPr>
              <w:pStyle w:val="TableText"/>
              <w:jc w:val="left"/>
            </w:pPr>
            <w:r>
              <w:t xml:space="preserve">Rating behaviour when TASCO core is unavailable</w:t>
            </w:r>
          </w:p>
        </w:tc>
        <w:tc>
          <w:tcPr>
            <w:tcW w:w="4313" w:type="dxa"/>
            <w:shd w:val="clear" w:color="auto" w:fill="F4F7FB"/>
            <w:vAlign w:val="top"/>
          </w:tcPr>
          <w:p>
            <w:pPr>
              <w:pStyle w:val="TableText"/>
              <w:jc w:val="left"/>
            </w:pPr>
            <w:r>
              <w:t xml:space="preserve">Core only, or core with indicative fallback (payment blocked until re-rated)</w:t>
            </w:r>
          </w:p>
        </w:tc>
        <w:tc>
          <w:tcPr>
            <w:tcW w:w="2183" w:type="dxa"/>
            <w:shd w:val="clear" w:color="auto" w:fill="F4F7FB"/>
            <w:vAlign w:val="top"/>
          </w:tcPr>
          <w:p>
            <w:pPr>
              <w:pStyle w:val="TableText"/>
              <w:jc w:val="left"/>
            </w:pPr>
            <w:r>
              <w:t xml:space="preserve">TASCO product owner</w:t>
            </w:r>
          </w:p>
        </w:tc>
      </w:tr>
      <w:tr>
        <w:trPr>
          <w:cantSplit/>
        </w:trPr>
        <w:tc>
          <w:tcPr>
            <w:tcW w:w="2531" w:type="dxa"/>
            <w:vAlign w:val="top"/>
          </w:tcPr>
          <w:p>
            <w:pPr>
              <w:pStyle w:val="TableText"/>
              <w:jc w:val="left"/>
            </w:pPr>
            <w:r>
              <w:t xml:space="preserve">Interface specifications</w:t>
            </w:r>
          </w:p>
        </w:tc>
        <w:tc>
          <w:tcPr>
            <w:tcW w:w="4313" w:type="dxa"/>
            <w:vAlign w:val="top"/>
          </w:tcPr>
          <w:p>
            <w:pPr>
              <w:pStyle w:val="TableText"/>
              <w:jc w:val="left"/>
            </w:pPr>
            <w:r>
              <w:t xml:space="preserve">TASCO core catalogue, rating, bind and issue, policy extract; VETC data, events, web view, push and wallet</w:t>
            </w:r>
          </w:p>
        </w:tc>
        <w:tc>
          <w:tcPr>
            <w:tcW w:w="2183" w:type="dxa"/>
            <w:vAlign w:val="top"/>
          </w:tcPr>
          <w:p>
            <w:pPr>
              <w:pStyle w:val="TableText"/>
              <w:jc w:val="left"/>
            </w:pPr>
            <w:r>
              <w:t xml:space="preserve">TASCO IT, VETC integration lead</w:t>
            </w:r>
          </w:p>
        </w:tc>
      </w:tr>
      <w:tr>
        <w:trPr>
          <w:cantSplit/>
        </w:trPr>
        <w:tc>
          <w:tcPr>
            <w:tcW w:w="2531" w:type="dxa"/>
            <w:shd w:val="clear" w:color="auto" w:fill="F4F7FB"/>
            <w:vAlign w:val="top"/>
          </w:tcPr>
          <w:p>
            <w:pPr>
              <w:pStyle w:val="TableText"/>
              <w:jc w:val="left"/>
            </w:pPr>
            <w:r>
              <w:t xml:space="preserve">Data sharing</w:t>
            </w:r>
          </w:p>
        </w:tc>
        <w:tc>
          <w:tcPr>
            <w:tcW w:w="4313" w:type="dxa"/>
            <w:shd w:val="clear" w:color="auto" w:fill="F4F7FB"/>
            <w:vAlign w:val="top"/>
          </w:tcPr>
          <w:p>
            <w:pPr>
              <w:pStyle w:val="TableText"/>
              <w:jc w:val="left"/>
            </w:pPr>
            <w:r>
              <w:t xml:space="preserve">Legal basis and field list for VETC data, to be confirmed by TASCO legal</w:t>
            </w:r>
          </w:p>
        </w:tc>
        <w:tc>
          <w:tcPr>
            <w:tcW w:w="2183" w:type="dxa"/>
            <w:shd w:val="clear" w:color="auto" w:fill="F4F7FB"/>
            <w:vAlign w:val="top"/>
          </w:tcPr>
          <w:p>
            <w:pPr>
              <w:pStyle w:val="TableText"/>
              <w:jc w:val="left"/>
            </w:pPr>
            <w:r>
              <w:t xml:space="preserve">TASCO legal, VETC</w:t>
            </w:r>
          </w:p>
        </w:tc>
      </w:tr>
      <w:tr>
        <w:trPr>
          <w:cantSplit/>
        </w:trPr>
        <w:tc>
          <w:tcPr>
            <w:tcW w:w="2531" w:type="dxa"/>
            <w:vAlign w:val="top"/>
          </w:tcPr>
          <w:p>
            <w:pPr>
              <w:pStyle w:val="TableText"/>
              <w:jc w:val="left"/>
            </w:pPr>
            <w:r>
              <w:t xml:space="preserve">Regulatory positions</w:t>
            </w:r>
          </w:p>
        </w:tc>
        <w:tc>
          <w:tcPr>
            <w:tcW w:w="4313" w:type="dxa"/>
            <w:vAlign w:val="top"/>
          </w:tcPr>
          <w:p>
            <w:pPr>
              <w:pStyle w:val="TableText"/>
              <w:jc w:val="left"/>
            </w:pPr>
            <w:r>
              <w:t xml:space="preserve">Positions in proposal section 2.3, to be confirmed by TASCO legal</w:t>
            </w:r>
          </w:p>
        </w:tc>
        <w:tc>
          <w:tcPr>
            <w:tcW w:w="2183" w:type="dxa"/>
            <w:vAlign w:val="top"/>
          </w:tcPr>
          <w:p>
            <w:pPr>
              <w:pStyle w:val="TableText"/>
              <w:jc w:val="left"/>
            </w:pPr>
            <w:r>
              <w:t xml:space="preserve">TASCO compliance and legal</w:t>
            </w:r>
          </w:p>
        </w:tc>
      </w:tr>
      <w:tr>
        <w:trPr>
          <w:cantSplit/>
        </w:trPr>
        <w:tc>
          <w:tcPr>
            <w:tcW w:w="2531" w:type="dxa"/>
            <w:shd w:val="clear" w:color="auto" w:fill="F4F7FB"/>
            <w:vAlign w:val="top"/>
          </w:tcPr>
          <w:p>
            <w:pPr>
              <w:pStyle w:val="TableText"/>
              <w:jc w:val="left"/>
            </w:pPr>
            <w:r>
              <w:t xml:space="preserve">Pilot design</w:t>
            </w:r>
          </w:p>
        </w:tc>
        <w:tc>
          <w:tcPr>
            <w:tcW w:w="4313" w:type="dxa"/>
            <w:shd w:val="clear" w:color="auto" w:fill="F4F7FB"/>
            <w:vAlign w:val="top"/>
          </w:tcPr>
          <w:p>
            <w:pPr>
              <w:pStyle w:val="TableText"/>
              <w:jc w:val="left"/>
            </w:pPr>
            <w:r>
              <w:t xml:space="preserve">Provinces, cohort, control group, success criteria</w:t>
            </w:r>
          </w:p>
        </w:tc>
        <w:tc>
          <w:tcPr>
            <w:tcW w:w="2183" w:type="dxa"/>
            <w:shd w:val="clear" w:color="auto" w:fill="F4F7FB"/>
            <w:vAlign w:val="top"/>
          </w:tcPr>
          <w:p>
            <w:pPr>
              <w:pStyle w:val="TableText"/>
              <w:jc w:val="left"/>
            </w:pPr>
            <w:r>
              <w:t xml:space="preserve">TASCO product owner, steering committee</w:t>
            </w:r>
          </w:p>
        </w:tc>
      </w:tr>
      <w:tr>
        <w:trPr>
          <w:cantSplit/>
        </w:trPr>
        <w:tc>
          <w:tcPr>
            <w:tcW w:w="2531" w:type="dxa"/>
            <w:vAlign w:val="top"/>
          </w:tcPr>
          <w:p>
            <w:pPr>
              <w:pStyle w:val="TableText"/>
              <w:jc w:val="left"/>
            </w:pPr>
            <w:r>
              <w:t xml:space="preserve">Infrastructure</w:t>
            </w:r>
          </w:p>
        </w:tc>
        <w:tc>
          <w:tcPr>
            <w:tcW w:w="4313" w:type="dxa"/>
            <w:vAlign w:val="top"/>
          </w:tcPr>
          <w:p>
            <w:pPr>
              <w:pStyle w:val="TableText"/>
              <w:jc w:val="left"/>
            </w:pPr>
            <w:r>
              <w:t xml:space="preserve">Hosting provider in Vietnam</w:t>
            </w:r>
          </w:p>
        </w:tc>
        <w:tc>
          <w:tcPr>
            <w:tcW w:w="2183" w:type="dxa"/>
            <w:vAlign w:val="top"/>
          </w:tcPr>
          <w:p>
            <w:pPr>
              <w:pStyle w:val="TableText"/>
              <w:jc w:val="left"/>
            </w:pPr>
            <w:r>
              <w:t xml:space="preserve">TASCO IT</w:t>
            </w:r>
          </w:p>
        </w:tc>
      </w:tr>
    </w:tbl>
    <w:p>
      <w:pPr>
        <w:pStyle w:val="BodyText"/>
        <w:spacing w:before="160"/>
      </w:pPr>
      <w:r>
        <w:t xml:space="preserve">The production connector for TASCO core already exists. Its endpoint paths are assumptions until TASCO’s specification arrives, and policy issuance still runs on a sandbox adapter. Discovery replaces these assumptions with the agreed specification.</w:t>
      </w:r>
    </w:p>
    <w:p>
      <w:pPr>
        <w:pStyle w:val="Heading2"/>
      </w:pPr>
      <w:bookmarkStart w:id="12" w:name="_Toc300000008"/>
      <w:r>
        <w:t xml:space="preserve">Build and integrate (weeks 3 to 10)</w:t>
      </w:r>
      <w:bookmarkEnd w:id="12"/>
    </w:p>
    <w:p>
      <w:pPr>
        <w:pStyle w:val="FirstParagraph"/>
      </w:pPr>
      <w:r>
        <w:t xml:space="preserve">Four two-week sprints, delivered from our offshore centre with daily overlap during Vietnam business hours. Each sprint ends with a demonstration on the integration sandboxes. Business rules (scoring weights, journey timings, message wording, benefits) are configured with TASCO’s product team in the rules studio during the sprints.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72"/>
        <w:gridCol w:w="1821"/>
        <w:gridCol w:w="1522"/>
        <w:gridCol w:w="4712"/>
      </w:tblGrid>
      <w:tr>
        <w:trPr>
          <w:cantSplit/>
          <w:tblHeader/>
        </w:trPr>
        <w:tc>
          <w:tcPr>
            <w:tcW w:w="972" w:type="dxa"/>
            <w:shd w:val="clear" w:color="auto" w:fill="0F4761"/>
            <w:vAlign w:val="center"/>
          </w:tcPr>
          <w:p>
            <w:pPr>
              <w:pStyle w:val="TableHeading"/>
              <w:jc w:val="left"/>
            </w:pPr>
            <w:r>
              <w:rPr>
                <w:color w:val="FFFFFF"/>
              </w:rPr>
              <w:t xml:space="preserve">Sprint</w:t>
            </w:r>
          </w:p>
        </w:tc>
        <w:tc>
          <w:tcPr>
            <w:tcW w:w="1821" w:type="dxa"/>
            <w:shd w:val="clear" w:color="auto" w:fill="0F4761"/>
            <w:vAlign w:val="center"/>
          </w:tcPr>
          <w:p>
            <w:pPr>
              <w:pStyle w:val="TableHeading"/>
              <w:jc w:val="left"/>
            </w:pPr>
            <w:r>
              <w:rPr>
                <w:color w:val="FFFFFF"/>
              </w:rPr>
              <w:t xml:space="preserve">Weeks and dates</w:t>
            </w:r>
          </w:p>
        </w:tc>
        <w:tc>
          <w:tcPr>
            <w:tcW w:w="1522" w:type="dxa"/>
            <w:shd w:val="clear" w:color="auto" w:fill="0F4761"/>
            <w:vAlign w:val="center"/>
          </w:tcPr>
          <w:p>
            <w:pPr>
              <w:pStyle w:val="TableHeading"/>
              <w:jc w:val="left"/>
            </w:pPr>
            <w:r>
              <w:rPr>
                <w:color w:val="FFFFFF"/>
              </w:rPr>
              <w:t xml:space="preserve">Goal</w:t>
            </w:r>
          </w:p>
        </w:tc>
        <w:tc>
          <w:tcPr>
            <w:tcW w:w="4712" w:type="dxa"/>
            <w:shd w:val="clear" w:color="auto" w:fill="0F4761"/>
            <w:vAlign w:val="center"/>
          </w:tcPr>
          <w:p>
            <w:pPr>
              <w:pStyle w:val="TableHeading"/>
              <w:jc w:val="left"/>
            </w:pPr>
            <w:r>
              <w:rPr>
                <w:color w:val="FFFFFF"/>
              </w:rPr>
              <w:t xml:space="preserve">Main content</w:t>
            </w:r>
          </w:p>
        </w:tc>
      </w:tr>
      <w:tr>
        <w:trPr>
          <w:cantSplit/>
        </w:trPr>
        <w:tc>
          <w:tcPr>
            <w:tcW w:w="972" w:type="dxa"/>
            <w:vAlign w:val="top"/>
          </w:tcPr>
          <w:p>
            <w:pPr>
              <w:pStyle w:val="TableText"/>
              <w:jc w:val="left"/>
            </w:pPr>
            <w:r>
              <w:t xml:space="preserve">1</w:t>
            </w:r>
          </w:p>
        </w:tc>
        <w:tc>
          <w:tcPr>
            <w:tcW w:w="1821" w:type="dxa"/>
            <w:vAlign w:val="top"/>
          </w:tcPr>
          <w:p>
            <w:pPr>
              <w:pStyle w:val="TableText"/>
              <w:jc w:val="left"/>
            </w:pPr>
            <w:r>
              <w:t xml:space="preserve">3 to 4, 16/11 to 27/11/2026</w:t>
            </w:r>
          </w:p>
        </w:tc>
        <w:tc>
          <w:tcPr>
            <w:tcW w:w="1522" w:type="dxa"/>
            <w:vAlign w:val="top"/>
          </w:tcPr>
          <w:p>
            <w:pPr>
              <w:pStyle w:val="TableText"/>
              <w:jc w:val="left"/>
            </w:pPr>
            <w:r>
              <w:t xml:space="preserve">TASCO core and data</w:t>
            </w:r>
          </w:p>
        </w:tc>
        <w:tc>
          <w:tcPr>
            <w:tcW w:w="4712" w:type="dxa"/>
            <w:vAlign w:val="top"/>
          </w:tcPr>
          <w:p>
            <w:pPr>
              <w:pStyle w:val="TableText"/>
              <w:jc w:val="left"/>
            </w:pPr>
            <w:r>
              <w:t xml:space="preserve">Catalogue sync, live rating, bind and issue against the core sandbox; daily policy extract; VETC initial data load and daily changes; data-quality baseline for the cohort</w:t>
            </w:r>
          </w:p>
        </w:tc>
      </w:tr>
      <w:tr>
        <w:trPr>
          <w:cantSplit/>
        </w:trPr>
        <w:tc>
          <w:tcPr>
            <w:tcW w:w="972" w:type="dxa"/>
            <w:shd w:val="clear" w:color="auto" w:fill="F4F7FB"/>
            <w:vAlign w:val="top"/>
          </w:tcPr>
          <w:p>
            <w:pPr>
              <w:pStyle w:val="TableText"/>
              <w:jc w:val="left"/>
            </w:pPr>
            <w:r>
              <w:t xml:space="preserve">2</w:t>
            </w:r>
          </w:p>
        </w:tc>
        <w:tc>
          <w:tcPr>
            <w:tcW w:w="1821" w:type="dxa"/>
            <w:shd w:val="clear" w:color="auto" w:fill="F4F7FB"/>
            <w:vAlign w:val="top"/>
          </w:tcPr>
          <w:p>
            <w:pPr>
              <w:pStyle w:val="TableText"/>
              <w:jc w:val="left"/>
            </w:pPr>
            <w:r>
              <w:t xml:space="preserve">5 to 6, 30/11 to 11/12/2026</w:t>
            </w:r>
          </w:p>
        </w:tc>
        <w:tc>
          <w:tcPr>
            <w:tcW w:w="1522" w:type="dxa"/>
            <w:shd w:val="clear" w:color="auto" w:fill="F4F7FB"/>
            <w:vAlign w:val="top"/>
          </w:tcPr>
          <w:p>
            <w:pPr>
              <w:pStyle w:val="TableText"/>
              <w:jc w:val="left"/>
            </w:pPr>
            <w:r>
              <w:t xml:space="preserve">VETC wallet and app</w:t>
            </w:r>
          </w:p>
        </w:tc>
        <w:tc>
          <w:tcPr>
            <w:tcW w:w="4712" w:type="dxa"/>
            <w:shd w:val="clear" w:color="auto" w:fill="F4F7FB"/>
            <w:vAlign w:val="top"/>
          </w:tcPr>
          <w:p>
            <w:pPr>
              <w:pStyle w:val="TableText"/>
              <w:jc w:val="left"/>
            </w:pPr>
            <w:r>
              <w:t xml:space="preserve">Wallet debit, refund and reconciliation; app web view with signed links; push; tag-activation events; customer app in TASCO branding</w:t>
            </w:r>
          </w:p>
        </w:tc>
      </w:tr>
      <w:tr>
        <w:trPr>
          <w:cantSplit/>
        </w:trPr>
        <w:tc>
          <w:tcPr>
            <w:tcW w:w="972" w:type="dxa"/>
            <w:vAlign w:val="top"/>
          </w:tcPr>
          <w:p>
            <w:pPr>
              <w:pStyle w:val="TableText"/>
              <w:jc w:val="left"/>
            </w:pPr>
            <w:r>
              <w:t xml:space="preserve">3</w:t>
            </w:r>
          </w:p>
        </w:tc>
        <w:tc>
          <w:tcPr>
            <w:tcW w:w="1821" w:type="dxa"/>
            <w:vAlign w:val="top"/>
          </w:tcPr>
          <w:p>
            <w:pPr>
              <w:pStyle w:val="TableText"/>
              <w:jc w:val="left"/>
            </w:pPr>
            <w:r>
              <w:t xml:space="preserve">7 to 8, 14/12 to 25/12/2026</w:t>
            </w:r>
          </w:p>
        </w:tc>
        <w:tc>
          <w:tcPr>
            <w:tcW w:w="1522" w:type="dxa"/>
            <w:vAlign w:val="top"/>
          </w:tcPr>
          <w:p>
            <w:pPr>
              <w:pStyle w:val="TableText"/>
              <w:jc w:val="left"/>
            </w:pPr>
            <w:r>
              <w:t xml:space="preserve">Channels and voice</w:t>
            </w:r>
          </w:p>
        </w:tc>
        <w:tc>
          <w:tcPr>
            <w:tcW w:w="4712" w:type="dxa"/>
            <w:vAlign w:val="top"/>
          </w:tcPr>
          <w:p>
            <w:pPr>
              <w:pStyle w:val="TableText"/>
              <w:jc w:val="left"/>
            </w:pPr>
            <w:r>
              <w:t xml:space="preserve">Zalo ZNS and SMS brandname templates; voice AI vendor, Vietnamese script, plate-first verification, telesales handoff; the five MVP journeys configured</w:t>
            </w:r>
          </w:p>
        </w:tc>
      </w:tr>
      <w:tr>
        <w:trPr>
          <w:cantSplit/>
        </w:trPr>
        <w:tc>
          <w:tcPr>
            <w:tcW w:w="972" w:type="dxa"/>
            <w:shd w:val="clear" w:color="auto" w:fill="F4F7FB"/>
            <w:vAlign w:val="top"/>
          </w:tcPr>
          <w:p>
            <w:pPr>
              <w:pStyle w:val="TableText"/>
              <w:jc w:val="left"/>
            </w:pPr>
            <w:r>
              <w:t xml:space="preserve">4</w:t>
            </w:r>
          </w:p>
        </w:tc>
        <w:tc>
          <w:tcPr>
            <w:tcW w:w="1821" w:type="dxa"/>
            <w:shd w:val="clear" w:color="auto" w:fill="F4F7FB"/>
            <w:vAlign w:val="top"/>
          </w:tcPr>
          <w:p>
            <w:pPr>
              <w:pStyle w:val="TableText"/>
              <w:jc w:val="left"/>
            </w:pPr>
            <w:r>
              <w:t xml:space="preserve">9 to 10, 28/12/2026 to 08/01/2027</w:t>
            </w:r>
          </w:p>
        </w:tc>
        <w:tc>
          <w:tcPr>
            <w:tcW w:w="1522" w:type="dxa"/>
            <w:shd w:val="clear" w:color="auto" w:fill="F4F7FB"/>
            <w:vAlign w:val="top"/>
          </w:tcPr>
          <w:p>
            <w:pPr>
              <w:pStyle w:val="TableText"/>
              <w:jc w:val="left"/>
            </w:pPr>
            <w:r>
              <w:t xml:space="preserve">Partner and hardening</w:t>
            </w:r>
          </w:p>
        </w:tc>
        <w:tc>
          <w:tcPr>
            <w:tcW w:w="4712" w:type="dxa"/>
            <w:shd w:val="clear" w:color="auto" w:fill="F4F7FB"/>
            <w:vAlign w:val="top"/>
          </w:tcPr>
          <w:p>
            <w:pPr>
              <w:pStyle w:val="TableText"/>
              <w:jc w:val="left"/>
            </w:pPr>
            <w:r>
              <w:t xml:space="preserve">One partner on the partner API; physical damage inspection flow; performance and security scanning; runbooks; M2 demonstration</w:t>
            </w:r>
          </w:p>
        </w:tc>
      </w:tr>
    </w:tbl>
    <w:p>
      <w:pPr>
        <w:pStyle w:val="Heading2"/>
      </w:pPr>
      <w:bookmarkStart w:id="13" w:name="_Toc300000009"/>
      <w:r>
        <w:t xml:space="preserve">Test and go-live (weeks 11 to 13)</w:t>
      </w:r>
      <w:bookmarkEnd w:id="13"/>
    </w:p>
    <w:p>
      <w:pPr>
        <w:pStyle w:val="FirstParagraph"/>
      </w:pPr>
      <w:r>
        <w:t xml:space="preserve">System integration testing covers the end-to-end flows across TASCO core, VETC wallet, push, Zalo, SMS and voice. UAT is run by TASCO users against the acceptance criteria, and training for pilot users takes place in the same weeks. Security testing includes static, dynamic, dependency and container scanning with focused manual testing of authentication, payment and the partner API; an independent penetration test is recommended. The cut-over is rehearsed before M3.</w:t>
      </w:r>
    </w:p>
    <w:p>
      <w:pPr>
        <w:pStyle w:val="BodyText"/>
      </w:pPr>
      <w:r>
        <w:t xml:space="preserve">The test stages and exit criteria are in TGP-QA-01 Test Strategy and TGP-QA-04 User Acceptance Test Plan. The cut-over plan is in TGP-OPS-05 Go-Live and Hypercare Plan.</w:t>
      </w:r>
    </w:p>
    <w:p>
      <w:pPr>
        <w:pStyle w:val="Heading2"/>
      </w:pPr>
      <w:bookmarkStart w:id="14" w:name="_Toc300000010"/>
      <w:r>
        <w:t xml:space="preserve">Hypercare (weeks 14 to 17)</w:t>
      </w:r>
      <w:bookmarkEnd w:id="14"/>
    </w:p>
    <w:p>
      <w:pPr>
        <w:pStyle w:val="FirstParagraph"/>
      </w:pPr>
      <w:r>
        <w:t xml:space="preserve">The platform goes live as a soft launch to the first part of the pilot cohort after M3. The delivery team stays on hand for four weeks. A change freeze applies over the Tết holiday, with 24-hour on-call cover; only emergency fixes are released in that window. M4 is reached when the pilot is live and the service has run four weeks within service levels.</w:t>
      </w:r>
    </w:p>
    <w:p>
      <w:pPr>
        <w:pStyle w:val="Heading2"/>
      </w:pPr>
      <w:bookmarkStart w:id="15" w:name="_Toc300000011"/>
      <w:r>
        <w:t xml:space="preserve">Pilot ramp-up and read-out (weeks 18 to about 27)</w:t>
      </w:r>
      <w:bookmarkEnd w:id="15"/>
    </w:p>
    <w:p>
      <w:pPr>
        <w:pStyle w:val="FirstParagraph"/>
      </w:pPr>
      <w:r>
        <w:t xml:space="preserve">After Tết the pilot is extended to the full cohort over two weeks. The pilot read-out, with conversion measured against the control group, is planned for early May 2027. That covers a full 45-day renewal cycle and gives the conquest and new-vehicle journeys time to show results.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029"/>
        <w:gridCol w:w="3998"/>
      </w:tblGrid>
      <w:tr>
        <w:trPr>
          <w:cantSplit/>
          <w:tblHeader/>
        </w:trPr>
        <w:tc>
          <w:tcPr>
            <w:tcW w:w="5029" w:type="dxa"/>
            <w:shd w:val="clear" w:color="auto" w:fill="0F4761"/>
            <w:vAlign w:val="center"/>
          </w:tcPr>
          <w:p>
            <w:pPr>
              <w:pStyle w:val="TableHeading"/>
              <w:jc w:val="left"/>
            </w:pPr>
            <w:r>
              <w:rPr>
                <w:color w:val="FFFFFF"/>
              </w:rPr>
              <w:t xml:space="preserve">Pilot measure</w:t>
            </w:r>
          </w:p>
        </w:tc>
        <w:tc>
          <w:tcPr>
            <w:tcW w:w="3998" w:type="dxa"/>
            <w:shd w:val="clear" w:color="auto" w:fill="0F4761"/>
            <w:vAlign w:val="center"/>
          </w:tcPr>
          <w:p>
            <w:pPr>
              <w:pStyle w:val="TableHeading"/>
              <w:jc w:val="left"/>
            </w:pPr>
            <w:r>
              <w:rPr>
                <w:color w:val="FFFFFF"/>
              </w:rPr>
              <w:t xml:space="preserve">Target (to be confirmed in discovery)</w:t>
            </w:r>
          </w:p>
        </w:tc>
      </w:tr>
      <w:tr>
        <w:trPr>
          <w:cantSplit/>
        </w:trPr>
        <w:tc>
          <w:tcPr>
            <w:tcW w:w="5029" w:type="dxa"/>
            <w:vAlign w:val="top"/>
          </w:tcPr>
          <w:p>
            <w:pPr>
              <w:pStyle w:val="TableText"/>
              <w:jc w:val="left"/>
            </w:pPr>
            <w:r>
              <w:t xml:space="preserve">Vehicles with a usable expiry date</w:t>
            </w:r>
          </w:p>
        </w:tc>
        <w:tc>
          <w:tcPr>
            <w:tcW w:w="3998" w:type="dxa"/>
            <w:vAlign w:val="top"/>
          </w:tcPr>
          <w:p>
            <w:pPr>
              <w:pStyle w:val="TableText"/>
              <w:jc w:val="left"/>
            </w:pPr>
            <w:r>
              <w:t xml:space="preserve">From about 10% to at least 35% of the cohort</w:t>
            </w:r>
          </w:p>
        </w:tc>
      </w:tr>
      <w:tr>
        <w:trPr>
          <w:cantSplit/>
        </w:trPr>
        <w:tc>
          <w:tcPr>
            <w:tcW w:w="5029" w:type="dxa"/>
            <w:shd w:val="clear" w:color="auto" w:fill="F4F7FB"/>
            <w:vAlign w:val="top"/>
          </w:tcPr>
          <w:p>
            <w:pPr>
              <w:pStyle w:val="TableText"/>
              <w:jc w:val="left"/>
            </w:pPr>
            <w:r>
              <w:t xml:space="preserve">Own-channel TNDS conversion</w:t>
            </w:r>
          </w:p>
        </w:tc>
        <w:tc>
          <w:tcPr>
            <w:tcW w:w="3998" w:type="dxa"/>
            <w:shd w:val="clear" w:color="auto" w:fill="F4F7FB"/>
            <w:vAlign w:val="top"/>
          </w:tcPr>
          <w:p>
            <w:pPr>
              <w:pStyle w:val="TableText"/>
              <w:jc w:val="left"/>
            </w:pPr>
            <w:r>
              <w:t xml:space="preserve">Significantly above the control group (statistically tested)</w:t>
            </w:r>
          </w:p>
        </w:tc>
      </w:tr>
      <w:tr>
        <w:trPr>
          <w:cantSplit/>
        </w:trPr>
        <w:tc>
          <w:tcPr>
            <w:tcW w:w="5029" w:type="dxa"/>
            <w:vAlign w:val="top"/>
          </w:tcPr>
          <w:p>
            <w:pPr>
              <w:pStyle w:val="TableText"/>
              <w:jc w:val="left"/>
            </w:pPr>
            <w:r>
              <w:t xml:space="preserve">Policies bought in the app</w:t>
            </w:r>
          </w:p>
        </w:tc>
        <w:tc>
          <w:tcPr>
            <w:tcW w:w="3998" w:type="dxa"/>
            <w:vAlign w:val="top"/>
          </w:tcPr>
          <w:p>
            <w:pPr>
              <w:pStyle w:val="TableText"/>
              <w:jc w:val="left"/>
            </w:pPr>
            <w:r>
              <w:t xml:space="preserve">At least 60% of own-channel sales</w:t>
            </w:r>
          </w:p>
        </w:tc>
      </w:tr>
      <w:tr>
        <w:trPr>
          <w:cantSplit/>
        </w:trPr>
        <w:tc>
          <w:tcPr>
            <w:tcW w:w="5029" w:type="dxa"/>
            <w:shd w:val="clear" w:color="auto" w:fill="F4F7FB"/>
            <w:vAlign w:val="top"/>
          </w:tcPr>
          <w:p>
            <w:pPr>
              <w:pStyle w:val="TableText"/>
              <w:jc w:val="left"/>
            </w:pPr>
            <w:r>
              <w:t xml:space="preserve">Median renewal time in the app (quick renewal where eligible, full flow otherwise)</w:t>
            </w:r>
          </w:p>
        </w:tc>
        <w:tc>
          <w:tcPr>
            <w:tcW w:w="3998" w:type="dxa"/>
            <w:shd w:val="clear" w:color="auto" w:fill="F4F7FB"/>
            <w:vAlign w:val="top"/>
          </w:tcPr>
          <w:p>
            <w:pPr>
              <w:pStyle w:val="TableText"/>
              <w:jc w:val="left"/>
            </w:pPr>
            <w:r>
              <w:t xml:space="preserve">60 seconds or less</w:t>
            </w:r>
          </w:p>
        </w:tc>
      </w:tr>
      <w:tr>
        <w:trPr>
          <w:cantSplit/>
        </w:trPr>
        <w:tc>
          <w:tcPr>
            <w:tcW w:w="5029" w:type="dxa"/>
            <w:vAlign w:val="top"/>
          </w:tcPr>
          <w:p>
            <w:pPr>
              <w:pStyle w:val="TableText"/>
              <w:jc w:val="left"/>
            </w:pPr>
            <w:r>
              <w:t xml:space="preserve">Time from</w:t>
            </w:r>
            <w:r>
              <w:t xml:space="preserve"> </w:t>
            </w:r>
            <w:r>
              <w:t xml:space="preserve">“</w:t>
            </w:r>
            <w:r>
              <w:t xml:space="preserve">Xác nhận thanh toán</w:t>
            </w:r>
            <w:r>
              <w:t xml:space="preserve">”</w:t>
            </w:r>
            <w:r>
              <w:t xml:space="preserve"> </w:t>
            </w:r>
            <w:r>
              <w:t xml:space="preserve">to e-certificate</w:t>
            </w:r>
          </w:p>
        </w:tc>
        <w:tc>
          <w:tcPr>
            <w:tcW w:w="3998" w:type="dxa"/>
            <w:vAlign w:val="top"/>
          </w:tcPr>
          <w:p>
            <w:pPr>
              <w:pStyle w:val="TableText"/>
              <w:jc w:val="left"/>
            </w:pPr>
            <w:r>
              <w:t xml:space="preserve">Under 60 seconds for 95% of purchases</w:t>
            </w:r>
          </w:p>
        </w:tc>
      </w:tr>
      <w:tr>
        <w:trPr>
          <w:cantSplit/>
        </w:trPr>
        <w:tc>
          <w:tcPr>
            <w:tcW w:w="5029" w:type="dxa"/>
            <w:shd w:val="clear" w:color="auto" w:fill="F4F7FB"/>
            <w:vAlign w:val="top"/>
          </w:tcPr>
          <w:p>
            <w:pPr>
              <w:pStyle w:val="TableText"/>
              <w:jc w:val="left"/>
            </w:pPr>
            <w:r>
              <w:t xml:space="preserve">Complaints about contact</w:t>
            </w:r>
          </w:p>
        </w:tc>
        <w:tc>
          <w:tcPr>
            <w:tcW w:w="3998" w:type="dxa"/>
            <w:shd w:val="clear" w:color="auto" w:fill="F4F7FB"/>
            <w:vAlign w:val="top"/>
          </w:tcPr>
          <w:p>
            <w:pPr>
              <w:pStyle w:val="TableText"/>
              <w:jc w:val="left"/>
            </w:pPr>
            <w:r>
              <w:t xml:space="preserve">Fewer than 1 per 1,000 customers contacted</w:t>
            </w:r>
          </w:p>
        </w:tc>
      </w:tr>
      <w:tr>
        <w:trPr>
          <w:cantSplit/>
        </w:trPr>
        <w:tc>
          <w:tcPr>
            <w:tcW w:w="5029" w:type="dxa"/>
            <w:vAlign w:val="top"/>
          </w:tcPr>
          <w:p>
            <w:pPr>
              <w:pStyle w:val="TableText"/>
              <w:jc w:val="left"/>
            </w:pPr>
            <w:r>
              <w:t xml:space="preserve">Compliance breaches (copy, consent, contact window)</w:t>
            </w:r>
          </w:p>
        </w:tc>
        <w:tc>
          <w:tcPr>
            <w:tcW w:w="3998" w:type="dxa"/>
            <w:vAlign w:val="top"/>
          </w:tcPr>
          <w:p>
            <w:pPr>
              <w:pStyle w:val="TableText"/>
              <w:jc w:val="left"/>
            </w:pPr>
            <w:r>
              <w:t xml:space="preserve">Zero</w:t>
            </w:r>
          </w:p>
        </w:tc>
      </w:tr>
      <w:tr>
        <w:trPr>
          <w:cantSplit/>
        </w:trPr>
        <w:tc>
          <w:tcPr>
            <w:tcW w:w="5029" w:type="dxa"/>
            <w:shd w:val="clear" w:color="auto" w:fill="F4F7FB"/>
            <w:vAlign w:val="top"/>
          </w:tcPr>
          <w:p>
            <w:pPr>
              <w:pStyle w:val="TableText"/>
              <w:jc w:val="left"/>
            </w:pPr>
            <w:r>
              <w:t xml:space="preserve">Availability of the purchase path</w:t>
            </w:r>
          </w:p>
        </w:tc>
        <w:tc>
          <w:tcPr>
            <w:tcW w:w="3998" w:type="dxa"/>
            <w:shd w:val="clear" w:color="auto" w:fill="F4F7FB"/>
            <w:vAlign w:val="top"/>
          </w:tcPr>
          <w:p>
            <w:pPr>
              <w:pStyle w:val="TableText"/>
              <w:jc w:val="left"/>
            </w:pPr>
            <w:r>
              <w:t xml:space="preserve">99.9%</w:t>
            </w:r>
          </w:p>
        </w:tc>
      </w:tr>
    </w:tbl>
    <w:p>
      <w:pPr>
        <w:pStyle w:val="Heading2"/>
      </w:pPr>
      <w:bookmarkStart w:id="16" w:name="_Toc300000012"/>
      <w:r>
        <w:t xml:space="preserve">Scale phase (optional, after the read-out)</w:t>
      </w:r>
      <w:bookmarkEnd w:id="16"/>
    </w:p>
    <w:p>
      <w:pPr>
        <w:pStyle w:val="FirstParagraph"/>
      </w:pPr>
      <w:r>
        <w:t xml:space="preserve">If the pilot meets its targets, the steering committee decides on the scale phase at the read-out. It runs for about six months as ten priced modules, S1 to S10, capped at 566 person-days and USD 141,500 in total (TGP-BUS-07). It extends the base province by province, with a capacity test before each step, and opens further front doors on the same journeys: TASCO’s app and website with TASCO’s payment gateway (S3, which can start in March 2027), and a Zalo Mini App (S4). It also adds VETC single sign-on and live events, claims integration, inspection booking and the fleet portal, further partners, the data warehouse feed, score calibration and A/B testing. The scale phase is planned in detail before the decision.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57"/>
        <w:gridCol w:w="1686"/>
        <w:gridCol w:w="5184"/>
      </w:tblGrid>
      <w:tr>
        <w:trPr>
          <w:cantSplit/>
          <w:tblHeader/>
        </w:trPr>
        <w:tc>
          <w:tcPr>
            <w:tcW w:w="2157" w:type="dxa"/>
            <w:shd w:val="clear" w:color="auto" w:fill="0F4761"/>
            <w:vAlign w:val="center"/>
          </w:tcPr>
          <w:p>
            <w:pPr>
              <w:pStyle w:val="TableHeading"/>
              <w:jc w:val="left"/>
            </w:pPr>
            <w:r>
              <w:rPr>
                <w:color w:val="FFFFFF"/>
              </w:rPr>
              <w:t xml:space="preserve">Period (indicative)</w:t>
            </w:r>
          </w:p>
        </w:tc>
        <w:tc>
          <w:tcPr>
            <w:tcW w:w="1686" w:type="dxa"/>
            <w:shd w:val="clear" w:color="auto" w:fill="0F4761"/>
            <w:vAlign w:val="center"/>
          </w:tcPr>
          <w:p>
            <w:pPr>
              <w:pStyle w:val="TableHeading"/>
              <w:jc w:val="left"/>
            </w:pPr>
            <w:r>
              <w:rPr>
                <w:color w:val="FFFFFF"/>
              </w:rPr>
              <w:t xml:space="preserve">Release</w:t>
            </w:r>
          </w:p>
        </w:tc>
        <w:tc>
          <w:tcPr>
            <w:tcW w:w="5184" w:type="dxa"/>
            <w:shd w:val="clear" w:color="auto" w:fill="0F4761"/>
            <w:vAlign w:val="center"/>
          </w:tcPr>
          <w:p>
            <w:pPr>
              <w:pStyle w:val="TableHeading"/>
              <w:jc w:val="left"/>
            </w:pPr>
            <w:r>
              <w:rPr>
                <w:color w:val="FFFFFF"/>
              </w:rPr>
              <w:t xml:space="preserve">Content</w:t>
            </w:r>
          </w:p>
        </w:tc>
      </w:tr>
      <w:tr>
        <w:trPr>
          <w:cantSplit/>
        </w:trPr>
        <w:tc>
          <w:tcPr>
            <w:tcW w:w="2157" w:type="dxa"/>
            <w:vAlign w:val="top"/>
          </w:tcPr>
          <w:p>
            <w:pPr>
              <w:pStyle w:val="TableText"/>
              <w:jc w:val="left"/>
            </w:pPr>
            <w:r>
              <w:t xml:space="preserve">27 January to 26 February 2027</w:t>
            </w:r>
          </w:p>
        </w:tc>
        <w:tc>
          <w:tcPr>
            <w:tcW w:w="1686" w:type="dxa"/>
            <w:vAlign w:val="top"/>
          </w:tcPr>
          <w:p>
            <w:pPr>
              <w:pStyle w:val="TableText"/>
              <w:jc w:val="left"/>
            </w:pPr>
            <w:r>
              <w:t xml:space="preserve">MVP live, hypercare</w:t>
            </w:r>
          </w:p>
        </w:tc>
        <w:tc>
          <w:tcPr>
            <w:tcW w:w="5184" w:type="dxa"/>
            <w:vAlign w:val="top"/>
          </w:tcPr>
          <w:p>
            <w:pPr>
              <w:pStyle w:val="TableText"/>
              <w:jc w:val="left"/>
            </w:pPr>
            <w:r>
              <w:t xml:space="preserve">Pilot in the VETC app; Zalo ZNS from TASCO’s Official Account; voice assistant; Tasco360 on the partner API</w:t>
            </w:r>
          </w:p>
        </w:tc>
      </w:tr>
      <w:tr>
        <w:trPr>
          <w:cantSplit/>
        </w:trPr>
        <w:tc>
          <w:tcPr>
            <w:tcW w:w="2157" w:type="dxa"/>
            <w:shd w:val="clear" w:color="auto" w:fill="F4F7FB"/>
            <w:vAlign w:val="top"/>
          </w:tcPr>
          <w:p>
            <w:pPr>
              <w:pStyle w:val="TableText"/>
              <w:jc w:val="left"/>
            </w:pPr>
            <w:r>
              <w:t xml:space="preserve">March 2027 (optional)</w:t>
            </w:r>
          </w:p>
        </w:tc>
        <w:tc>
          <w:tcPr>
            <w:tcW w:w="1686" w:type="dxa"/>
            <w:shd w:val="clear" w:color="auto" w:fill="F4F7FB"/>
            <w:vAlign w:val="top"/>
          </w:tcPr>
          <w:p>
            <w:pPr>
              <w:pStyle w:val="TableText"/>
              <w:jc w:val="left"/>
            </w:pPr>
            <w:r>
              <w:t xml:space="preserve">S3 TASCO app and website</w:t>
            </w:r>
          </w:p>
        </w:tc>
        <w:tc>
          <w:tcPr>
            <w:tcW w:w="5184" w:type="dxa"/>
            <w:shd w:val="clear" w:color="auto" w:fill="F4F7FB"/>
            <w:vAlign w:val="top"/>
          </w:tcPr>
          <w:p>
            <w:pPr>
              <w:pStyle w:val="TableText"/>
              <w:jc w:val="left"/>
            </w:pPr>
            <w:r>
              <w:t xml:space="preserve">The same journeys in TASCO’s app and website with TASCO’s payment gateway</w:t>
            </w:r>
          </w:p>
        </w:tc>
      </w:tr>
      <w:tr>
        <w:trPr>
          <w:cantSplit/>
        </w:trPr>
        <w:tc>
          <w:tcPr>
            <w:tcW w:w="2157" w:type="dxa"/>
            <w:vAlign w:val="top"/>
          </w:tcPr>
          <w:p>
            <w:pPr>
              <w:pStyle w:val="TableText"/>
              <w:jc w:val="left"/>
            </w:pPr>
            <w:r>
              <w:t xml:space="preserve">Early May 2027</w:t>
            </w:r>
          </w:p>
        </w:tc>
        <w:tc>
          <w:tcPr>
            <w:tcW w:w="1686" w:type="dxa"/>
            <w:vAlign w:val="top"/>
          </w:tcPr>
          <w:p>
            <w:pPr>
              <w:pStyle w:val="TableText"/>
              <w:jc w:val="left"/>
            </w:pPr>
            <w:r>
              <w:t xml:space="preserve">Pilot read-out</w:t>
            </w:r>
          </w:p>
        </w:tc>
        <w:tc>
          <w:tcPr>
            <w:tcW w:w="5184" w:type="dxa"/>
            <w:vAlign w:val="top"/>
          </w:tcPr>
          <w:p>
            <w:pPr>
              <w:pStyle w:val="TableText"/>
              <w:jc w:val="left"/>
            </w:pPr>
            <w:r>
              <w:t xml:space="preserve">Conversion against the control group; decision to scale</w:t>
            </w:r>
          </w:p>
        </w:tc>
      </w:tr>
      <w:tr>
        <w:trPr>
          <w:cantSplit/>
        </w:trPr>
        <w:tc>
          <w:tcPr>
            <w:tcW w:w="2157" w:type="dxa"/>
            <w:shd w:val="clear" w:color="auto" w:fill="F4F7FB"/>
            <w:vAlign w:val="top"/>
          </w:tcPr>
          <w:p>
            <w:pPr>
              <w:pStyle w:val="TableText"/>
              <w:jc w:val="left"/>
            </w:pPr>
            <w:r>
              <w:t xml:space="preserve">May to July 2027</w:t>
            </w:r>
          </w:p>
        </w:tc>
        <w:tc>
          <w:tcPr>
            <w:tcW w:w="1686" w:type="dxa"/>
            <w:shd w:val="clear" w:color="auto" w:fill="F4F7FB"/>
            <w:vAlign w:val="top"/>
          </w:tcPr>
          <w:p>
            <w:pPr>
              <w:pStyle w:val="TableText"/>
              <w:jc w:val="left"/>
            </w:pPr>
            <w:r>
              <w:t xml:space="preserve">Scale wave 1</w:t>
            </w:r>
          </w:p>
        </w:tc>
        <w:tc>
          <w:tcPr>
            <w:tcW w:w="5184" w:type="dxa"/>
            <w:shd w:val="clear" w:color="auto" w:fill="F4F7FB"/>
            <w:vAlign w:val="top"/>
          </w:tcPr>
          <w:p>
            <w:pPr>
              <w:pStyle w:val="TableText"/>
              <w:jc w:val="left"/>
            </w:pPr>
            <w:r>
              <w:t xml:space="preserve">Full base in province waves (S1); VETC sign-on and live events (S2); Zalo Mini App (S4); score calibration (S9)</w:t>
            </w:r>
          </w:p>
        </w:tc>
      </w:tr>
      <w:tr>
        <w:trPr>
          <w:cantSplit/>
        </w:trPr>
        <w:tc>
          <w:tcPr>
            <w:tcW w:w="2157" w:type="dxa"/>
            <w:vAlign w:val="top"/>
          </w:tcPr>
          <w:p>
            <w:pPr>
              <w:pStyle w:val="TableText"/>
              <w:jc w:val="left"/>
            </w:pPr>
            <w:r>
              <w:t xml:space="preserve">August to October 2027</w:t>
            </w:r>
          </w:p>
        </w:tc>
        <w:tc>
          <w:tcPr>
            <w:tcW w:w="1686" w:type="dxa"/>
            <w:vAlign w:val="top"/>
          </w:tcPr>
          <w:p>
            <w:pPr>
              <w:pStyle w:val="TableText"/>
              <w:jc w:val="left"/>
            </w:pPr>
            <w:r>
              <w:t xml:space="preserve">Scale wave 2</w:t>
            </w:r>
          </w:p>
        </w:tc>
        <w:tc>
          <w:tcPr>
            <w:tcW w:w="5184" w:type="dxa"/>
            <w:vAlign w:val="top"/>
          </w:tcPr>
          <w:p>
            <w:pPr>
              <w:pStyle w:val="TableText"/>
              <w:jc w:val="left"/>
            </w:pPr>
            <w:r>
              <w:t xml:space="preserve">Claims integration (S5); inspection booking and fleet portal (S6); further partners (S7); data warehouse (S8); full-scale assurance (S10)</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Milestones</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09"/>
        <w:gridCol w:w="830"/>
        <w:gridCol w:w="1761"/>
        <w:gridCol w:w="4227"/>
      </w:tblGrid>
      <w:tr>
        <w:trPr>
          <w:cantSplit/>
          <w:tblHeader/>
        </w:trPr>
        <w:tc>
          <w:tcPr>
            <w:tcW w:w="2209" w:type="dxa"/>
            <w:shd w:val="clear" w:color="auto" w:fill="0F4761"/>
            <w:vAlign w:val="center"/>
          </w:tcPr>
          <w:p>
            <w:pPr>
              <w:pStyle w:val="TableHeading"/>
              <w:jc w:val="left"/>
            </w:pPr>
            <w:r>
              <w:rPr>
                <w:color w:val="FFFFFF"/>
              </w:rPr>
              <w:t xml:space="preserve">Milestone</w:t>
            </w:r>
          </w:p>
        </w:tc>
        <w:tc>
          <w:tcPr>
            <w:tcW w:w="830" w:type="dxa"/>
            <w:shd w:val="clear" w:color="auto" w:fill="0F4761"/>
            <w:vAlign w:val="center"/>
          </w:tcPr>
          <w:p>
            <w:pPr>
              <w:pStyle w:val="TableHeading"/>
              <w:jc w:val="left"/>
            </w:pPr>
            <w:r>
              <w:rPr>
                <w:color w:val="FFFFFF"/>
              </w:rPr>
              <w:t xml:space="preserve">Week</w:t>
            </w:r>
          </w:p>
        </w:tc>
        <w:tc>
          <w:tcPr>
            <w:tcW w:w="1761" w:type="dxa"/>
            <w:shd w:val="clear" w:color="auto" w:fill="0F4761"/>
            <w:vAlign w:val="center"/>
          </w:tcPr>
          <w:p>
            <w:pPr>
              <w:pStyle w:val="TableHeading"/>
              <w:jc w:val="left"/>
            </w:pPr>
            <w:r>
              <w:rPr>
                <w:color w:val="FFFFFF"/>
              </w:rPr>
              <w:t xml:space="preserve">Date (indicative)</w:t>
            </w:r>
          </w:p>
        </w:tc>
        <w:tc>
          <w:tcPr>
            <w:tcW w:w="4227" w:type="dxa"/>
            <w:shd w:val="clear" w:color="auto" w:fill="0F4761"/>
            <w:vAlign w:val="center"/>
          </w:tcPr>
          <w:p>
            <w:pPr>
              <w:pStyle w:val="TableHeading"/>
              <w:jc w:val="left"/>
            </w:pPr>
            <w:r>
              <w:rPr>
                <w:color w:val="FFFFFF"/>
              </w:rPr>
              <w:t xml:space="preserve">Evidence</w:t>
            </w:r>
          </w:p>
        </w:tc>
      </w:tr>
      <w:tr>
        <w:trPr>
          <w:cantSplit/>
        </w:trPr>
        <w:tc>
          <w:tcPr>
            <w:tcW w:w="2209" w:type="dxa"/>
            <w:vAlign w:val="top"/>
          </w:tcPr>
          <w:p>
            <w:pPr>
              <w:pStyle w:val="TableText"/>
              <w:jc w:val="left"/>
            </w:pPr>
            <w:r>
              <w:t xml:space="preserve">M0 Mobilisation</w:t>
            </w:r>
          </w:p>
        </w:tc>
        <w:tc>
          <w:tcPr>
            <w:tcW w:w="830" w:type="dxa"/>
            <w:vAlign w:val="top"/>
          </w:tcPr>
          <w:p>
            <w:pPr>
              <w:pStyle w:val="TableText"/>
              <w:jc w:val="left"/>
            </w:pPr>
            <w:r>
              <w:t xml:space="preserve">0</w:t>
            </w:r>
          </w:p>
        </w:tc>
        <w:tc>
          <w:tcPr>
            <w:tcW w:w="1761" w:type="dxa"/>
            <w:vAlign w:val="top"/>
          </w:tcPr>
          <w:p>
            <w:pPr>
              <w:pStyle w:val="TableText"/>
              <w:jc w:val="left"/>
            </w:pPr>
            <w:r>
              <w:t xml:space="preserve">30/10/2026</w:t>
            </w:r>
          </w:p>
        </w:tc>
        <w:tc>
          <w:tcPr>
            <w:tcW w:w="4227" w:type="dxa"/>
            <w:vAlign w:val="top"/>
          </w:tcPr>
          <w:p>
            <w:pPr>
              <w:pStyle w:val="TableText"/>
              <w:jc w:val="left"/>
            </w:pPr>
            <w:r>
              <w:t xml:space="preserve">Contract signed; team onboarded</w:t>
            </w:r>
          </w:p>
        </w:tc>
      </w:tr>
      <w:tr>
        <w:trPr>
          <w:cantSplit/>
        </w:trPr>
        <w:tc>
          <w:tcPr>
            <w:tcW w:w="2209" w:type="dxa"/>
            <w:shd w:val="clear" w:color="auto" w:fill="F4F7FB"/>
            <w:vAlign w:val="top"/>
          </w:tcPr>
          <w:p>
            <w:pPr>
              <w:pStyle w:val="TableText"/>
              <w:jc w:val="left"/>
            </w:pPr>
            <w:r>
              <w:t xml:space="preserve">M1 Discovery complete</w:t>
            </w:r>
          </w:p>
        </w:tc>
        <w:tc>
          <w:tcPr>
            <w:tcW w:w="830" w:type="dxa"/>
            <w:shd w:val="clear" w:color="auto" w:fill="F4F7FB"/>
            <w:vAlign w:val="top"/>
          </w:tcPr>
          <w:p>
            <w:pPr>
              <w:pStyle w:val="TableText"/>
              <w:jc w:val="left"/>
            </w:pPr>
            <w:r>
              <w:t xml:space="preserve">2</w:t>
            </w:r>
          </w:p>
        </w:tc>
        <w:tc>
          <w:tcPr>
            <w:tcW w:w="1761" w:type="dxa"/>
            <w:shd w:val="clear" w:color="auto" w:fill="F4F7FB"/>
            <w:vAlign w:val="top"/>
          </w:tcPr>
          <w:p>
            <w:pPr>
              <w:pStyle w:val="TableText"/>
              <w:jc w:val="left"/>
            </w:pPr>
            <w:r>
              <w:t xml:space="preserve">13/11/2026</w:t>
            </w:r>
          </w:p>
        </w:tc>
        <w:tc>
          <w:tcPr>
            <w:tcW w:w="4227" w:type="dxa"/>
            <w:shd w:val="clear" w:color="auto" w:fill="F4F7FB"/>
            <w:vAlign w:val="top"/>
          </w:tcPr>
          <w:p>
            <w:pPr>
              <w:pStyle w:val="TableText"/>
              <w:jc w:val="left"/>
            </w:pPr>
            <w:r>
              <w:t xml:space="preserve">Discovery report, integration specifications and pilot design signed off</w:t>
            </w:r>
          </w:p>
        </w:tc>
      </w:tr>
      <w:tr>
        <w:trPr>
          <w:cantSplit/>
        </w:trPr>
        <w:tc>
          <w:tcPr>
            <w:tcW w:w="2209" w:type="dxa"/>
            <w:vAlign w:val="top"/>
          </w:tcPr>
          <w:p>
            <w:pPr>
              <w:pStyle w:val="TableText"/>
              <w:jc w:val="left"/>
            </w:pPr>
            <w:r>
              <w:t xml:space="preserve">M2 Integrated build</w:t>
            </w:r>
          </w:p>
        </w:tc>
        <w:tc>
          <w:tcPr>
            <w:tcW w:w="830" w:type="dxa"/>
            <w:vAlign w:val="top"/>
          </w:tcPr>
          <w:p>
            <w:pPr>
              <w:pStyle w:val="TableText"/>
              <w:jc w:val="left"/>
            </w:pPr>
            <w:r>
              <w:t xml:space="preserve">10</w:t>
            </w:r>
          </w:p>
        </w:tc>
        <w:tc>
          <w:tcPr>
            <w:tcW w:w="1761" w:type="dxa"/>
            <w:vAlign w:val="top"/>
          </w:tcPr>
          <w:p>
            <w:pPr>
              <w:pStyle w:val="TableText"/>
              <w:jc w:val="left"/>
            </w:pPr>
            <w:r>
              <w:t xml:space="preserve">08/01/2027</w:t>
            </w:r>
          </w:p>
        </w:tc>
        <w:tc>
          <w:tcPr>
            <w:tcW w:w="4227" w:type="dxa"/>
            <w:vAlign w:val="top"/>
          </w:tcPr>
          <w:p>
            <w:pPr>
              <w:pStyle w:val="TableText"/>
              <w:jc w:val="left"/>
            </w:pPr>
            <w:r>
              <w:t xml:space="preserve">End-to-end demonstration on sandboxes: core rating and issue, wallet debit, Zalo message, voice call</w:t>
            </w:r>
          </w:p>
        </w:tc>
      </w:tr>
      <w:tr>
        <w:trPr>
          <w:cantSplit/>
        </w:trPr>
        <w:tc>
          <w:tcPr>
            <w:tcW w:w="2209" w:type="dxa"/>
            <w:shd w:val="clear" w:color="auto" w:fill="F4F7FB"/>
            <w:vAlign w:val="top"/>
          </w:tcPr>
          <w:p>
            <w:pPr>
              <w:pStyle w:val="TableText"/>
              <w:jc w:val="left"/>
            </w:pPr>
            <w:r>
              <w:t xml:space="preserve">M3 Acceptance</w:t>
            </w:r>
          </w:p>
        </w:tc>
        <w:tc>
          <w:tcPr>
            <w:tcW w:w="830" w:type="dxa"/>
            <w:shd w:val="clear" w:color="auto" w:fill="F4F7FB"/>
            <w:vAlign w:val="top"/>
          </w:tcPr>
          <w:p>
            <w:pPr>
              <w:pStyle w:val="TableText"/>
              <w:jc w:val="left"/>
            </w:pPr>
            <w:r>
              <w:t xml:space="preserve">13</w:t>
            </w:r>
          </w:p>
        </w:tc>
        <w:tc>
          <w:tcPr>
            <w:tcW w:w="1761" w:type="dxa"/>
            <w:shd w:val="clear" w:color="auto" w:fill="F4F7FB"/>
            <w:vAlign w:val="top"/>
          </w:tcPr>
          <w:p>
            <w:pPr>
              <w:pStyle w:val="TableText"/>
              <w:jc w:val="left"/>
            </w:pPr>
            <w:r>
              <w:t xml:space="preserve">26/01/2027</w:t>
            </w:r>
          </w:p>
        </w:tc>
        <w:tc>
          <w:tcPr>
            <w:tcW w:w="4227" w:type="dxa"/>
            <w:shd w:val="clear" w:color="auto" w:fill="F4F7FB"/>
            <w:vAlign w:val="top"/>
          </w:tcPr>
          <w:p>
            <w:pPr>
              <w:pStyle w:val="TableText"/>
              <w:jc w:val="left"/>
            </w:pPr>
            <w:r>
              <w:t xml:space="preserve">UAT signed off; no open critical or high security findings</w:t>
            </w:r>
          </w:p>
        </w:tc>
      </w:tr>
      <w:tr>
        <w:trPr>
          <w:cantSplit/>
        </w:trPr>
        <w:tc>
          <w:tcPr>
            <w:tcW w:w="2209" w:type="dxa"/>
            <w:vAlign w:val="top"/>
          </w:tcPr>
          <w:p>
            <w:pPr>
              <w:pStyle w:val="TableText"/>
              <w:jc w:val="left"/>
            </w:pPr>
            <w:r>
              <w:t xml:space="preserve">M4 Pilot live and hypercare complete</w:t>
            </w:r>
          </w:p>
        </w:tc>
        <w:tc>
          <w:tcPr>
            <w:tcW w:w="830" w:type="dxa"/>
            <w:vAlign w:val="top"/>
          </w:tcPr>
          <w:p>
            <w:pPr>
              <w:pStyle w:val="TableText"/>
              <w:jc w:val="left"/>
            </w:pPr>
            <w:r>
              <w:t xml:space="preserve">17</w:t>
            </w:r>
          </w:p>
        </w:tc>
        <w:tc>
          <w:tcPr>
            <w:tcW w:w="1761" w:type="dxa"/>
            <w:vAlign w:val="top"/>
          </w:tcPr>
          <w:p>
            <w:pPr>
              <w:pStyle w:val="TableText"/>
              <w:jc w:val="left"/>
            </w:pPr>
            <w:r>
              <w:t xml:space="preserve">26/02/2027</w:t>
            </w:r>
          </w:p>
        </w:tc>
        <w:tc>
          <w:tcPr>
            <w:tcW w:w="4227" w:type="dxa"/>
            <w:vAlign w:val="top"/>
          </w:tcPr>
          <w:p>
            <w:pPr>
              <w:pStyle w:val="TableText"/>
              <w:jc w:val="left"/>
            </w:pPr>
            <w:r>
              <w:t xml:space="preserve">Pilot live; four weeks within service levels</w:t>
            </w:r>
          </w:p>
        </w:tc>
      </w:tr>
      <w:tr>
        <w:trPr>
          <w:cantSplit/>
        </w:trPr>
        <w:tc>
          <w:tcPr>
            <w:tcW w:w="2209" w:type="dxa"/>
            <w:shd w:val="clear" w:color="auto" w:fill="F4F7FB"/>
            <w:vAlign w:val="top"/>
          </w:tcPr>
          <w:p>
            <w:pPr>
              <w:pStyle w:val="TableText"/>
              <w:jc w:val="left"/>
            </w:pPr>
            <w:r>
              <w:t xml:space="preserve">Pilot read-out</w:t>
            </w:r>
          </w:p>
        </w:tc>
        <w:tc>
          <w:tcPr>
            <w:tcW w:w="830" w:type="dxa"/>
            <w:shd w:val="clear" w:color="auto" w:fill="F4F7FB"/>
            <w:vAlign w:val="top"/>
          </w:tcPr>
          <w:p>
            <w:pPr>
              <w:pStyle w:val="TableText"/>
              <w:jc w:val="left"/>
            </w:pPr>
            <w:r>
              <w:t xml:space="preserve">about 27</w:t>
            </w:r>
          </w:p>
        </w:tc>
        <w:tc>
          <w:tcPr>
            <w:tcW w:w="1761" w:type="dxa"/>
            <w:shd w:val="clear" w:color="auto" w:fill="F4F7FB"/>
            <w:vAlign w:val="top"/>
          </w:tcPr>
          <w:p>
            <w:pPr>
              <w:pStyle w:val="TableText"/>
              <w:jc w:val="left"/>
            </w:pPr>
            <w:r>
              <w:t xml:space="preserve">early May 2027</w:t>
            </w:r>
          </w:p>
        </w:tc>
        <w:tc>
          <w:tcPr>
            <w:tcW w:w="4227" w:type="dxa"/>
            <w:shd w:val="clear" w:color="auto" w:fill="F4F7FB"/>
            <w:vAlign w:val="top"/>
          </w:tcPr>
          <w:p>
            <w:pPr>
              <w:pStyle w:val="TableText"/>
              <w:jc w:val="left"/>
            </w:pPr>
            <w:r>
              <w:t xml:space="preserve">Pilot report against the control group; scale decision</w:t>
            </w:r>
          </w:p>
        </w:tc>
      </w:tr>
    </w:tbl>
    <w:p>
      <w:pPr>
        <w:pStyle w:val="BodyText"/>
        <w:spacing w:before="160"/>
      </w:pPr>
      <w:r>
        <w:t xml:space="preserve">M0 to M4 are the payment milestones. Their shares and amounts are in TGP-BUS-07 Commercials and Engagement Model.</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Team and effort</w:t>
      </w:r>
      <w:bookmarkEnd w:id="18"/>
    </w:p>
    <w:p>
      <w:pPr>
        <w:pStyle w:val="FirstParagraph"/>
      </w:pPr>
      <w:r>
        <w:t xml:space="preserve">The MVP team is small and senior. The engagement manager is accountable to TASCO for the whole delivery. The business analyst also acts as insurance subject-matter expert and works alongside TASCO’s product owner. Discovery and go-live are run on site in Hà Nội.</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114"/>
        <w:gridCol w:w="1870"/>
        <w:gridCol w:w="1188"/>
        <w:gridCol w:w="1708"/>
        <w:gridCol w:w="1870"/>
        <w:gridCol w:w="2209"/>
      </w:tblGrid>
      <w:tr>
        <w:trPr>
          <w:cantSplit/>
          <w:tblHeader/>
        </w:trPr>
        <w:tc>
          <w:tcPr>
            <w:tcW w:w="5114" w:type="dxa"/>
            <w:shd w:val="clear" w:color="auto" w:fill="0F4761"/>
            <w:vAlign w:val="center"/>
          </w:tcPr>
          <w:p>
            <w:pPr>
              <w:pStyle w:val="TableHeading"/>
              <w:jc w:val="left"/>
            </w:pPr>
            <w:r>
              <w:rPr>
                <w:color w:val="FFFFFF"/>
              </w:rPr>
              <w:t xml:space="preserve">Role</w:t>
            </w:r>
          </w:p>
        </w:tc>
        <w:tc>
          <w:tcPr>
            <w:tcW w:w="1870" w:type="dxa"/>
            <w:shd w:val="clear" w:color="auto" w:fill="0F4761"/>
            <w:vAlign w:val="center"/>
          </w:tcPr>
          <w:p>
            <w:pPr>
              <w:pStyle w:val="TableHeading"/>
              <w:jc w:val="right"/>
            </w:pPr>
            <w:r>
              <w:rPr>
                <w:color w:val="FFFFFF"/>
              </w:rPr>
              <w:t xml:space="preserve">Discovery</w:t>
            </w:r>
          </w:p>
        </w:tc>
        <w:tc>
          <w:tcPr>
            <w:tcW w:w="1188" w:type="dxa"/>
            <w:shd w:val="clear" w:color="auto" w:fill="0F4761"/>
            <w:vAlign w:val="center"/>
          </w:tcPr>
          <w:p>
            <w:pPr>
              <w:pStyle w:val="TableHeading"/>
              <w:jc w:val="right"/>
            </w:pPr>
            <w:r>
              <w:rPr>
                <w:color w:val="FFFFFF"/>
              </w:rPr>
              <w:t xml:space="preserve">Build</w:t>
            </w:r>
          </w:p>
        </w:tc>
        <w:tc>
          <w:tcPr>
            <w:tcW w:w="1708" w:type="dxa"/>
            <w:shd w:val="clear" w:color="auto" w:fill="0F4761"/>
            <w:vAlign w:val="center"/>
          </w:tcPr>
          <w:p>
            <w:pPr>
              <w:pStyle w:val="TableHeading"/>
              <w:jc w:val="right"/>
            </w:pPr>
            <w:r>
              <w:rPr>
                <w:color w:val="FFFFFF"/>
              </w:rPr>
              <w:t xml:space="preserve">Test and go-live</w:t>
            </w:r>
          </w:p>
        </w:tc>
        <w:tc>
          <w:tcPr>
            <w:tcW w:w="1870" w:type="dxa"/>
            <w:shd w:val="clear" w:color="auto" w:fill="0F4761"/>
            <w:vAlign w:val="center"/>
          </w:tcPr>
          <w:p>
            <w:pPr>
              <w:pStyle w:val="TableHeading"/>
              <w:jc w:val="right"/>
            </w:pPr>
            <w:r>
              <w:rPr>
                <w:color w:val="FFFFFF"/>
              </w:rPr>
              <w:t xml:space="preserve">Hypercare</w:t>
            </w:r>
          </w:p>
        </w:tc>
        <w:tc>
          <w:tcPr>
            <w:tcW w:w="2209" w:type="dxa"/>
            <w:shd w:val="clear" w:color="auto" w:fill="0F4761"/>
            <w:vAlign w:val="center"/>
          </w:tcPr>
          <w:p>
            <w:pPr>
              <w:pStyle w:val="TableHeading"/>
              <w:jc w:val="right"/>
            </w:pPr>
            <w:r>
              <w:rPr>
                <w:color w:val="FFFFFF"/>
              </w:rPr>
              <w:t xml:space="preserve">Total person-days</w:t>
            </w:r>
          </w:p>
        </w:tc>
      </w:tr>
      <w:tr>
        <w:trPr>
          <w:cantSplit/>
        </w:trPr>
        <w:tc>
          <w:tcPr>
            <w:tcW w:w="5114" w:type="dxa"/>
            <w:vAlign w:val="top"/>
          </w:tcPr>
          <w:p>
            <w:pPr>
              <w:pStyle w:val="TableText"/>
              <w:jc w:val="left"/>
            </w:pPr>
            <w:r>
              <w:t xml:space="preserve">Engagement manager</w:t>
            </w:r>
          </w:p>
        </w:tc>
        <w:tc>
          <w:tcPr>
            <w:tcW w:w="1870" w:type="dxa"/>
            <w:vAlign w:val="top"/>
          </w:tcPr>
          <w:p>
            <w:pPr>
              <w:pStyle w:val="TableText"/>
              <w:jc w:val="right"/>
            </w:pPr>
            <w:r>
              <w:t xml:space="preserve">5</w:t>
            </w:r>
          </w:p>
        </w:tc>
        <w:tc>
          <w:tcPr>
            <w:tcW w:w="1188" w:type="dxa"/>
            <w:vAlign w:val="top"/>
          </w:tcPr>
          <w:p>
            <w:pPr>
              <w:pStyle w:val="TableText"/>
              <w:jc w:val="right"/>
            </w:pPr>
            <w:r>
              <w:t xml:space="preserve">20</w:t>
            </w:r>
          </w:p>
        </w:tc>
        <w:tc>
          <w:tcPr>
            <w:tcW w:w="1708" w:type="dxa"/>
            <w:vAlign w:val="top"/>
          </w:tcPr>
          <w:p>
            <w:pPr>
              <w:pStyle w:val="TableText"/>
              <w:jc w:val="right"/>
            </w:pPr>
            <w:r>
              <w:t xml:space="preserve">7.5</w:t>
            </w:r>
          </w:p>
        </w:tc>
        <w:tc>
          <w:tcPr>
            <w:tcW w:w="1870" w:type="dxa"/>
            <w:vAlign w:val="top"/>
          </w:tcPr>
          <w:p>
            <w:pPr>
              <w:pStyle w:val="TableText"/>
              <w:jc w:val="right"/>
            </w:pPr>
            <w:r>
              <w:t xml:space="preserve">2</w:t>
            </w:r>
          </w:p>
        </w:tc>
        <w:tc>
          <w:tcPr>
            <w:tcW w:w="2209" w:type="dxa"/>
            <w:vAlign w:val="top"/>
          </w:tcPr>
          <w:p>
            <w:pPr>
              <w:pStyle w:val="TableText"/>
              <w:jc w:val="right"/>
            </w:pPr>
            <w:r>
              <w:t xml:space="preserve">34.5</w:t>
            </w:r>
          </w:p>
        </w:tc>
      </w:tr>
      <w:tr>
        <w:trPr>
          <w:cantSplit/>
        </w:trPr>
        <w:tc>
          <w:tcPr>
            <w:tcW w:w="5114" w:type="dxa"/>
            <w:shd w:val="clear" w:color="auto" w:fill="F4F7FB"/>
            <w:vAlign w:val="top"/>
          </w:tcPr>
          <w:p>
            <w:pPr>
              <w:pStyle w:val="TableText"/>
              <w:jc w:val="left"/>
            </w:pPr>
            <w:r>
              <w:t xml:space="preserve">Solution architect</w:t>
            </w:r>
          </w:p>
        </w:tc>
        <w:tc>
          <w:tcPr>
            <w:tcW w:w="1870" w:type="dxa"/>
            <w:shd w:val="clear" w:color="auto" w:fill="F4F7FB"/>
            <w:vAlign w:val="top"/>
          </w:tcPr>
          <w:p>
            <w:pPr>
              <w:pStyle w:val="TableText"/>
              <w:jc w:val="right"/>
            </w:pPr>
            <w:r>
              <w:t xml:space="preserve">10</w:t>
            </w:r>
          </w:p>
        </w:tc>
        <w:tc>
          <w:tcPr>
            <w:tcW w:w="1188" w:type="dxa"/>
            <w:shd w:val="clear" w:color="auto" w:fill="F4F7FB"/>
            <w:vAlign w:val="top"/>
          </w:tcPr>
          <w:p>
            <w:pPr>
              <w:pStyle w:val="TableText"/>
              <w:jc w:val="right"/>
            </w:pPr>
            <w:r>
              <w:t xml:space="preserve">20</w:t>
            </w:r>
          </w:p>
        </w:tc>
        <w:tc>
          <w:tcPr>
            <w:tcW w:w="1708" w:type="dxa"/>
            <w:shd w:val="clear" w:color="auto" w:fill="F4F7FB"/>
            <w:vAlign w:val="top"/>
          </w:tcPr>
          <w:p>
            <w:pPr>
              <w:pStyle w:val="TableText"/>
              <w:jc w:val="right"/>
            </w:pPr>
            <w:r>
              <w:t xml:space="preserve">3.75</w:t>
            </w:r>
          </w:p>
        </w:tc>
        <w:tc>
          <w:tcPr>
            <w:tcW w:w="1870" w:type="dxa"/>
            <w:shd w:val="clear" w:color="auto" w:fill="F4F7FB"/>
            <w:vAlign w:val="top"/>
          </w:tcPr>
          <w:p>
            <w:pPr>
              <w:pStyle w:val="TableText"/>
            </w:pPr>
          </w:p>
        </w:tc>
        <w:tc>
          <w:tcPr>
            <w:tcW w:w="2209" w:type="dxa"/>
            <w:shd w:val="clear" w:color="auto" w:fill="F4F7FB"/>
            <w:vAlign w:val="top"/>
          </w:tcPr>
          <w:p>
            <w:pPr>
              <w:pStyle w:val="TableText"/>
              <w:jc w:val="right"/>
            </w:pPr>
            <w:r>
              <w:t xml:space="preserve">33.75</w:t>
            </w:r>
          </w:p>
        </w:tc>
      </w:tr>
      <w:tr>
        <w:trPr>
          <w:cantSplit/>
        </w:trPr>
        <w:tc>
          <w:tcPr>
            <w:tcW w:w="5114" w:type="dxa"/>
            <w:vAlign w:val="top"/>
          </w:tcPr>
          <w:p>
            <w:pPr>
              <w:pStyle w:val="TableText"/>
              <w:jc w:val="left"/>
            </w:pPr>
            <w:r>
              <w:t xml:space="preserve">Business analyst and insurance SME</w:t>
            </w:r>
          </w:p>
        </w:tc>
        <w:tc>
          <w:tcPr>
            <w:tcW w:w="1870" w:type="dxa"/>
            <w:vAlign w:val="top"/>
          </w:tcPr>
          <w:p>
            <w:pPr>
              <w:pStyle w:val="TableText"/>
              <w:jc w:val="right"/>
            </w:pPr>
            <w:r>
              <w:t xml:space="preserve">10</w:t>
            </w:r>
          </w:p>
        </w:tc>
        <w:tc>
          <w:tcPr>
            <w:tcW w:w="1188" w:type="dxa"/>
            <w:vAlign w:val="top"/>
          </w:tcPr>
          <w:p>
            <w:pPr>
              <w:pStyle w:val="TableText"/>
              <w:jc w:val="right"/>
            </w:pPr>
            <w:r>
              <w:t xml:space="preserve">40</w:t>
            </w:r>
          </w:p>
        </w:tc>
        <w:tc>
          <w:tcPr>
            <w:tcW w:w="1708" w:type="dxa"/>
            <w:vAlign w:val="top"/>
          </w:tcPr>
          <w:p>
            <w:pPr>
              <w:pStyle w:val="TableText"/>
              <w:jc w:val="right"/>
            </w:pPr>
            <w:r>
              <w:t xml:space="preserve">15</w:t>
            </w:r>
          </w:p>
        </w:tc>
        <w:tc>
          <w:tcPr>
            <w:tcW w:w="1870" w:type="dxa"/>
            <w:vAlign w:val="top"/>
          </w:tcPr>
          <w:p>
            <w:pPr>
              <w:pStyle w:val="TableText"/>
              <w:jc w:val="right"/>
            </w:pPr>
            <w:r>
              <w:t xml:space="preserve">5</w:t>
            </w:r>
          </w:p>
        </w:tc>
        <w:tc>
          <w:tcPr>
            <w:tcW w:w="2209" w:type="dxa"/>
            <w:vAlign w:val="top"/>
          </w:tcPr>
          <w:p>
            <w:pPr>
              <w:pStyle w:val="TableText"/>
              <w:jc w:val="right"/>
            </w:pPr>
            <w:r>
              <w:t xml:space="preserve">70</w:t>
            </w:r>
          </w:p>
        </w:tc>
      </w:tr>
      <w:tr>
        <w:trPr>
          <w:cantSplit/>
        </w:trPr>
        <w:tc>
          <w:tcPr>
            <w:tcW w:w="5114" w:type="dxa"/>
            <w:shd w:val="clear" w:color="auto" w:fill="F4F7FB"/>
            <w:vAlign w:val="top"/>
          </w:tcPr>
          <w:p>
            <w:pPr>
              <w:pStyle w:val="TableText"/>
              <w:jc w:val="left"/>
            </w:pPr>
            <w:r>
              <w:t xml:space="preserve">UX and conversation designer</w:t>
            </w:r>
          </w:p>
        </w:tc>
        <w:tc>
          <w:tcPr>
            <w:tcW w:w="1870" w:type="dxa"/>
            <w:shd w:val="clear" w:color="auto" w:fill="F4F7FB"/>
            <w:vAlign w:val="top"/>
          </w:tcPr>
          <w:p>
            <w:pPr>
              <w:pStyle w:val="TableText"/>
              <w:jc w:val="right"/>
            </w:pPr>
            <w:r>
              <w:t xml:space="preserve">5</w:t>
            </w:r>
          </w:p>
        </w:tc>
        <w:tc>
          <w:tcPr>
            <w:tcW w:w="1188" w:type="dxa"/>
            <w:shd w:val="clear" w:color="auto" w:fill="F4F7FB"/>
            <w:vAlign w:val="top"/>
          </w:tcPr>
          <w:p>
            <w:pPr>
              <w:pStyle w:val="TableText"/>
              <w:jc w:val="right"/>
            </w:pPr>
            <w:r>
              <w:t xml:space="preserve">10</w:t>
            </w:r>
          </w:p>
        </w:tc>
        <w:tc>
          <w:tcPr>
            <w:tcW w:w="1708" w:type="dxa"/>
            <w:shd w:val="clear" w:color="auto" w:fill="F4F7FB"/>
            <w:vAlign w:val="top"/>
          </w:tcPr>
          <w:p>
            <w:pPr>
              <w:pStyle w:val="TableText"/>
            </w:pPr>
          </w:p>
        </w:tc>
        <w:tc>
          <w:tcPr>
            <w:tcW w:w="1870" w:type="dxa"/>
            <w:shd w:val="clear" w:color="auto" w:fill="F4F7FB"/>
            <w:vAlign w:val="top"/>
          </w:tcPr>
          <w:p>
            <w:pPr>
              <w:pStyle w:val="TableText"/>
            </w:pPr>
          </w:p>
        </w:tc>
        <w:tc>
          <w:tcPr>
            <w:tcW w:w="2209" w:type="dxa"/>
            <w:shd w:val="clear" w:color="auto" w:fill="F4F7FB"/>
            <w:vAlign w:val="top"/>
          </w:tcPr>
          <w:p>
            <w:pPr>
              <w:pStyle w:val="TableText"/>
              <w:jc w:val="right"/>
            </w:pPr>
            <w:r>
              <w:t xml:space="preserve">15</w:t>
            </w:r>
          </w:p>
        </w:tc>
      </w:tr>
      <w:tr>
        <w:trPr>
          <w:cantSplit/>
        </w:trPr>
        <w:tc>
          <w:tcPr>
            <w:tcW w:w="5114" w:type="dxa"/>
            <w:vAlign w:val="top"/>
          </w:tcPr>
          <w:p>
            <w:pPr>
              <w:pStyle w:val="TableText"/>
              <w:jc w:val="left"/>
            </w:pPr>
            <w:r>
              <w:t xml:space="preserve">Senior engineer (integration lead)</w:t>
            </w:r>
          </w:p>
        </w:tc>
        <w:tc>
          <w:tcPr>
            <w:tcW w:w="1870" w:type="dxa"/>
            <w:vAlign w:val="top"/>
          </w:tcPr>
          <w:p>
            <w:pPr>
              <w:pStyle w:val="TableText"/>
              <w:jc w:val="right"/>
            </w:pPr>
            <w:r>
              <w:t xml:space="preserve">5</w:t>
            </w:r>
          </w:p>
        </w:tc>
        <w:tc>
          <w:tcPr>
            <w:tcW w:w="1188" w:type="dxa"/>
            <w:vAlign w:val="top"/>
          </w:tcPr>
          <w:p>
            <w:pPr>
              <w:pStyle w:val="TableText"/>
              <w:jc w:val="right"/>
            </w:pPr>
            <w:r>
              <w:t xml:space="preserve">40</w:t>
            </w:r>
          </w:p>
        </w:tc>
        <w:tc>
          <w:tcPr>
            <w:tcW w:w="1708" w:type="dxa"/>
            <w:vAlign w:val="top"/>
          </w:tcPr>
          <w:p>
            <w:pPr>
              <w:pStyle w:val="TableText"/>
              <w:jc w:val="right"/>
            </w:pPr>
            <w:r>
              <w:t xml:space="preserve">15</w:t>
            </w:r>
          </w:p>
        </w:tc>
        <w:tc>
          <w:tcPr>
            <w:tcW w:w="1870" w:type="dxa"/>
            <w:vAlign w:val="top"/>
          </w:tcPr>
          <w:p>
            <w:pPr>
              <w:pStyle w:val="TableText"/>
              <w:jc w:val="right"/>
            </w:pPr>
            <w:r>
              <w:t xml:space="preserve">10</w:t>
            </w:r>
          </w:p>
        </w:tc>
        <w:tc>
          <w:tcPr>
            <w:tcW w:w="2209" w:type="dxa"/>
            <w:vAlign w:val="top"/>
          </w:tcPr>
          <w:p>
            <w:pPr>
              <w:pStyle w:val="TableText"/>
              <w:jc w:val="right"/>
            </w:pPr>
            <w:r>
              <w:t xml:space="preserve">70</w:t>
            </w:r>
          </w:p>
        </w:tc>
      </w:tr>
      <w:tr>
        <w:trPr>
          <w:cantSplit/>
        </w:trPr>
        <w:tc>
          <w:tcPr>
            <w:tcW w:w="5114" w:type="dxa"/>
            <w:shd w:val="clear" w:color="auto" w:fill="F4F7FB"/>
            <w:vAlign w:val="top"/>
          </w:tcPr>
          <w:p>
            <w:pPr>
              <w:pStyle w:val="TableText"/>
              <w:jc w:val="left"/>
            </w:pPr>
            <w:r>
              <w:t xml:space="preserve">Engineers (backend and frontend)</w:t>
            </w:r>
          </w:p>
        </w:tc>
        <w:tc>
          <w:tcPr>
            <w:tcW w:w="1870" w:type="dxa"/>
            <w:shd w:val="clear" w:color="auto" w:fill="F4F7FB"/>
            <w:vAlign w:val="top"/>
          </w:tcPr>
          <w:p>
            <w:pPr>
              <w:pStyle w:val="TableText"/>
            </w:pPr>
          </w:p>
        </w:tc>
        <w:tc>
          <w:tcPr>
            <w:tcW w:w="1188" w:type="dxa"/>
            <w:shd w:val="clear" w:color="auto" w:fill="F4F7FB"/>
            <w:vAlign w:val="top"/>
          </w:tcPr>
          <w:p>
            <w:pPr>
              <w:pStyle w:val="TableText"/>
              <w:jc w:val="right"/>
            </w:pPr>
            <w:r>
              <w:t xml:space="preserve">80</w:t>
            </w:r>
          </w:p>
        </w:tc>
        <w:tc>
          <w:tcPr>
            <w:tcW w:w="1708" w:type="dxa"/>
            <w:shd w:val="clear" w:color="auto" w:fill="F4F7FB"/>
            <w:vAlign w:val="top"/>
          </w:tcPr>
          <w:p>
            <w:pPr>
              <w:pStyle w:val="TableText"/>
              <w:jc w:val="right"/>
            </w:pPr>
            <w:r>
              <w:t xml:space="preserve">15</w:t>
            </w:r>
          </w:p>
        </w:tc>
        <w:tc>
          <w:tcPr>
            <w:tcW w:w="1870" w:type="dxa"/>
            <w:shd w:val="clear" w:color="auto" w:fill="F4F7FB"/>
            <w:vAlign w:val="top"/>
          </w:tcPr>
          <w:p>
            <w:pPr>
              <w:pStyle w:val="TableText"/>
              <w:jc w:val="right"/>
            </w:pPr>
            <w:r>
              <w:t xml:space="preserve">10</w:t>
            </w:r>
          </w:p>
        </w:tc>
        <w:tc>
          <w:tcPr>
            <w:tcW w:w="2209" w:type="dxa"/>
            <w:shd w:val="clear" w:color="auto" w:fill="F4F7FB"/>
            <w:vAlign w:val="top"/>
          </w:tcPr>
          <w:p>
            <w:pPr>
              <w:pStyle w:val="TableText"/>
              <w:jc w:val="right"/>
            </w:pPr>
            <w:r>
              <w:t xml:space="preserve">105</w:t>
            </w:r>
          </w:p>
        </w:tc>
      </w:tr>
      <w:tr>
        <w:trPr>
          <w:cantSplit/>
        </w:trPr>
        <w:tc>
          <w:tcPr>
            <w:tcW w:w="5114" w:type="dxa"/>
            <w:vAlign w:val="top"/>
          </w:tcPr>
          <w:p>
            <w:pPr>
              <w:pStyle w:val="TableText"/>
              <w:jc w:val="left"/>
            </w:pPr>
            <w:r>
              <w:t xml:space="preserve">QA engineer</w:t>
            </w:r>
          </w:p>
        </w:tc>
        <w:tc>
          <w:tcPr>
            <w:tcW w:w="1870" w:type="dxa"/>
            <w:vAlign w:val="top"/>
          </w:tcPr>
          <w:p>
            <w:pPr>
              <w:pStyle w:val="TableText"/>
            </w:pPr>
          </w:p>
        </w:tc>
        <w:tc>
          <w:tcPr>
            <w:tcW w:w="1188" w:type="dxa"/>
            <w:vAlign w:val="top"/>
          </w:tcPr>
          <w:p>
            <w:pPr>
              <w:pStyle w:val="TableText"/>
              <w:jc w:val="right"/>
            </w:pPr>
            <w:r>
              <w:t xml:space="preserve">40</w:t>
            </w:r>
          </w:p>
        </w:tc>
        <w:tc>
          <w:tcPr>
            <w:tcW w:w="1708" w:type="dxa"/>
            <w:vAlign w:val="top"/>
          </w:tcPr>
          <w:p>
            <w:pPr>
              <w:pStyle w:val="TableText"/>
              <w:jc w:val="right"/>
            </w:pPr>
            <w:r>
              <w:t xml:space="preserve">22.5</w:t>
            </w:r>
          </w:p>
        </w:tc>
        <w:tc>
          <w:tcPr>
            <w:tcW w:w="1870" w:type="dxa"/>
            <w:vAlign w:val="top"/>
          </w:tcPr>
          <w:p>
            <w:pPr>
              <w:pStyle w:val="TableText"/>
            </w:pPr>
          </w:p>
        </w:tc>
        <w:tc>
          <w:tcPr>
            <w:tcW w:w="2209" w:type="dxa"/>
            <w:vAlign w:val="top"/>
          </w:tcPr>
          <w:p>
            <w:pPr>
              <w:pStyle w:val="TableText"/>
              <w:jc w:val="right"/>
            </w:pPr>
            <w:r>
              <w:t xml:space="preserve">62.5</w:t>
            </w:r>
          </w:p>
        </w:tc>
      </w:tr>
      <w:tr>
        <w:trPr>
          <w:cantSplit/>
        </w:trPr>
        <w:tc>
          <w:tcPr>
            <w:tcW w:w="5114" w:type="dxa"/>
            <w:shd w:val="clear" w:color="auto" w:fill="F4F7FB"/>
            <w:vAlign w:val="top"/>
          </w:tcPr>
          <w:p>
            <w:pPr>
              <w:pStyle w:val="TableText"/>
              <w:jc w:val="left"/>
            </w:pPr>
            <w:r>
              <w:t xml:space="preserve">DevSecOps engineer</w:t>
            </w:r>
          </w:p>
        </w:tc>
        <w:tc>
          <w:tcPr>
            <w:tcW w:w="1870" w:type="dxa"/>
            <w:shd w:val="clear" w:color="auto" w:fill="F4F7FB"/>
            <w:vAlign w:val="top"/>
          </w:tcPr>
          <w:p>
            <w:pPr>
              <w:pStyle w:val="TableText"/>
            </w:pPr>
          </w:p>
        </w:tc>
        <w:tc>
          <w:tcPr>
            <w:tcW w:w="1188" w:type="dxa"/>
            <w:shd w:val="clear" w:color="auto" w:fill="F4F7FB"/>
            <w:vAlign w:val="top"/>
          </w:tcPr>
          <w:p>
            <w:pPr>
              <w:pStyle w:val="TableText"/>
              <w:jc w:val="right"/>
            </w:pPr>
            <w:r>
              <w:t xml:space="preserve">20</w:t>
            </w:r>
          </w:p>
        </w:tc>
        <w:tc>
          <w:tcPr>
            <w:tcW w:w="1708" w:type="dxa"/>
            <w:shd w:val="clear" w:color="auto" w:fill="F4F7FB"/>
            <w:vAlign w:val="top"/>
          </w:tcPr>
          <w:p>
            <w:pPr>
              <w:pStyle w:val="TableText"/>
              <w:jc w:val="right"/>
            </w:pPr>
            <w:r>
              <w:t xml:space="preserve">7.5</w:t>
            </w:r>
          </w:p>
        </w:tc>
        <w:tc>
          <w:tcPr>
            <w:tcW w:w="1870" w:type="dxa"/>
            <w:shd w:val="clear" w:color="auto" w:fill="F4F7FB"/>
            <w:vAlign w:val="top"/>
          </w:tcPr>
          <w:p>
            <w:pPr>
              <w:pStyle w:val="TableText"/>
              <w:jc w:val="right"/>
            </w:pPr>
            <w:r>
              <w:t xml:space="preserve">5</w:t>
            </w:r>
          </w:p>
        </w:tc>
        <w:tc>
          <w:tcPr>
            <w:tcW w:w="2209" w:type="dxa"/>
            <w:shd w:val="clear" w:color="auto" w:fill="F4F7FB"/>
            <w:vAlign w:val="top"/>
          </w:tcPr>
          <w:p>
            <w:pPr>
              <w:pStyle w:val="TableText"/>
              <w:jc w:val="right"/>
            </w:pPr>
            <w:r>
              <w:t xml:space="preserve">32.5</w:t>
            </w:r>
          </w:p>
        </w:tc>
      </w:tr>
      <w:tr>
        <w:trPr>
          <w:cantSplit/>
        </w:trPr>
        <w:tc>
          <w:tcPr>
            <w:tcW w:w="5114" w:type="dxa"/>
            <w:vAlign w:val="top"/>
          </w:tcPr>
          <w:p>
            <w:pPr>
              <w:pStyle w:val="TableText"/>
              <w:jc w:val="left"/>
            </w:pPr>
            <w:r>
              <w:t xml:space="preserve">Total</w:t>
            </w:r>
          </w:p>
        </w:tc>
        <w:tc>
          <w:tcPr>
            <w:tcW w:w="1870" w:type="dxa"/>
            <w:vAlign w:val="top"/>
          </w:tcPr>
          <w:p>
            <w:pPr>
              <w:pStyle w:val="TableText"/>
              <w:jc w:val="right"/>
            </w:pPr>
            <w:r>
              <w:t xml:space="preserve">35</w:t>
            </w:r>
          </w:p>
        </w:tc>
        <w:tc>
          <w:tcPr>
            <w:tcW w:w="1188" w:type="dxa"/>
            <w:vAlign w:val="top"/>
          </w:tcPr>
          <w:p>
            <w:pPr>
              <w:pStyle w:val="TableText"/>
              <w:jc w:val="right"/>
            </w:pPr>
            <w:r>
              <w:t xml:space="preserve">270</w:t>
            </w:r>
          </w:p>
        </w:tc>
        <w:tc>
          <w:tcPr>
            <w:tcW w:w="1708" w:type="dxa"/>
            <w:vAlign w:val="top"/>
          </w:tcPr>
          <w:p>
            <w:pPr>
              <w:pStyle w:val="TableText"/>
              <w:jc w:val="right"/>
            </w:pPr>
            <w:r>
              <w:t xml:space="preserve">86.25</w:t>
            </w:r>
          </w:p>
        </w:tc>
        <w:tc>
          <w:tcPr>
            <w:tcW w:w="1870" w:type="dxa"/>
            <w:vAlign w:val="top"/>
          </w:tcPr>
          <w:p>
            <w:pPr>
              <w:pStyle w:val="TableText"/>
              <w:jc w:val="right"/>
            </w:pPr>
            <w:r>
              <w:t xml:space="preserve">32</w:t>
            </w:r>
          </w:p>
        </w:tc>
        <w:tc>
          <w:tcPr>
            <w:tcW w:w="2209" w:type="dxa"/>
            <w:vAlign w:val="top"/>
          </w:tcPr>
          <w:p>
            <w:pPr>
              <w:pStyle w:val="TableText"/>
              <w:jc w:val="right"/>
            </w:pPr>
            <w:r>
              <w:t xml:space="preserve">423.25</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Client responsibilities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67"/>
        <w:gridCol w:w="6360"/>
      </w:tblGrid>
      <w:tr>
        <w:trPr>
          <w:cantSplit/>
          <w:tblHeader/>
        </w:trPr>
        <w:tc>
          <w:tcPr>
            <w:tcW w:w="2667" w:type="dxa"/>
            <w:shd w:val="clear" w:color="auto" w:fill="0F4761"/>
            <w:vAlign w:val="center"/>
          </w:tcPr>
          <w:p>
            <w:pPr>
              <w:pStyle w:val="TableHeading"/>
              <w:jc w:val="left"/>
            </w:pPr>
            <w:r>
              <w:rPr>
                <w:color w:val="FFFFFF"/>
              </w:rPr>
              <w:t xml:space="preserve">Role</w:t>
            </w:r>
          </w:p>
        </w:tc>
        <w:tc>
          <w:tcPr>
            <w:tcW w:w="6360" w:type="dxa"/>
            <w:shd w:val="clear" w:color="auto" w:fill="0F4761"/>
            <w:vAlign w:val="center"/>
          </w:tcPr>
          <w:p>
            <w:pPr>
              <w:pStyle w:val="TableHeading"/>
              <w:jc w:val="left"/>
            </w:pPr>
            <w:r>
              <w:rPr>
                <w:color w:val="FFFFFF"/>
              </w:rPr>
              <w:t xml:space="preserve">Commitment</w:t>
            </w:r>
          </w:p>
        </w:tc>
      </w:tr>
      <w:tr>
        <w:trPr>
          <w:cantSplit/>
        </w:trPr>
        <w:tc>
          <w:tcPr>
            <w:tcW w:w="2667" w:type="dxa"/>
            <w:vAlign w:val="top"/>
          </w:tcPr>
          <w:p>
            <w:pPr>
              <w:pStyle w:val="TableText"/>
              <w:jc w:val="left"/>
            </w:pPr>
            <w:r>
              <w:t xml:space="preserve">TASCO product owner</w:t>
            </w:r>
          </w:p>
        </w:tc>
        <w:tc>
          <w:tcPr>
            <w:tcW w:w="6360" w:type="dxa"/>
            <w:vAlign w:val="top"/>
          </w:tcPr>
          <w:p>
            <w:pPr>
              <w:pStyle w:val="TableText"/>
              <w:jc w:val="left"/>
            </w:pPr>
            <w:r>
              <w:t xml:space="preserve">About half time throughout; decisions on scope, rules and acceptance</w:t>
            </w:r>
          </w:p>
        </w:tc>
      </w:tr>
      <w:tr>
        <w:trPr>
          <w:cantSplit/>
        </w:trPr>
        <w:tc>
          <w:tcPr>
            <w:tcW w:w="2667" w:type="dxa"/>
            <w:shd w:val="clear" w:color="auto" w:fill="F4F7FB"/>
            <w:vAlign w:val="top"/>
          </w:tcPr>
          <w:p>
            <w:pPr>
              <w:pStyle w:val="TableText"/>
              <w:jc w:val="left"/>
            </w:pPr>
            <w:r>
              <w:t xml:space="preserve">TASCO core system lead</w:t>
            </w:r>
          </w:p>
        </w:tc>
        <w:tc>
          <w:tcPr>
            <w:tcW w:w="6360" w:type="dxa"/>
            <w:shd w:val="clear" w:color="auto" w:fill="F4F7FB"/>
            <w:vAlign w:val="top"/>
          </w:tcPr>
          <w:p>
            <w:pPr>
              <w:pStyle w:val="TableText"/>
              <w:jc w:val="left"/>
            </w:pPr>
            <w:r>
              <w:t xml:space="preserve">Interface specifications, sandbox, support during integration testing</w:t>
            </w:r>
          </w:p>
        </w:tc>
      </w:tr>
      <w:tr>
        <w:trPr>
          <w:cantSplit/>
        </w:trPr>
        <w:tc>
          <w:tcPr>
            <w:tcW w:w="2667" w:type="dxa"/>
            <w:vAlign w:val="top"/>
          </w:tcPr>
          <w:p>
            <w:pPr>
              <w:pStyle w:val="TableText"/>
              <w:jc w:val="left"/>
            </w:pPr>
            <w:r>
              <w:t xml:space="preserve">VETC data and integration lead</w:t>
            </w:r>
          </w:p>
        </w:tc>
        <w:tc>
          <w:tcPr>
            <w:tcW w:w="6360" w:type="dxa"/>
            <w:vAlign w:val="top"/>
          </w:tcPr>
          <w:p>
            <w:pPr>
              <w:pStyle w:val="TableText"/>
              <w:jc w:val="left"/>
            </w:pPr>
            <w:r>
              <w:t xml:space="preserve">Data extract, events, app, push and wallet interfaces; about half time in discovery and build</w:t>
            </w:r>
          </w:p>
        </w:tc>
      </w:tr>
      <w:tr>
        <w:trPr>
          <w:cantSplit/>
        </w:trPr>
        <w:tc>
          <w:tcPr>
            <w:tcW w:w="2667" w:type="dxa"/>
            <w:shd w:val="clear" w:color="auto" w:fill="F4F7FB"/>
            <w:vAlign w:val="top"/>
          </w:tcPr>
          <w:p>
            <w:pPr>
              <w:pStyle w:val="TableText"/>
              <w:jc w:val="left"/>
            </w:pPr>
            <w:r>
              <w:t xml:space="preserve">TASCO compliance and legal</w:t>
            </w:r>
          </w:p>
        </w:tc>
        <w:tc>
          <w:tcPr>
            <w:tcW w:w="6360" w:type="dxa"/>
            <w:shd w:val="clear" w:color="auto" w:fill="F4F7FB"/>
            <w:vAlign w:val="top"/>
          </w:tcPr>
          <w:p>
            <w:pPr>
              <w:pStyle w:val="TableText"/>
              <w:jc w:val="left"/>
            </w:pPr>
            <w:r>
              <w:t xml:space="preserve">Confirmation of regulatory positions; approval of customer wording and the voice script</w:t>
            </w:r>
          </w:p>
        </w:tc>
      </w:tr>
      <w:tr>
        <w:trPr>
          <w:cantSplit/>
        </w:trPr>
        <w:tc>
          <w:tcPr>
            <w:tcW w:w="2667" w:type="dxa"/>
            <w:vAlign w:val="top"/>
          </w:tcPr>
          <w:p>
            <w:pPr>
              <w:pStyle w:val="TableText"/>
              <w:jc w:val="left"/>
            </w:pPr>
            <w:r>
              <w:t xml:space="preserve">TASCO telesales lead and agents</w:t>
            </w:r>
          </w:p>
        </w:tc>
        <w:tc>
          <w:tcPr>
            <w:tcW w:w="6360" w:type="dxa"/>
            <w:vAlign w:val="top"/>
          </w:tcPr>
          <w:p>
            <w:pPr>
              <w:pStyle w:val="TableText"/>
              <w:jc w:val="left"/>
            </w:pPr>
            <w:r>
              <w:t xml:space="preserve">UAT and pilot participation</w:t>
            </w:r>
          </w:p>
        </w:tc>
      </w:tr>
      <w:tr>
        <w:trPr>
          <w:cantSplit/>
        </w:trPr>
        <w:tc>
          <w:tcPr>
            <w:tcW w:w="2667" w:type="dxa"/>
            <w:shd w:val="clear" w:color="auto" w:fill="F4F7FB"/>
            <w:vAlign w:val="top"/>
          </w:tcPr>
          <w:p>
            <w:pPr>
              <w:pStyle w:val="TableText"/>
              <w:jc w:val="left"/>
            </w:pPr>
            <w:r>
              <w:t xml:space="preserve">TASCO IT security</w:t>
            </w:r>
          </w:p>
        </w:tc>
        <w:tc>
          <w:tcPr>
            <w:tcW w:w="6360" w:type="dxa"/>
            <w:shd w:val="clear" w:color="auto" w:fill="F4F7FB"/>
            <w:vAlign w:val="top"/>
          </w:tcPr>
          <w:p>
            <w:pPr>
              <w:pStyle w:val="TableText"/>
              <w:jc w:val="left"/>
            </w:pPr>
            <w:r>
              <w:t xml:space="preserve">Security requirements, access approvals, penetration test scope</w:t>
            </w:r>
          </w:p>
        </w:tc>
      </w:tr>
    </w:tbl>
    <w:p>
      <w:pPr>
        <w:pStyle w:val="BodyText"/>
        <w:spacing w:before="160"/>
      </w:pPr>
      <w:r>
        <w:t xml:space="preserve">Other TASCO and VETC roles that take part in specific activities are listed in TGP-DEL-03 RACI Matrix.</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Dependencies</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147"/>
        <w:gridCol w:w="1275"/>
        <w:gridCol w:w="2147"/>
        <w:gridCol w:w="2458"/>
      </w:tblGrid>
      <w:tr>
        <w:trPr>
          <w:cantSplit/>
          <w:tblHeader/>
        </w:trPr>
        <w:tc>
          <w:tcPr>
            <w:tcW w:w="3147" w:type="dxa"/>
            <w:shd w:val="clear" w:color="auto" w:fill="0F4761"/>
            <w:vAlign w:val="center"/>
          </w:tcPr>
          <w:p>
            <w:pPr>
              <w:pStyle w:val="TableHeading"/>
              <w:jc w:val="left"/>
            </w:pPr>
            <w:r>
              <w:rPr>
                <w:color w:val="FFFFFF"/>
              </w:rPr>
              <w:t xml:space="preserve">Dependency</w:t>
            </w:r>
          </w:p>
        </w:tc>
        <w:tc>
          <w:tcPr>
            <w:tcW w:w="1275" w:type="dxa"/>
            <w:shd w:val="clear" w:color="auto" w:fill="0F4761"/>
            <w:vAlign w:val="center"/>
          </w:tcPr>
          <w:p>
            <w:pPr>
              <w:pStyle w:val="TableHeading"/>
              <w:jc w:val="left"/>
            </w:pPr>
            <w:r>
              <w:rPr>
                <w:color w:val="FFFFFF"/>
              </w:rPr>
              <w:t xml:space="preserve">Provided by</w:t>
            </w:r>
          </w:p>
        </w:tc>
        <w:tc>
          <w:tcPr>
            <w:tcW w:w="2147" w:type="dxa"/>
            <w:shd w:val="clear" w:color="auto" w:fill="0F4761"/>
            <w:vAlign w:val="center"/>
          </w:tcPr>
          <w:p>
            <w:pPr>
              <w:pStyle w:val="TableHeading"/>
              <w:jc w:val="left"/>
            </w:pPr>
            <w:r>
              <w:rPr>
                <w:color w:val="FFFFFF"/>
              </w:rPr>
              <w:t xml:space="preserve">Needed by</w:t>
            </w:r>
          </w:p>
        </w:tc>
        <w:tc>
          <w:tcPr>
            <w:tcW w:w="2458" w:type="dxa"/>
            <w:shd w:val="clear" w:color="auto" w:fill="0F4761"/>
            <w:vAlign w:val="center"/>
          </w:tcPr>
          <w:p>
            <w:pPr>
              <w:pStyle w:val="TableHeading"/>
              <w:jc w:val="left"/>
            </w:pPr>
            <w:r>
              <w:rPr>
                <w:color w:val="FFFFFF"/>
              </w:rPr>
              <w:t xml:space="preserve">If late</w:t>
            </w:r>
          </w:p>
        </w:tc>
      </w:tr>
      <w:tr>
        <w:trPr>
          <w:cantSplit/>
        </w:trPr>
        <w:tc>
          <w:tcPr>
            <w:tcW w:w="3147" w:type="dxa"/>
            <w:vAlign w:val="top"/>
          </w:tcPr>
          <w:p>
            <w:pPr>
              <w:pStyle w:val="TableText"/>
              <w:jc w:val="left"/>
            </w:pPr>
            <w:r>
              <w:t xml:space="preserve">TASCO core interface specifications and sandbox (or agreement on the interim path)</w:t>
            </w:r>
          </w:p>
        </w:tc>
        <w:tc>
          <w:tcPr>
            <w:tcW w:w="1275" w:type="dxa"/>
            <w:vAlign w:val="top"/>
          </w:tcPr>
          <w:p>
            <w:pPr>
              <w:pStyle w:val="TableText"/>
              <w:jc w:val="left"/>
            </w:pPr>
            <w:r>
              <w:t xml:space="preserve">TASCO IT</w:t>
            </w:r>
          </w:p>
        </w:tc>
        <w:tc>
          <w:tcPr>
            <w:tcW w:w="2147" w:type="dxa"/>
            <w:vAlign w:val="top"/>
          </w:tcPr>
          <w:p>
            <w:pPr>
              <w:pStyle w:val="TableText"/>
              <w:jc w:val="left"/>
            </w:pPr>
            <w:r>
              <w:t xml:space="preserve">End of week 2 (13/11/2026)</w:t>
            </w:r>
          </w:p>
        </w:tc>
        <w:tc>
          <w:tcPr>
            <w:tcW w:w="2458" w:type="dxa"/>
            <w:vAlign w:val="top"/>
          </w:tcPr>
          <w:p>
            <w:pPr>
              <w:pStyle w:val="TableText"/>
              <w:jc w:val="left"/>
            </w:pPr>
            <w:r>
              <w:t xml:space="preserve">Build continues on the simulated core; dates move day for day by agreement</w:t>
            </w:r>
          </w:p>
        </w:tc>
      </w:tr>
      <w:tr>
        <w:trPr>
          <w:cantSplit/>
        </w:trPr>
        <w:tc>
          <w:tcPr>
            <w:tcW w:w="3147" w:type="dxa"/>
            <w:shd w:val="clear" w:color="auto" w:fill="F4F7FB"/>
            <w:vAlign w:val="top"/>
          </w:tcPr>
          <w:p>
            <w:pPr>
              <w:pStyle w:val="TableText"/>
              <w:jc w:val="left"/>
            </w:pPr>
            <w:r>
              <w:t xml:space="preserve">TASCO core production access</w:t>
            </w:r>
          </w:p>
        </w:tc>
        <w:tc>
          <w:tcPr>
            <w:tcW w:w="1275" w:type="dxa"/>
            <w:shd w:val="clear" w:color="auto" w:fill="F4F7FB"/>
            <w:vAlign w:val="top"/>
          </w:tcPr>
          <w:p>
            <w:pPr>
              <w:pStyle w:val="TableText"/>
              <w:jc w:val="left"/>
            </w:pPr>
            <w:r>
              <w:t xml:space="preserve">TASCO IT</w:t>
            </w:r>
          </w:p>
        </w:tc>
        <w:tc>
          <w:tcPr>
            <w:tcW w:w="2147" w:type="dxa"/>
            <w:shd w:val="clear" w:color="auto" w:fill="F4F7FB"/>
            <w:vAlign w:val="top"/>
          </w:tcPr>
          <w:p>
            <w:pPr>
              <w:pStyle w:val="TableText"/>
              <w:jc w:val="left"/>
            </w:pPr>
            <w:r>
              <w:t xml:space="preserve">Week 10 (08/01/2027)</w:t>
            </w:r>
          </w:p>
        </w:tc>
        <w:tc>
          <w:tcPr>
            <w:tcW w:w="2458" w:type="dxa"/>
            <w:shd w:val="clear" w:color="auto" w:fill="F4F7FB"/>
            <w:vAlign w:val="top"/>
          </w:tcPr>
          <w:p>
            <w:pPr>
              <w:pStyle w:val="TableText"/>
              <w:jc w:val="left"/>
            </w:pPr>
            <w:r>
              <w:t xml:space="preserve">SIT and cut-over rehearsal delayed</w:t>
            </w:r>
          </w:p>
        </w:tc>
      </w:tr>
      <w:tr>
        <w:trPr>
          <w:cantSplit/>
        </w:trPr>
        <w:tc>
          <w:tcPr>
            <w:tcW w:w="3147" w:type="dxa"/>
            <w:vAlign w:val="top"/>
          </w:tcPr>
          <w:p>
            <w:pPr>
              <w:pStyle w:val="TableText"/>
              <w:jc w:val="left"/>
            </w:pPr>
            <w:r>
              <w:t xml:space="preserve">VETC data extract for the pilot cohort, tag-activation events, web view, push, wallet sandbox</w:t>
            </w:r>
          </w:p>
        </w:tc>
        <w:tc>
          <w:tcPr>
            <w:tcW w:w="1275" w:type="dxa"/>
            <w:vAlign w:val="top"/>
          </w:tcPr>
          <w:p>
            <w:pPr>
              <w:pStyle w:val="TableText"/>
              <w:jc w:val="left"/>
            </w:pPr>
            <w:r>
              <w:t xml:space="preserve">VETC</w:t>
            </w:r>
          </w:p>
        </w:tc>
        <w:tc>
          <w:tcPr>
            <w:tcW w:w="2147" w:type="dxa"/>
            <w:vAlign w:val="top"/>
          </w:tcPr>
          <w:p>
            <w:pPr>
              <w:pStyle w:val="TableText"/>
              <w:jc w:val="left"/>
            </w:pPr>
            <w:r>
              <w:t xml:space="preserve">End of week 2 (13/11/2026)</w:t>
            </w:r>
          </w:p>
        </w:tc>
        <w:tc>
          <w:tcPr>
            <w:tcW w:w="2458" w:type="dxa"/>
            <w:vAlign w:val="top"/>
          </w:tcPr>
          <w:p>
            <w:pPr>
              <w:pStyle w:val="TableText"/>
              <w:jc w:val="left"/>
            </w:pPr>
            <w:r>
              <w:t xml:space="preserve">Build continues on synthetic data and simulated adapters</w:t>
            </w:r>
          </w:p>
        </w:tc>
      </w:tr>
      <w:tr>
        <w:trPr>
          <w:cantSplit/>
        </w:trPr>
        <w:tc>
          <w:tcPr>
            <w:tcW w:w="3147" w:type="dxa"/>
            <w:shd w:val="clear" w:color="auto" w:fill="F4F7FB"/>
            <w:vAlign w:val="top"/>
          </w:tcPr>
          <w:p>
            <w:pPr>
              <w:pStyle w:val="TableText"/>
              <w:jc w:val="left"/>
            </w:pPr>
            <w:r>
              <w:t xml:space="preserve">Voice AI vendor, Zalo official account and SMS brandname contracted</w:t>
            </w:r>
          </w:p>
        </w:tc>
        <w:tc>
          <w:tcPr>
            <w:tcW w:w="1275" w:type="dxa"/>
            <w:shd w:val="clear" w:color="auto" w:fill="F4F7FB"/>
            <w:vAlign w:val="top"/>
          </w:tcPr>
          <w:p>
            <w:pPr>
              <w:pStyle w:val="TableText"/>
              <w:jc w:val="left"/>
            </w:pPr>
            <w:r>
              <w:t xml:space="preserve">TASCO</w:t>
            </w:r>
          </w:p>
        </w:tc>
        <w:tc>
          <w:tcPr>
            <w:tcW w:w="2147" w:type="dxa"/>
            <w:shd w:val="clear" w:color="auto" w:fill="F4F7FB"/>
            <w:vAlign w:val="top"/>
          </w:tcPr>
          <w:p>
            <w:pPr>
              <w:pStyle w:val="TableText"/>
              <w:jc w:val="left"/>
            </w:pPr>
            <w:r>
              <w:t xml:space="preserve">Start of Sprint 3 (14/12/2026)</w:t>
            </w:r>
          </w:p>
        </w:tc>
        <w:tc>
          <w:tcPr>
            <w:tcW w:w="2458" w:type="dxa"/>
            <w:shd w:val="clear" w:color="auto" w:fill="F4F7FB"/>
            <w:vAlign w:val="top"/>
          </w:tcPr>
          <w:p>
            <w:pPr>
              <w:pStyle w:val="TableText"/>
              <w:jc w:val="left"/>
            </w:pPr>
            <w:r>
              <w:t xml:space="preserve">Channel held back; journeys fall back to app push</w:t>
            </w:r>
          </w:p>
        </w:tc>
      </w:tr>
      <w:tr>
        <w:trPr>
          <w:cantSplit/>
        </w:trPr>
        <w:tc>
          <w:tcPr>
            <w:tcW w:w="3147" w:type="dxa"/>
            <w:vAlign w:val="top"/>
          </w:tcPr>
          <w:p>
            <w:pPr>
              <w:pStyle w:val="TableText"/>
              <w:jc w:val="left"/>
            </w:pPr>
            <w:r>
              <w:t xml:space="preserve">Regulatory positions confirmed</w:t>
            </w:r>
          </w:p>
        </w:tc>
        <w:tc>
          <w:tcPr>
            <w:tcW w:w="1275" w:type="dxa"/>
            <w:vAlign w:val="top"/>
          </w:tcPr>
          <w:p>
            <w:pPr>
              <w:pStyle w:val="TableText"/>
              <w:jc w:val="left"/>
            </w:pPr>
            <w:r>
              <w:t xml:space="preserve">TASCO legal</w:t>
            </w:r>
          </w:p>
        </w:tc>
        <w:tc>
          <w:tcPr>
            <w:tcW w:w="2147" w:type="dxa"/>
            <w:vAlign w:val="top"/>
          </w:tcPr>
          <w:p>
            <w:pPr>
              <w:pStyle w:val="TableText"/>
              <w:jc w:val="left"/>
            </w:pPr>
            <w:r>
              <w:t xml:space="preserve">M1 (13/11/2026)</w:t>
            </w:r>
          </w:p>
        </w:tc>
        <w:tc>
          <w:tcPr>
            <w:tcW w:w="2458" w:type="dxa"/>
            <w:vAlign w:val="top"/>
          </w:tcPr>
          <w:p>
            <w:pPr>
              <w:pStyle w:val="TableText"/>
              <w:jc w:val="left"/>
            </w:pPr>
            <w:r>
              <w:t xml:space="preserve">Features stay switched off until approved</w:t>
            </w:r>
          </w:p>
        </w:tc>
      </w:tr>
      <w:tr>
        <w:trPr>
          <w:cantSplit/>
        </w:trPr>
        <w:tc>
          <w:tcPr>
            <w:tcW w:w="3147" w:type="dxa"/>
            <w:shd w:val="clear" w:color="auto" w:fill="F4F7FB"/>
            <w:vAlign w:val="top"/>
          </w:tcPr>
          <w:p>
            <w:pPr>
              <w:pStyle w:val="TableText"/>
              <w:jc w:val="left"/>
            </w:pPr>
            <w:r>
              <w:t xml:space="preserve">Hosting provider chosen and production environment available</w:t>
            </w:r>
          </w:p>
        </w:tc>
        <w:tc>
          <w:tcPr>
            <w:tcW w:w="1275" w:type="dxa"/>
            <w:shd w:val="clear" w:color="auto" w:fill="F4F7FB"/>
            <w:vAlign w:val="top"/>
          </w:tcPr>
          <w:p>
            <w:pPr>
              <w:pStyle w:val="TableText"/>
              <w:jc w:val="left"/>
            </w:pPr>
            <w:r>
              <w:t xml:space="preserve">TASCO IT</w:t>
            </w:r>
          </w:p>
        </w:tc>
        <w:tc>
          <w:tcPr>
            <w:tcW w:w="2147" w:type="dxa"/>
            <w:shd w:val="clear" w:color="auto" w:fill="F4F7FB"/>
            <w:vAlign w:val="top"/>
          </w:tcPr>
          <w:p>
            <w:pPr>
              <w:pStyle w:val="TableText"/>
              <w:jc w:val="left"/>
            </w:pPr>
            <w:r>
              <w:t xml:space="preserve">Chosen at M1; available before SIT (week 11)</w:t>
            </w:r>
          </w:p>
        </w:tc>
        <w:tc>
          <w:tcPr>
            <w:tcW w:w="2458" w:type="dxa"/>
            <w:shd w:val="clear" w:color="auto" w:fill="F4F7FB"/>
            <w:vAlign w:val="top"/>
          </w:tcPr>
          <w:p>
            <w:pPr>
              <w:pStyle w:val="TableText"/>
              <w:jc w:val="left"/>
            </w:pPr>
            <w:r>
              <w:t xml:space="preserve">SIT and security testing delayed</w:t>
            </w:r>
          </w:p>
        </w:tc>
      </w:tr>
      <w:tr>
        <w:trPr>
          <w:cantSplit/>
        </w:trPr>
        <w:tc>
          <w:tcPr>
            <w:tcW w:w="3147" w:type="dxa"/>
            <w:vAlign w:val="top"/>
          </w:tcPr>
          <w:p>
            <w:pPr>
              <w:pStyle w:val="TableText"/>
              <w:jc w:val="left"/>
            </w:pPr>
            <w:r>
              <w:t xml:space="preserve">Sign-offs and decisions</w:t>
            </w:r>
          </w:p>
        </w:tc>
        <w:tc>
          <w:tcPr>
            <w:tcW w:w="1275" w:type="dxa"/>
            <w:vAlign w:val="top"/>
          </w:tcPr>
          <w:p>
            <w:pPr>
              <w:pStyle w:val="TableText"/>
              <w:jc w:val="left"/>
            </w:pPr>
            <w:r>
              <w:t xml:space="preserve">TASCO and VETC</w:t>
            </w:r>
          </w:p>
        </w:tc>
        <w:tc>
          <w:tcPr>
            <w:tcW w:w="2147" w:type="dxa"/>
            <w:vAlign w:val="top"/>
          </w:tcPr>
          <w:p>
            <w:pPr>
              <w:pStyle w:val="TableText"/>
              <w:jc w:val="left"/>
            </w:pPr>
            <w:r>
              <w:t xml:space="preserve">Within five business days</w:t>
            </w:r>
          </w:p>
        </w:tc>
        <w:tc>
          <w:tcPr>
            <w:tcW w:w="2458" w:type="dxa"/>
            <w:vAlign w:val="top"/>
          </w:tcPr>
          <w:p>
            <w:pPr>
              <w:pStyle w:val="TableText"/>
              <w:jc w:val="left"/>
            </w:pPr>
            <w:r>
              <w:t xml:space="preserve">Milestones move by the delay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Governance</w:t>
      </w:r>
      <w:bookmarkEnd w:id="21"/>
    </w:p>
    <w:p>
      <w:pPr>
        <w:pStyle w:val="FirstParagraph"/>
      </w:pPr>
      <w:r>
        <w:t xml:space="preserve">The steering committee meets monthly and at each milestone. The product council meets every two weeks, and each sprint ends with a sprint review. Changes to scope, price or time go through change control. Each release passes a compliance checkpoint. The forums, reporting and escalation path are described in TGP-DEL-02 Delivery Methodology.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Assumptions</w:t>
      </w:r>
      <w:bookmarkEnd w:id="22"/>
    </w:p>
    <w:p>
      <w:pPr>
        <w:pStyle w:val="Compact"/>
        <w:numPr>
          <w:ilvl w:val="0"/>
          <w:numId w:val="1001"/>
        </w:numPr>
      </w:pPr>
      <w:r>
        <w:t xml:space="preserve">TASCO provides access to its core catalogue, rating and issuance interfaces (or agrees the interim path) and a sandbox by the end of week 2, with production access by week 10.</w:t>
      </w:r>
    </w:p>
    <w:p>
      <w:pPr>
        <w:pStyle w:val="Compact"/>
        <w:numPr>
          <w:ilvl w:val="0"/>
          <w:numId w:val="1001"/>
        </w:numPr>
      </w:pPr>
      <w:r>
        <w:t xml:space="preserve">VETC provides a data extract for the pilot cohort, tag-activation events, the app web view and push, and wallet debit and refund interfaces with a sandbox by the end of week 2.</w:t>
      </w:r>
    </w:p>
    <w:p>
      <w:pPr>
        <w:pStyle w:val="Compact"/>
        <w:numPr>
          <w:ilvl w:val="0"/>
          <w:numId w:val="1001"/>
        </w:numPr>
      </w:pPr>
      <w:r>
        <w:t xml:space="preserve">TASCO contracts the voice AI vendor, Zalo official account and SMS brandname directly; iorta TechNXT helps with selection and integration.</w:t>
      </w:r>
    </w:p>
    <w:p>
      <w:pPr>
        <w:pStyle w:val="Compact"/>
        <w:numPr>
          <w:ilvl w:val="0"/>
          <w:numId w:val="1001"/>
        </w:numPr>
      </w:pPr>
      <w:r>
        <w:t xml:space="preserve">TASCO legal confirms the regulatory positions during discovery.</w:t>
      </w:r>
    </w:p>
    <w:p>
      <w:pPr>
        <w:pStyle w:val="Compact"/>
        <w:numPr>
          <w:ilvl w:val="0"/>
          <w:numId w:val="1001"/>
        </w:numPr>
      </w:pPr>
      <w:r>
        <w:t xml:space="preserve">TASCO and VETC provide decision-makers within agreed turnaround times (five business days for sign-offs).</w:t>
      </w:r>
    </w:p>
    <w:p>
      <w:pPr>
        <w:pStyle w:val="Compact"/>
        <w:numPr>
          <w:ilvl w:val="0"/>
          <w:numId w:val="1001"/>
        </w:numPr>
      </w:pPr>
      <w:r>
        <w:t xml:space="preserve">The pilot cohort is no larger than 100,000 vehicles in one or two provinces.</w:t>
      </w:r>
    </w:p>
    <w:p>
      <w:pPr>
        <w:pStyle w:val="Compact"/>
        <w:numPr>
          <w:ilvl w:val="0"/>
          <w:numId w:val="1001"/>
        </w:numPr>
      </w:pPr>
      <w:r>
        <w:t xml:space="preserve">The infrastructure provider is chosen in discovery, and TASCO pays for it directly.</w:t>
      </w:r>
    </w:p>
    <w:p>
      <w:pPr>
        <w:pStyle w:val="Compact"/>
        <w:numPr>
          <w:ilvl w:val="0"/>
          <w:numId w:val="1001"/>
        </w:numPr>
      </w:pPr>
      <w:r>
        <w:t xml:space="preserve">Acceptance is against the agreed user-story acceptance criteria for the MVP scope.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Appendix</w:t>
      </w:r>
      <w:bookmarkEnd w:id="23"/>
    </w:p>
    <w:p>
      <w:pPr>
        <w:pStyle w:val="Heading2"/>
      </w:pPr>
      <w:bookmarkStart w:id="24" w:name="_Toc300000020"/>
      <w:r>
        <w:t xml:space="preserve">Week calendar</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4"/>
        <w:gridCol w:w="1499"/>
        <w:gridCol w:w="1499"/>
        <w:gridCol w:w="5075"/>
      </w:tblGrid>
      <w:tr>
        <w:trPr>
          <w:cantSplit/>
          <w:tblHeader/>
        </w:trPr>
        <w:tc>
          <w:tcPr>
            <w:tcW w:w="954" w:type="dxa"/>
            <w:shd w:val="clear" w:color="auto" w:fill="0F4761"/>
            <w:vAlign w:val="center"/>
          </w:tcPr>
          <w:p>
            <w:pPr>
              <w:pStyle w:val="TableHeading"/>
              <w:jc w:val="left"/>
            </w:pPr>
            <w:r>
              <w:rPr>
                <w:color w:val="FFFFFF"/>
              </w:rPr>
              <w:t xml:space="preserve">Week</w:t>
            </w:r>
          </w:p>
        </w:tc>
        <w:tc>
          <w:tcPr>
            <w:tcW w:w="1499" w:type="dxa"/>
            <w:shd w:val="clear" w:color="auto" w:fill="0F4761"/>
            <w:vAlign w:val="center"/>
          </w:tcPr>
          <w:p>
            <w:pPr>
              <w:pStyle w:val="TableHeading"/>
              <w:jc w:val="left"/>
            </w:pPr>
            <w:r>
              <w:rPr>
                <w:color w:val="FFFFFF"/>
              </w:rPr>
              <w:t xml:space="preserve">Monday</w:t>
            </w:r>
          </w:p>
        </w:tc>
        <w:tc>
          <w:tcPr>
            <w:tcW w:w="1499" w:type="dxa"/>
            <w:shd w:val="clear" w:color="auto" w:fill="0F4761"/>
            <w:vAlign w:val="center"/>
          </w:tcPr>
          <w:p>
            <w:pPr>
              <w:pStyle w:val="TableHeading"/>
              <w:jc w:val="left"/>
            </w:pPr>
            <w:r>
              <w:rPr>
                <w:color w:val="FFFFFF"/>
              </w:rPr>
              <w:t xml:space="preserve">Friday</w:t>
            </w:r>
          </w:p>
        </w:tc>
        <w:tc>
          <w:tcPr>
            <w:tcW w:w="5075" w:type="dxa"/>
            <w:shd w:val="clear" w:color="auto" w:fill="0F4761"/>
            <w:vAlign w:val="center"/>
          </w:tcPr>
          <w:p>
            <w:pPr>
              <w:pStyle w:val="TableHeading"/>
              <w:jc w:val="left"/>
            </w:pPr>
            <w:r>
              <w:rPr>
                <w:color w:val="FFFFFF"/>
              </w:rPr>
              <w:t xml:space="preserve">Stage</w:t>
            </w:r>
          </w:p>
        </w:tc>
      </w:tr>
      <w:tr>
        <w:trPr>
          <w:cantSplit/>
        </w:trPr>
        <w:tc>
          <w:tcPr>
            <w:tcW w:w="954" w:type="dxa"/>
            <w:vAlign w:val="top"/>
          </w:tcPr>
          <w:p>
            <w:pPr>
              <w:pStyle w:val="TableText"/>
              <w:jc w:val="left"/>
            </w:pPr>
            <w:r>
              <w:t xml:space="preserve">1</w:t>
            </w:r>
          </w:p>
        </w:tc>
        <w:tc>
          <w:tcPr>
            <w:tcW w:w="1499" w:type="dxa"/>
            <w:vAlign w:val="top"/>
          </w:tcPr>
          <w:p>
            <w:pPr>
              <w:pStyle w:val="TableText"/>
              <w:jc w:val="left"/>
            </w:pPr>
            <w:r>
              <w:t xml:space="preserve">02/11/2026</w:t>
            </w:r>
          </w:p>
        </w:tc>
        <w:tc>
          <w:tcPr>
            <w:tcW w:w="1499" w:type="dxa"/>
            <w:vAlign w:val="top"/>
          </w:tcPr>
          <w:p>
            <w:pPr>
              <w:pStyle w:val="TableText"/>
              <w:jc w:val="left"/>
            </w:pPr>
            <w:r>
              <w:t xml:space="preserve">06/11/2026</w:t>
            </w:r>
          </w:p>
        </w:tc>
        <w:tc>
          <w:tcPr>
            <w:tcW w:w="5075" w:type="dxa"/>
            <w:vAlign w:val="top"/>
          </w:tcPr>
          <w:p>
            <w:pPr>
              <w:pStyle w:val="TableText"/>
              <w:jc w:val="left"/>
            </w:pPr>
            <w:r>
              <w:t xml:space="preserve">Discovery</w:t>
            </w:r>
          </w:p>
        </w:tc>
      </w:tr>
      <w:tr>
        <w:trPr>
          <w:cantSplit/>
        </w:trPr>
        <w:tc>
          <w:tcPr>
            <w:tcW w:w="954" w:type="dxa"/>
            <w:shd w:val="clear" w:color="auto" w:fill="F4F7FB"/>
            <w:vAlign w:val="top"/>
          </w:tcPr>
          <w:p>
            <w:pPr>
              <w:pStyle w:val="TableText"/>
              <w:jc w:val="left"/>
            </w:pPr>
            <w:r>
              <w:t xml:space="preserve">2</w:t>
            </w:r>
          </w:p>
        </w:tc>
        <w:tc>
          <w:tcPr>
            <w:tcW w:w="1499" w:type="dxa"/>
            <w:shd w:val="clear" w:color="auto" w:fill="F4F7FB"/>
            <w:vAlign w:val="top"/>
          </w:tcPr>
          <w:p>
            <w:pPr>
              <w:pStyle w:val="TableText"/>
              <w:jc w:val="left"/>
            </w:pPr>
            <w:r>
              <w:t xml:space="preserve">09/11/2026</w:t>
            </w:r>
          </w:p>
        </w:tc>
        <w:tc>
          <w:tcPr>
            <w:tcW w:w="1499" w:type="dxa"/>
            <w:shd w:val="clear" w:color="auto" w:fill="F4F7FB"/>
            <w:vAlign w:val="top"/>
          </w:tcPr>
          <w:p>
            <w:pPr>
              <w:pStyle w:val="TableText"/>
              <w:jc w:val="left"/>
            </w:pPr>
            <w:r>
              <w:t xml:space="preserve">13/11/2026</w:t>
            </w:r>
          </w:p>
        </w:tc>
        <w:tc>
          <w:tcPr>
            <w:tcW w:w="5075" w:type="dxa"/>
            <w:shd w:val="clear" w:color="auto" w:fill="F4F7FB"/>
            <w:vAlign w:val="top"/>
          </w:tcPr>
          <w:p>
            <w:pPr>
              <w:pStyle w:val="TableText"/>
              <w:jc w:val="left"/>
            </w:pPr>
            <w:r>
              <w:t xml:space="preserve">Discovery (M1)</w:t>
            </w:r>
          </w:p>
        </w:tc>
      </w:tr>
      <w:tr>
        <w:trPr>
          <w:cantSplit/>
        </w:trPr>
        <w:tc>
          <w:tcPr>
            <w:tcW w:w="954" w:type="dxa"/>
            <w:vAlign w:val="top"/>
          </w:tcPr>
          <w:p>
            <w:pPr>
              <w:pStyle w:val="TableText"/>
              <w:jc w:val="left"/>
            </w:pPr>
            <w:r>
              <w:t xml:space="preserve">3 to 4</w:t>
            </w:r>
          </w:p>
        </w:tc>
        <w:tc>
          <w:tcPr>
            <w:tcW w:w="1499" w:type="dxa"/>
            <w:vAlign w:val="top"/>
          </w:tcPr>
          <w:p>
            <w:pPr>
              <w:pStyle w:val="TableText"/>
              <w:jc w:val="left"/>
            </w:pPr>
            <w:r>
              <w:t xml:space="preserve">16/11/2026</w:t>
            </w:r>
          </w:p>
        </w:tc>
        <w:tc>
          <w:tcPr>
            <w:tcW w:w="1499" w:type="dxa"/>
            <w:vAlign w:val="top"/>
          </w:tcPr>
          <w:p>
            <w:pPr>
              <w:pStyle w:val="TableText"/>
              <w:jc w:val="left"/>
            </w:pPr>
            <w:r>
              <w:t xml:space="preserve">27/11/2026</w:t>
            </w:r>
          </w:p>
        </w:tc>
        <w:tc>
          <w:tcPr>
            <w:tcW w:w="5075" w:type="dxa"/>
            <w:vAlign w:val="top"/>
          </w:tcPr>
          <w:p>
            <w:pPr>
              <w:pStyle w:val="TableText"/>
              <w:jc w:val="left"/>
            </w:pPr>
            <w:r>
              <w:t xml:space="preserve">Sprint 1</w:t>
            </w:r>
          </w:p>
        </w:tc>
      </w:tr>
      <w:tr>
        <w:trPr>
          <w:cantSplit/>
        </w:trPr>
        <w:tc>
          <w:tcPr>
            <w:tcW w:w="954" w:type="dxa"/>
            <w:shd w:val="clear" w:color="auto" w:fill="F4F7FB"/>
            <w:vAlign w:val="top"/>
          </w:tcPr>
          <w:p>
            <w:pPr>
              <w:pStyle w:val="TableText"/>
              <w:jc w:val="left"/>
            </w:pPr>
            <w:r>
              <w:t xml:space="preserve">5 to 6</w:t>
            </w:r>
          </w:p>
        </w:tc>
        <w:tc>
          <w:tcPr>
            <w:tcW w:w="1499" w:type="dxa"/>
            <w:shd w:val="clear" w:color="auto" w:fill="F4F7FB"/>
            <w:vAlign w:val="top"/>
          </w:tcPr>
          <w:p>
            <w:pPr>
              <w:pStyle w:val="TableText"/>
              <w:jc w:val="left"/>
            </w:pPr>
            <w:r>
              <w:t xml:space="preserve">30/11/2026</w:t>
            </w:r>
          </w:p>
        </w:tc>
        <w:tc>
          <w:tcPr>
            <w:tcW w:w="1499" w:type="dxa"/>
            <w:shd w:val="clear" w:color="auto" w:fill="F4F7FB"/>
            <w:vAlign w:val="top"/>
          </w:tcPr>
          <w:p>
            <w:pPr>
              <w:pStyle w:val="TableText"/>
              <w:jc w:val="left"/>
            </w:pPr>
            <w:r>
              <w:t xml:space="preserve">11/12/2026</w:t>
            </w:r>
          </w:p>
        </w:tc>
        <w:tc>
          <w:tcPr>
            <w:tcW w:w="5075" w:type="dxa"/>
            <w:shd w:val="clear" w:color="auto" w:fill="F4F7FB"/>
            <w:vAlign w:val="top"/>
          </w:tcPr>
          <w:p>
            <w:pPr>
              <w:pStyle w:val="TableText"/>
              <w:jc w:val="left"/>
            </w:pPr>
            <w:r>
              <w:t xml:space="preserve">Sprint 2</w:t>
            </w:r>
          </w:p>
        </w:tc>
      </w:tr>
      <w:tr>
        <w:trPr>
          <w:cantSplit/>
        </w:trPr>
        <w:tc>
          <w:tcPr>
            <w:tcW w:w="954" w:type="dxa"/>
            <w:vAlign w:val="top"/>
          </w:tcPr>
          <w:p>
            <w:pPr>
              <w:pStyle w:val="TableText"/>
              <w:jc w:val="left"/>
            </w:pPr>
            <w:r>
              <w:t xml:space="preserve">7 to 8</w:t>
            </w:r>
          </w:p>
        </w:tc>
        <w:tc>
          <w:tcPr>
            <w:tcW w:w="1499" w:type="dxa"/>
            <w:vAlign w:val="top"/>
          </w:tcPr>
          <w:p>
            <w:pPr>
              <w:pStyle w:val="TableText"/>
              <w:jc w:val="left"/>
            </w:pPr>
            <w:r>
              <w:t xml:space="preserve">14/12/2026</w:t>
            </w:r>
          </w:p>
        </w:tc>
        <w:tc>
          <w:tcPr>
            <w:tcW w:w="1499" w:type="dxa"/>
            <w:vAlign w:val="top"/>
          </w:tcPr>
          <w:p>
            <w:pPr>
              <w:pStyle w:val="TableText"/>
              <w:jc w:val="left"/>
            </w:pPr>
            <w:r>
              <w:t xml:space="preserve">25/12/2026</w:t>
            </w:r>
          </w:p>
        </w:tc>
        <w:tc>
          <w:tcPr>
            <w:tcW w:w="5075" w:type="dxa"/>
            <w:vAlign w:val="top"/>
          </w:tcPr>
          <w:p>
            <w:pPr>
              <w:pStyle w:val="TableText"/>
              <w:jc w:val="left"/>
            </w:pPr>
            <w:r>
              <w:t xml:space="preserve">Sprint 3</w:t>
            </w:r>
          </w:p>
        </w:tc>
      </w:tr>
      <w:tr>
        <w:trPr>
          <w:cantSplit/>
        </w:trPr>
        <w:tc>
          <w:tcPr>
            <w:tcW w:w="954" w:type="dxa"/>
            <w:shd w:val="clear" w:color="auto" w:fill="F4F7FB"/>
            <w:vAlign w:val="top"/>
          </w:tcPr>
          <w:p>
            <w:pPr>
              <w:pStyle w:val="TableText"/>
              <w:jc w:val="left"/>
            </w:pPr>
            <w:r>
              <w:t xml:space="preserve">9 to 10</w:t>
            </w:r>
          </w:p>
        </w:tc>
        <w:tc>
          <w:tcPr>
            <w:tcW w:w="1499" w:type="dxa"/>
            <w:shd w:val="clear" w:color="auto" w:fill="F4F7FB"/>
            <w:vAlign w:val="top"/>
          </w:tcPr>
          <w:p>
            <w:pPr>
              <w:pStyle w:val="TableText"/>
              <w:jc w:val="left"/>
            </w:pPr>
            <w:r>
              <w:t xml:space="preserve">28/12/2026</w:t>
            </w:r>
          </w:p>
        </w:tc>
        <w:tc>
          <w:tcPr>
            <w:tcW w:w="1499" w:type="dxa"/>
            <w:shd w:val="clear" w:color="auto" w:fill="F4F7FB"/>
            <w:vAlign w:val="top"/>
          </w:tcPr>
          <w:p>
            <w:pPr>
              <w:pStyle w:val="TableText"/>
              <w:jc w:val="left"/>
            </w:pPr>
            <w:r>
              <w:t xml:space="preserve">08/01/2027</w:t>
            </w:r>
          </w:p>
        </w:tc>
        <w:tc>
          <w:tcPr>
            <w:tcW w:w="5075" w:type="dxa"/>
            <w:shd w:val="clear" w:color="auto" w:fill="F4F7FB"/>
            <w:vAlign w:val="top"/>
          </w:tcPr>
          <w:p>
            <w:pPr>
              <w:pStyle w:val="TableText"/>
              <w:jc w:val="left"/>
            </w:pPr>
            <w:r>
              <w:t xml:space="preserve">Sprint 4 (M2)</w:t>
            </w:r>
          </w:p>
        </w:tc>
      </w:tr>
      <w:tr>
        <w:trPr>
          <w:cantSplit/>
        </w:trPr>
        <w:tc>
          <w:tcPr>
            <w:tcW w:w="954" w:type="dxa"/>
            <w:vAlign w:val="top"/>
          </w:tcPr>
          <w:p>
            <w:pPr>
              <w:pStyle w:val="TableText"/>
              <w:jc w:val="left"/>
            </w:pPr>
            <w:r>
              <w:t xml:space="preserve">11</w:t>
            </w:r>
          </w:p>
        </w:tc>
        <w:tc>
          <w:tcPr>
            <w:tcW w:w="1499" w:type="dxa"/>
            <w:vAlign w:val="top"/>
          </w:tcPr>
          <w:p>
            <w:pPr>
              <w:pStyle w:val="TableText"/>
              <w:jc w:val="left"/>
            </w:pPr>
            <w:r>
              <w:t xml:space="preserve">11/01/2027</w:t>
            </w:r>
          </w:p>
        </w:tc>
        <w:tc>
          <w:tcPr>
            <w:tcW w:w="1499" w:type="dxa"/>
            <w:vAlign w:val="top"/>
          </w:tcPr>
          <w:p>
            <w:pPr>
              <w:pStyle w:val="TableText"/>
              <w:jc w:val="left"/>
            </w:pPr>
            <w:r>
              <w:t xml:space="preserve">15/01/2027</w:t>
            </w:r>
          </w:p>
        </w:tc>
        <w:tc>
          <w:tcPr>
            <w:tcW w:w="5075" w:type="dxa"/>
            <w:vAlign w:val="top"/>
          </w:tcPr>
          <w:p>
            <w:pPr>
              <w:pStyle w:val="TableText"/>
              <w:jc w:val="left"/>
            </w:pPr>
            <w:r>
              <w:t xml:space="preserve">SIT, security testing</w:t>
            </w:r>
          </w:p>
        </w:tc>
      </w:tr>
      <w:tr>
        <w:trPr>
          <w:cantSplit/>
        </w:trPr>
        <w:tc>
          <w:tcPr>
            <w:tcW w:w="954" w:type="dxa"/>
            <w:shd w:val="clear" w:color="auto" w:fill="F4F7FB"/>
            <w:vAlign w:val="top"/>
          </w:tcPr>
          <w:p>
            <w:pPr>
              <w:pStyle w:val="TableText"/>
              <w:jc w:val="left"/>
            </w:pPr>
            <w:r>
              <w:t xml:space="preserve">12</w:t>
            </w:r>
          </w:p>
        </w:tc>
        <w:tc>
          <w:tcPr>
            <w:tcW w:w="1499" w:type="dxa"/>
            <w:shd w:val="clear" w:color="auto" w:fill="F4F7FB"/>
            <w:vAlign w:val="top"/>
          </w:tcPr>
          <w:p>
            <w:pPr>
              <w:pStyle w:val="TableText"/>
              <w:jc w:val="left"/>
            </w:pPr>
            <w:r>
              <w:t xml:space="preserve">18/01/2027</w:t>
            </w:r>
          </w:p>
        </w:tc>
        <w:tc>
          <w:tcPr>
            <w:tcW w:w="1499" w:type="dxa"/>
            <w:shd w:val="clear" w:color="auto" w:fill="F4F7FB"/>
            <w:vAlign w:val="top"/>
          </w:tcPr>
          <w:p>
            <w:pPr>
              <w:pStyle w:val="TableText"/>
              <w:jc w:val="left"/>
            </w:pPr>
            <w:r>
              <w:t xml:space="preserve">22/01/2027</w:t>
            </w:r>
          </w:p>
        </w:tc>
        <w:tc>
          <w:tcPr>
            <w:tcW w:w="5075" w:type="dxa"/>
            <w:shd w:val="clear" w:color="auto" w:fill="F4F7FB"/>
            <w:vAlign w:val="top"/>
          </w:tcPr>
          <w:p>
            <w:pPr>
              <w:pStyle w:val="TableText"/>
              <w:jc w:val="left"/>
            </w:pPr>
            <w:r>
              <w:t xml:space="preserve">UAT, training</w:t>
            </w:r>
          </w:p>
        </w:tc>
      </w:tr>
      <w:tr>
        <w:trPr>
          <w:cantSplit/>
        </w:trPr>
        <w:tc>
          <w:tcPr>
            <w:tcW w:w="954" w:type="dxa"/>
            <w:vAlign w:val="top"/>
          </w:tcPr>
          <w:p>
            <w:pPr>
              <w:pStyle w:val="TableText"/>
              <w:jc w:val="left"/>
            </w:pPr>
            <w:r>
              <w:t xml:space="preserve">13</w:t>
            </w:r>
          </w:p>
        </w:tc>
        <w:tc>
          <w:tcPr>
            <w:tcW w:w="1499" w:type="dxa"/>
            <w:vAlign w:val="top"/>
          </w:tcPr>
          <w:p>
            <w:pPr>
              <w:pStyle w:val="TableText"/>
              <w:jc w:val="left"/>
            </w:pPr>
            <w:r>
              <w:t xml:space="preserve">25/01/2027</w:t>
            </w:r>
          </w:p>
        </w:tc>
        <w:tc>
          <w:tcPr>
            <w:tcW w:w="1499" w:type="dxa"/>
            <w:vAlign w:val="top"/>
          </w:tcPr>
          <w:p>
            <w:pPr>
              <w:pStyle w:val="TableText"/>
              <w:jc w:val="left"/>
            </w:pPr>
            <w:r>
              <w:t xml:space="preserve">29/01/2027</w:t>
            </w:r>
          </w:p>
        </w:tc>
        <w:tc>
          <w:tcPr>
            <w:tcW w:w="5075" w:type="dxa"/>
            <w:vAlign w:val="top"/>
          </w:tcPr>
          <w:p>
            <w:pPr>
              <w:pStyle w:val="TableText"/>
              <w:jc w:val="left"/>
            </w:pPr>
            <w:r>
              <w:t xml:space="preserve">UAT sign-off and go/no-go on 26/01 (M3); soft launch on 27/01/2027</w:t>
            </w:r>
          </w:p>
        </w:tc>
      </w:tr>
      <w:tr>
        <w:trPr>
          <w:cantSplit/>
        </w:trPr>
        <w:tc>
          <w:tcPr>
            <w:tcW w:w="954" w:type="dxa"/>
            <w:shd w:val="clear" w:color="auto" w:fill="F4F7FB"/>
            <w:vAlign w:val="top"/>
          </w:tcPr>
          <w:p>
            <w:pPr>
              <w:pStyle w:val="TableText"/>
              <w:jc w:val="left"/>
            </w:pPr>
            <w:r>
              <w:t xml:space="preserve">14 to 17</w:t>
            </w:r>
          </w:p>
        </w:tc>
        <w:tc>
          <w:tcPr>
            <w:tcW w:w="1499" w:type="dxa"/>
            <w:shd w:val="clear" w:color="auto" w:fill="F4F7FB"/>
            <w:vAlign w:val="top"/>
          </w:tcPr>
          <w:p>
            <w:pPr>
              <w:pStyle w:val="TableText"/>
              <w:jc w:val="left"/>
            </w:pPr>
            <w:r>
              <w:t xml:space="preserve">01/02/2027</w:t>
            </w:r>
          </w:p>
        </w:tc>
        <w:tc>
          <w:tcPr>
            <w:tcW w:w="1499" w:type="dxa"/>
            <w:shd w:val="clear" w:color="auto" w:fill="F4F7FB"/>
            <w:vAlign w:val="top"/>
          </w:tcPr>
          <w:p>
            <w:pPr>
              <w:pStyle w:val="TableText"/>
              <w:jc w:val="left"/>
            </w:pPr>
            <w:r>
              <w:t xml:space="preserve">26/02/2027</w:t>
            </w:r>
          </w:p>
        </w:tc>
        <w:tc>
          <w:tcPr>
            <w:tcW w:w="5075" w:type="dxa"/>
            <w:shd w:val="clear" w:color="auto" w:fill="F4F7FB"/>
            <w:vAlign w:val="top"/>
          </w:tcPr>
          <w:p>
            <w:pPr>
              <w:pStyle w:val="TableText"/>
              <w:jc w:val="left"/>
            </w:pPr>
            <w:r>
              <w:t xml:space="preserve">Hypercare with Tết on-call; ramp-up after Tết (M4)</w:t>
            </w:r>
          </w:p>
        </w:tc>
      </w:tr>
      <w:tr>
        <w:trPr>
          <w:cantSplit/>
        </w:trPr>
        <w:tc>
          <w:tcPr>
            <w:tcW w:w="954" w:type="dxa"/>
            <w:vAlign w:val="top"/>
          </w:tcPr>
          <w:p>
            <w:pPr>
              <w:pStyle w:val="TableText"/>
              <w:jc w:val="left"/>
            </w:pPr>
            <w:r>
              <w:t xml:space="preserve">18 to 19</w:t>
            </w:r>
          </w:p>
        </w:tc>
        <w:tc>
          <w:tcPr>
            <w:tcW w:w="1499" w:type="dxa"/>
            <w:vAlign w:val="top"/>
          </w:tcPr>
          <w:p>
            <w:pPr>
              <w:pStyle w:val="TableText"/>
              <w:jc w:val="left"/>
            </w:pPr>
            <w:r>
              <w:t xml:space="preserve">01/03/2027</w:t>
            </w:r>
          </w:p>
        </w:tc>
        <w:tc>
          <w:tcPr>
            <w:tcW w:w="1499" w:type="dxa"/>
            <w:vAlign w:val="top"/>
          </w:tcPr>
          <w:p>
            <w:pPr>
              <w:pStyle w:val="TableText"/>
              <w:jc w:val="left"/>
            </w:pPr>
            <w:r>
              <w:t xml:space="preserve">12/03/2027</w:t>
            </w:r>
          </w:p>
        </w:tc>
        <w:tc>
          <w:tcPr>
            <w:tcW w:w="5075" w:type="dxa"/>
            <w:vAlign w:val="top"/>
          </w:tcPr>
          <w:p>
            <w:pPr>
              <w:pStyle w:val="TableText"/>
              <w:jc w:val="left"/>
            </w:pPr>
            <w:r>
              <w:t xml:space="preserve">Pilot ramp-up</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Sign-Off</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169"/>
        <w:gridCol w:w="1914"/>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169"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914"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169"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Contract signature by 30/10/2026 so that work starts on 02/11/2026</w:t>
            </w:r>
          </w:p>
        </w:tc>
        <w:tc>
          <w:tcPr>
            <w:tcW w:w="1914"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Programme Sponsor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169"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Pilot provinces and cohort size (50,000 to 100,000 vehicles) confirmed in discovery</w:t>
            </w:r>
          </w:p>
        </w:tc>
        <w:tc>
          <w:tcPr>
            <w:tcW w:w="1914"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169"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Tết change-freeze dates set against TASCO's holiday calendar</w:t>
            </w:r>
          </w:p>
        </w:tc>
        <w:tc>
          <w:tcPr>
            <w:tcW w:w="1914"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169"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integration path (live rating or interim path) decided in week 2</w:t>
            </w:r>
          </w:p>
        </w:tc>
        <w:tc>
          <w:tcPr>
            <w:tcW w:w="1914"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Core System Lead</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62"/>
        <w:gridCol w:w="1671"/>
        <w:gridCol w:w="2619"/>
        <w:gridCol w:w="3675"/>
      </w:tblGrid>
      <w:tr w:rsidR="002B183A" w14:paraId="731A77C7" w14:textId="77777777" w:rsidTr="002923F3">
        <w:trPr>
          <w:cantSplit/>
          <w:trHeight w:val="440"/>
          <w:tblHeader/>
        </w:trPr>
        <w:tc>
          <w:tcPr>
            <w:tcW w:w="106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71"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1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7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Management</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Delivery Management</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TGP-DEL-01</dc:subject>
  <dc:creator>iorta TechNXT</dc:creator>
  <cp:keywords>TGP-DEL-01; TASCO Insurance; iorta TechNXT</cp:keywords>
  <dc:description>TASCO Motor Insurance Growth Platform</dc:description>
  <cp:lastModifiedBy>iorta TechNXT</cp:lastModifiedBy>
  <cp:revision>1</cp:revision>
  <dcterms:created xsi:type="dcterms:W3CDTF">2026-10-08T03:54:51Z</dcterms:created>
  <dcterms:modified xsi:type="dcterms:W3CDTF">2026-10-08T03:54:51Z</dcterms:modified>
</cp:coreProperties>
</file>