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576000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jc w:val="center"/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28"/>
                                <w:szCs w:val="28"/>
                              </w:rPr>
                              <w:t xml:space="preserve">TASCO Motor Insurance Growth Platform · TGP-DEL-04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5760000" cy="476885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4768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44"/>
                                <w:szCs w:val="44"/>
                                <w:lang w:val="en-MY"/>
                              </w:rPr>
                              <w:t xml:space="preserve">Risk Register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4791400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jc w:val="right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08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2930472</wp:posOffset>
                </wp:positionH>
                <wp:positionV relativeFrom="paragraph">
                  <wp:posOffset>4124960</wp:posOffset>
                </wp:positionV>
                <wp:extent cx="17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jc w:val="center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3000000" cy="266700"/>
                <wp:effectExtent l="0" t="0" r="0" b="0"/>
                <wp:wrapSquare wrapText="bothSides"/>
                <wp:docPr id="5001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 xml:space="preserve">iorta TechNXT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>
      <w:pPr>
        <w:pStyle w:val="TOC1"/>
      </w:pPr>
      <w:r>
        <w:rPr>
          <w:noProof/>
        </w:rPr>
        <w:fldChar w:fldCharType="begin"/>
      </w:r>
      <w:r>
        <w:rPr>
          <w:noProof/>
        </w:rPr>
        <w:instrText xml:space="preserve"> TOC \o "1-3" \h \z \u </w:instrText>
      </w:r>
      <w:r>
        <w:rPr>
          <w:noProof/>
        </w:rPr>
        <w:fldChar w:fldCharType="separate"/>
      </w:r>
      <w:hyperlink w:anchor="_Toc300000001" w:history="1">
        <w:r>
          <w:rPr>
            <w:noProof/>
          </w:rPr>
          <w:t>1.</w:t>
        </w:r>
        <w:r>
          <w:rPr>
            <w:noProof/>
          </w:rPr>
          <w:tab/>
        </w:r>
        <w:r>
          <w:rPr>
            <w:noProof/>
          </w:rPr>
          <w:t xml:space="preserve"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2" w:history="1">
        <w:r>
          <w:rPr>
            <w:noProof/>
          </w:rPr>
          <w:t>2.</w:t>
        </w:r>
        <w:r>
          <w:rPr>
            <w:noProof/>
          </w:rPr>
          <w:tab/>
        </w:r>
        <w:r>
          <w:rPr>
            <w:noProof/>
          </w:rPr>
          <w:t xml:space="preserve">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3" w:history="1">
        <w:r>
          <w:rPr>
            <w:noProof/>
          </w:rPr>
          <w:t>3.</w:t>
        </w:r>
        <w:r>
          <w:rPr>
            <w:noProof/>
          </w:rPr>
          <w:tab/>
        </w:r>
        <w:r>
          <w:rPr>
            <w:noProof/>
          </w:rPr>
          <w:t xml:space="preserve"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4" w:history="1">
        <w:r>
          <w:rPr>
            <w:noProof/>
          </w:rPr>
          <w:t>4.</w:t>
        </w:r>
        <w:r>
          <w:rPr>
            <w:noProof/>
          </w:rPr>
          <w:tab/>
        </w:r>
        <w:r>
          <w:rPr>
            <w:noProof/>
          </w:rPr>
          <w:t xml:space="preserve">Scoring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5" w:history="1">
        <w:r>
          <w:rPr>
            <w:noProof/>
          </w:rPr>
          <w:t>5.</w:t>
        </w:r>
        <w:r>
          <w:rPr>
            <w:noProof/>
          </w:rPr>
          <w:tab/>
        </w:r>
        <w:r>
          <w:rPr>
            <w:noProof/>
          </w:rPr>
          <w:t xml:space="preserve">Risks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6" w:history="1">
        <w:r>
          <w:rPr>
            <w:noProof/>
          </w:rPr>
          <w:t>6.</w:t>
        </w:r>
        <w:r>
          <w:rPr>
            <w:noProof/>
          </w:rPr>
          <w:tab/>
        </w:r>
        <w:r>
          <w:rPr>
            <w:noProof/>
          </w:rPr>
          <w:t xml:space="preserve">Current scores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7" w:history="1">
        <w:r>
          <w:rPr>
            <w:noProof/>
          </w:rPr>
          <w:t>7.</w:t>
        </w:r>
        <w:r>
          <w:rPr>
            <w:noProof/>
          </w:rPr>
          <w:tab/>
        </w:r>
        <w:r>
          <w:rPr>
            <w:noProof/>
          </w:rPr>
          <w:t xml:space="preserve">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</w:pPr>
      <w:hyperlink w:anchor="_Toc300000008" w:history="1">
        <w:r>
          <w:rPr>
            <w:noProof/>
          </w:rPr>
          <w:t>8.</w:t>
        </w:r>
        <w:r>
          <w:rPr>
            <w:noProof/>
          </w:rPr>
          <w:tab/>
        </w:r>
        <w:r>
          <w:rPr>
            <w:noProof/>
          </w:rPr>
          <w:t xml:space="preserve">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_Toc300000008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  <w:r>
        <w:rPr>
          <w:noProof/>
        </w:rP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" w:name="_Toc11824118"/>
      <w:bookmarkStart w:id="2" w:name="_Toc48319687"/>
      <w:bookmarkStart w:id="3" w:name="_Toc300000001"/>
      <w:r w:rsidRPr="00212D69">
        <w:rPr>
          <w:rStyle w:val="BookTitle"/>
          <w:b w:val="0"/>
        </w:rPr>
        <w:t xml:space="preserve"> </w:t>
      </w:r>
      <w:bookmarkStart w:id="4" w:name="_Toc233203387"/>
      <w:r w:rsidRPr="00465CAB">
        <w:rPr>
          <w:rStyle w:val="BookTitle"/>
          <w:bCs w:val="0"/>
          <w:i w:val="0"/>
          <w:iCs w:val="0"/>
          <w:spacing w:val="0"/>
        </w:rPr>
        <w:t>Document Control</w:t>
      </w:r>
      <w:bookmarkEnd w:id="1"/>
      <w:bookmarkEnd w:id="2"/>
      <w:bookmarkEnd w:id="4"/>
      <w:bookmarkEnd w:id="3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201"/>
        <w:gridCol w:w="925"/>
        <w:gridCol w:w="1700"/>
        <w:gridCol w:w="2000"/>
        <w:gridCol w:w="2000"/>
        <w:gridCol w:w="1201"/>
      </w:tblGrid>
      <w:tr w:rsidR="002B183A" w14:paraId="4E198CD6" w14:textId="77777777" w:rsidTr="002923F3">
        <w:trPr>
          <w:cantSplit/>
          <w:trHeight w:val="440"/>
          <w:tblHeader/>
        </w:trPr>
        <w:tc>
          <w:tcPr>
            <w:tcW w:w="1201" w:type="dxa"/>
            <w:shd w:val="clear" w:color="auto" w:fill="0F4761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925" w:type="dxa"/>
            <w:shd w:val="clear" w:color="auto" w:fill="0F4761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Version</w:t>
            </w:r>
          </w:p>
        </w:tc>
        <w:tc>
          <w:tcPr>
            <w:tcW w:w="1700" w:type="dxa"/>
            <w:shd w:val="clear" w:color="auto" w:fill="0F4761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Author &amp; Business Unit Info</w:t>
            </w:r>
          </w:p>
        </w:tc>
        <w:tc>
          <w:tcPr>
            <w:tcW w:w="2000" w:type="dxa"/>
            <w:shd w:val="clear" w:color="auto" w:fill="0F4761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Reviewed By &amp; Business Unit Info</w:t>
            </w:r>
          </w:p>
        </w:tc>
        <w:tc>
          <w:tcPr>
            <w:tcW w:w="2000" w:type="dxa"/>
            <w:shd w:val="clear" w:color="auto" w:fill="0F4761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 &amp; Business Unit Info</w:t>
            </w:r>
          </w:p>
        </w:tc>
        <w:tc>
          <w:tcPr>
            <w:tcW w:w="1201" w:type="dxa"/>
            <w:shd w:val="clear" w:color="auto" w:fill="0F4761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cantSplit/>
          <w:trHeight w:val="449"/>
        </w:trPr>
        <w:tc>
          <w:tcPr>
            <w:tcW w:w="1201" w:type="dxa"/>
            <w:vAlign w:val="top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08/10/2026</w:t>
            </w:r>
          </w:p>
        </w:tc>
        <w:tc>
          <w:tcPr>
            <w:tcW w:w="925" w:type="dxa"/>
            <w:vAlign w:val="top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1.0</w:t>
            </w:r>
          </w:p>
        </w:tc>
        <w:tc>
          <w:tcPr>
            <w:tcW w:w="1700" w:type="dxa"/>
            <w:vAlign w:val="top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Delivery Management</w:t>
            </w:r>
          </w:p>
        </w:tc>
        <w:tc>
          <w:tcPr>
            <w:tcW w:w="2000" w:type="dxa"/>
            <w:vAlign w:val="top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Programme Management</w:t>
            </w:r>
          </w:p>
        </w:tc>
        <w:tc>
          <w:tcPr>
            <w:tcW w:w="2000" w:type="dxa"/>
            <w:vAlign w:val="top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br/>
              <w:t xml:space="preserve">Programme Sponsor</w:t>
            </w:r>
          </w:p>
        </w:tc>
        <w:tc>
          <w:tcPr>
            <w:tcW w:w="1201" w:type="dxa"/>
            <w:vAlign w:val="top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Initial issue for submission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5" w:name="_Toc233203388"/>
      <w:bookmarkStart w:id="6" w:name="_Toc300000002"/>
      <w:r>
        <w:rPr>
          <w:rStyle w:val="BookTitle"/>
          <w:bCs w:val="0"/>
          <w:i w:val="0"/>
          <w:iCs w:val="0"/>
          <w:spacing w:val="0"/>
        </w:rPr>
        <w:t>Acronyms</w:t>
      </w:r>
      <w:bookmarkEnd w:id="5"/>
      <w:bookmarkEnd w:id="6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452"/>
        <w:gridCol w:w="7575"/>
      </w:tblGrid>
      <w:tr w:rsidR="002B183A" w14:paraId="388F227F" w14:textId="77777777" w:rsidTr="002923F3">
        <w:trPr>
          <w:cantSplit/>
          <w:trHeight w:val="440"/>
          <w:tblHeader/>
        </w:trPr>
        <w:tc>
          <w:tcPr>
            <w:tcW w:w="1452" w:type="dxa"/>
            <w:shd w:val="clear" w:color="auto" w:fill="0F4761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Acronym / Symbol</w:t>
            </w:r>
          </w:p>
        </w:tc>
        <w:tc>
          <w:tcPr>
            <w:tcW w:w="7575" w:type="dxa"/>
            <w:shd w:val="clear" w:color="auto" w:fill="0F4761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AI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Artificial Intelligence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API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Application Programming Interface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MFA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Multi-Factor Authentication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MVP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Minimum Viable Product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RACI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Responsible, Accountable, Consulted, Informed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SMS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Short Message Service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TNDS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Compulsory motor third-party liability insurance (Bảo hiểm TNDS bắt buộc)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UAT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User Acceptance Testing</w:t>
            </w:r>
          </w:p>
        </w:tc>
      </w:tr>
      <w:tr w:rsidR="002B183A" w:rsidRPr="00BB346A" w14:paraId="73CFB63E" w14:textId="77777777" w:rsidTr="002923F3">
        <w:trPr>
          <w:cantSplit/>
          <w:trHeight w:val="449"/>
        </w:trPr>
        <w:tc>
          <w:tcPr>
            <w:tcW w:w="1452" w:type="dxa"/>
            <w:vAlign w:val="top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VETC</w:t>
            </w:r>
          </w:p>
        </w:tc>
        <w:tc>
          <w:tcPr>
            <w:tcW w:w="7575" w:type="dxa"/>
            <w:vAlign w:val="top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VETC Automatic Toll Collection Company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7" w:name="_Toc300000003"/>
      <w:r>
        <w:rPr>
          <w:rStyle w:val="BookTitle"/>
          <w:bCs w:val="0"/>
          <w:i w:val="0"/>
          <w:iCs w:val="0"/>
          <w:spacing w:val="0"/>
        </w:rPr>
        <w:t xml:space="preserve">Introduction</w:t>
      </w:r>
      <w:bookmarkEnd w:id="7"/>
    </w:p>
    <w:p>
      <w:pPr>
        <w:pStyle w:val="FirstParagraph"/>
      </w:pPr>
      <w:r>
        <w:t xml:space="preserve">This register lists the main risks to the delivery of the TASCO Growth Platform (the platform) MVP and its pilot, with an owner, a mitigation and a contingency for each. It starts from the risks in the proposal, section 27, and adds the risks that the delivery team will track during the sprints.</w:t>
      </w:r>
    </w:p>
    <w:p>
      <w:pPr>
        <w:pStyle w:val="BodyText"/>
      </w:pPr>
      <w:r>
        <w:t xml:space="preserve">The audience is the steering committee, the product council and the engagement manager. Owner codes are the party codes in TGP-DEL-03 RACI Matrix.</w:t>
      </w:r>
    </w:p>
    <w:p>
      <w:pPr>
        <w:pStyle w:val="BodyText"/>
      </w:pPr>
      <w:r>
        <w:t xml:space="preserve">Related documents: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495"/>
        <w:gridCol w:w="2433"/>
        <w:gridCol w:w="5099"/>
      </w:tblGrid>
      <w:tr>
        <w:trPr>
          <w:cantSplit/>
          <w:tblHeader/>
        </w:trPr>
        <w:tc>
          <w:tcPr>
            <w:tcW w:w="1495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2433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Title</w:t>
            </w:r>
          </w:p>
        </w:tc>
        <w:tc>
          <w:tcPr>
            <w:tcW w:w="509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Relationship</w:t>
            </w:r>
          </w:p>
        </w:tc>
      </w:tr>
      <w:tr>
        <w:trPr>
          <w:cantSplit/>
        </w:trPr>
        <w:tc>
          <w:tcPr>
            <w:tcW w:w="1495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TGP-DEL-01</w:t>
            </w:r>
          </w:p>
        </w:tc>
        <w:tc>
          <w:tcPr>
            <w:tcW w:w="2433" w:type="dxa"/>
            <w:vAlign w:val="top"/>
          </w:tcPr>
          <w:p>
            <w:pPr>
              <w:pStyle w:val="TableText"/>
              <w:jc w:val="left"/>
            </w:pPr>
            <w:r>
              <w:t xml:space="preserve">Project Plan</w:t>
            </w:r>
          </w:p>
        </w:tc>
        <w:tc>
          <w:tcPr>
            <w:tcW w:w="5099" w:type="dxa"/>
            <w:vAlign w:val="top"/>
          </w:tcPr>
          <w:p>
            <w:pPr>
              <w:pStyle w:val="TableText"/>
              <w:jc w:val="left"/>
            </w:pPr>
            <w:r>
              <w:t xml:space="preserve">Milestones and dependencies the risks affect</w:t>
            </w:r>
          </w:p>
        </w:tc>
      </w:tr>
      <w:tr>
        <w:trPr>
          <w:cantSplit/>
        </w:trPr>
        <w:tc>
          <w:tcPr>
            <w:tcW w:w="1495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TGP-DEL-02</w:t>
            </w:r>
          </w:p>
        </w:tc>
        <w:tc>
          <w:tcPr>
            <w:tcW w:w="24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Delivery Methodology</w:t>
            </w:r>
          </w:p>
        </w:tc>
        <w:tc>
          <w:tcPr>
            <w:tcW w:w="509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Forums that review the register</w:t>
            </w:r>
          </w:p>
        </w:tc>
      </w:tr>
      <w:tr>
        <w:trPr>
          <w:cantSplit/>
        </w:trPr>
        <w:tc>
          <w:tcPr>
            <w:tcW w:w="1495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TGP-DEL-03</w:t>
            </w:r>
          </w:p>
        </w:tc>
        <w:tc>
          <w:tcPr>
            <w:tcW w:w="2433" w:type="dxa"/>
            <w:vAlign w:val="top"/>
          </w:tcPr>
          <w:p>
            <w:pPr>
              <w:pStyle w:val="TableText"/>
              <w:jc w:val="left"/>
            </w:pPr>
            <w:r>
              <w:t xml:space="preserve">RACI Matrix</w:t>
            </w:r>
          </w:p>
        </w:tc>
        <w:tc>
          <w:tcPr>
            <w:tcW w:w="5099" w:type="dxa"/>
            <w:vAlign w:val="top"/>
          </w:tcPr>
          <w:p>
            <w:pPr>
              <w:pStyle w:val="TableText"/>
              <w:jc w:val="left"/>
            </w:pPr>
            <w:r>
              <w:t xml:space="preserve">Party codes used as owners</w:t>
            </w:r>
          </w:p>
        </w:tc>
      </w:tr>
      <w:tr>
        <w:trPr>
          <w:cantSplit/>
        </w:trPr>
        <w:tc>
          <w:tcPr>
            <w:tcW w:w="1495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TGP-ARC-04</w:t>
            </w:r>
          </w:p>
        </w:tc>
        <w:tc>
          <w:tcPr>
            <w:tcW w:w="243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Security Architecture</w:t>
            </w:r>
          </w:p>
        </w:tc>
        <w:tc>
          <w:tcPr>
            <w:tcW w:w="509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Security controls referred to in R-16</w:t>
            </w:r>
          </w:p>
        </w:tc>
      </w:tr>
      <w:tr>
        <w:trPr>
          <w:cantSplit/>
        </w:trPr>
        <w:tc>
          <w:tcPr>
            <w:tcW w:w="1495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TGP-ARC-06</w:t>
            </w:r>
          </w:p>
        </w:tc>
        <w:tc>
          <w:tcPr>
            <w:tcW w:w="2433" w:type="dxa"/>
            <w:vAlign w:val="top"/>
          </w:tcPr>
          <w:p>
            <w:pPr>
              <w:pStyle w:val="TableText"/>
              <w:jc w:val="left"/>
            </w:pPr>
            <w:r>
              <w:t xml:space="preserve">AI Governance</w:t>
            </w:r>
          </w:p>
        </w:tc>
        <w:tc>
          <w:tcPr>
            <w:tcW w:w="5099" w:type="dxa"/>
            <w:vAlign w:val="top"/>
          </w:tcPr>
          <w:p>
            <w:pPr>
              <w:pStyle w:val="TableText"/>
              <w:jc w:val="left"/>
            </w:pPr>
            <w:r>
              <w:t xml:space="preserve">Controls for the voice assistant and scoring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8" w:name="_Toc300000004"/>
      <w:r>
        <w:rPr>
          <w:rStyle w:val="BookTitle"/>
          <w:bCs w:val="0"/>
          <w:i w:val="0"/>
          <w:iCs w:val="0"/>
          <w:spacing w:val="0"/>
        </w:rPr>
        <w:t xml:space="preserve">Scoring</w:t>
      </w:r>
      <w:bookmarkEnd w:id="8"/>
    </w:p>
    <w:p>
      <w:pPr>
        <w:pStyle w:val="FirstParagraph"/>
      </w:pPr>
      <w:r>
        <w:t xml:space="preserve">Each risk is scored for likelihood and impact on a scale of 1 to 5. The score is likelihood multiplied by impact.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850"/>
        <w:gridCol w:w="1516"/>
        <w:gridCol w:w="6661"/>
      </w:tblGrid>
      <w:tr>
        <w:trPr>
          <w:cantSplit/>
          <w:tblHeader/>
        </w:trPr>
        <w:tc>
          <w:tcPr>
            <w:tcW w:w="85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Value</w:t>
            </w:r>
          </w:p>
        </w:tc>
        <w:tc>
          <w:tcPr>
            <w:tcW w:w="151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Likelihood</w:t>
            </w:r>
          </w:p>
        </w:tc>
        <w:tc>
          <w:tcPr>
            <w:tcW w:w="666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Impact</w:t>
            </w:r>
          </w:p>
        </w:tc>
      </w:tr>
      <w:tr>
        <w:trPr>
          <w:cantSplit/>
        </w:trPr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1516" w:type="dxa"/>
            <w:vAlign w:val="top"/>
          </w:tcPr>
          <w:p>
            <w:pPr>
              <w:pStyle w:val="TableText"/>
              <w:jc w:val="left"/>
            </w:pPr>
            <w:r>
              <w:t xml:space="preserve">Rare</w:t>
            </w:r>
          </w:p>
        </w:tc>
        <w:tc>
          <w:tcPr>
            <w:tcW w:w="6661" w:type="dxa"/>
            <w:vAlign w:val="top"/>
          </w:tcPr>
          <w:p>
            <w:pPr>
              <w:pStyle w:val="TableText"/>
              <w:jc w:val="left"/>
            </w:pPr>
            <w:r>
              <w:t xml:space="preserve">Negligible: no milestone or customer effect</w:t>
            </w:r>
          </w:p>
        </w:tc>
      </w:tr>
      <w:tr>
        <w:trPr>
          <w:cantSplit/>
        </w:trPr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151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Unlikely</w:t>
            </w:r>
          </w:p>
        </w:tc>
        <w:tc>
          <w:tcPr>
            <w:tcW w:w="666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Minor: absorbed within the sprint</w:t>
            </w:r>
          </w:p>
        </w:tc>
      </w:tr>
      <w:tr>
        <w:trPr>
          <w:cantSplit/>
        </w:trPr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3</w:t>
            </w:r>
          </w:p>
        </w:tc>
        <w:tc>
          <w:tcPr>
            <w:tcW w:w="1516" w:type="dxa"/>
            <w:vAlign w:val="top"/>
          </w:tcPr>
          <w:p>
            <w:pPr>
              <w:pStyle w:val="TableText"/>
              <w:jc w:val="left"/>
            </w:pPr>
            <w:r>
              <w:t xml:space="preserve">Possible</w:t>
            </w:r>
          </w:p>
        </w:tc>
        <w:tc>
          <w:tcPr>
            <w:tcW w:w="6661" w:type="dxa"/>
            <w:vAlign w:val="top"/>
          </w:tcPr>
          <w:p>
            <w:pPr>
              <w:pStyle w:val="TableText"/>
              <w:jc w:val="left"/>
            </w:pPr>
            <w:r>
              <w:t xml:space="preserve">Moderate: a milestone moves by up to two weeks, or a feature is held back</w:t>
            </w:r>
          </w:p>
        </w:tc>
      </w:tr>
      <w:tr>
        <w:trPr>
          <w:cantSplit/>
        </w:trPr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4</w:t>
            </w:r>
          </w:p>
        </w:tc>
        <w:tc>
          <w:tcPr>
            <w:tcW w:w="151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Likely</w:t>
            </w:r>
          </w:p>
        </w:tc>
        <w:tc>
          <w:tcPr>
            <w:tcW w:w="666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Major: a milestone moves by more than two weeks, or the pilot result is weakened</w:t>
            </w:r>
          </w:p>
        </w:tc>
      </w:tr>
      <w:tr>
        <w:trPr>
          <w:cantSplit/>
        </w:trPr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5</w:t>
            </w:r>
          </w:p>
        </w:tc>
        <w:tc>
          <w:tcPr>
            <w:tcW w:w="1516" w:type="dxa"/>
            <w:vAlign w:val="top"/>
          </w:tcPr>
          <w:p>
            <w:pPr>
              <w:pStyle w:val="TableText"/>
              <w:jc w:val="left"/>
            </w:pPr>
            <w:r>
              <w:t xml:space="preserve">Almost certain</w:t>
            </w:r>
          </w:p>
        </w:tc>
        <w:tc>
          <w:tcPr>
            <w:tcW w:w="6661" w:type="dxa"/>
            <w:vAlign w:val="top"/>
          </w:tcPr>
          <w:p>
            <w:pPr>
              <w:pStyle w:val="TableText"/>
              <w:jc w:val="left"/>
            </w:pPr>
            <w:r>
              <w:t xml:space="preserve">Severe: regulatory breach, customer harm or the pilot cannot run</w:t>
            </w:r>
          </w:p>
        </w:tc>
      </w:tr>
    </w:tbl>
    <w:p>
      <w:pPr>
        <w:spacing w:before="160"/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206"/>
        <w:gridCol w:w="1010"/>
        <w:gridCol w:w="6811"/>
      </w:tblGrid>
      <w:tr>
        <w:trPr>
          <w:cantSplit/>
          <w:tblHeader/>
        </w:trPr>
        <w:tc>
          <w:tcPr>
            <w:tcW w:w="120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Score</w:t>
            </w:r>
          </w:p>
        </w:tc>
        <w:tc>
          <w:tcPr>
            <w:tcW w:w="101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Rating</w:t>
            </w:r>
          </w:p>
        </w:tc>
        <w:tc>
          <w:tcPr>
            <w:tcW w:w="6811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Handling</w:t>
            </w:r>
          </w:p>
        </w:tc>
      </w:tr>
      <w:tr>
        <w:trPr>
          <w:cantSplit/>
        </w:trPr>
        <w:tc>
          <w:tcPr>
            <w:tcW w:w="1206" w:type="dxa"/>
            <w:vAlign w:val="top"/>
          </w:tcPr>
          <w:p>
            <w:pPr>
              <w:pStyle w:val="TableText"/>
              <w:jc w:val="left"/>
            </w:pPr>
            <w:r>
              <w:t xml:space="preserve">1 to 6</w:t>
            </w:r>
          </w:p>
        </w:tc>
        <w:tc>
          <w:tcPr>
            <w:tcW w:w="1010" w:type="dxa"/>
            <w:vAlign w:val="top"/>
          </w:tcPr>
          <w:p>
            <w:pPr>
              <w:pStyle w:val="TableText"/>
              <w:jc w:val="left"/>
            </w:pPr>
            <w:r>
              <w:t xml:space="preserve">Low</w:t>
            </w:r>
          </w:p>
        </w:tc>
        <w:tc>
          <w:tcPr>
            <w:tcW w:w="6811" w:type="dxa"/>
            <w:vAlign w:val="top"/>
          </w:tcPr>
          <w:p>
            <w:pPr>
              <w:pStyle w:val="TableText"/>
              <w:jc w:val="left"/>
            </w:pPr>
            <w:r>
              <w:t xml:space="preserve">Owner monitors</w:t>
            </w:r>
          </w:p>
        </w:tc>
      </w:tr>
      <w:tr>
        <w:trPr>
          <w:cantSplit/>
        </w:trPr>
        <w:tc>
          <w:tcPr>
            <w:tcW w:w="12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8 to 12</w:t>
            </w:r>
          </w:p>
        </w:tc>
        <w:tc>
          <w:tcPr>
            <w:tcW w:w="101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  <w:tc>
          <w:tcPr>
            <w:tcW w:w="6811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Mitigation plan tracked by the product council</w:t>
            </w:r>
          </w:p>
        </w:tc>
      </w:tr>
      <w:tr>
        <w:trPr>
          <w:cantSplit/>
        </w:trPr>
        <w:tc>
          <w:tcPr>
            <w:tcW w:w="1206" w:type="dxa"/>
            <w:vAlign w:val="top"/>
          </w:tcPr>
          <w:p>
            <w:pPr>
              <w:pStyle w:val="TableText"/>
              <w:jc w:val="left"/>
            </w:pPr>
            <w:r>
              <w:t xml:space="preserve">15 to 25</w:t>
            </w:r>
          </w:p>
        </w:tc>
        <w:tc>
          <w:tcPr>
            <w:tcW w:w="1010" w:type="dxa"/>
            <w:vAlign w:val="top"/>
          </w:tcPr>
          <w:p>
            <w:pPr>
              <w:pStyle w:val="TableText"/>
              <w:jc w:val="left"/>
            </w:pPr>
            <w:r>
              <w:t xml:space="preserve">High</w:t>
            </w:r>
          </w:p>
        </w:tc>
        <w:tc>
          <w:tcPr>
            <w:tcW w:w="6811" w:type="dxa"/>
            <w:vAlign w:val="top"/>
          </w:tcPr>
          <w:p>
            <w:pPr>
              <w:pStyle w:val="TableText"/>
              <w:jc w:val="left"/>
            </w:pPr>
            <w:r>
              <w:t xml:space="preserve">Reported to the next steering committee with a mitigation plan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9" w:name="_Toc300000005"/>
      <w:r>
        <w:rPr>
          <w:rStyle w:val="BookTitle"/>
          <w:bCs w:val="0"/>
          <w:i w:val="0"/>
          <w:iCs w:val="0"/>
          <w:spacing w:val="0"/>
        </w:rPr>
        <w:t xml:space="preserve">Risks</w:t>
      </w:r>
      <w:bookmarkEnd w:id="9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712"/>
        <w:gridCol w:w="2239"/>
        <w:gridCol w:w="850"/>
        <w:gridCol w:w="2706"/>
        <w:gridCol w:w="2520"/>
      </w:tblGrid>
      <w:tr>
        <w:trPr>
          <w:cantSplit/>
          <w:tblHeader/>
        </w:trPr>
        <w:tc>
          <w:tcPr>
            <w:tcW w:w="712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2239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Risk and effect</w:t>
            </w:r>
          </w:p>
        </w:tc>
        <w:tc>
          <w:tcPr>
            <w:tcW w:w="85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Owner</w:t>
            </w:r>
          </w:p>
        </w:tc>
        <w:tc>
          <w:tcPr>
            <w:tcW w:w="2706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Mitigation</w:t>
            </w:r>
          </w:p>
        </w:tc>
        <w:tc>
          <w:tcPr>
            <w:tcW w:w="2520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Contingency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R-01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TASCO core does not expose a rating API in time, so live pricing is delayed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Decide the path in week 2; the interim path uses approved tariff tables with core re-rating at issue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Launch on the interim path; move to live rating in the scale phase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R-02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data access is delayed or restricted by the data-sharing basis, so the cohort cannot be selected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VS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Draft the data-sharing basis and field list in discovery; build on synthetic data meanwhile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Start the pilot on TASCO’s own policy book with renewal journeys only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R-03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Integration sandboxes or credentials arrive late, so M2 is delayed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Simulated adapters exist for every interface, so build continues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Dates move day for day by agreement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R-04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Legal positions take time (data sharing, consent wording, loyalty benefits), so features are held back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Conservative defaults; features stay switched off until approved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Launch without the held feature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R-05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TASCO core specification differs from the assumptions in the existing core connector; issuance still runs on a sandbox adapter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SA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Agree the specification in discovery; contract tests in Sprint 1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Adapt the connector behind the same interface; use Sprint 4 buffer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R-06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VETC data quality is lower than expected, so fewer vehicles are actionable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 repair is the first journey; customers confirm their expiry date; data steward queue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Restrict early contact to records with a usable expiry date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R-07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Customers distrust the voice assistant, so call completion is low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Plate-first verification, disclosure, app-first journeys, calls only with consent, script approved by compliance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Shift the mix to the app and Zalo; reduce call volume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R-08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Voice recognition misreads Vietnamese plates or accents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SA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Benchmark the vendor on regional accents; limited retries; handoff to telesales on failure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Route failed verifications to telesales; change vendor behind the same interface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R-09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The launch falls close to Tết, when staff are scarce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Soft launch, change freeze and 24-hour on-call cover over the holiday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Delay the ramp-up to the full cohort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R-10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Partners see the platform as channel conflict and resist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Channel rules that protect partner-quoted vehicles; the partner API makes partners part of the solution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Suppress journeys for partner-protected vehicles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R-11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Scope grows during the MVP, putting pressure on budget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Clear MVP boundary; change control; USD 5,200 reserve under TASCO’s control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Move the change to the scale phase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R-12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Telesales agents keep working from old call lists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TS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Training in UAT, super users, warm verified leads instead of cold lists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Supervisor coaching; retire the old lists by a set date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R-13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Customer wording is read as a discount or inducement on TNDS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Wording control on every message; compliance approves templates and the voice script; only approved benefits reach customers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Withdraw the template through an approved rule change within the hour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R-14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Personal data is processed without a valid basis, or reaches the wrong person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CMP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Consent per purpose and channel; plate-first verification; data requests register with identity checks before export or erasure and a response time to be confirmed by TASCO legal; retention rules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Data protection incident procedure; suspend the affected processing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R-15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Zalo template approval or SMS brandname registration is late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Submit templates early in Sprint 3; channel fallback order in journeys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Use app push and SMS only, or app push only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R-16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Staff or partner credentials are compromised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SEC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MFA for privileged roles, lockout, scoped partner keys, security testing before go-live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Revoke tokens and keys; incident response from the audit trail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R-17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Knowledge is held by one or two iorta TechNXT engineers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EM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Pairing, architecture decision records, runbooks, technical handover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Accelerate knowledge transfer under TGP-DEL-05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R-18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The pilot does not give a clear answer (small sample, seasonality)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SP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Random control group of about 10%; read-out in early May 2027; criteria confirmed in discovery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Extend the measurement period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R-19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TASCO’s app, website or payment gateway cannot host the shared journeys as planned, so TASCO’s own channels open later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TIT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Check web-view and gateway capability in discovery; keep the journeys usable as a plain link from TASCO’s site; S3 sits outside the MVP critical path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Launch TASCO channels as links first, embed later</w:t>
            </w:r>
          </w:p>
        </w:tc>
      </w:tr>
      <w:tr>
        <w:trPr>
          <w:cantSplit/>
        </w:trPr>
        <w:tc>
          <w:tcPr>
            <w:tcW w:w="712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R-20</w:t>
            </w:r>
          </w:p>
        </w:tc>
        <w:tc>
          <w:tcPr>
            <w:tcW w:w="2239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Prices, wording or contacts differ between the VETC app, TASCO’s channels and Tasco360, which confuses customers</w:t>
            </w:r>
          </w:p>
        </w:tc>
        <w:tc>
          <w:tcPr>
            <w:tcW w:w="85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706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One core rating for every channel; shared message templates and official contacts; the channel recorded on every sale</w:t>
            </w:r>
          </w:p>
        </w:tc>
        <w:tc>
          <w:tcPr>
            <w:tcW w:w="2520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Correct the template or contact in the rules studio through maker-checker</w:t>
            </w:r>
          </w:p>
        </w:tc>
      </w:tr>
      <w:tr>
        <w:trPr>
          <w:cantSplit/>
        </w:trPr>
        <w:tc>
          <w:tcPr>
            <w:tcW w:w="712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R-21</w:t>
            </w:r>
          </w:p>
        </w:tc>
        <w:tc>
          <w:tcPr>
            <w:tcW w:w="2239" w:type="dxa"/>
            <w:vAlign w:val="top"/>
          </w:tcPr>
          <w:p>
            <w:pPr>
              <w:pStyle w:val="TableText"/>
              <w:jc w:val="left"/>
            </w:pPr>
            <w:r>
              <w:t xml:space="preserve">Quick renewal is offered where the vehicle or cover needs review, so a customer renews with the wrong cover</w:t>
            </w:r>
          </w:p>
        </w:tc>
        <w:tc>
          <w:tcPr>
            <w:tcW w:w="850" w:type="dxa"/>
            <w:vAlign w:val="top"/>
          </w:tcPr>
          <w:p>
            <w:pPr>
              <w:pStyle w:val="TableText"/>
              <w:jc w:val="left"/>
            </w:pPr>
            <w:r>
              <w:t xml:space="preserve">PO</w:t>
            </w:r>
          </w:p>
        </w:tc>
        <w:tc>
          <w:tcPr>
            <w:tcW w:w="2706" w:type="dxa"/>
            <w:vAlign w:val="top"/>
          </w:tcPr>
          <w:p>
            <w:pPr>
              <w:pStyle w:val="TableText"/>
              <w:jc w:val="left"/>
            </w:pPr>
            <w:r>
              <w:t xml:space="preserve">The server decides eligibility from the approved quick-renewal rule: use and seats confirmed within 365 days, TNDS only without physical damage cover, price from TASCO core, wallet balance checked; explicit declaration; full flow always available</w:t>
            </w:r>
          </w:p>
        </w:tc>
        <w:tc>
          <w:tcPr>
            <w:tcW w:w="2520" w:type="dxa"/>
            <w:vAlign w:val="top"/>
          </w:tcPr>
          <w:p>
            <w:pPr>
              <w:pStyle w:val="TableText"/>
              <w:jc w:val="left"/>
            </w:pPr>
            <w:r>
              <w:t xml:space="preserve">Switch quick renewal off through an approved service-level rule change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300000006"/>
      <w:r>
        <w:rPr>
          <w:rStyle w:val="BookTitle"/>
          <w:bCs w:val="0"/>
          <w:i w:val="0"/>
          <w:iCs w:val="0"/>
          <w:spacing w:val="0"/>
        </w:rPr>
        <w:t xml:space="preserve">Current scores</w:t>
      </w:r>
      <w:bookmarkEnd w:id="10"/>
    </w:p>
    <w:p>
      <w:pPr>
        <w:pStyle w:val="FirstParagraph"/>
      </w:pPr>
      <w:r>
        <w:t xml:space="preserve">Scores reflect the position at submission, before discovery.</w:t>
      </w: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307"/>
        <w:gridCol w:w="2650"/>
        <w:gridCol w:w="1764"/>
        <w:gridCol w:w="1543"/>
        <w:gridCol w:w="1763"/>
      </w:tblGrid>
      <w:tr>
        <w:trPr>
          <w:cantSplit/>
          <w:tblHeader/>
        </w:trPr>
        <w:tc>
          <w:tcPr>
            <w:tcW w:w="1307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ID</w:t>
            </w:r>
          </w:p>
        </w:tc>
        <w:tc>
          <w:tcPr>
            <w:tcW w:w="2650" w:type="dxa"/>
            <w:shd w:val="clear" w:color="auto" w:fill="0F4761"/>
            <w:vAlign w:val="center"/>
          </w:tcPr>
          <w:p>
            <w:pPr>
              <w:pStyle w:val="TableHeading"/>
              <w:jc w:val="right"/>
            </w:pPr>
            <w:r>
              <w:rPr>
                <w:color w:val="FFFFFF"/>
              </w:rPr>
              <w:t xml:space="preserve">Likelihood</w:t>
            </w:r>
          </w:p>
        </w:tc>
        <w:tc>
          <w:tcPr>
            <w:tcW w:w="1764" w:type="dxa"/>
            <w:shd w:val="clear" w:color="auto" w:fill="0F4761"/>
            <w:vAlign w:val="center"/>
          </w:tcPr>
          <w:p>
            <w:pPr>
              <w:pStyle w:val="TableHeading"/>
              <w:jc w:val="right"/>
            </w:pPr>
            <w:r>
              <w:rPr>
                <w:color w:val="FFFFFF"/>
              </w:rPr>
              <w:t xml:space="preserve">Impact</w:t>
            </w:r>
          </w:p>
        </w:tc>
        <w:tc>
          <w:tcPr>
            <w:tcW w:w="1543" w:type="dxa"/>
            <w:shd w:val="clear" w:color="auto" w:fill="0F4761"/>
            <w:vAlign w:val="center"/>
          </w:tcPr>
          <w:p>
            <w:pPr>
              <w:pStyle w:val="TableHeading"/>
              <w:jc w:val="right"/>
            </w:pPr>
            <w:r>
              <w:rPr>
                <w:color w:val="FFFFFF"/>
              </w:rPr>
              <w:t xml:space="preserve">Score</w:t>
            </w:r>
          </w:p>
        </w:tc>
        <w:tc>
          <w:tcPr>
            <w:tcW w:w="1763" w:type="dxa"/>
            <w:shd w:val="clear" w:color="auto" w:fill="0F4761"/>
            <w:vAlign w:val="center"/>
          </w:tcPr>
          <w:p>
            <w:pPr>
              <w:pStyle w:val="TableHeading"/>
              <w:jc w:val="left"/>
            </w:pPr>
            <w:r>
              <w:rPr>
                <w:color w:val="FFFFFF"/>
              </w:rPr>
              <w:t xml:space="preserve">Rating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R-01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R-02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15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High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R-03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R-04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R-05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9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R-06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R-07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R-08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9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R-09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9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R-10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R-11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9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R-12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12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R-13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10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R-14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10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R-15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9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R-16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10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R-17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8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R-18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8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R-19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6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Low</w:t>
            </w:r>
          </w:p>
        </w:tc>
      </w:tr>
      <w:tr>
        <w:trPr>
          <w:cantSplit/>
        </w:trPr>
        <w:tc>
          <w:tcPr>
            <w:tcW w:w="1307" w:type="dxa"/>
            <w:shd w:val="clear" w:color="auto" w:fill="F4F7FB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R-20</w:t>
            </w:r>
          </w:p>
        </w:tc>
        <w:tc>
          <w:tcPr>
            <w:tcW w:w="2650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1543" w:type="dxa"/>
            <w:shd w:val="clear" w:color="auto" w:fill="F4F7FB"/>
            <w:vAlign w:val="top"/>
          </w:tcPr>
          <w:p>
            <w:pPr>
              <w:pStyle w:val="TableText"/>
              <w:jc w:val="right"/>
            </w:pPr>
            <w:r>
              <w:t xml:space="preserve">6</w:t>
            </w:r>
          </w:p>
        </w:tc>
        <w:tc>
          <w:tcPr>
            <w:tcW w:w="1763" w:type="dxa"/>
            <w:shd w:val="clear" w:color="auto" w:fill="F4F7FB"/>
            <w:vAlign w:val="top"/>
          </w:tcPr>
          <w:p>
            <w:pPr>
              <w:pStyle w:val="TableText"/>
              <w:jc w:val="left"/>
            </w:pPr>
            <w:r>
              <w:t xml:space="preserve">Low</w:t>
            </w:r>
          </w:p>
        </w:tc>
      </w:tr>
      <w:tr>
        <w:trPr>
          <w:cantSplit/>
        </w:trPr>
        <w:tc>
          <w:tcPr>
            <w:tcW w:w="1307" w:type="dxa"/>
            <w:noWrap/>
            <w:vAlign w:val="top"/>
          </w:tcPr>
          <w:p>
            <w:pPr>
              <w:pStyle w:val="TableText"/>
              <w:jc w:val="left"/>
            </w:pPr>
            <w:r>
              <w:t xml:space="preserve">R-21</w:t>
            </w:r>
          </w:p>
        </w:tc>
        <w:tc>
          <w:tcPr>
            <w:tcW w:w="2650" w:type="dxa"/>
            <w:vAlign w:val="top"/>
          </w:tcPr>
          <w:p>
            <w:pPr>
              <w:pStyle w:val="TableText"/>
              <w:jc w:val="right"/>
            </w:pPr>
            <w:r>
              <w:t xml:space="preserve">2</w:t>
            </w:r>
          </w:p>
        </w:tc>
        <w:tc>
          <w:tcPr>
            <w:tcW w:w="1764" w:type="dxa"/>
            <w:vAlign w:val="top"/>
          </w:tcPr>
          <w:p>
            <w:pPr>
              <w:pStyle w:val="TableText"/>
              <w:jc w:val="right"/>
            </w:pPr>
            <w:r>
              <w:t xml:space="preserve">4</w:t>
            </w:r>
          </w:p>
        </w:tc>
        <w:tc>
          <w:tcPr>
            <w:tcW w:w="1543" w:type="dxa"/>
            <w:vAlign w:val="top"/>
          </w:tcPr>
          <w:p>
            <w:pPr>
              <w:pStyle w:val="TableText"/>
              <w:jc w:val="right"/>
            </w:pPr>
            <w:r>
              <w:t xml:space="preserve">8</w:t>
            </w:r>
          </w:p>
        </w:tc>
        <w:tc>
          <w:tcPr>
            <w:tcW w:w="1763" w:type="dxa"/>
            <w:vAlign w:val="top"/>
          </w:tcPr>
          <w:p>
            <w:pPr>
              <w:pStyle w:val="TableText"/>
              <w:jc w:val="left"/>
            </w:pPr>
            <w:r>
              <w:t xml:space="preserve">Medium</w:t>
            </w:r>
          </w:p>
        </w:tc>
      </w:tr>
    </w:tbl>
    <w:p w14:paraId="12E0A58E" w14:textId="77777777" w:rsidR="002B183A" w:rsidRPr="00465CAB" w:rsidRDefault="002B183A" w:rsidP="002B183A">
      <w:pPr>
        <w:pStyle w:val="Heading1"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1" w:name="_Toc300000007"/>
      <w:r>
        <w:rPr>
          <w:rStyle w:val="BookTitle"/>
          <w:bCs w:val="0"/>
          <w:i w:val="0"/>
          <w:iCs w:val="0"/>
          <w:spacing w:val="0"/>
        </w:rPr>
        <w:t xml:space="preserve">Review</w:t>
      </w:r>
      <w:bookmarkEnd w:id="11"/>
    </w:p>
    <w:p>
      <w:pPr>
        <w:pStyle w:val="FirstParagraph"/>
      </w:pPr>
      <w:r>
        <w:t xml:space="preserve">The engagement manager and the TASCO product owner review the register every two weeks before the product council. High risks go to the next steering committee. Anyone may raise a risk; the engagement manager assigns an owner and a score within two business days. A risk is closed when its owner and the engagement manager agree that the cause has gone, or when the accountable party in TGP-DEL-03 RACI Matrix accepts the remaining risk.</w:t>
      </w:r>
    </w:p>
    <w:p w14:paraId="12E0A58E" w14:textId="77777777" w:rsidR="002B183A" w:rsidRPr="00465CAB" w:rsidRDefault="002B183A" w:rsidP="002B183A">
      <w:pPr>
        <w:pStyle w:val="Heading1"/>
        <w:pageBreakBefore/>
        <w:numPr>
          <w:ilvl w:val="0"/>
          <w:numId w:val="1"/>
        </w:numPr>
        <w:tabs>
          <w:tab w:val="num" w:pos="600"/>
        </w:tabs>
        <w:spacing w:before="360" w:after="160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2" w:name="_Toc300000008"/>
      <w:r>
        <w:rPr>
          <w:rStyle w:val="BookTitle"/>
          <w:bCs w:val="0"/>
          <w:i w:val="0"/>
          <w:iCs w:val="0"/>
          <w:spacing w:val="0"/>
        </w:rPr>
        <w:t xml:space="preserve">Sign-Off</w:t>
      </w:r>
      <w:bookmarkEnd w:id="12"/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972"/>
        <w:gridCol w:w="4986"/>
        <w:gridCol w:w="2097"/>
        <w:gridCol w:w="972"/>
      </w:tblGrid>
      <w:tr w:rsidR="002B183A" w14:paraId="0ABAE4AD" w14:textId="77777777" w:rsidTr="002923F3">
        <w:trPr>
          <w:cantSplit/>
          <w:trHeight w:val="440"/>
          <w:tblHeader/>
        </w:trPr>
        <w:tc>
          <w:tcPr>
            <w:tcW w:w="972" w:type="dxa"/>
            <w:shd w:val="clear" w:color="auto" w:fill="0F4761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4986" w:type="dxa"/>
            <w:shd w:val="clear" w:color="auto" w:fill="0F4761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Description</w:t>
            </w:r>
          </w:p>
        </w:tc>
        <w:tc>
          <w:tcPr>
            <w:tcW w:w="2097" w:type="dxa"/>
            <w:shd w:val="clear" w:color="auto" w:fill="0F4761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Owner</w:t>
            </w:r>
          </w:p>
        </w:tc>
        <w:tc>
          <w:tcPr>
            <w:tcW w:w="972" w:type="dxa"/>
            <w:shd w:val="clear" w:color="auto" w:fill="0F4761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1</w:t>
            </w:r>
          </w:p>
        </w:tc>
        <w:tc>
          <w:tcPr>
            <w:tcW w:w="4986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Risk owners named for each TASCO and VETC party at mobilisation</w:t>
            </w:r>
          </w:p>
        </w:tc>
        <w:tc>
          <w:tcPr>
            <w:tcW w:w="2097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Product Owner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2</w:t>
            </w:r>
          </w:p>
        </w:tc>
        <w:tc>
          <w:tcPr>
            <w:tcW w:w="4986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Data-sharing basis for VETC data (R-02), to be confirmed by TASCO legal</w:t>
            </w:r>
          </w:p>
        </w:tc>
        <w:tc>
          <w:tcPr>
            <w:tcW w:w="2097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Compliance and Legal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  <w:tr w:rsidR="002B183A" w:rsidRPr="00BB346A" w14:paraId="4AA02A28" w14:textId="77777777" w:rsidTr="002923F3">
        <w:trPr>
          <w:cantSplit/>
          <w:trHeight w:val="449"/>
        </w:trPr>
        <w:tc>
          <w:tcPr>
            <w:tcW w:w="972" w:type="dxa"/>
            <w:vAlign w:val="top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3</w:t>
            </w:r>
          </w:p>
        </w:tc>
        <w:tc>
          <w:tcPr>
            <w:tcW w:w="4986" w:type="dxa"/>
            <w:vAlign w:val="top"/>
          </w:tcPr>
          <w:p w14:paraId="38D2703A" w14:textId="77777777" w:rsidR="002B183A" w:rsidRPr="009876A6" w:rsidRDefault="002B183A" w:rsidP="002923F3">
            <w:pPr>
              <w:spacing w:before="60"/>
              <w:jc w:val="left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Regulatory positions on consent wording and loyalty benefits (R-04), to be confirmed by TASCO legal</w:t>
            </w:r>
          </w:p>
        </w:tc>
        <w:tc>
          <w:tcPr>
            <w:tcW w:w="2097" w:type="dxa"/>
            <w:vAlign w:val="top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Compliance and Legal</w:t>
            </w:r>
          </w:p>
        </w:tc>
        <w:tc>
          <w:tcPr>
            <w:tcW w:w="972" w:type="dxa"/>
            <w:vAlign w:val="top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Open</w:t>
            </w: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Ind w:w="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5" w:type="dxa"/>
          <w:left w:w="85" w:type="dxa"/>
          <w:bottom w:w="45" w:type="dxa"/>
          <w:right w:w="85" w:type="dxa"/>
        </w:tblCellMar>
        <w:tblLook w:val="04A0" w:firstRow="1" w:lastRow="0" w:firstColumn="0" w:lastColumn="0" w:noHBand="0" w:noVBand="1"/>
      </w:tblPr>
      <w:tblGrid>
        <w:gridCol w:w="1062"/>
        <w:gridCol w:w="1671"/>
        <w:gridCol w:w="2619"/>
        <w:gridCol w:w="3675"/>
      </w:tblGrid>
      <w:tr w:rsidR="002B183A" w14:paraId="731A77C7" w14:textId="77777777" w:rsidTr="002923F3">
        <w:trPr>
          <w:cantSplit/>
          <w:trHeight w:val="440"/>
          <w:tblHeader/>
        </w:trPr>
        <w:tc>
          <w:tcPr>
            <w:tcW w:w="1062" w:type="dxa"/>
            <w:shd w:val="clear" w:color="auto" w:fill="0F4761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671" w:type="dxa"/>
            <w:shd w:val="clear" w:color="auto" w:fill="0F4761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Signature</w:t>
            </w:r>
          </w:p>
        </w:tc>
        <w:tc>
          <w:tcPr>
            <w:tcW w:w="2619" w:type="dxa"/>
            <w:shd w:val="clear" w:color="auto" w:fill="0F4761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Approved By</w:t>
            </w:r>
          </w:p>
        </w:tc>
        <w:tc>
          <w:tcPr>
            <w:tcW w:w="3675" w:type="dxa"/>
            <w:shd w:val="clear" w:color="auto" w:fill="0F4761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FFFFFF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62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671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61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675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Programme Sponsor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62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671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61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TASCO Insurance</w:t>
            </w:r>
          </w:p>
        </w:tc>
        <w:tc>
          <w:tcPr>
            <w:tcW w:w="3675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Programme Management</w:t>
            </w:r>
          </w:p>
        </w:tc>
      </w:tr>
      <w:tr w:rsidR="002B183A" w:rsidRPr="00BB346A" w14:paraId="2AD1806B" w14:textId="77777777" w:rsidTr="002923F3">
        <w:trPr>
          <w:cantSplit/>
          <w:trHeight w:val="760"/>
        </w:trPr>
        <w:tc>
          <w:tcPr>
            <w:tcW w:w="1062" w:type="dxa"/>
            <w:vAlign w:val="top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1671" w:type="dxa"/>
            <w:vAlign w:val="top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/>
            </w:r>
          </w:p>
        </w:tc>
        <w:tc>
          <w:tcPr>
            <w:tcW w:w="2619" w:type="dxa"/>
            <w:vAlign w:val="top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iorta TechNXT</w:t>
            </w:r>
          </w:p>
        </w:tc>
        <w:tc>
          <w:tcPr>
            <w:tcW w:w="3675" w:type="dxa"/>
            <w:vAlign w:val="top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color w:val="101820"/>
                <w:sz w:val="16"/>
                <w:szCs w:val="16"/>
              </w:rPr>
              <w:t xml:space="preserve">Delivery Management</w:t>
            </w:r>
          </w:p>
        </w:tc>
      </w:tr>
    </w:tbl>
    <w:p w14:paraId="1146A836" w14:textId="10B273DD" w:rsidR="00EE516B" w:rsidRDefault="002B183A">
      <w:r w:rsidRPr="00FE19FE"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pStyle w:val="Heading2"/>
      <w:lvlText w:val="%1.%2."/>
      <w:lvlJc w:val="left"/>
      <w:pPr>
        <w:ind w:left="720" w:hanging="720"/>
      </w:pPr>
      <w:rPr>
        <w:rFonts w:ascii="Segoe UI" w:hAnsi="Segoe UI" w:hint="default"/>
        <w:b/>
        <w:i w:val="0"/>
        <w:color w:val="0F4761"/>
        <w:sz w:val="26"/>
        <w:szCs w:val="26"/>
      </w:rPr>
    </w:lvl>
    <w:lvl w:ilvl="2">
      <w:start w:val="1"/>
      <w:numFmt w:val="decimal"/>
      <w:pStyle w:val="Heading3"/>
      <w:lvlText w:val="%1.%2.%3."/>
      <w:lvlJc w:val="left"/>
      <w:pPr>
        <w:ind w:left="864" w:hanging="864"/>
      </w:pPr>
      <w:rPr>
        <w:rFonts w:ascii="Segoe UI" w:hAnsi="Segoe UI" w:hint="default"/>
        <w:b/>
        <w:i w:val="0"/>
        <w:color w:val="0F4761"/>
        <w:sz w:val="23"/>
        <w:szCs w:val="23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•"/>
      <w:lvlJc w:val="left"/>
      <w:pPr>
        <w:ind w:left="360" w:hanging="284"/>
      </w:pPr>
      <w:rPr>
        <w:rFonts w:ascii="Segoe UI" w:hAnsi="Segoe UI" w:eastAsia="Segoe UI" w:cs="Segoe UI"/>
        <w:color w:val="1D74BA"/>
      </w:rPr>
    </w:lvl>
    <w:lvl w:ilvl="1">
      <w:numFmt w:val="bullet"/>
      <w:lvlText w:val="–"/>
      <w:lvlJc w:val="left"/>
      <w:pPr>
        <w:ind w:left="720" w:hanging="284"/>
      </w:pPr>
      <w:rPr>
        <w:rFonts w:ascii="Segoe UI" w:hAnsi="Segoe UI" w:eastAsia="Segoe UI" w:cs="Segoe UI"/>
        <w:color w:val="1D74BA"/>
      </w:rPr>
    </w:lvl>
    <w:lvl w:ilvl="2">
      <w:numFmt w:val="bullet"/>
      <w:lvlText w:val="◦"/>
      <w:lvlJc w:val="left"/>
      <w:pPr>
        <w:ind w:left="1080" w:hanging="284"/>
      </w:pPr>
      <w:rPr>
        <w:rFonts w:ascii="Segoe UI" w:hAnsi="Segoe UI" w:eastAsia="Segoe UI" w:cs="Segoe UI"/>
        <w:color w:val="1D74BA"/>
      </w:rPr>
    </w:lvl>
    <w:lvl w:ilvl="3">
      <w:numFmt w:val="bullet"/>
      <w:lvlText w:val="•"/>
      <w:lvlJc w:val="left"/>
      <w:pPr>
        <w:ind w:left="1440" w:hanging="284"/>
      </w:pPr>
      <w:rPr>
        <w:rFonts w:ascii="Segoe UI" w:hAnsi="Segoe UI" w:eastAsia="Segoe UI" w:cs="Segoe UI"/>
        <w:color w:val="1D74BA"/>
      </w:rPr>
    </w:lvl>
    <w:lvl w:ilvl="4">
      <w:numFmt w:val="bullet"/>
      <w:lvlText w:val="–"/>
      <w:lvlJc w:val="left"/>
      <w:pPr>
        <w:ind w:left="1800" w:hanging="284"/>
      </w:pPr>
      <w:rPr>
        <w:rFonts w:ascii="Segoe UI" w:hAnsi="Segoe UI" w:eastAsia="Segoe UI" w:cs="Segoe UI"/>
        <w:color w:val="1D74BA"/>
      </w:rPr>
    </w:lvl>
    <w:lvl w:ilvl="5">
      <w:numFmt w:val="bullet"/>
      <w:lvlText w:val="◦"/>
      <w:lvlJc w:val="left"/>
      <w:pPr>
        <w:ind w:left="2160" w:hanging="284"/>
      </w:pPr>
      <w:rPr>
        <w:rFonts w:ascii="Segoe UI" w:hAnsi="Segoe UI" w:eastAsia="Segoe UI" w:cs="Segoe UI"/>
        <w:color w:val="1D74BA"/>
      </w:rPr>
    </w:lvl>
    <w:lvl w:ilvl="6">
      <w:numFmt w:val="bullet"/>
      <w:lvlText w:val="•"/>
      <w:lvlJc w:val="left"/>
      <w:pPr>
        <w:ind w:left="2520" w:hanging="284"/>
      </w:pPr>
      <w:rPr>
        <w:rFonts w:ascii="Segoe UI" w:hAnsi="Segoe UI" w:eastAsia="Segoe UI" w:cs="Segoe UI"/>
        <w:color w:val="1D74BA"/>
      </w:rPr>
    </w:lvl>
    <w:lvl w:ilvl="7">
      <w:numFmt w:val="bullet"/>
      <w:lvlText w:val="–"/>
      <w:lvlJc w:val="left"/>
      <w:pPr>
        <w:ind w:left="2880" w:hanging="284"/>
      </w:pPr>
      <w:rPr>
        <w:rFonts w:ascii="Segoe UI" w:hAnsi="Segoe UI" w:eastAsia="Segoe UI" w:cs="Segoe UI"/>
        <w:color w:val="1D74BA"/>
      </w:rPr>
    </w:lvl>
    <w:lvl w:ilvl="8">
      <w:numFmt w:val="bullet"/>
      <w:lvlText w:val="◦"/>
      <w:lvlJc w:val="left"/>
      <w:pPr>
        <w:ind w:left="3240" w:hanging="284"/>
      </w:pPr>
      <w:rPr>
        <w:rFonts w:ascii="Segoe UI" w:hAnsi="Segoe UI" w:eastAsia="Segoe UI" w:cs="Segoe UI"/>
        <w:color w:val="1D74BA"/>
      </w:rPr>
    </w:lvl>
  </w:abstractNum>
  <w:num w:numId="1" w16cid:durableId="1413504409">
    <w:abstractNumId w:val="0"/>
  </w:num>
  <w:num w:numId="2" w16cid:durableId="1722510407">
    <w:abstractNumId w:val="1"/>
  </w:num>
  <w:num w:numId="1000">
    <w:abstractNumId w:val="9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styleId="BodyText">
    <w:name w:val="Body Text"/>
    <w:basedOn w:val="Normal"/>
    <w:qFormat/>
    <w:pPr>
      <w:spacing w:before="0" w:after="140" w:line="276" w:lineRule="auto"/>
      <w:jc w:val="both"/>
    </w:pPr>
    <w:rPr>
      <w:rFonts w:ascii="Segoe UI" w:hAnsi="Segoe UI" w:eastAsia="Segoe UI" w:cs="Segoe UI"/>
      <w:color w:val="101820"/>
      <w:sz w:val="22"/>
      <w:szCs w:val="22"/>
    </w:rPr>
  </w:style>
  <w:style w:type="paragraph" w:customStyle="1" w:styleId="FirstParagraph">
    <w:name w:val="First Paragraph"/>
    <w:basedOn w:val="BodyText"/>
    <w:qFormat/>
  </w:style>
  <w:style w:type="paragraph" w:customStyle="1" w:styleId="Compact">
    <w:name w:val="Compact"/>
    <w:basedOn w:val="BodyText"/>
    <w:qFormat/>
    <w:pPr>
      <w:spacing w:before="0" w:after="60"/>
      <w:jc w:val="left"/>
    </w:pPr>
  </w:style>
  <w:style w:type="paragraph" w:customStyle="1" w:styleId="TableText">
    <w:name w:val="Table Text"/>
    <w:basedOn w:val="Normal"/>
    <w:qFormat/>
    <w:pPr>
      <w:spacing w:before="20" w:after="20" w:line="245" w:lineRule="auto"/>
      <w:jc w:val="left"/>
    </w:pPr>
    <w:rPr>
      <w:rFonts w:ascii="Segoe UI" w:hAnsi="Segoe UI" w:eastAsia="Segoe UI" w:cs="Segoe UI"/>
      <w:color w:val="101820"/>
      <w:sz w:val="19"/>
      <w:szCs w:val="19"/>
    </w:rPr>
  </w:style>
  <w:style w:type="paragraph" w:customStyle="1" w:styleId="TableHeading">
    <w:name w:val="Table Heading"/>
    <w:basedOn w:val="TableText"/>
    <w:qFormat/>
    <w:pPr>
      <w:keepNext/>
    </w:pPr>
    <w:rPr>
      <w:b/>
      <w:bCs/>
      <w:color w:val="FFFFFF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numPr>
        <w:ilvl w:val="1"/>
        <w:numId w:val="1"/>
      </w:numPr>
      <w:spacing w:before="280" w:after="100" w:line="259" w:lineRule="auto"/>
      <w:ind w:left="720" w:hanging="720"/>
      <w:outlineLvl w:val="1"/>
    </w:pPr>
    <w:rPr>
      <w:rFonts w:asciiTheme="majorHAnsi" w:eastAsiaTheme="majorEastAsia" w:hAnsiTheme="majorHAnsi" w:cstheme="majorBidi"/>
      <w:b/>
      <w:bCs/>
      <w:color w:val="0F4761"/>
      <w:sz w:val="26"/>
      <w:szCs w:val="2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numPr>
        <w:ilvl w:val="2"/>
        <w:numId w:val="1"/>
      </w:numPr>
      <w:spacing w:before="220" w:after="80" w:line="259" w:lineRule="auto"/>
      <w:ind w:left="864" w:hanging="864"/>
      <w:outlineLvl w:val="2"/>
    </w:pPr>
    <w:rPr>
      <w:rFonts w:asciiTheme="majorHAnsi" w:eastAsiaTheme="majorEastAsia" w:hAnsiTheme="majorHAnsi" w:cstheme="majorBidi"/>
      <w:b/>
      <w:bCs/>
      <w:color w:val="0F4761"/>
      <w:sz w:val="23"/>
      <w:szCs w:val="23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80" w:after="60" w:line="259" w:lineRule="auto"/>
      <w:outlineLvl w:val="3"/>
    </w:pPr>
    <w:rPr>
      <w:rFonts w:ascii="Segoe UI" w:hAnsi="Segoe UI" w:eastAsia="Segoe UI" w:cs="Segoe UI"/>
      <w:b/>
      <w:bCs/>
      <w:color w:val="0F4761"/>
      <w:sz w:val="22"/>
      <w:szCs w:val="22"/>
    </w:rPr>
  </w:style>
  <w:style w:type="paragraph" w:styleId="Caption">
    <w:name w:val="caption"/>
    <w:basedOn w:val="Normal"/>
    <w:next w:val="BodyText"/>
    <w:qFormat/>
    <w:pPr>
      <w:spacing w:before="60" w:after="240" w:line="240" w:lineRule="auto"/>
      <w:jc w:val="center"/>
    </w:pPr>
    <w:rPr>
      <w:rFonts w:ascii="Segoe UI" w:hAnsi="Segoe UI" w:eastAsia="Segoe UI" w:cs="Segoe UI"/>
      <w:i/>
      <w:iCs/>
      <w:color w:val="0F4761"/>
      <w:sz w:val="18"/>
      <w:szCs w:val="18"/>
    </w:rPr>
  </w:style>
  <w:style w:type="paragraph" w:customStyle="1" w:styleId="TableCaption">
    <w:name w:val="Table Caption"/>
    <w:basedOn w:val="Caption"/>
    <w:qFormat/>
    <w:pPr>
      <w:keepNext/>
      <w:spacing w:before="160" w:after="80"/>
      <w:jc w:val="left"/>
    </w:pPr>
  </w:style>
  <w:style w:type="paragraph" w:customStyle="1" w:styleId="Figure">
    <w:name w:val="Figure"/>
    <w:basedOn w:val="Normal"/>
    <w:next w:val="Caption"/>
    <w:qFormat/>
    <w:pPr>
      <w:keepNext/>
      <w:spacing w:before="160" w:after="40" w:line="240" w:lineRule="auto"/>
      <w:jc w:val="center"/>
    </w:pPr>
  </w:style>
  <w:style w:type="paragraph" w:customStyle="1" w:styleId="FigureWide">
    <w:name w:val="Figure Wide"/>
    <w:basedOn w:val="Figure"/>
    <w:next w:val="Caption"/>
    <w:qFormat/>
  </w:style>
  <w:style w:type="paragraph" w:customStyle="1" w:styleId="CodeBlock">
    <w:name w:val="Code Block"/>
    <w:basedOn w:val="Normal"/>
    <w:next w:val="BodyText"/>
    <w:qFormat/>
    <w:pPr>
      <w:pBdr>
        <w:top w:val="single" w:sz="4" w:space="4" w:color="D3DCE6"/>
        <w:left w:val="single" w:sz="4" w:space="4" w:color="D3DCE6"/>
        <w:bottom w:val="single" w:sz="4" w:space="4" w:color="D3DCE6"/>
        <w:right w:val="single" w:sz="4" w:space="4" w:color="D3DCE6"/>
      </w:pBdr>
      <w:shd w:val="clear" w:color="auto" w:fill="F3F6FA"/>
      <w:spacing w:before="80" w:after="200" w:line="240" w:lineRule="auto"/>
      <w:ind w:left="113" w:right="113"/>
      <w:jc w:val="left"/>
    </w:pPr>
    <w:rPr>
      <w:rFonts w:ascii="Consolas" w:hAnsi="Consolas" w:eastAsia="Consolas" w:cs="Consolas"/>
      <w:color w:val="1F2937"/>
      <w:sz w:val="18"/>
      <w:szCs w:val="18"/>
    </w:rPr>
  </w:style>
  <w:style w:type="character" w:customStyle="1" w:styleId="CodeChar">
    <w:name w:val="Code Char"/>
    <w:basedOn w:val="DefaultParagraphFont"/>
    <w:qFormat/>
    <w:rPr>
      <w:rFonts w:ascii="Consolas" w:hAnsi="Consolas" w:eastAsia="Consolas" w:cs="Consolas"/>
      <w:color w:val="1F3864"/>
      <w:sz w:val="19"/>
      <w:szCs w:val="19"/>
    </w:rPr>
  </w:style>
  <w:style w:type="paragraph" w:customStyle="1" w:styleId="Callout">
    <w:name w:val="Callout"/>
    <w:basedOn w:val="Normal"/>
    <w:next w:val="BodyText"/>
    <w:qFormat/>
    <w:pPr>
      <w:pBdr>
        <w:left w:val="single" w:sz="24" w:space="8" w:color="1D74BA"/>
      </w:pBdr>
      <w:shd w:val="clear" w:color="auto" w:fill="E8F1FA"/>
      <w:spacing w:before="60" w:after="60" w:line="264" w:lineRule="auto"/>
      <w:ind w:left="227" w:right="113"/>
      <w:jc w:val="left"/>
    </w:pPr>
    <w:rPr>
      <w:rFonts w:ascii="Segoe UI" w:hAnsi="Segoe UI" w:eastAsia="Segoe UI" w:cs="Segoe UI"/>
      <w:color w:val="101820"/>
      <w:sz w:val="21"/>
      <w:szCs w:val="21"/>
    </w:rPr>
  </w:style>
  <w:style w:type="paragraph" w:styleId="TOC2">
    <w:name w:val="toc 2"/>
    <w:basedOn w:val="Normal"/>
    <w:next w:val="Normal"/>
    <w:uiPriority w:val="39"/>
    <w:unhideWhenUsed/>
    <w:pPr>
      <w:tabs>
        <w:tab w:val="left" w:pos="1260"/>
        <w:tab w:val="right" w:leader="dot" w:pos="9350"/>
      </w:tabs>
      <w:spacing w:after="60" w:line="264" w:lineRule="auto"/>
      <w:ind w:left="360"/>
    </w:pPr>
    <w:rPr>
      <w:rFonts w:ascii="Segoe UI" w:hAnsi="Segoe UI" w:eastAsia="Segoe UI" w:cs="Segoe UI"/>
      <w:noProof/>
      <w:color w:val="101820"/>
      <w:sz w:val="19"/>
      <w:szCs w:val="19"/>
    </w:rPr>
  </w:style>
  <w:style w:type="paragraph" w:styleId="TOC3">
    <w:name w:val="toc 3"/>
    <w:basedOn w:val="Normal"/>
    <w:next w:val="Normal"/>
    <w:uiPriority w:val="39"/>
    <w:unhideWhenUsed/>
    <w:pPr>
      <w:tabs>
        <w:tab w:val="left" w:pos="1700"/>
        <w:tab w:val="right" w:leader="dot" w:pos="9350"/>
      </w:tabs>
      <w:spacing w:after="40" w:line="264" w:lineRule="auto"/>
      <w:ind w:left="720"/>
    </w:pPr>
    <w:rPr>
      <w:rFonts w:ascii="Segoe UI" w:hAnsi="Segoe UI" w:eastAsia="Segoe UI" w:cs="Segoe UI"/>
      <w:noProof/>
      <w:color w:val="404A55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16" Type="http://schemas.openxmlformats.org/officeDocument/2006/relationships/footer" Target="footer2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ScaleCrop>false</ScaleCrop>
  <Company>iorta TechNXT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Register</dc:title>
  <dc:subject>TGP-DEL-04</dc:subject>
  <dc:creator>iorta TechNXT</dc:creator>
  <cp:keywords>TGP-DEL-04; TASCO Insurance; iorta TechNXT</cp:keywords>
  <dc:description>TASCO Motor Insurance Growth Platform</dc:description>
  <cp:lastModifiedBy>iorta TechNXT</cp:lastModifiedBy>
  <cp:revision>1</cp:revision>
  <dcterms:created xsi:type="dcterms:W3CDTF">2026-10-08T03:54:52Z</dcterms:created>
  <dcterms:modified xsi:type="dcterms:W3CDTF">2026-10-08T03:54:52Z</dcterms:modified>
</cp:coreProperties>
</file>