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TGP-DEL-05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Knowledge Transfer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08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1"/>
      </w:pPr>
      <w:hyperlink w:anchor="_Toc300000004" w:history="1">
        <w:r>
          <w:rPr>
            <w:noProof/>
          </w:rPr>
          <w:t>4.</w:t>
        </w:r>
        <w:r>
          <w:rPr>
            <w:noProof/>
          </w:rPr>
          <w:tab/>
        </w:r>
        <w:r>
          <w:rPr>
            <w:noProof/>
          </w:rPr>
          <w:t xml:space="preserve">Approach</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2"/>
      </w:pPr>
      <w:hyperlink w:anchor="_Toc300000005" w:history="1">
        <w:r>
          <w:rPr>
            <w:noProof/>
          </w:rPr>
          <w:t>4.1.</w:t>
        </w:r>
        <w:r>
          <w:rPr>
            <w:noProof/>
          </w:rPr>
          <w:tab/>
        </w:r>
        <w:r>
          <w:rPr>
            <w:noProof/>
          </w:rPr>
          <w:t xml:space="preserve">MVP handover</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2"/>
      </w:pPr>
      <w:hyperlink w:anchor="_Toc300000006" w:history="1">
        <w:r>
          <w:rPr>
            <w:noProof/>
          </w:rPr>
          <w:t>4.2.</w:t>
        </w:r>
        <w:r>
          <w:rPr>
            <w:noProof/>
          </w:rPr>
          <w:tab/>
        </w:r>
        <w:r>
          <w:rPr>
            <w:noProof/>
          </w:rPr>
          <w:t xml:space="preserve">Full transition (optional)</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1"/>
      </w:pPr>
      <w:hyperlink w:anchor="_Toc300000007" w:history="1">
        <w:r>
          <w:rPr>
            <w:noProof/>
          </w:rPr>
          <w:t>5.</w:t>
        </w:r>
        <w:r>
          <w:rPr>
            <w:noProof/>
          </w:rPr>
          <w:tab/>
        </w:r>
        <w:r>
          <w:rPr>
            <w:noProof/>
          </w:rPr>
          <w:t xml:space="preserve">Audiences</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1"/>
      </w:pPr>
      <w:hyperlink w:anchor="_Toc300000008" w:history="1">
        <w:r>
          <w:rPr>
            <w:noProof/>
          </w:rPr>
          <w:t>6.</w:t>
        </w:r>
        <w:r>
          <w:rPr>
            <w:noProof/>
          </w:rPr>
          <w:tab/>
        </w:r>
        <w:r>
          <w:rPr>
            <w:noProof/>
          </w:rPr>
          <w:t xml:space="preserve">Curriculum</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6</w:t>
        </w:r>
        <w:r>
          <w:rPr>
            <w:noProof/>
            <w:webHidden/>
          </w:rPr>
          <w:fldChar w:fldCharType="end"/>
        </w:r>
      </w:hyperlink>
    </w:p>
    <w:p>
      <w:pPr>
        <w:pStyle w:val="TOC2"/>
      </w:pPr>
      <w:hyperlink w:anchor="_Toc300000009" w:history="1">
        <w:r>
          <w:rPr>
            <w:noProof/>
          </w:rPr>
          <w:t>6.1.</w:t>
        </w:r>
        <w:r>
          <w:rPr>
            <w:noProof/>
          </w:rPr>
          <w:tab/>
        </w:r>
        <w:r>
          <w:rPr>
            <w:noProof/>
          </w:rPr>
          <w:t xml:space="preserve">Architecture foundations (all technical roles, one day)</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6</w:t>
        </w:r>
        <w:r>
          <w:rPr>
            <w:noProof/>
            <w:webHidden/>
          </w:rPr>
          <w:fldChar w:fldCharType="end"/>
        </w:r>
      </w:hyperlink>
    </w:p>
    <w:p>
      <w:pPr>
        <w:pStyle w:val="TOC2"/>
      </w:pPr>
      <w:hyperlink w:anchor="_Toc300000010" w:history="1">
        <w:r>
          <w:rPr>
            <w:noProof/>
          </w:rPr>
          <w:t>6.2.</w:t>
        </w:r>
        <w:r>
          <w:rPr>
            <w:noProof/>
          </w:rPr>
          <w:tab/>
        </w:r>
        <w:r>
          <w:rPr>
            <w:noProof/>
          </w:rPr>
          <w:t xml:space="preserve">TASCO core integration (engineers and operations, half a day)</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w:t>
        </w:r>
        <w:r>
          <w:rPr>
            <w:noProof/>
            <w:webHidden/>
          </w:rPr>
          <w:fldChar w:fldCharType="end"/>
        </w:r>
      </w:hyperlink>
    </w:p>
    <w:p>
      <w:pPr>
        <w:pStyle w:val="TOC2"/>
      </w:pPr>
      <w:hyperlink w:anchor="_Toc300000011" w:history="1">
        <w:r>
          <w:rPr>
            <w:noProof/>
          </w:rPr>
          <w:t>6.3.</w:t>
        </w:r>
        <w:r>
          <w:rPr>
            <w:noProof/>
          </w:rPr>
          <w:tab/>
        </w:r>
        <w:r>
          <w:rPr>
            <w:noProof/>
          </w:rPr>
          <w:t xml:space="preserve">Domain walkthrough (engineers and business configurators, one day)</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7</w:t>
        </w:r>
        <w:r>
          <w:rPr>
            <w:noProof/>
            <w:webHidden/>
          </w:rPr>
          <w:fldChar w:fldCharType="end"/>
        </w:r>
      </w:hyperlink>
    </w:p>
    <w:p>
      <w:pPr>
        <w:pStyle w:val="TOC2"/>
      </w:pPr>
      <w:hyperlink w:anchor="_Toc300000012" w:history="1">
        <w:r>
          <w:rPr>
            <w:noProof/>
          </w:rPr>
          <w:t>6.4.</w:t>
        </w:r>
        <w:r>
          <w:rPr>
            <w:noProof/>
          </w:rPr>
          <w:tab/>
        </w:r>
        <w:r>
          <w:rPr>
            <w:noProof/>
          </w:rPr>
          <w:t xml:space="preserve">Rules engine (engineers, configurators and approvers, one day)</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8</w:t>
        </w:r>
        <w:r>
          <w:rPr>
            <w:noProof/>
            <w:webHidden/>
          </w:rPr>
          <w:fldChar w:fldCharType="end"/>
        </w:r>
      </w:hyperlink>
    </w:p>
    <w:p>
      <w:pPr>
        <w:pStyle w:val="TOC2"/>
      </w:pPr>
      <w:hyperlink w:anchor="_Toc300000013" w:history="1">
        <w:r>
          <w:rPr>
            <w:noProof/>
          </w:rPr>
          <w:t>6.5.</w:t>
        </w:r>
        <w:r>
          <w:rPr>
            <w:noProof/>
          </w:rPr>
          <w:tab/>
        </w:r>
        <w:r>
          <w:rPr>
            <w:noProof/>
          </w:rPr>
          <w:t xml:space="preserve">Common changes (configurators and engineers, one day)</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8</w:t>
        </w:r>
        <w:r>
          <w:rPr>
            <w:noProof/>
            <w:webHidden/>
          </w:rPr>
          <w:fldChar w:fldCharType="end"/>
        </w:r>
      </w:hyperlink>
    </w:p>
    <w:p>
      <w:pPr>
        <w:pStyle w:val="TOC2"/>
      </w:pPr>
      <w:hyperlink w:anchor="_Toc300000014" w:history="1">
        <w:r>
          <w:rPr>
            <w:noProof/>
          </w:rPr>
          <w:t>6.6.</w:t>
        </w:r>
        <w:r>
          <w:rPr>
            <w:noProof/>
          </w:rPr>
          <w:tab/>
        </w:r>
        <w:r>
          <w:rPr>
            <w:noProof/>
          </w:rPr>
          <w:t xml:space="preserve">Operations (operations and support, two days including drills)</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8</w:t>
        </w:r>
        <w:r>
          <w:rPr>
            <w:noProof/>
            <w:webHidden/>
          </w:rPr>
          <w:fldChar w:fldCharType="end"/>
        </w:r>
      </w:hyperlink>
    </w:p>
    <w:p>
      <w:pPr>
        <w:pStyle w:val="TOC1"/>
      </w:pPr>
      <w:hyperlink w:anchor="_Toc300000015" w:history="1">
        <w:r>
          <w:rPr>
            <w:noProof/>
          </w:rPr>
          <w:t>7.</w:t>
        </w:r>
        <w:r>
          <w:rPr>
            <w:noProof/>
          </w:rPr>
          <w:tab/>
        </w:r>
        <w:r>
          <w:rPr>
            <w:noProof/>
          </w:rPr>
          <w:t xml:space="preserve">Automated tests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9</w:t>
        </w:r>
        <w:r>
          <w:rPr>
            <w:noProof/>
            <w:webHidden/>
          </w:rPr>
          <w:fldChar w:fldCharType="end"/>
        </w:r>
      </w:hyperlink>
    </w:p>
    <w:p>
      <w:pPr>
        <w:pStyle w:val="TOC1"/>
      </w:pPr>
      <w:hyperlink w:anchor="_Toc300000016" w:history="1">
        <w:r>
          <w:rPr>
            <w:noProof/>
          </w:rPr>
          <w:t>8.</w:t>
        </w:r>
        <w:r>
          <w:rPr>
            <w:noProof/>
          </w:rPr>
          <w:tab/>
        </w:r>
        <w:r>
          <w:rPr>
            <w:noProof/>
          </w:rPr>
          <w:t xml:space="preserve">Practical exercises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10</w:t>
        </w:r>
        <w:r>
          <w:rPr>
            <w:noProof/>
            <w:webHidden/>
          </w:rPr>
          <w:fldChar w:fldCharType="end"/>
        </w:r>
      </w:hyperlink>
    </w:p>
    <w:p>
      <w:pPr>
        <w:pStyle w:val="TOC1"/>
      </w:pPr>
      <w:hyperlink w:anchor="_Toc300000017" w:history="1">
        <w:r>
          <w:rPr>
            <w:noProof/>
          </w:rPr>
          <w:t>9.</w:t>
        </w:r>
        <w:r>
          <w:rPr>
            <w:noProof/>
          </w:rPr>
          <w:tab/>
        </w:r>
        <w:r>
          <w:rPr>
            <w:noProof/>
          </w:rPr>
          <w:t xml:space="preserve">Code walkthroughs</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p>
    <w:p>
      <w:pPr>
        <w:pStyle w:val="TOC1"/>
      </w:pPr>
      <w:hyperlink w:anchor="_Toc300000018" w:history="1">
        <w:r>
          <w:rPr>
            <w:noProof/>
          </w:rPr>
          <w:t>10.</w:t>
        </w:r>
        <w:r>
          <w:rPr>
            <w:noProof/>
          </w:rPr>
          <w:tab/>
        </w:r>
        <w:r>
          <w:rPr>
            <w:noProof/>
          </w:rPr>
          <w:t xml:space="preserve">Handover pack</w:t>
        </w:r>
        <w:r>
          <w:rPr>
            <w:noProof/>
            <w:webHidden/>
          </w:rPr>
          <w:tab/>
        </w:r>
        <w:r>
          <w:rPr>
            <w:noProof/>
            <w:webHidden/>
          </w:rPr>
          <w:fldChar w:fldCharType="begin"/>
        </w:r>
        <w:r>
          <w:rPr>
            <w:noProof/>
            <w:webHidden/>
          </w:rPr>
          <w:instrText xml:space="preserve"> PAGEREF _Toc300000018 \h </w:instrText>
        </w:r>
        <w:r>
          <w:rPr>
            <w:noProof/>
            <w:webHidden/>
          </w:rPr>
          <w:fldChar w:fldCharType="separate"/>
        </w:r>
        <w:r>
          <w:rPr>
            <w:noProof/>
            <w:webHidden/>
          </w:rPr>
          <w:t>11</w:t>
        </w:r>
        <w:r>
          <w:rPr>
            <w:noProof/>
            <w:webHidden/>
          </w:rPr>
          <w:fldChar w:fldCharType="end"/>
        </w:r>
      </w:hyperlink>
    </w:p>
    <w:p>
      <w:pPr>
        <w:pStyle w:val="TOC1"/>
      </w:pPr>
      <w:hyperlink w:anchor="_Toc300000019" w:history="1">
        <w:r>
          <w:rPr>
            <w:noProof/>
          </w:rPr>
          <w:t>11.</w:t>
        </w:r>
        <w:r>
          <w:rPr>
            <w:noProof/>
          </w:rPr>
          <w:tab/>
        </w:r>
        <w:r>
          <w:rPr>
            <w:noProof/>
          </w:rPr>
          <w:t xml:space="preserve">Sign-off criteria</w:t>
        </w:r>
        <w:r>
          <w:rPr>
            <w:noProof/>
            <w:webHidden/>
          </w:rPr>
          <w:tab/>
        </w:r>
        <w:r>
          <w:rPr>
            <w:noProof/>
            <w:webHidden/>
          </w:rPr>
          <w:fldChar w:fldCharType="begin"/>
        </w:r>
        <w:r>
          <w:rPr>
            <w:noProof/>
            <w:webHidden/>
          </w:rPr>
          <w:instrText xml:space="preserve"> PAGEREF _Toc300000019 \h </w:instrText>
        </w:r>
        <w:r>
          <w:rPr>
            <w:noProof/>
            <w:webHidden/>
          </w:rPr>
          <w:fldChar w:fldCharType="separate"/>
        </w:r>
        <w:r>
          <w:rPr>
            <w:noProof/>
            <w:webHidden/>
          </w:rPr>
          <w:t>11</w:t>
        </w:r>
        <w:r>
          <w:rPr>
            <w:noProof/>
            <w:webHidden/>
          </w:rPr>
          <w:fldChar w:fldCharType="end"/>
        </w:r>
      </w:hyperlink>
    </w:p>
    <w:p>
      <w:pPr>
        <w:pStyle w:val="TOC1"/>
      </w:pPr>
      <w:hyperlink w:anchor="_Toc300000020" w:history="1">
        <w:r>
          <w:rPr>
            <w:noProof/>
          </w:rPr>
          <w:t>12.</w:t>
        </w:r>
        <w:r>
          <w:rPr>
            <w:noProof/>
          </w:rPr>
          <w:tab/>
        </w:r>
        <w:r>
          <w:rPr>
            <w:noProof/>
          </w:rPr>
          <w:t xml:space="preserve">Long-term maintainability</w:t>
        </w:r>
        <w:r>
          <w:rPr>
            <w:noProof/>
            <w:webHidden/>
          </w:rPr>
          <w:tab/>
        </w:r>
        <w:r>
          <w:rPr>
            <w:noProof/>
            <w:webHidden/>
          </w:rPr>
          <w:fldChar w:fldCharType="begin"/>
        </w:r>
        <w:r>
          <w:rPr>
            <w:noProof/>
            <w:webHidden/>
          </w:rPr>
          <w:instrText xml:space="preserve"> PAGEREF _Toc300000020 \h </w:instrText>
        </w:r>
        <w:r>
          <w:rPr>
            <w:noProof/>
            <w:webHidden/>
          </w:rPr>
          <w:fldChar w:fldCharType="separate"/>
        </w:r>
        <w:r>
          <w:rPr>
            <w:noProof/>
            <w:webHidden/>
          </w:rPr>
          <w:t>12</w:t>
        </w:r>
        <w:r>
          <w:rPr>
            <w:noProof/>
            <w:webHidden/>
          </w:rPr>
          <w:fldChar w:fldCharType="end"/>
        </w:r>
      </w:hyperlink>
    </w:p>
    <w:p>
      <w:pPr>
        <w:pStyle w:val="TOC1"/>
      </w:pPr>
      <w:hyperlink w:anchor="_Toc300000021" w:history="1">
        <w:r>
          <w:rPr>
            <w:noProof/>
          </w:rPr>
          <w:t>13.</w:t>
        </w:r>
        <w:r>
          <w:rPr>
            <w:noProof/>
          </w:rPr>
          <w:tab/>
        </w:r>
        <w:r>
          <w:rPr>
            <w:noProof/>
          </w:rPr>
          <w:t xml:space="preserve">Sign-Off</w:t>
        </w:r>
        <w:r>
          <w:rPr>
            <w:noProof/>
            <w:webHidden/>
          </w:rPr>
          <w:tab/>
        </w:r>
        <w:r>
          <w:rPr>
            <w:noProof/>
            <w:webHidden/>
          </w:rPr>
          <w:fldChar w:fldCharType="begin"/>
        </w:r>
        <w:r>
          <w:rPr>
            <w:noProof/>
            <w:webHidden/>
          </w:rPr>
          <w:instrText xml:space="preserve"> PAGEREF _Toc300000021 \h </w:instrText>
        </w:r>
        <w:r>
          <w:rPr>
            <w:noProof/>
            <w:webHidden/>
          </w:rPr>
          <w:fldChar w:fldCharType="separate"/>
        </w:r>
        <w:r>
          <w:rPr>
            <w:noProof/>
            <w:webHidden/>
          </w:rPr>
          <w:t>13</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302"/>
        <w:gridCol w:w="1003"/>
        <w:gridCol w:w="1843"/>
        <w:gridCol w:w="1410"/>
        <w:gridCol w:w="2167"/>
        <w:gridCol w:w="1302"/>
      </w:tblGrid>
      <w:tr w:rsidR="002B183A" w14:paraId="4E198CD6" w14:textId="77777777" w:rsidTr="002923F3">
        <w:trPr>
          <w:cantSplit/>
          <w:trHeight w:val="440"/>
          <w:tblHeader/>
        </w:trPr>
        <w:tc>
          <w:tcPr>
            <w:tcW w:w="1302"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1003"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843"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141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167"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302"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302"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08/10/2026</w:t>
            </w:r>
          </w:p>
        </w:tc>
        <w:tc>
          <w:tcPr>
            <w:tcW w:w="1003"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843"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Delivery Management</w:t>
            </w:r>
          </w:p>
        </w:tc>
        <w:tc>
          <w:tcPr>
            <w:tcW w:w="141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IT</w:t>
            </w:r>
          </w:p>
        </w:tc>
        <w:tc>
          <w:tcPr>
            <w:tcW w:w="2167"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302"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808"/>
        <w:gridCol w:w="7219"/>
      </w:tblGrid>
      <w:tr w:rsidR="002B183A" w14:paraId="388F227F" w14:textId="77777777" w:rsidTr="002923F3">
        <w:trPr>
          <w:cantSplit/>
          <w:trHeight w:val="440"/>
          <w:tblHeader/>
        </w:trPr>
        <w:tc>
          <w:tcPr>
            <w:tcW w:w="1808"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219"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CI</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Continuous Integration</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HTTP</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Hypertext Transfer Protocol</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MFA</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Multi-Factor Authentication</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OAuth</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Authorization</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OWASP</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Open Worldwide Application Security Project</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P1 and P2</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Priority 1 (critical) and priority 2 (high) incidents</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REST</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Representational State Transfer</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808"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219"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 Automatic Toll Collection Company</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plan describes how iorta TechNXT hands over the knowledge needed to run, change and extend the TASCO Growth Platform (the platform). The receiving team may be TASCO IT, VETC IT or another partner chosen by TASCO.</w:t>
      </w:r>
    </w:p>
    <w:p>
      <w:pPr>
        <w:pStyle w:val="BodyText"/>
      </w:pPr>
      <w:r>
        <w:t xml:space="preserve">It covers two things. The first is the technical handover that is part of the MVP: two days of handover in weeks 12 and 13, followed by shadowing during hypercare. The second is a full transition of support, which TASCO can request at any time under the exit terms in the proposal, section 30, and which is priced at the rate card.</w:t>
      </w:r>
    </w:p>
    <w:p>
      <w:pPr>
        <w:pStyle w:val="BodyText"/>
      </w:pPr>
      <w:r>
        <w:t xml:space="preserve">The audience is TASCO IT, the future support team and the iorta TechNXT solution architect and engagement manager. User training for business roles is covered in TGP-DEL-06 Organisational Change and Training Plan.</w:t>
      </w:r>
    </w:p>
    <w:p>
      <w:pPr>
        <w:pStyle w:val="BodyText"/>
      </w:pPr>
      <w:r>
        <w:t xml:space="preserve">Related documents: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61"/>
        <w:gridCol w:w="3329"/>
        <w:gridCol w:w="4237"/>
      </w:tblGrid>
      <w:tr>
        <w:trPr>
          <w:cantSplit/>
          <w:tblHeader/>
        </w:trPr>
        <w:tc>
          <w:tcPr>
            <w:tcW w:w="1461" w:type="dxa"/>
            <w:shd w:val="clear" w:color="auto" w:fill="0F4761"/>
            <w:vAlign w:val="center"/>
          </w:tcPr>
          <w:p>
            <w:pPr>
              <w:pStyle w:val="TableHeading"/>
              <w:jc w:val="left"/>
            </w:pPr>
            <w:r>
              <w:rPr>
                <w:color w:val="FFFFFF"/>
              </w:rPr>
              <w:t xml:space="preserve">ID</w:t>
            </w:r>
          </w:p>
        </w:tc>
        <w:tc>
          <w:tcPr>
            <w:tcW w:w="3329" w:type="dxa"/>
            <w:shd w:val="clear" w:color="auto" w:fill="0F4761"/>
            <w:vAlign w:val="center"/>
          </w:tcPr>
          <w:p>
            <w:pPr>
              <w:pStyle w:val="TableHeading"/>
              <w:jc w:val="left"/>
            </w:pPr>
            <w:r>
              <w:rPr>
                <w:color w:val="FFFFFF"/>
              </w:rPr>
              <w:t xml:space="preserve">Title</w:t>
            </w:r>
          </w:p>
        </w:tc>
        <w:tc>
          <w:tcPr>
            <w:tcW w:w="4237" w:type="dxa"/>
            <w:shd w:val="clear" w:color="auto" w:fill="0F4761"/>
            <w:vAlign w:val="center"/>
          </w:tcPr>
          <w:p>
            <w:pPr>
              <w:pStyle w:val="TableHeading"/>
              <w:jc w:val="left"/>
            </w:pPr>
            <w:r>
              <w:rPr>
                <w:color w:val="FFFFFF"/>
              </w:rPr>
              <w:t xml:space="preserve">Relationship</w:t>
            </w:r>
          </w:p>
        </w:tc>
      </w:tr>
      <w:tr>
        <w:trPr>
          <w:cantSplit/>
        </w:trPr>
        <w:tc>
          <w:tcPr>
            <w:tcW w:w="1461" w:type="dxa"/>
            <w:noWrap/>
            <w:vAlign w:val="top"/>
          </w:tcPr>
          <w:p>
            <w:pPr>
              <w:pStyle w:val="TableText"/>
              <w:jc w:val="left"/>
            </w:pPr>
            <w:r>
              <w:t xml:space="preserve">TGP-DEL-01</w:t>
            </w:r>
          </w:p>
        </w:tc>
        <w:tc>
          <w:tcPr>
            <w:tcW w:w="3329" w:type="dxa"/>
            <w:vAlign w:val="top"/>
          </w:tcPr>
          <w:p>
            <w:pPr>
              <w:pStyle w:val="TableText"/>
              <w:jc w:val="left"/>
            </w:pPr>
            <w:r>
              <w:t xml:space="preserve">Project Plan</w:t>
            </w:r>
          </w:p>
        </w:tc>
        <w:tc>
          <w:tcPr>
            <w:tcW w:w="4237" w:type="dxa"/>
            <w:vAlign w:val="top"/>
          </w:tcPr>
          <w:p>
            <w:pPr>
              <w:pStyle w:val="TableText"/>
              <w:jc w:val="left"/>
            </w:pPr>
            <w:r>
              <w:t xml:space="preserve">Timing of the handover and hypercare</w:t>
            </w:r>
          </w:p>
        </w:tc>
      </w:tr>
      <w:tr>
        <w:trPr>
          <w:cantSplit/>
        </w:trPr>
        <w:tc>
          <w:tcPr>
            <w:tcW w:w="1461" w:type="dxa"/>
            <w:shd w:val="clear" w:color="auto" w:fill="F4F7FB"/>
            <w:noWrap/>
            <w:vAlign w:val="top"/>
          </w:tcPr>
          <w:p>
            <w:pPr>
              <w:pStyle w:val="TableText"/>
              <w:jc w:val="left"/>
            </w:pPr>
            <w:r>
              <w:t xml:space="preserve">TGP-ARC-01</w:t>
            </w:r>
          </w:p>
        </w:tc>
        <w:tc>
          <w:tcPr>
            <w:tcW w:w="3329" w:type="dxa"/>
            <w:shd w:val="clear" w:color="auto" w:fill="F4F7FB"/>
            <w:vAlign w:val="top"/>
          </w:tcPr>
          <w:p>
            <w:pPr>
              <w:pStyle w:val="TableText"/>
              <w:jc w:val="left"/>
            </w:pPr>
            <w:r>
              <w:t xml:space="preserve">Solution Architecture</w:t>
            </w:r>
          </w:p>
        </w:tc>
        <w:tc>
          <w:tcPr>
            <w:tcW w:w="4237" w:type="dxa"/>
            <w:shd w:val="clear" w:color="auto" w:fill="F4F7FB"/>
            <w:vAlign w:val="top"/>
          </w:tcPr>
          <w:p>
            <w:pPr>
              <w:pStyle w:val="TableText"/>
              <w:jc w:val="left"/>
            </w:pPr>
            <w:r>
              <w:t xml:space="preserve">Architecture taught in the foundation module</w:t>
            </w:r>
          </w:p>
        </w:tc>
      </w:tr>
      <w:tr>
        <w:trPr>
          <w:cantSplit/>
        </w:trPr>
        <w:tc>
          <w:tcPr>
            <w:tcW w:w="1461" w:type="dxa"/>
            <w:noWrap/>
            <w:vAlign w:val="top"/>
          </w:tcPr>
          <w:p>
            <w:pPr>
              <w:pStyle w:val="TableText"/>
              <w:jc w:val="left"/>
            </w:pPr>
            <w:r>
              <w:t xml:space="preserve">TGP-ARC-02</w:t>
            </w:r>
          </w:p>
        </w:tc>
        <w:tc>
          <w:tcPr>
            <w:tcW w:w="3329" w:type="dxa"/>
            <w:vAlign w:val="top"/>
          </w:tcPr>
          <w:p>
            <w:pPr>
              <w:pStyle w:val="TableText"/>
              <w:jc w:val="left"/>
            </w:pPr>
            <w:r>
              <w:t xml:space="preserve">Integration Architecture</w:t>
            </w:r>
          </w:p>
        </w:tc>
        <w:tc>
          <w:tcPr>
            <w:tcW w:w="4237" w:type="dxa"/>
            <w:vAlign w:val="top"/>
          </w:tcPr>
          <w:p>
            <w:pPr>
              <w:pStyle w:val="TableText"/>
              <w:jc w:val="left"/>
            </w:pPr>
            <w:r>
              <w:t xml:space="preserve">TASCO core and VETC interfaces</w:t>
            </w:r>
          </w:p>
        </w:tc>
      </w:tr>
      <w:tr>
        <w:trPr>
          <w:cantSplit/>
        </w:trPr>
        <w:tc>
          <w:tcPr>
            <w:tcW w:w="1461" w:type="dxa"/>
            <w:shd w:val="clear" w:color="auto" w:fill="F4F7FB"/>
            <w:noWrap/>
            <w:vAlign w:val="top"/>
          </w:tcPr>
          <w:p>
            <w:pPr>
              <w:pStyle w:val="TableText"/>
              <w:jc w:val="left"/>
            </w:pPr>
            <w:r>
              <w:t xml:space="preserve">TGP-ARC-07</w:t>
            </w:r>
          </w:p>
        </w:tc>
        <w:tc>
          <w:tcPr>
            <w:tcW w:w="3329" w:type="dxa"/>
            <w:shd w:val="clear" w:color="auto" w:fill="F4F7FB"/>
            <w:vAlign w:val="top"/>
          </w:tcPr>
          <w:p>
            <w:pPr>
              <w:pStyle w:val="TableText"/>
              <w:jc w:val="left"/>
            </w:pPr>
            <w:r>
              <w:t xml:space="preserve">Architecture Decision Records</w:t>
            </w:r>
          </w:p>
        </w:tc>
        <w:tc>
          <w:tcPr>
            <w:tcW w:w="4237" w:type="dxa"/>
            <w:shd w:val="clear" w:color="auto" w:fill="F4F7FB"/>
            <w:vAlign w:val="top"/>
          </w:tcPr>
          <w:p>
            <w:pPr>
              <w:pStyle w:val="TableText"/>
              <w:jc w:val="left"/>
            </w:pPr>
            <w:r>
              <w:t xml:space="preserve">Design decisions behind the code</w:t>
            </w:r>
          </w:p>
        </w:tc>
      </w:tr>
      <w:tr>
        <w:trPr>
          <w:cantSplit/>
        </w:trPr>
        <w:tc>
          <w:tcPr>
            <w:tcW w:w="1461" w:type="dxa"/>
            <w:noWrap/>
            <w:vAlign w:val="top"/>
          </w:tcPr>
          <w:p>
            <w:pPr>
              <w:pStyle w:val="TableText"/>
              <w:jc w:val="left"/>
            </w:pPr>
            <w:r>
              <w:t xml:space="preserve">TGP-QA-01</w:t>
            </w:r>
          </w:p>
        </w:tc>
        <w:tc>
          <w:tcPr>
            <w:tcW w:w="3329" w:type="dxa"/>
            <w:vAlign w:val="top"/>
          </w:tcPr>
          <w:p>
            <w:pPr>
              <w:pStyle w:val="TableText"/>
              <w:jc w:val="left"/>
            </w:pPr>
            <w:r>
              <w:t xml:space="preserve">Test Strategy</w:t>
            </w:r>
          </w:p>
        </w:tc>
        <w:tc>
          <w:tcPr>
            <w:tcW w:w="4237" w:type="dxa"/>
            <w:vAlign w:val="top"/>
          </w:tcPr>
          <w:p>
            <w:pPr>
              <w:pStyle w:val="TableText"/>
              <w:jc w:val="left"/>
            </w:pPr>
            <w:r>
              <w:t xml:space="preserve">Test levels and the automated suites</w:t>
            </w:r>
          </w:p>
        </w:tc>
      </w:tr>
      <w:tr>
        <w:trPr>
          <w:cantSplit/>
        </w:trPr>
        <w:tc>
          <w:tcPr>
            <w:tcW w:w="1461" w:type="dxa"/>
            <w:shd w:val="clear" w:color="auto" w:fill="F4F7FB"/>
            <w:noWrap/>
            <w:vAlign w:val="top"/>
          </w:tcPr>
          <w:p>
            <w:pPr>
              <w:pStyle w:val="TableText"/>
              <w:jc w:val="left"/>
            </w:pPr>
            <w:r>
              <w:t xml:space="preserve">TGP-OPS-01</w:t>
            </w:r>
          </w:p>
        </w:tc>
        <w:tc>
          <w:tcPr>
            <w:tcW w:w="3329" w:type="dxa"/>
            <w:shd w:val="clear" w:color="auto" w:fill="F4F7FB"/>
            <w:vAlign w:val="top"/>
          </w:tcPr>
          <w:p>
            <w:pPr>
              <w:pStyle w:val="TableText"/>
              <w:jc w:val="left"/>
            </w:pPr>
            <w:r>
              <w:t xml:space="preserve">Runbook and Support Guide</w:t>
            </w:r>
          </w:p>
        </w:tc>
        <w:tc>
          <w:tcPr>
            <w:tcW w:w="4237" w:type="dxa"/>
            <w:shd w:val="clear" w:color="auto" w:fill="F4F7FB"/>
            <w:vAlign w:val="top"/>
          </w:tcPr>
          <w:p>
            <w:pPr>
              <w:pStyle w:val="TableText"/>
              <w:jc w:val="left"/>
            </w:pPr>
            <w:r>
              <w:t xml:space="preserve">Incident runbooks and procedures practised in this plan</w:t>
            </w:r>
          </w:p>
        </w:tc>
      </w:tr>
      <w:tr>
        <w:trPr>
          <w:cantSplit/>
        </w:trPr>
        <w:tc>
          <w:tcPr>
            <w:tcW w:w="1461" w:type="dxa"/>
            <w:noWrap/>
            <w:vAlign w:val="top"/>
          </w:tcPr>
          <w:p>
            <w:pPr>
              <w:pStyle w:val="TableText"/>
              <w:jc w:val="left"/>
            </w:pPr>
            <w:r>
              <w:t xml:space="preserve">TGP-OPS-03</w:t>
            </w:r>
          </w:p>
        </w:tc>
        <w:tc>
          <w:tcPr>
            <w:tcW w:w="3329" w:type="dxa"/>
            <w:vAlign w:val="top"/>
          </w:tcPr>
          <w:p>
            <w:pPr>
              <w:pStyle w:val="TableText"/>
              <w:jc w:val="left"/>
            </w:pPr>
            <w:r>
              <w:t xml:space="preserve">Disaster Recovery and Business Continuity Plan</w:t>
            </w:r>
          </w:p>
        </w:tc>
        <w:tc>
          <w:tcPr>
            <w:tcW w:w="4237" w:type="dxa"/>
            <w:vAlign w:val="top"/>
          </w:tcPr>
          <w:p>
            <w:pPr>
              <w:pStyle w:val="TableText"/>
              <w:jc w:val="left"/>
            </w:pPr>
            <w:r>
              <w:t xml:space="preserve">Restore and failover drills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Approach</w:t>
      </w:r>
      <w:bookmarkEnd w:id="8"/>
    </w:p>
    <w:p>
      <w:pPr>
        <w:pStyle w:val="FirstParagraph"/>
      </w:pPr>
      <w:r>
        <w:t xml:space="preserve">The platform was built to be handed over. Business behaviour lives in versioned rule sets that are changed in the rules studio. Every external system sits behind a port with a replaceable adapter, wired in one place (</w:t>
      </w:r>
      <w:r>
        <w:rPr>
          <w:rStyle w:val="CodeChar"/>
        </w:rPr>
        <w:t xml:space="preserve">src/bootstrap/container.js</w:t>
      </w:r>
      <w:r>
        <w:t xml:space="preserve">). The runtime is plain Node.js with one production dependency (</w:t>
      </w:r>
      <w:r>
        <w:rPr>
          <w:rStyle w:val="CodeChar"/>
        </w:rPr>
        <w:t xml:space="preserve">pg</w:t>
      </w:r>
      <w:r>
        <w:t xml:space="preserve">) and standard PostgreSQL. The receiving team therefore needs to learn one code base, one database and one rules engine.</w:t>
      </w:r>
    </w:p>
    <w:p>
      <w:pPr>
        <w:pStyle w:val="Heading2"/>
      </w:pPr>
      <w:bookmarkStart w:id="9" w:name="_Toc300000005"/>
      <w:r>
        <w:t xml:space="preserve">MVP handover</w:t>
      </w:r>
      <w:bookmarkEnd w:id="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782"/>
        <w:gridCol w:w="4134"/>
        <w:gridCol w:w="3111"/>
      </w:tblGrid>
      <w:tr>
        <w:trPr>
          <w:cantSplit/>
          <w:tblHeader/>
        </w:trPr>
        <w:tc>
          <w:tcPr>
            <w:tcW w:w="1782" w:type="dxa"/>
            <w:shd w:val="clear" w:color="auto" w:fill="0F4761"/>
            <w:vAlign w:val="center"/>
          </w:tcPr>
          <w:p>
            <w:pPr>
              <w:pStyle w:val="TableHeading"/>
              <w:jc w:val="left"/>
            </w:pPr>
            <w:r>
              <w:rPr>
                <w:color w:val="FFFFFF"/>
              </w:rPr>
              <w:t xml:space="preserve">When</w:t>
            </w:r>
          </w:p>
        </w:tc>
        <w:tc>
          <w:tcPr>
            <w:tcW w:w="4134" w:type="dxa"/>
            <w:shd w:val="clear" w:color="auto" w:fill="0F4761"/>
            <w:vAlign w:val="center"/>
          </w:tcPr>
          <w:p>
            <w:pPr>
              <w:pStyle w:val="TableHeading"/>
              <w:jc w:val="left"/>
            </w:pPr>
            <w:r>
              <w:rPr>
                <w:color w:val="FFFFFF"/>
              </w:rPr>
              <w:t xml:space="preserve">Activity</w:t>
            </w:r>
          </w:p>
        </w:tc>
        <w:tc>
          <w:tcPr>
            <w:tcW w:w="3111" w:type="dxa"/>
            <w:shd w:val="clear" w:color="auto" w:fill="0F4761"/>
            <w:vAlign w:val="center"/>
          </w:tcPr>
          <w:p>
            <w:pPr>
              <w:pStyle w:val="TableHeading"/>
              <w:jc w:val="left"/>
            </w:pPr>
            <w:r>
              <w:rPr>
                <w:color w:val="FFFFFF"/>
              </w:rPr>
              <w:t xml:space="preserve">Outcome</w:t>
            </w:r>
          </w:p>
        </w:tc>
      </w:tr>
      <w:tr>
        <w:trPr>
          <w:cantSplit/>
        </w:trPr>
        <w:tc>
          <w:tcPr>
            <w:tcW w:w="1782" w:type="dxa"/>
            <w:vAlign w:val="top"/>
          </w:tcPr>
          <w:p>
            <w:pPr>
              <w:pStyle w:val="TableText"/>
              <w:jc w:val="left"/>
            </w:pPr>
            <w:r>
              <w:t xml:space="preserve">Weeks 12 and 13</w:t>
            </w:r>
          </w:p>
        </w:tc>
        <w:tc>
          <w:tcPr>
            <w:tcW w:w="4134" w:type="dxa"/>
            <w:vAlign w:val="top"/>
          </w:tcPr>
          <w:p>
            <w:pPr>
              <w:pStyle w:val="TableText"/>
              <w:jc w:val="left"/>
            </w:pPr>
            <w:r>
              <w:t xml:space="preserve">Technical handover, two days: architecture, deployment, monitoring, runbooks, incident handling</w:t>
            </w:r>
          </w:p>
        </w:tc>
        <w:tc>
          <w:tcPr>
            <w:tcW w:w="3111" w:type="dxa"/>
            <w:vAlign w:val="top"/>
          </w:tcPr>
          <w:p>
            <w:pPr>
              <w:pStyle w:val="TableText"/>
              <w:jc w:val="left"/>
            </w:pPr>
            <w:r>
              <w:t xml:space="preserve">TASCO IT can operate the platform with iorta TechNXT support</w:t>
            </w:r>
          </w:p>
        </w:tc>
      </w:tr>
      <w:tr>
        <w:trPr>
          <w:cantSplit/>
        </w:trPr>
        <w:tc>
          <w:tcPr>
            <w:tcW w:w="1782" w:type="dxa"/>
            <w:shd w:val="clear" w:color="auto" w:fill="F4F7FB"/>
            <w:vAlign w:val="top"/>
          </w:tcPr>
          <w:p>
            <w:pPr>
              <w:pStyle w:val="TableText"/>
              <w:jc w:val="left"/>
            </w:pPr>
            <w:r>
              <w:t xml:space="preserve">Weeks 14 to 17</w:t>
            </w:r>
          </w:p>
        </w:tc>
        <w:tc>
          <w:tcPr>
            <w:tcW w:w="4134" w:type="dxa"/>
            <w:shd w:val="clear" w:color="auto" w:fill="F4F7FB"/>
            <w:vAlign w:val="top"/>
          </w:tcPr>
          <w:p>
            <w:pPr>
              <w:pStyle w:val="TableText"/>
              <w:jc w:val="left"/>
            </w:pPr>
            <w:r>
              <w:t xml:space="preserve">Shadowing during hypercare: TASCO IT joins incident calls, releases and job runs</w:t>
            </w:r>
          </w:p>
        </w:tc>
        <w:tc>
          <w:tcPr>
            <w:tcW w:w="3111" w:type="dxa"/>
            <w:shd w:val="clear" w:color="auto" w:fill="F4F7FB"/>
            <w:vAlign w:val="top"/>
          </w:tcPr>
          <w:p>
            <w:pPr>
              <w:pStyle w:val="TableText"/>
              <w:jc w:val="left"/>
            </w:pPr>
            <w:r>
              <w:t xml:space="preserve">TASCO IT has seen each runbook used live</w:t>
            </w:r>
          </w:p>
        </w:tc>
      </w:tr>
      <w:tr>
        <w:trPr>
          <w:cantSplit/>
        </w:trPr>
        <w:tc>
          <w:tcPr>
            <w:tcW w:w="1782" w:type="dxa"/>
            <w:vAlign w:val="top"/>
          </w:tcPr>
          <w:p>
            <w:pPr>
              <w:pStyle w:val="TableText"/>
              <w:jc w:val="left"/>
            </w:pPr>
            <w:r>
              <w:t xml:space="preserve">M4 (26/02/2027)</w:t>
            </w:r>
          </w:p>
        </w:tc>
        <w:tc>
          <w:tcPr>
            <w:tcW w:w="4134" w:type="dxa"/>
            <w:vAlign w:val="top"/>
          </w:tcPr>
          <w:p>
            <w:pPr>
              <w:pStyle w:val="TableText"/>
              <w:jc w:val="left"/>
            </w:pPr>
            <w:r>
              <w:t xml:space="preserve">Handover pack delivered (section 8)</w:t>
            </w:r>
          </w:p>
        </w:tc>
        <w:tc>
          <w:tcPr>
            <w:tcW w:w="3111" w:type="dxa"/>
            <w:vAlign w:val="top"/>
          </w:tcPr>
          <w:p>
            <w:pPr>
              <w:pStyle w:val="TableText"/>
              <w:jc w:val="left"/>
            </w:pPr>
            <w:r>
              <w:t xml:space="preserve">Documentation and access complete</w:t>
            </w:r>
          </w:p>
        </w:tc>
      </w:tr>
    </w:tbl>
    <w:p>
      <w:pPr>
        <w:pStyle w:val="Heading2"/>
      </w:pPr>
      <w:bookmarkStart w:id="10" w:name="_Toc300000006"/>
      <w:r>
        <w:t xml:space="preserve">Full transition (optional)</w:t>
      </w:r>
      <w:bookmarkEnd w:id="10"/>
    </w:p>
    <w:p>
      <w:pPr>
        <w:pStyle w:val="FirstParagraph"/>
      </w:pPr>
      <w:r>
        <w:t xml:space="preserve">If TASCO moves support to its own team or another partner, the transition runs in four phases. The durations are a guide and are confirmed when the transition is requested.</w:t>
      </w:r>
    </w:p>
    <w:p xmlns:a="http://schemas.openxmlformats.org/drawingml/2006/main" xmlns:pic="http://schemas.openxmlformats.org/drawingml/2006/picture">
      <w:pPr>
        <w:pStyle w:val="Figure"/>
      </w:pPr>
      <w:r>
        <w:drawing>
          <wp:inline>
            <wp:extent cx="2401199" cy="3286799"/>
            <wp:effectExtent b="0" l="0" r="0" t="0"/>
            <wp:docPr descr="The four phases of a full support transition" title="" id="5002" name="Picture"/>
            <a:graphic>
              <a:graphicData uri="http://schemas.openxmlformats.org/drawingml/2006/picture">
                <pic:pic>
                  <pic:nvPicPr>
                    <pic:cNvPr descr="/home/user/TASCO/tools/docs-source/gen/.cache/mermaid/031486f6057b5f9a.png" id="24" name="Picture"/>
                    <pic:cNvPicPr>
                      <a:picLocks noChangeArrowheads="1" noChangeAspect="1"/>
                    </pic:cNvPicPr>
                  </pic:nvPicPr>
                  <pic:blipFill>
                    <a:blip r:embed="rIdG1"/>
                    <a:stretch>
                      <a:fillRect/>
                    </a:stretch>
                  </pic:blipFill>
                  <pic:spPr bwMode="auto">
                    <a:xfrm>
                      <a:off x="0" y="0"/>
                      <a:ext cx="2401199" cy="3286799"/>
                    </a:xfrm>
                    <a:prstGeom prst="rect">
                      <a:avLst/>
                    </a:prstGeom>
                    <a:noFill/>
                    <a:ln w="9525">
                      <a:noFill/>
                      <a:headEnd/>
                      <a:tailEnd/>
                    </a:ln>
                  </pic:spPr>
                </pic:pic>
              </a:graphicData>
            </a:graphic>
          </wp:inline>
        </w:drawing>
      </w:r>
    </w:p>
    <w:p>
      <w:pPr>
        <w:pStyle w:val="Caption"/>
      </w:pPr>
      <w:r>
        <w:t xml:space="preserve">Figure 1 – The four phases of a full support transition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571"/>
        <w:gridCol w:w="1633"/>
        <w:gridCol w:w="2744"/>
        <w:gridCol w:w="3079"/>
      </w:tblGrid>
      <w:tr>
        <w:trPr>
          <w:cantSplit/>
          <w:tblHeader/>
        </w:trPr>
        <w:tc>
          <w:tcPr>
            <w:tcW w:w="1571" w:type="dxa"/>
            <w:shd w:val="clear" w:color="auto" w:fill="0F4761"/>
            <w:vAlign w:val="center"/>
          </w:tcPr>
          <w:p>
            <w:pPr>
              <w:pStyle w:val="TableHeading"/>
              <w:jc w:val="left"/>
            </w:pPr>
            <w:r>
              <w:rPr>
                <w:color w:val="FFFFFF"/>
              </w:rPr>
              <w:t xml:space="preserve">Phase</w:t>
            </w:r>
          </w:p>
        </w:tc>
        <w:tc>
          <w:tcPr>
            <w:tcW w:w="1633" w:type="dxa"/>
            <w:shd w:val="clear" w:color="auto" w:fill="0F4761"/>
            <w:vAlign w:val="center"/>
          </w:tcPr>
          <w:p>
            <w:pPr>
              <w:pStyle w:val="TableHeading"/>
              <w:jc w:val="left"/>
            </w:pPr>
            <w:r>
              <w:rPr>
                <w:color w:val="FFFFFF"/>
              </w:rPr>
              <w:t xml:space="preserve">Who leads</w:t>
            </w:r>
          </w:p>
        </w:tc>
        <w:tc>
          <w:tcPr>
            <w:tcW w:w="2744" w:type="dxa"/>
            <w:shd w:val="clear" w:color="auto" w:fill="0F4761"/>
            <w:vAlign w:val="center"/>
          </w:tcPr>
          <w:p>
            <w:pPr>
              <w:pStyle w:val="TableHeading"/>
              <w:jc w:val="left"/>
            </w:pPr>
            <w:r>
              <w:rPr>
                <w:color w:val="FFFFFF"/>
              </w:rPr>
              <w:t xml:space="preserve">What the receiving team does</w:t>
            </w:r>
          </w:p>
        </w:tc>
        <w:tc>
          <w:tcPr>
            <w:tcW w:w="3079" w:type="dxa"/>
            <w:shd w:val="clear" w:color="auto" w:fill="0F4761"/>
            <w:vAlign w:val="center"/>
          </w:tcPr>
          <w:p>
            <w:pPr>
              <w:pStyle w:val="TableHeading"/>
              <w:jc w:val="left"/>
            </w:pPr>
            <w:r>
              <w:rPr>
                <w:color w:val="FFFFFF"/>
              </w:rPr>
              <w:t xml:space="preserve">Exit</w:t>
            </w:r>
          </w:p>
        </w:tc>
      </w:tr>
      <w:tr>
        <w:trPr>
          <w:cantSplit/>
        </w:trPr>
        <w:tc>
          <w:tcPr>
            <w:tcW w:w="1571" w:type="dxa"/>
            <w:vAlign w:val="top"/>
          </w:tcPr>
          <w:p>
            <w:pPr>
              <w:pStyle w:val="TableText"/>
              <w:jc w:val="left"/>
            </w:pPr>
            <w:r>
              <w:t xml:space="preserve">Orientation</w:t>
            </w:r>
          </w:p>
        </w:tc>
        <w:tc>
          <w:tcPr>
            <w:tcW w:w="1633" w:type="dxa"/>
            <w:vAlign w:val="top"/>
          </w:tcPr>
          <w:p>
            <w:pPr>
              <w:pStyle w:val="TableText"/>
              <w:jc w:val="left"/>
            </w:pPr>
            <w:r>
              <w:t xml:space="preserve">iorta TechNXT</w:t>
            </w:r>
          </w:p>
        </w:tc>
        <w:tc>
          <w:tcPr>
            <w:tcW w:w="2744" w:type="dxa"/>
            <w:vAlign w:val="top"/>
          </w:tcPr>
          <w:p>
            <w:pPr>
              <w:pStyle w:val="TableText"/>
              <w:jc w:val="left"/>
            </w:pPr>
            <w:r>
              <w:t xml:space="preserve">Attends the foundation sessions, runs the platform locally, reads the document set</w:t>
            </w:r>
          </w:p>
        </w:tc>
        <w:tc>
          <w:tcPr>
            <w:tcW w:w="3079" w:type="dxa"/>
            <w:vAlign w:val="top"/>
          </w:tcPr>
          <w:p>
            <w:pPr>
              <w:pStyle w:val="TableText"/>
              <w:jc w:val="left"/>
            </w:pPr>
            <w:r>
              <w:t xml:space="preserve">Every receiving engineer has run the tests and signed in as each role</w:t>
            </w:r>
          </w:p>
        </w:tc>
      </w:tr>
      <w:tr>
        <w:trPr>
          <w:cantSplit/>
        </w:trPr>
        <w:tc>
          <w:tcPr>
            <w:tcW w:w="1571" w:type="dxa"/>
            <w:shd w:val="clear" w:color="auto" w:fill="F4F7FB"/>
            <w:vAlign w:val="top"/>
          </w:tcPr>
          <w:p>
            <w:pPr>
              <w:pStyle w:val="TableText"/>
              <w:jc w:val="left"/>
            </w:pPr>
            <w:r>
              <w:t xml:space="preserve">Shadow</w:t>
            </w:r>
          </w:p>
        </w:tc>
        <w:tc>
          <w:tcPr>
            <w:tcW w:w="1633" w:type="dxa"/>
            <w:shd w:val="clear" w:color="auto" w:fill="F4F7FB"/>
            <w:vAlign w:val="top"/>
          </w:tcPr>
          <w:p>
            <w:pPr>
              <w:pStyle w:val="TableText"/>
              <w:jc w:val="left"/>
            </w:pPr>
            <w:r>
              <w:t xml:space="preserve">iorta TechNXT does, receiver observes</w:t>
            </w:r>
          </w:p>
        </w:tc>
        <w:tc>
          <w:tcPr>
            <w:tcW w:w="2744" w:type="dxa"/>
            <w:shd w:val="clear" w:color="auto" w:fill="F4F7FB"/>
            <w:vAlign w:val="top"/>
          </w:tcPr>
          <w:p>
            <w:pPr>
              <w:pStyle w:val="TableText"/>
              <w:jc w:val="left"/>
            </w:pPr>
            <w:r>
              <w:t xml:space="preserve">Pairs on tickets, incidents, releases and rule changes</w:t>
            </w:r>
          </w:p>
        </w:tc>
        <w:tc>
          <w:tcPr>
            <w:tcW w:w="3079" w:type="dxa"/>
            <w:shd w:val="clear" w:color="auto" w:fill="F4F7FB"/>
            <w:vAlign w:val="top"/>
          </w:tcPr>
          <w:p>
            <w:pPr>
              <w:pStyle w:val="TableText"/>
              <w:jc w:val="left"/>
            </w:pPr>
            <w:r>
              <w:t xml:space="preserve">Receiver has seen a release, an incident, a rule change, a data load and a restore drill</w:t>
            </w:r>
          </w:p>
        </w:tc>
      </w:tr>
      <w:tr>
        <w:trPr>
          <w:cantSplit/>
        </w:trPr>
        <w:tc>
          <w:tcPr>
            <w:tcW w:w="1571" w:type="dxa"/>
            <w:vAlign w:val="top"/>
          </w:tcPr>
          <w:p>
            <w:pPr>
              <w:pStyle w:val="TableText"/>
              <w:jc w:val="left"/>
            </w:pPr>
            <w:r>
              <w:t xml:space="preserve">Reverse shadow</w:t>
            </w:r>
          </w:p>
        </w:tc>
        <w:tc>
          <w:tcPr>
            <w:tcW w:w="1633" w:type="dxa"/>
            <w:vAlign w:val="top"/>
          </w:tcPr>
          <w:p>
            <w:pPr>
              <w:pStyle w:val="TableText"/>
              <w:jc w:val="left"/>
            </w:pPr>
            <w:r>
              <w:t xml:space="preserve">Receiver does, iorta TechNXT coaches</w:t>
            </w:r>
          </w:p>
        </w:tc>
        <w:tc>
          <w:tcPr>
            <w:tcW w:w="2744" w:type="dxa"/>
            <w:vAlign w:val="top"/>
          </w:tcPr>
          <w:p>
            <w:pPr>
              <w:pStyle w:val="TableText"/>
              <w:jc w:val="left"/>
            </w:pPr>
            <w:r>
              <w:t xml:space="preserve">Handles second and third-line tickets, code changes, releases and on-call</w:t>
            </w:r>
          </w:p>
        </w:tc>
        <w:tc>
          <w:tcPr>
            <w:tcW w:w="3079" w:type="dxa"/>
            <w:vAlign w:val="top"/>
          </w:tcPr>
          <w:p>
            <w:pPr>
              <w:pStyle w:val="TableText"/>
              <w:jc w:val="left"/>
            </w:pPr>
            <w:r>
              <w:t xml:space="preserve">Exercises in section 6 passed; 80% of tickets resolved without hands-on help</w:t>
            </w:r>
          </w:p>
        </w:tc>
      </w:tr>
      <w:tr>
        <w:trPr>
          <w:cantSplit/>
        </w:trPr>
        <w:tc>
          <w:tcPr>
            <w:tcW w:w="1571" w:type="dxa"/>
            <w:shd w:val="clear" w:color="auto" w:fill="F4F7FB"/>
            <w:vAlign w:val="top"/>
          </w:tcPr>
          <w:p>
            <w:pPr>
              <w:pStyle w:val="TableText"/>
              <w:jc w:val="left"/>
            </w:pPr>
            <w:r>
              <w:t xml:space="preserve">Independent</w:t>
            </w:r>
          </w:p>
        </w:tc>
        <w:tc>
          <w:tcPr>
            <w:tcW w:w="1633" w:type="dxa"/>
            <w:shd w:val="clear" w:color="auto" w:fill="F4F7FB"/>
            <w:vAlign w:val="top"/>
          </w:tcPr>
          <w:p>
            <w:pPr>
              <w:pStyle w:val="TableText"/>
              <w:jc w:val="left"/>
            </w:pPr>
            <w:r>
              <w:t xml:space="preserve">Receiver</w:t>
            </w:r>
          </w:p>
        </w:tc>
        <w:tc>
          <w:tcPr>
            <w:tcW w:w="2744" w:type="dxa"/>
            <w:shd w:val="clear" w:color="auto" w:fill="F4F7FB"/>
            <w:vAlign w:val="top"/>
          </w:tcPr>
          <w:p>
            <w:pPr>
              <w:pStyle w:val="TableText"/>
              <w:jc w:val="left"/>
            </w:pPr>
            <w:r>
              <w:t xml:space="preserve">Full ownership; iorta TechNXT answers questions only</w:t>
            </w:r>
          </w:p>
        </w:tc>
        <w:tc>
          <w:tcPr>
            <w:tcW w:w="3079" w:type="dxa"/>
            <w:shd w:val="clear" w:color="auto" w:fill="F4F7FB"/>
            <w:vAlign w:val="top"/>
          </w:tcPr>
          <w:p>
            <w:pPr>
              <w:pStyle w:val="TableText"/>
              <w:jc w:val="left"/>
            </w:pPr>
            <w:r>
              <w:t xml:space="preserve">No P1 or P2 incident needing iorta TechNXT intervention</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1" w:name="_Toc300000007"/>
      <w:r>
        <w:rPr>
          <w:rStyle w:val="BookTitle"/>
          <w:bCs w:val="0"/>
          <w:i w:val="0"/>
          <w:iCs w:val="0"/>
          <w:spacing w:val="0"/>
        </w:rPr>
        <w:t xml:space="preserve">Audiences</w:t>
      </w:r>
      <w:bookmarkEnd w:id="1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716"/>
        <w:gridCol w:w="1162"/>
        <w:gridCol w:w="5149"/>
      </w:tblGrid>
      <w:tr>
        <w:trPr>
          <w:cantSplit/>
          <w:tblHeader/>
        </w:trPr>
        <w:tc>
          <w:tcPr>
            <w:tcW w:w="2716" w:type="dxa"/>
            <w:shd w:val="clear" w:color="auto" w:fill="0F4761"/>
            <w:vAlign w:val="center"/>
          </w:tcPr>
          <w:p>
            <w:pPr>
              <w:pStyle w:val="TableHeading"/>
              <w:jc w:val="left"/>
            </w:pPr>
            <w:r>
              <w:rPr>
                <w:color w:val="FFFFFF"/>
              </w:rPr>
              <w:t xml:space="preserve">Audience</w:t>
            </w:r>
          </w:p>
        </w:tc>
        <w:tc>
          <w:tcPr>
            <w:tcW w:w="1162" w:type="dxa"/>
            <w:shd w:val="clear" w:color="auto" w:fill="0F4761"/>
            <w:vAlign w:val="center"/>
          </w:tcPr>
          <w:p>
            <w:pPr>
              <w:pStyle w:val="TableHeading"/>
              <w:jc w:val="left"/>
            </w:pPr>
            <w:r>
              <w:rPr>
                <w:color w:val="FFFFFF"/>
              </w:rPr>
              <w:t xml:space="preserve">Typical size</w:t>
            </w:r>
          </w:p>
        </w:tc>
        <w:tc>
          <w:tcPr>
            <w:tcW w:w="5149" w:type="dxa"/>
            <w:shd w:val="clear" w:color="auto" w:fill="0F4761"/>
            <w:vAlign w:val="center"/>
          </w:tcPr>
          <w:p>
            <w:pPr>
              <w:pStyle w:val="TableHeading"/>
              <w:jc w:val="left"/>
            </w:pPr>
            <w:r>
              <w:rPr>
                <w:color w:val="FFFFFF"/>
              </w:rPr>
              <w:t xml:space="preserve">Goal</w:t>
            </w:r>
          </w:p>
        </w:tc>
      </w:tr>
      <w:tr>
        <w:trPr>
          <w:cantSplit/>
        </w:trPr>
        <w:tc>
          <w:tcPr>
            <w:tcW w:w="2716" w:type="dxa"/>
            <w:vAlign w:val="top"/>
          </w:tcPr>
          <w:p>
            <w:pPr>
              <w:pStyle w:val="TableText"/>
              <w:jc w:val="left"/>
            </w:pPr>
            <w:r>
              <w:t xml:space="preserve">Platform engineers</w:t>
            </w:r>
          </w:p>
        </w:tc>
        <w:tc>
          <w:tcPr>
            <w:tcW w:w="1162" w:type="dxa"/>
            <w:vAlign w:val="top"/>
          </w:tcPr>
          <w:p>
            <w:pPr>
              <w:pStyle w:val="TableText"/>
              <w:jc w:val="left"/>
            </w:pPr>
            <w:r>
              <w:t xml:space="preserve">2 to 4</w:t>
            </w:r>
          </w:p>
        </w:tc>
        <w:tc>
          <w:tcPr>
            <w:tcW w:w="5149" w:type="dxa"/>
            <w:vAlign w:val="top"/>
          </w:tcPr>
          <w:p>
            <w:pPr>
              <w:pStyle w:val="TableText"/>
              <w:jc w:val="left"/>
            </w:pPr>
            <w:r>
              <w:t xml:space="preserve">Change and extend the code</w:t>
            </w:r>
          </w:p>
        </w:tc>
      </w:tr>
      <w:tr>
        <w:trPr>
          <w:cantSplit/>
        </w:trPr>
        <w:tc>
          <w:tcPr>
            <w:tcW w:w="2716" w:type="dxa"/>
            <w:shd w:val="clear" w:color="auto" w:fill="F4F7FB"/>
            <w:vAlign w:val="top"/>
          </w:tcPr>
          <w:p>
            <w:pPr>
              <w:pStyle w:val="TableText"/>
              <w:jc w:val="left"/>
            </w:pPr>
            <w:r>
              <w:t xml:space="preserve">Operations and support</w:t>
            </w:r>
          </w:p>
        </w:tc>
        <w:tc>
          <w:tcPr>
            <w:tcW w:w="1162" w:type="dxa"/>
            <w:shd w:val="clear" w:color="auto" w:fill="F4F7FB"/>
            <w:vAlign w:val="top"/>
          </w:tcPr>
          <w:p>
            <w:pPr>
              <w:pStyle w:val="TableText"/>
              <w:jc w:val="left"/>
            </w:pPr>
            <w:r>
              <w:t xml:space="preserve">2 to 3</w:t>
            </w:r>
          </w:p>
        </w:tc>
        <w:tc>
          <w:tcPr>
            <w:tcW w:w="5149" w:type="dxa"/>
            <w:shd w:val="clear" w:color="auto" w:fill="F4F7FB"/>
            <w:vAlign w:val="top"/>
          </w:tcPr>
          <w:p>
            <w:pPr>
              <w:pStyle w:val="TableText"/>
              <w:jc w:val="left"/>
            </w:pPr>
            <w:r>
              <w:t xml:space="preserve">Run, monitor and recover the platform; run jobs</w:t>
            </w:r>
          </w:p>
        </w:tc>
      </w:tr>
      <w:tr>
        <w:trPr>
          <w:cantSplit/>
        </w:trPr>
        <w:tc>
          <w:tcPr>
            <w:tcW w:w="2716" w:type="dxa"/>
            <w:vAlign w:val="top"/>
          </w:tcPr>
          <w:p>
            <w:pPr>
              <w:pStyle w:val="TableText"/>
              <w:jc w:val="left"/>
            </w:pPr>
            <w:r>
              <w:t xml:space="preserve">Business configurators</w:t>
            </w:r>
          </w:p>
        </w:tc>
        <w:tc>
          <w:tcPr>
            <w:tcW w:w="1162" w:type="dxa"/>
            <w:vAlign w:val="top"/>
          </w:tcPr>
          <w:p>
            <w:pPr>
              <w:pStyle w:val="TableText"/>
              <w:jc w:val="left"/>
            </w:pPr>
            <w:r>
              <w:t xml:space="preserve">2 to 4</w:t>
            </w:r>
          </w:p>
        </w:tc>
        <w:tc>
          <w:tcPr>
            <w:tcW w:w="5149" w:type="dxa"/>
            <w:vAlign w:val="top"/>
          </w:tcPr>
          <w:p>
            <w:pPr>
              <w:pStyle w:val="TableText"/>
              <w:jc w:val="left"/>
            </w:pPr>
            <w:r>
              <w:t xml:space="preserve">Change behaviour through the rules studio without code</w:t>
            </w:r>
          </w:p>
        </w:tc>
      </w:tr>
      <w:tr>
        <w:trPr>
          <w:cantSplit/>
        </w:trPr>
        <w:tc>
          <w:tcPr>
            <w:tcW w:w="2716" w:type="dxa"/>
            <w:shd w:val="clear" w:color="auto" w:fill="F4F7FB"/>
            <w:vAlign w:val="top"/>
          </w:tcPr>
          <w:p>
            <w:pPr>
              <w:pStyle w:val="TableText"/>
              <w:jc w:val="left"/>
            </w:pPr>
            <w:r>
              <w:t xml:space="preserve">Rule approvers and compliance</w:t>
            </w:r>
          </w:p>
        </w:tc>
        <w:tc>
          <w:tcPr>
            <w:tcW w:w="1162" w:type="dxa"/>
            <w:shd w:val="clear" w:color="auto" w:fill="F4F7FB"/>
            <w:vAlign w:val="top"/>
          </w:tcPr>
          <w:p>
            <w:pPr>
              <w:pStyle w:val="TableText"/>
              <w:jc w:val="left"/>
            </w:pPr>
            <w:r>
              <w:t xml:space="preserve">2 to 3</w:t>
            </w:r>
          </w:p>
        </w:tc>
        <w:tc>
          <w:tcPr>
            <w:tcW w:w="5149" w:type="dxa"/>
            <w:shd w:val="clear" w:color="auto" w:fill="F4F7FB"/>
            <w:vAlign w:val="top"/>
          </w:tcPr>
          <w:p>
            <w:pPr>
              <w:pStyle w:val="TableText"/>
              <w:jc w:val="left"/>
            </w:pPr>
            <w:r>
              <w:t xml:space="preserve">Approve changes, use the audit trail, handle data subject requests</w:t>
            </w:r>
          </w:p>
        </w:tc>
      </w:tr>
      <w:tr>
        <w:trPr>
          <w:cantSplit/>
        </w:trPr>
        <w:tc>
          <w:tcPr>
            <w:tcW w:w="2716" w:type="dxa"/>
            <w:vAlign w:val="top"/>
          </w:tcPr>
          <w:p>
            <w:pPr>
              <w:pStyle w:val="TableText"/>
              <w:jc w:val="left"/>
            </w:pPr>
            <w:r>
              <w:t xml:space="preserve">Security</w:t>
            </w:r>
          </w:p>
        </w:tc>
        <w:tc>
          <w:tcPr>
            <w:tcW w:w="1162" w:type="dxa"/>
            <w:vAlign w:val="top"/>
          </w:tcPr>
          <w:p>
            <w:pPr>
              <w:pStyle w:val="TableText"/>
              <w:jc w:val="left"/>
            </w:pPr>
            <w:r>
              <w:t xml:space="preserve">1</w:t>
            </w:r>
          </w:p>
        </w:tc>
        <w:tc>
          <w:tcPr>
            <w:tcW w:w="5149" w:type="dxa"/>
            <w:vAlign w:val="top"/>
          </w:tcPr>
          <w:p>
            <w:pPr>
              <w:pStyle w:val="TableText"/>
              <w:jc w:val="left"/>
            </w:pPr>
            <w:r>
              <w:t xml:space="preserve">Access reviews, key rotation, role changes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2" w:name="_Toc300000008"/>
      <w:r>
        <w:rPr>
          <w:rStyle w:val="BookTitle"/>
          <w:bCs w:val="0"/>
          <w:i w:val="0"/>
          <w:iCs w:val="0"/>
          <w:spacing w:val="0"/>
        </w:rPr>
        <w:t xml:space="preserve">Curriculum</w:t>
      </w:r>
      <w:bookmarkEnd w:id="12"/>
    </w:p>
    <w:p>
      <w:pPr>
        <w:pStyle w:val="Heading2"/>
      </w:pPr>
      <w:bookmarkStart w:id="13" w:name="_Toc300000009"/>
      <w:r>
        <w:t xml:space="preserve">Architecture foundations (all technical roles, one day)</w:t>
      </w:r>
      <w:bookmarkEnd w:id="1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094"/>
        <w:gridCol w:w="3933"/>
      </w:tblGrid>
      <w:tr>
        <w:trPr>
          <w:cantSplit/>
          <w:tblHeader/>
        </w:trPr>
        <w:tc>
          <w:tcPr>
            <w:tcW w:w="5094" w:type="dxa"/>
            <w:shd w:val="clear" w:color="auto" w:fill="0F4761"/>
            <w:vAlign w:val="center"/>
          </w:tcPr>
          <w:p>
            <w:pPr>
              <w:pStyle w:val="TableHeading"/>
              <w:jc w:val="left"/>
            </w:pPr>
            <w:r>
              <w:rPr>
                <w:color w:val="FFFFFF"/>
              </w:rPr>
              <w:t xml:space="preserve">Topic</w:t>
            </w:r>
          </w:p>
        </w:tc>
        <w:tc>
          <w:tcPr>
            <w:tcW w:w="3933" w:type="dxa"/>
            <w:shd w:val="clear" w:color="auto" w:fill="0F4761"/>
            <w:vAlign w:val="center"/>
          </w:tcPr>
          <w:p>
            <w:pPr>
              <w:pStyle w:val="TableHeading"/>
              <w:jc w:val="left"/>
            </w:pPr>
            <w:r>
              <w:rPr>
                <w:color w:val="FFFFFF"/>
              </w:rPr>
              <w:t xml:space="preserve">Where in the code</w:t>
            </w:r>
          </w:p>
        </w:tc>
      </w:tr>
      <w:tr>
        <w:trPr>
          <w:cantSplit/>
        </w:trPr>
        <w:tc>
          <w:tcPr>
            <w:tcW w:w="5094" w:type="dxa"/>
            <w:vAlign w:val="top"/>
          </w:tcPr>
          <w:p>
            <w:pPr>
              <w:pStyle w:val="TableText"/>
              <w:jc w:val="left"/>
            </w:pPr>
            <w:r>
              <w:t xml:space="preserve">Layers: domain, application services, adapters, composition root</w:t>
            </w:r>
          </w:p>
        </w:tc>
        <w:tc>
          <w:tcPr>
            <w:tcW w:w="3933" w:type="dxa"/>
            <w:vAlign w:val="top"/>
          </w:tcPr>
          <w:p>
            <w:pPr>
              <w:pStyle w:val="TableText"/>
              <w:jc w:val="left"/>
            </w:pPr>
            <w:r>
              <w:rPr>
                <w:rStyle w:val="CodeChar"/>
              </w:rPr>
              <w:t xml:space="preserve">src/domain</w:t>
            </w:r>
            <w:r>
              <w:t xml:space="preserve">,</w:t>
            </w:r>
            <w:r>
              <w:t xml:space="preserve"> </w:t>
            </w:r>
            <w:r>
              <w:rPr>
                <w:rStyle w:val="CodeChar"/>
              </w:rPr>
              <w:t xml:space="preserve">src/application</w:t>
            </w:r>
            <w:r>
              <w:t xml:space="preserve">,</w:t>
            </w:r>
            <w:r>
              <w:t xml:space="preserve"> </w:t>
            </w:r>
            <w:r>
              <w:rPr>
                <w:rStyle w:val="CodeChar"/>
              </w:rPr>
              <w:t xml:space="preserve">src/adapters</w:t>
            </w:r>
            <w:r>
              <w:t xml:space="preserve">,</w:t>
            </w:r>
            <w:r>
              <w:t xml:space="preserve"> </w:t>
            </w:r>
            <w:r>
              <w:rPr>
                <w:rStyle w:val="CodeChar"/>
              </w:rPr>
              <w:t xml:space="preserve">src/bootstrap/container.js</w:t>
            </w:r>
          </w:p>
        </w:tc>
      </w:tr>
      <w:tr>
        <w:trPr>
          <w:cantSplit/>
        </w:trPr>
        <w:tc>
          <w:tcPr>
            <w:tcW w:w="5094" w:type="dxa"/>
            <w:shd w:val="clear" w:color="auto" w:fill="F4F7FB"/>
            <w:vAlign w:val="top"/>
          </w:tcPr>
          <w:p>
            <w:pPr>
              <w:pStyle w:val="TableText"/>
              <w:jc w:val="left"/>
            </w:pPr>
            <w:r>
              <w:t xml:space="preserve">HTTP layer: 103 routes (6 public, 82 staff, 11 customer, 4 partner), permissions, validation, rate limits, idempotency, OpenAPI (92 paths)</w:t>
            </w:r>
          </w:p>
        </w:tc>
        <w:tc>
          <w:tcPr>
            <w:tcW w:w="3933" w:type="dxa"/>
            <w:shd w:val="clear" w:color="auto" w:fill="F4F7FB"/>
            <w:vAlign w:val="top"/>
          </w:tcPr>
          <w:p>
            <w:pPr>
              <w:pStyle w:val="TableText"/>
              <w:jc w:val="left"/>
            </w:pPr>
            <w:r>
              <w:rPr>
                <w:rStyle w:val="CodeChar"/>
              </w:rPr>
              <w:t xml:space="preserve">src/adapters/http/routes.js</w:t>
            </w:r>
            <w:r>
              <w:t xml:space="preserve">,</w:t>
            </w:r>
            <w:r>
              <w:t xml:space="preserve"> </w:t>
            </w:r>
            <w:r>
              <w:rPr>
                <w:rStyle w:val="CodeChar"/>
              </w:rPr>
              <w:t xml:space="preserve">app.js</w:t>
            </w:r>
            <w:r>
              <w:t xml:space="preserve">,</w:t>
            </w:r>
            <w:r>
              <w:t xml:space="preserve"> </w:t>
            </w:r>
            <w:r>
              <w:rPr>
                <w:rStyle w:val="CodeChar"/>
              </w:rPr>
              <w:t xml:space="preserve">openapi.js</w:t>
            </w:r>
          </w:p>
        </w:tc>
      </w:tr>
      <w:tr>
        <w:trPr>
          <w:cantSplit/>
        </w:trPr>
        <w:tc>
          <w:tcPr>
            <w:tcW w:w="5094" w:type="dxa"/>
            <w:vAlign w:val="top"/>
          </w:tcPr>
          <w:p>
            <w:pPr>
              <w:pStyle w:val="TableText"/>
              <w:jc w:val="left"/>
            </w:pPr>
            <w:r>
              <w:t xml:space="preserve">Persistence: PostgreSQL store, field encryption and blind indexes; three numbered migrations (</w:t>
            </w:r>
            <w:r>
              <w:rPr>
                <w:rStyle w:val="CodeChar"/>
              </w:rPr>
              <w:t xml:space="preserve">001_init.sql</w:t>
            </w:r>
            <w:r>
              <w:t xml:space="preserve">,</w:t>
            </w:r>
            <w:r>
              <w:t xml:space="preserve"> </w:t>
            </w:r>
            <w:r>
              <w:rPr>
                <w:rStyle w:val="CodeChar"/>
              </w:rPr>
              <w:t xml:space="preserve">002_integrity_hardening.sql</w:t>
            </w:r>
            <w:r>
              <w:t xml:space="preserve">,</w:t>
            </w:r>
            <w:r>
              <w:t xml:space="preserve"> </w:t>
            </w:r>
            <w:r>
              <w:rPr>
                <w:rStyle w:val="CodeChar"/>
              </w:rPr>
              <w:t xml:space="preserve">003_dsar_requests.sql</w:t>
            </w:r>
            <w:r>
              <w:t xml:space="preserve"> </w:t>
            </w:r>
            <w:r>
              <w:t xml:space="preserve">for the data requests register) applied under an advisory lock and never edited once applied</w:t>
            </w:r>
          </w:p>
        </w:tc>
        <w:tc>
          <w:tcPr>
            <w:tcW w:w="3933" w:type="dxa"/>
            <w:vAlign w:val="top"/>
          </w:tcPr>
          <w:p>
            <w:pPr>
              <w:pStyle w:val="TableText"/>
              <w:jc w:val="left"/>
            </w:pPr>
            <w:r>
              <w:rPr>
                <w:rStyle w:val="CodeChar"/>
              </w:rPr>
              <w:t xml:space="preserve">src/adapters/persistence</w:t>
            </w:r>
            <w:r>
              <w:t xml:space="preserve">,</w:t>
            </w:r>
            <w:r>
              <w:t xml:space="preserve"> </w:t>
            </w:r>
            <w:r>
              <w:rPr>
                <w:rStyle w:val="CodeChar"/>
              </w:rPr>
              <w:t xml:space="preserve">db/migrations</w:t>
            </w:r>
          </w:p>
        </w:tc>
      </w:tr>
      <w:tr>
        <w:trPr>
          <w:cantSplit/>
        </w:trPr>
        <w:tc>
          <w:tcPr>
            <w:tcW w:w="5094" w:type="dxa"/>
            <w:shd w:val="clear" w:color="auto" w:fill="F4F7FB"/>
            <w:vAlign w:val="top"/>
          </w:tcPr>
          <w:p>
            <w:pPr>
              <w:pStyle w:val="TableText"/>
              <w:jc w:val="left"/>
            </w:pPr>
            <w:r>
              <w:t xml:space="preserve">Events: transactional outbox and relay</w:t>
            </w:r>
          </w:p>
        </w:tc>
        <w:tc>
          <w:tcPr>
            <w:tcW w:w="3933" w:type="dxa"/>
            <w:shd w:val="clear" w:color="auto" w:fill="F4F7FB"/>
            <w:vAlign w:val="top"/>
          </w:tcPr>
          <w:p>
            <w:pPr>
              <w:pStyle w:val="TableText"/>
              <w:jc w:val="left"/>
            </w:pPr>
            <w:r>
              <w:rPr>
                <w:rStyle w:val="CodeChar"/>
              </w:rPr>
              <w:t xml:space="preserve">src/adapters/messaging/outboxEventBus.js</w:t>
            </w:r>
          </w:p>
        </w:tc>
      </w:tr>
      <w:tr>
        <w:trPr>
          <w:cantSplit/>
        </w:trPr>
        <w:tc>
          <w:tcPr>
            <w:tcW w:w="5094" w:type="dxa"/>
            <w:vAlign w:val="top"/>
          </w:tcPr>
          <w:p>
            <w:pPr>
              <w:pStyle w:val="TableText"/>
              <w:jc w:val="left"/>
            </w:pPr>
            <w:r>
              <w:t xml:space="preserve">Security: roles and separation of duties, attribute-based access, MFA self-enrolment, lockout, token revocation, scoped partner keys</w:t>
            </w:r>
          </w:p>
        </w:tc>
        <w:tc>
          <w:tcPr>
            <w:tcW w:w="3933" w:type="dxa"/>
            <w:vAlign w:val="top"/>
          </w:tcPr>
          <w:p>
            <w:pPr>
              <w:pStyle w:val="TableText"/>
              <w:jc w:val="left"/>
            </w:pPr>
            <w:r>
              <w:rPr>
                <w:rStyle w:val="CodeChar"/>
              </w:rPr>
              <w:t xml:space="preserve">config/security/rbac.json</w:t>
            </w:r>
            <w:r>
              <w:t xml:space="preserve">,</w:t>
            </w:r>
            <w:r>
              <w:t xml:space="preserve"> </w:t>
            </w:r>
            <w:r>
              <w:rPr>
                <w:rStyle w:val="CodeChar"/>
              </w:rPr>
              <w:t xml:space="preserve">src/application/identityService.js</w:t>
            </w:r>
            <w:r>
              <w:t xml:space="preserve">,</w:t>
            </w:r>
            <w:r>
              <w:t xml:space="preserve"> </w:t>
            </w:r>
            <w:r>
              <w:rPr>
                <w:rStyle w:val="CodeChar"/>
              </w:rPr>
              <w:t xml:space="preserve">accessPolicy.js</w:t>
            </w:r>
          </w:p>
        </w:tc>
      </w:tr>
      <w:tr>
        <w:trPr>
          <w:cantSplit/>
        </w:trPr>
        <w:tc>
          <w:tcPr>
            <w:tcW w:w="5094" w:type="dxa"/>
            <w:shd w:val="clear" w:color="auto" w:fill="F4F7FB"/>
            <w:vAlign w:val="top"/>
          </w:tcPr>
          <w:p>
            <w:pPr>
              <w:pStyle w:val="TableText"/>
              <w:jc w:val="left"/>
            </w:pPr>
            <w:r>
              <w:t xml:space="preserve">Audit trail: hash chain and verification</w:t>
            </w:r>
          </w:p>
        </w:tc>
        <w:tc>
          <w:tcPr>
            <w:tcW w:w="3933" w:type="dxa"/>
            <w:shd w:val="clear" w:color="auto" w:fill="F4F7FB"/>
            <w:vAlign w:val="top"/>
          </w:tcPr>
          <w:p>
            <w:pPr>
              <w:pStyle w:val="TableText"/>
              <w:jc w:val="left"/>
            </w:pPr>
            <w:r>
              <w:rPr>
                <w:rStyle w:val="CodeChar"/>
              </w:rPr>
              <w:t xml:space="preserve">src/application/auditService.js</w:t>
            </w:r>
          </w:p>
        </w:tc>
      </w:tr>
      <w:tr>
        <w:trPr>
          <w:cantSplit/>
        </w:trPr>
        <w:tc>
          <w:tcPr>
            <w:tcW w:w="5094" w:type="dxa"/>
            <w:vAlign w:val="top"/>
          </w:tcPr>
          <w:p>
            <w:pPr>
              <w:pStyle w:val="TableText"/>
              <w:jc w:val="left"/>
            </w:pPr>
            <w:r>
              <w:t xml:space="preserve">Configuration and secrets</w:t>
            </w:r>
          </w:p>
        </w:tc>
        <w:tc>
          <w:tcPr>
            <w:tcW w:w="3933" w:type="dxa"/>
            <w:vAlign w:val="top"/>
          </w:tcPr>
          <w:p>
            <w:pPr>
              <w:pStyle w:val="TableText"/>
              <w:jc w:val="left"/>
            </w:pPr>
            <w:r>
              <w:rPr>
                <w:rStyle w:val="CodeChar"/>
              </w:rPr>
              <w:t xml:space="preserve">src/shared/config.js</w:t>
            </w:r>
          </w:p>
        </w:tc>
      </w:tr>
      <w:tr>
        <w:trPr>
          <w:cantSplit/>
        </w:trPr>
        <w:tc>
          <w:tcPr>
            <w:tcW w:w="5094" w:type="dxa"/>
            <w:shd w:val="clear" w:color="auto" w:fill="F4F7FB"/>
            <w:vAlign w:val="top"/>
          </w:tcPr>
          <w:p>
            <w:pPr>
              <w:pStyle w:val="TableText"/>
              <w:jc w:val="left"/>
            </w:pPr>
            <w:r>
              <w:t xml:space="preserve">Resilience: timeouts, retries, circuit breakers, saga compensation on failed issuance</w:t>
            </w:r>
          </w:p>
        </w:tc>
        <w:tc>
          <w:tcPr>
            <w:tcW w:w="3933" w:type="dxa"/>
            <w:shd w:val="clear" w:color="auto" w:fill="F4F7FB"/>
            <w:vAlign w:val="top"/>
          </w:tcPr>
          <w:p>
            <w:pPr>
              <w:pStyle w:val="TableText"/>
              <w:jc w:val="left"/>
            </w:pPr>
            <w:r>
              <w:rPr>
                <w:rStyle w:val="CodeChar"/>
              </w:rPr>
              <w:t xml:space="preserve">src/shared/resilience.js</w:t>
            </w:r>
            <w:r>
              <w:t xml:space="preserve">,</w:t>
            </w:r>
            <w:r>
              <w:t xml:space="preserve"> </w:t>
            </w:r>
            <w:r>
              <w:rPr>
                <w:rStyle w:val="CodeChar"/>
              </w:rPr>
              <w:t xml:space="preserve">src/application/salesService.js</w:t>
            </w:r>
          </w:p>
        </w:tc>
      </w:tr>
    </w:tbl>
    <w:p>
      <w:pPr>
        <w:pStyle w:val="Heading2"/>
      </w:pPr>
      <w:bookmarkStart w:id="14" w:name="_Toc300000010"/>
      <w:r>
        <w:t xml:space="preserve">TASCO core integration (engineers and operations, half a day)</w:t>
      </w:r>
      <w:bookmarkEnd w:id="14"/>
    </w:p>
    <w:p>
      <w:pPr>
        <w:pStyle w:val="FirstParagraph"/>
      </w:pPr>
      <w:r>
        <w:t xml:space="preserve">TASCO core is the master for products and rating. This module covers how the platform uses it.</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5094"/>
        <w:gridCol w:w="3933"/>
      </w:tblGrid>
      <w:tr>
        <w:trPr>
          <w:cantSplit/>
          <w:tblHeader/>
        </w:trPr>
        <w:tc>
          <w:tcPr>
            <w:tcW w:w="5094" w:type="dxa"/>
            <w:shd w:val="clear" w:color="auto" w:fill="0F4761"/>
            <w:vAlign w:val="center"/>
          </w:tcPr>
          <w:p>
            <w:pPr>
              <w:pStyle w:val="TableHeading"/>
              <w:jc w:val="left"/>
            </w:pPr>
            <w:r>
              <w:rPr>
                <w:color w:val="FFFFFF"/>
              </w:rPr>
              <w:t xml:space="preserve">Topic</w:t>
            </w:r>
          </w:p>
        </w:tc>
        <w:tc>
          <w:tcPr>
            <w:tcW w:w="3933" w:type="dxa"/>
            <w:shd w:val="clear" w:color="auto" w:fill="0F4761"/>
            <w:vAlign w:val="center"/>
          </w:tcPr>
          <w:p>
            <w:pPr>
              <w:pStyle w:val="TableHeading"/>
              <w:jc w:val="left"/>
            </w:pPr>
            <w:r>
              <w:rPr>
                <w:color w:val="FFFFFF"/>
              </w:rPr>
              <w:t xml:space="preserve">Where in the code</w:t>
            </w:r>
          </w:p>
        </w:tc>
      </w:tr>
      <w:tr>
        <w:trPr>
          <w:cantSplit/>
        </w:trPr>
        <w:tc>
          <w:tcPr>
            <w:tcW w:w="5094" w:type="dxa"/>
            <w:vAlign w:val="top"/>
          </w:tcPr>
          <w:p>
            <w:pPr>
              <w:pStyle w:val="TableText"/>
              <w:jc w:val="left"/>
            </w:pPr>
            <w:r>
              <w:t xml:space="preserve">CoreRating and ProductCatalogue ports, and how the container chooses the real client or the simulated core</w:t>
            </w:r>
          </w:p>
        </w:tc>
        <w:tc>
          <w:tcPr>
            <w:tcW w:w="3933" w:type="dxa"/>
            <w:vAlign w:val="top"/>
          </w:tcPr>
          <w:p>
            <w:pPr>
              <w:pStyle w:val="TableText"/>
              <w:jc w:val="left"/>
            </w:pPr>
            <w:r>
              <w:rPr>
                <w:rStyle w:val="CodeChar"/>
              </w:rPr>
              <w:t xml:space="preserve">src/bootstrap/container.js</w:t>
            </w:r>
            <w:r>
              <w:t xml:space="preserve"> </w:t>
            </w:r>
            <w:r>
              <w:t xml:space="preserve">(</w:t>
            </w:r>
            <w:r>
              <w:rPr>
                <w:rStyle w:val="CodeChar"/>
              </w:rPr>
              <w:t xml:space="preserve">coreGateways</w:t>
            </w:r>
            <w:r>
              <w:t xml:space="preserve">)</w:t>
            </w:r>
          </w:p>
        </w:tc>
      </w:tr>
      <w:tr>
        <w:trPr>
          <w:cantSplit/>
        </w:trPr>
        <w:tc>
          <w:tcPr>
            <w:tcW w:w="5094" w:type="dxa"/>
            <w:shd w:val="clear" w:color="auto" w:fill="F4F7FB"/>
            <w:vAlign w:val="top"/>
          </w:tcPr>
          <w:p>
            <w:pPr>
              <w:pStyle w:val="TableText"/>
              <w:jc w:val="left"/>
            </w:pPr>
            <w:r>
              <w:t xml:space="preserve">Rating source setting:</w:t>
            </w:r>
            <w:r>
              <w:t xml:space="preserve"> </w:t>
            </w:r>
            <w:r>
              <w:rPr>
                <w:rStyle w:val="CodeChar"/>
              </w:rPr>
              <w:t xml:space="preserve">rules</w:t>
            </w:r>
            <w:r>
              <w:t xml:space="preserve">,</w:t>
            </w:r>
            <w:r>
              <w:t xml:space="preserve"> </w:t>
            </w:r>
            <w:r>
              <w:rPr>
                <w:rStyle w:val="CodeChar"/>
              </w:rPr>
              <w:t xml:space="preserve">core</w:t>
            </w:r>
            <w:r>
              <w:t xml:space="preserve"> </w:t>
            </w:r>
            <w:r>
              <w:t xml:space="preserve">or</w:t>
            </w:r>
            <w:r>
              <w:t xml:space="preserve"> </w:t>
            </w:r>
            <w:r>
              <w:rPr>
                <w:rStyle w:val="CodeChar"/>
              </w:rPr>
              <w:t xml:space="preserve">core_with_fallback</w:t>
            </w:r>
            <w:r>
              <w:t xml:space="preserve">; production refuses local rating without explicit approval</w:t>
            </w:r>
          </w:p>
        </w:tc>
        <w:tc>
          <w:tcPr>
            <w:tcW w:w="3933" w:type="dxa"/>
            <w:shd w:val="clear" w:color="auto" w:fill="F4F7FB"/>
            <w:vAlign w:val="top"/>
          </w:tcPr>
          <w:p>
            <w:pPr>
              <w:pStyle w:val="TableText"/>
              <w:jc w:val="left"/>
            </w:pPr>
            <w:r>
              <w:rPr>
                <w:rStyle w:val="CodeChar"/>
              </w:rPr>
              <w:t xml:space="preserve">src/application/ratingService.js</w:t>
            </w:r>
            <w:r>
              <w:t xml:space="preserve">,</w:t>
            </w:r>
            <w:r>
              <w:t xml:space="preserve"> </w:t>
            </w:r>
            <w:r>
              <w:rPr>
                <w:rStyle w:val="CodeChar"/>
              </w:rPr>
              <w:t xml:space="preserve">src/shared/config.js</w:t>
            </w:r>
          </w:p>
        </w:tc>
      </w:tr>
      <w:tr>
        <w:trPr>
          <w:cantSplit/>
        </w:trPr>
        <w:tc>
          <w:tcPr>
            <w:tcW w:w="5094" w:type="dxa"/>
            <w:vAlign w:val="top"/>
          </w:tcPr>
          <w:p>
            <w:pPr>
              <w:pStyle w:val="TableText"/>
              <w:jc w:val="left"/>
            </w:pPr>
            <w:r>
              <w:t xml:space="preserve">Production REST client: OAuth 2.0 client credentials, idempotency key and request id on every call, response checks. Endpoint paths are assumptions until TASCO’s specification arrives.</w:t>
            </w:r>
          </w:p>
        </w:tc>
        <w:tc>
          <w:tcPr>
            <w:tcW w:w="3933" w:type="dxa"/>
            <w:vAlign w:val="top"/>
          </w:tcPr>
          <w:p>
            <w:pPr>
              <w:pStyle w:val="TableText"/>
              <w:jc w:val="left"/>
            </w:pPr>
            <w:r>
              <w:rPr>
                <w:rStyle w:val="CodeChar"/>
              </w:rPr>
              <w:t xml:space="preserve">src/adapters/integrations/tascoCoreRatingClient.js</w:t>
            </w:r>
          </w:p>
        </w:tc>
      </w:tr>
      <w:tr>
        <w:trPr>
          <w:cantSplit/>
        </w:trPr>
        <w:tc>
          <w:tcPr>
            <w:tcW w:w="5094" w:type="dxa"/>
            <w:shd w:val="clear" w:color="auto" w:fill="F4F7FB"/>
            <w:vAlign w:val="top"/>
          </w:tcPr>
          <w:p>
            <w:pPr>
              <w:pStyle w:val="TableText"/>
              <w:jc w:val="left"/>
            </w:pPr>
            <w:r>
              <w:t xml:space="preserve">Simulated core used in sandbox and UAT</w:t>
            </w:r>
          </w:p>
        </w:tc>
        <w:tc>
          <w:tcPr>
            <w:tcW w:w="3933" w:type="dxa"/>
            <w:shd w:val="clear" w:color="auto" w:fill="F4F7FB"/>
            <w:vAlign w:val="top"/>
          </w:tcPr>
          <w:p>
            <w:pPr>
              <w:pStyle w:val="TableText"/>
              <w:jc w:val="left"/>
            </w:pPr>
            <w:r>
              <w:rPr>
                <w:rStyle w:val="CodeChar"/>
              </w:rPr>
              <w:t xml:space="preserve">src/adapters/integrations/simulatedTascoCore.js</w:t>
            </w:r>
          </w:p>
        </w:tc>
      </w:tr>
      <w:tr>
        <w:trPr>
          <w:cantSplit/>
        </w:trPr>
        <w:tc>
          <w:tcPr>
            <w:tcW w:w="5094" w:type="dxa"/>
            <w:vAlign w:val="top"/>
          </w:tcPr>
          <w:p>
            <w:pPr>
              <w:pStyle w:val="TableText"/>
              <w:jc w:val="left"/>
            </w:pPr>
            <w:r>
              <w:t xml:space="preserve">Data minimisation: rating requests carry risk attributes only; identity goes to core at issuance with the core quote reference</w:t>
            </w:r>
          </w:p>
        </w:tc>
        <w:tc>
          <w:tcPr>
            <w:tcW w:w="3933" w:type="dxa"/>
            <w:vAlign w:val="top"/>
          </w:tcPr>
          <w:p>
            <w:pPr>
              <w:pStyle w:val="TableText"/>
              <w:jc w:val="left"/>
            </w:pPr>
            <w:r>
              <w:rPr>
                <w:rStyle w:val="CodeChar"/>
              </w:rPr>
              <w:t xml:space="preserve">src/application/salesService.js</w:t>
            </w:r>
          </w:p>
        </w:tc>
      </w:tr>
      <w:tr>
        <w:trPr>
          <w:cantSplit/>
        </w:trPr>
        <w:tc>
          <w:tcPr>
            <w:tcW w:w="5094" w:type="dxa"/>
            <w:shd w:val="clear" w:color="auto" w:fill="F4F7FB"/>
            <w:vAlign w:val="top"/>
          </w:tcPr>
          <w:p>
            <w:pPr>
              <w:pStyle w:val="TableText"/>
              <w:jc w:val="left"/>
            </w:pPr>
            <w:r>
              <w:t xml:space="preserve">Indicative quotes: cannot be paid until re-rated through</w:t>
            </w:r>
            <w:r>
              <w:t xml:space="preserve"> </w:t>
            </w:r>
            <w:r>
              <w:rPr>
                <w:rStyle w:val="CodeChar"/>
              </w:rPr>
              <w:t xml:space="preserve">POST /api/quotes/:id/rerate</w:t>
            </w:r>
            <w:r>
              <w:t xml:space="preserve"> </w:t>
            </w:r>
            <w:r>
              <w:t xml:space="preserve">or</w:t>
            </w:r>
            <w:r>
              <w:t xml:space="preserve"> </w:t>
            </w:r>
            <w:r>
              <w:rPr>
                <w:rStyle w:val="CodeChar"/>
              </w:rPr>
              <w:t xml:space="preserve">POST /api/customer/quotes/:id/rerate</w:t>
            </w:r>
          </w:p>
        </w:tc>
        <w:tc>
          <w:tcPr>
            <w:tcW w:w="3933" w:type="dxa"/>
            <w:shd w:val="clear" w:color="auto" w:fill="F4F7FB"/>
            <w:vAlign w:val="top"/>
          </w:tcPr>
          <w:p>
            <w:pPr>
              <w:pStyle w:val="TableText"/>
              <w:jc w:val="left"/>
            </w:pPr>
            <w:r>
              <w:rPr>
                <w:rStyle w:val="CodeChar"/>
              </w:rPr>
              <w:t xml:space="preserve">src/application/salesService.js</w:t>
            </w:r>
            <w:r>
              <w:t xml:space="preserve"> </w:t>
            </w:r>
            <w:r>
              <w:t xml:space="preserve">(</w:t>
            </w:r>
            <w:r>
              <w:rPr>
                <w:rStyle w:val="CodeChar"/>
              </w:rPr>
              <w:t xml:space="preserve">rerate</w:t>
            </w:r>
            <w:r>
              <w:t xml:space="preserve">)</w:t>
            </w:r>
          </w:p>
        </w:tc>
      </w:tr>
      <w:tr>
        <w:trPr>
          <w:cantSplit/>
        </w:trPr>
        <w:tc>
          <w:tcPr>
            <w:tcW w:w="5094" w:type="dxa"/>
            <w:vAlign w:val="top"/>
          </w:tcPr>
          <w:p>
            <w:pPr>
              <w:pStyle w:val="TableText"/>
              <w:jc w:val="left"/>
            </w:pPr>
            <w:r>
              <w:t xml:space="preserve">Catalogue sync job</w:t>
            </w:r>
            <w:r>
              <w:t xml:space="preserve"> </w:t>
            </w:r>
            <w:r>
              <w:rPr>
                <w:rStyle w:val="CodeChar"/>
              </w:rPr>
              <w:t xml:space="preserve">sync-catalogue</w:t>
            </w:r>
            <w:r>
              <w:t xml:space="preserve"> </w:t>
            </w:r>
            <w:r>
              <w:t xml:space="preserve">at 01:00 Vietnam time: proposes product changes as a draft for maker-checker approval, never activates them</w:t>
            </w:r>
          </w:p>
        </w:tc>
        <w:tc>
          <w:tcPr>
            <w:tcW w:w="3933" w:type="dxa"/>
            <w:vAlign w:val="top"/>
          </w:tcPr>
          <w:p>
            <w:pPr>
              <w:pStyle w:val="TableText"/>
              <w:jc w:val="left"/>
            </w:pPr>
            <w:r>
              <w:rPr>
                <w:rStyle w:val="CodeChar"/>
              </w:rPr>
              <w:t xml:space="preserve">src/application/catalogueService.js</w:t>
            </w:r>
            <w:r>
              <w:t xml:space="preserve">,</w:t>
            </w:r>
            <w:r>
              <w:t xml:space="preserve"> </w:t>
            </w:r>
            <w:r>
              <w:rPr>
                <w:rStyle w:val="CodeChar"/>
              </w:rPr>
              <w:t xml:space="preserve">src/jobs/cli.js</w:t>
            </w:r>
            <w:r>
              <w:t xml:space="preserve">,</w:t>
            </w:r>
            <w:r>
              <w:t xml:space="preserve"> </w:t>
            </w:r>
            <w:r>
              <w:rPr>
                <w:rStyle w:val="CodeChar"/>
              </w:rPr>
              <w:t xml:space="preserve">deploy/k8s/60-jobs.yaml</w:t>
            </w:r>
          </w:p>
        </w:tc>
      </w:tr>
      <w:tr>
        <w:trPr>
          <w:cantSplit/>
        </w:trPr>
        <w:tc>
          <w:tcPr>
            <w:tcW w:w="5094" w:type="dxa"/>
            <w:shd w:val="clear" w:color="auto" w:fill="F4F7FB"/>
            <w:vAlign w:val="top"/>
          </w:tcPr>
          <w:p>
            <w:pPr>
              <w:pStyle w:val="TableText"/>
              <w:jc w:val="left"/>
            </w:pPr>
            <w:r>
              <w:t xml:space="preserve">Integration status: rating source, circuit states, last catalogue sync</w:t>
            </w:r>
          </w:p>
        </w:tc>
        <w:tc>
          <w:tcPr>
            <w:tcW w:w="3933" w:type="dxa"/>
            <w:shd w:val="clear" w:color="auto" w:fill="F4F7FB"/>
            <w:vAlign w:val="top"/>
          </w:tcPr>
          <w:p>
            <w:pPr>
              <w:pStyle w:val="TableText"/>
              <w:jc w:val="left"/>
            </w:pPr>
            <w:r>
              <w:rPr>
                <w:rStyle w:val="CodeChar"/>
              </w:rPr>
              <w:t xml:space="preserve">GET /api/integrations/status</w:t>
            </w:r>
          </w:p>
        </w:tc>
      </w:tr>
      <w:tr>
        <w:trPr>
          <w:cantSplit/>
        </w:trPr>
        <w:tc>
          <w:tcPr>
            <w:tcW w:w="5094" w:type="dxa"/>
            <w:vAlign w:val="top"/>
          </w:tcPr>
          <w:p>
            <w:pPr>
              <w:pStyle w:val="TableText"/>
              <w:jc w:val="left"/>
            </w:pPr>
            <w:r>
              <w:t xml:space="preserve">Policy issuance: still a sandbox adapter until TASCO’s issuance interface is specified</w:t>
            </w:r>
          </w:p>
        </w:tc>
        <w:tc>
          <w:tcPr>
            <w:tcW w:w="3933" w:type="dxa"/>
            <w:vAlign w:val="top"/>
          </w:tcPr>
          <w:p>
            <w:pPr>
              <w:pStyle w:val="TableText"/>
              <w:jc w:val="left"/>
            </w:pPr>
            <w:r>
              <w:rPr>
                <w:rStyle w:val="CodeChar"/>
              </w:rPr>
              <w:t xml:space="preserve">src/adapters/integrations/mockGateways.js</w:t>
            </w:r>
            <w:r>
              <w:t xml:space="preserve"> </w:t>
            </w:r>
            <w:r>
              <w:t xml:space="preserve">(</w:t>
            </w:r>
            <w:r>
              <w:rPr>
                <w:rStyle w:val="CodeChar"/>
              </w:rPr>
              <w:t xml:space="preserve">createTascoCoreGateway</w:t>
            </w:r>
            <w:r>
              <w:t xml:space="preserve">)</w:t>
            </w:r>
          </w:p>
        </w:tc>
      </w:tr>
    </w:tbl>
    <w:p>
      <w:pPr>
        <w:pStyle w:val="Heading2"/>
      </w:pPr>
      <w:bookmarkStart w:id="15" w:name="_Toc300000011"/>
      <w:r>
        <w:t xml:space="preserve">Domain walkthrough (engineers and business configurators, one day)</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510"/>
        <w:gridCol w:w="4517"/>
      </w:tblGrid>
      <w:tr>
        <w:trPr>
          <w:cantSplit/>
          <w:tblHeader/>
        </w:trPr>
        <w:tc>
          <w:tcPr>
            <w:tcW w:w="4510" w:type="dxa"/>
            <w:shd w:val="clear" w:color="auto" w:fill="0F4761"/>
            <w:vAlign w:val="center"/>
          </w:tcPr>
          <w:p>
            <w:pPr>
              <w:pStyle w:val="TableHeading"/>
              <w:jc w:val="left"/>
            </w:pPr>
            <w:r>
              <w:rPr>
                <w:color w:val="FFFFFF"/>
              </w:rPr>
              <w:t xml:space="preserve">Area</w:t>
            </w:r>
          </w:p>
        </w:tc>
        <w:tc>
          <w:tcPr>
            <w:tcW w:w="4517" w:type="dxa"/>
            <w:shd w:val="clear" w:color="auto" w:fill="0F4761"/>
            <w:vAlign w:val="center"/>
          </w:tcPr>
          <w:p>
            <w:pPr>
              <w:pStyle w:val="TableHeading"/>
              <w:jc w:val="left"/>
            </w:pPr>
            <w:r>
              <w:rPr>
                <w:color w:val="FFFFFF"/>
              </w:rPr>
              <w:t xml:space="preserve">Where in the code</w:t>
            </w:r>
          </w:p>
        </w:tc>
      </w:tr>
      <w:tr>
        <w:trPr>
          <w:cantSplit/>
        </w:trPr>
        <w:tc>
          <w:tcPr>
            <w:tcW w:w="4510" w:type="dxa"/>
            <w:vAlign w:val="top"/>
          </w:tcPr>
          <w:p>
            <w:pPr>
              <w:pStyle w:val="TableText"/>
              <w:jc w:val="left"/>
            </w:pPr>
            <w:r>
              <w:t xml:space="preserve">Vehicle identity and golden record</w:t>
            </w:r>
          </w:p>
        </w:tc>
        <w:tc>
          <w:tcPr>
            <w:tcW w:w="4517" w:type="dxa"/>
            <w:vAlign w:val="top"/>
          </w:tcPr>
          <w:p>
            <w:pPr>
              <w:pStyle w:val="TableText"/>
              <w:jc w:val="left"/>
            </w:pPr>
            <w:r>
              <w:rPr>
                <w:rStyle w:val="CodeChar"/>
              </w:rPr>
              <w:t xml:space="preserve">src/domain/identity.js</w:t>
            </w:r>
            <w:r>
              <w:t xml:space="preserve">,</w:t>
            </w:r>
            <w:r>
              <w:t xml:space="preserve"> </w:t>
            </w:r>
            <w:r>
              <w:rPr>
                <w:rStyle w:val="CodeChar"/>
              </w:rPr>
              <w:t xml:space="preserve">src/domain/enrichment.js</w:t>
            </w:r>
            <w:r>
              <w:t xml:space="preserve">,</w:t>
            </w:r>
            <w:r>
              <w:t xml:space="preserve"> </w:t>
            </w:r>
            <w:r>
              <w:rPr>
                <w:rStyle w:val="CodeChar"/>
              </w:rPr>
              <w:t xml:space="preserve">src/application/ingestionService.js</w:t>
            </w:r>
          </w:p>
        </w:tc>
      </w:tr>
      <w:tr>
        <w:trPr>
          <w:cantSplit/>
        </w:trPr>
        <w:tc>
          <w:tcPr>
            <w:tcW w:w="4510" w:type="dxa"/>
            <w:shd w:val="clear" w:color="auto" w:fill="F4F7FB"/>
            <w:vAlign w:val="top"/>
          </w:tcPr>
          <w:p>
            <w:pPr>
              <w:pStyle w:val="TableText"/>
              <w:jc w:val="left"/>
            </w:pPr>
            <w:r>
              <w:t xml:space="preserve">Lead scoring, next best action and journey placement</w:t>
            </w:r>
          </w:p>
        </w:tc>
        <w:tc>
          <w:tcPr>
            <w:tcW w:w="4517" w:type="dxa"/>
            <w:shd w:val="clear" w:color="auto" w:fill="F4F7FB"/>
            <w:vAlign w:val="top"/>
          </w:tcPr>
          <w:p>
            <w:pPr>
              <w:pStyle w:val="TableText"/>
              <w:jc w:val="left"/>
            </w:pPr>
            <w:r>
              <w:rPr>
                <w:rStyle w:val="CodeChar"/>
              </w:rPr>
              <w:t xml:space="preserve">src/domain/leads.js</w:t>
            </w:r>
            <w:r>
              <w:t xml:space="preserve">,</w:t>
            </w:r>
            <w:r>
              <w:t xml:space="preserve"> </w:t>
            </w:r>
            <w:r>
              <w:rPr>
                <w:rStyle w:val="CodeChar"/>
              </w:rPr>
              <w:t xml:space="preserve">src/application/leadService.js</w:t>
            </w:r>
          </w:p>
        </w:tc>
      </w:tr>
      <w:tr>
        <w:trPr>
          <w:cantSplit/>
        </w:trPr>
        <w:tc>
          <w:tcPr>
            <w:tcW w:w="4510" w:type="dxa"/>
            <w:vAlign w:val="top"/>
          </w:tcPr>
          <w:p>
            <w:pPr>
              <w:pStyle w:val="TableText"/>
              <w:jc w:val="left"/>
            </w:pPr>
            <w:r>
              <w:t xml:space="preserve">Journeys, contact rules and wording control</w:t>
            </w:r>
          </w:p>
        </w:tc>
        <w:tc>
          <w:tcPr>
            <w:tcW w:w="4517" w:type="dxa"/>
            <w:vAlign w:val="top"/>
          </w:tcPr>
          <w:p>
            <w:pPr>
              <w:pStyle w:val="TableText"/>
              <w:jc w:val="left"/>
            </w:pPr>
            <w:r>
              <w:rPr>
                <w:rStyle w:val="CodeChar"/>
              </w:rPr>
              <w:t xml:space="preserve">src/application/journeyService.js</w:t>
            </w:r>
            <w:r>
              <w:t xml:space="preserve">,</w:t>
            </w:r>
            <w:r>
              <w:t xml:space="preserve"> </w:t>
            </w:r>
            <w:r>
              <w:rPr>
                <w:rStyle w:val="CodeChar"/>
              </w:rPr>
              <w:t xml:space="preserve">src/domain/contactPolicy.js</w:t>
            </w:r>
          </w:p>
        </w:tc>
      </w:tr>
      <w:tr>
        <w:trPr>
          <w:cantSplit/>
        </w:trPr>
        <w:tc>
          <w:tcPr>
            <w:tcW w:w="4510" w:type="dxa"/>
            <w:shd w:val="clear" w:color="auto" w:fill="F4F7FB"/>
            <w:vAlign w:val="top"/>
          </w:tcPr>
          <w:p>
            <w:pPr>
              <w:pStyle w:val="TableText"/>
              <w:jc w:val="left"/>
            </w:pPr>
            <w:r>
              <w:t xml:space="preserve">Voice assistant dialogue and telesales handoff</w:t>
            </w:r>
          </w:p>
        </w:tc>
        <w:tc>
          <w:tcPr>
            <w:tcW w:w="4517" w:type="dxa"/>
            <w:shd w:val="clear" w:color="auto" w:fill="F4F7FB"/>
            <w:vAlign w:val="top"/>
          </w:tcPr>
          <w:p>
            <w:pPr>
              <w:pStyle w:val="TableText"/>
              <w:jc w:val="left"/>
            </w:pPr>
            <w:r>
              <w:rPr>
                <w:rStyle w:val="CodeChar"/>
              </w:rPr>
              <w:t xml:space="preserve">src/domain/voicebot.js</w:t>
            </w:r>
            <w:r>
              <w:t xml:space="preserve">,</w:t>
            </w:r>
            <w:r>
              <w:t xml:space="preserve"> </w:t>
            </w:r>
            <w:r>
              <w:rPr>
                <w:rStyle w:val="CodeChar"/>
              </w:rPr>
              <w:t xml:space="preserve">src/application/voiceService.js</w:t>
            </w:r>
          </w:p>
        </w:tc>
      </w:tr>
      <w:tr>
        <w:trPr>
          <w:cantSplit/>
        </w:trPr>
        <w:tc>
          <w:tcPr>
            <w:tcW w:w="4510" w:type="dxa"/>
            <w:vAlign w:val="top"/>
          </w:tcPr>
          <w:p>
            <w:pPr>
              <w:pStyle w:val="TableText"/>
              <w:jc w:val="left"/>
            </w:pPr>
            <w:r>
              <w:t xml:space="preserve">Quote, inspection for physical damage cover, customer payment, issuance, e-certificate</w:t>
            </w:r>
          </w:p>
        </w:tc>
        <w:tc>
          <w:tcPr>
            <w:tcW w:w="4517" w:type="dxa"/>
            <w:vAlign w:val="top"/>
          </w:tcPr>
          <w:p>
            <w:pPr>
              <w:pStyle w:val="TableText"/>
              <w:jc w:val="left"/>
            </w:pPr>
            <w:r>
              <w:rPr>
                <w:rStyle w:val="CodeChar"/>
              </w:rPr>
              <w:t xml:space="preserve">src/domain/rating.js</w:t>
            </w:r>
            <w:r>
              <w:t xml:space="preserve">,</w:t>
            </w:r>
            <w:r>
              <w:t xml:space="preserve"> </w:t>
            </w:r>
            <w:r>
              <w:rPr>
                <w:rStyle w:val="CodeChar"/>
              </w:rPr>
              <w:t xml:space="preserve">src/application/salesService.js</w:t>
            </w:r>
          </w:p>
        </w:tc>
      </w:tr>
      <w:tr>
        <w:trPr>
          <w:cantSplit/>
        </w:trPr>
        <w:tc>
          <w:tcPr>
            <w:tcW w:w="4510" w:type="dxa"/>
            <w:shd w:val="clear" w:color="auto" w:fill="F4F7FB"/>
            <w:vAlign w:val="top"/>
          </w:tcPr>
          <w:p>
            <w:pPr>
              <w:pStyle w:val="TableText"/>
              <w:jc w:val="left"/>
            </w:pPr>
            <w:r>
              <w:t xml:space="preserve">Partners and commission</w:t>
            </w:r>
          </w:p>
        </w:tc>
        <w:tc>
          <w:tcPr>
            <w:tcW w:w="4517" w:type="dxa"/>
            <w:shd w:val="clear" w:color="auto" w:fill="F4F7FB"/>
            <w:vAlign w:val="top"/>
          </w:tcPr>
          <w:p>
            <w:pPr>
              <w:pStyle w:val="TableText"/>
              <w:jc w:val="left"/>
            </w:pPr>
            <w:r>
              <w:rPr>
                <w:rStyle w:val="CodeChar"/>
              </w:rPr>
              <w:t xml:space="preserve">src/application/partnerService.js</w:t>
            </w:r>
          </w:p>
        </w:tc>
      </w:tr>
      <w:tr>
        <w:trPr>
          <w:cantSplit/>
        </w:trPr>
        <w:tc>
          <w:tcPr>
            <w:tcW w:w="4510" w:type="dxa"/>
            <w:vAlign w:val="top"/>
          </w:tcPr>
          <w:p>
            <w:pPr>
              <w:pStyle w:val="TableText"/>
              <w:jc w:val="left"/>
            </w:pPr>
            <w:r>
              <w:t xml:space="preserve">Claims first notice</w:t>
            </w:r>
          </w:p>
        </w:tc>
        <w:tc>
          <w:tcPr>
            <w:tcW w:w="4517" w:type="dxa"/>
            <w:vAlign w:val="top"/>
          </w:tcPr>
          <w:p>
            <w:pPr>
              <w:pStyle w:val="TableText"/>
              <w:jc w:val="left"/>
            </w:pPr>
            <w:r>
              <w:rPr>
                <w:rStyle w:val="CodeChar"/>
              </w:rPr>
              <w:t xml:space="preserve">src/application/claimsService.js</w:t>
            </w:r>
          </w:p>
        </w:tc>
      </w:tr>
      <w:tr>
        <w:trPr>
          <w:cantSplit/>
        </w:trPr>
        <w:tc>
          <w:tcPr>
            <w:tcW w:w="4510" w:type="dxa"/>
            <w:shd w:val="clear" w:color="auto" w:fill="F4F7FB"/>
            <w:vAlign w:val="top"/>
          </w:tcPr>
          <w:p>
            <w:pPr>
              <w:pStyle w:val="TableText"/>
              <w:jc w:val="left"/>
            </w:pPr>
            <w:r>
              <w:t xml:space="preserve">Customer self-service: home, consent, claims, data download</w:t>
            </w:r>
          </w:p>
        </w:tc>
        <w:tc>
          <w:tcPr>
            <w:tcW w:w="4517" w:type="dxa"/>
            <w:shd w:val="clear" w:color="auto" w:fill="F4F7FB"/>
            <w:vAlign w:val="top"/>
          </w:tcPr>
          <w:p>
            <w:pPr>
              <w:pStyle w:val="TableText"/>
              <w:jc w:val="left"/>
            </w:pPr>
            <w:r>
              <w:rPr>
                <w:rStyle w:val="CodeChar"/>
              </w:rPr>
              <w:t xml:space="preserve">src/application/customerService.js</w:t>
            </w:r>
          </w:p>
        </w:tc>
      </w:tr>
      <w:tr>
        <w:trPr>
          <w:cantSplit/>
        </w:trPr>
        <w:tc>
          <w:tcPr>
            <w:tcW w:w="4510" w:type="dxa"/>
            <w:vAlign w:val="top"/>
          </w:tcPr>
          <w:p>
            <w:pPr>
              <w:pStyle w:val="TableText"/>
              <w:jc w:val="left"/>
            </w:pPr>
            <w:r>
              <w:t xml:space="preserve">Quick-renewal eligibility from the service-level rule set (</w:t>
            </w:r>
            <w:r>
              <w:rPr>
                <w:rStyle w:val="CodeChar"/>
              </w:rPr>
              <w:t xml:space="preserve">quickRenewal</w:t>
            </w:r>
            <w:r>
              <w:t xml:space="preserve">): journey, vehicle confirmation, cover, price source, wallet balance</w:t>
            </w:r>
          </w:p>
        </w:tc>
        <w:tc>
          <w:tcPr>
            <w:tcW w:w="4517" w:type="dxa"/>
            <w:vAlign w:val="top"/>
          </w:tcPr>
          <w:p>
            <w:pPr>
              <w:pStyle w:val="TableText"/>
              <w:jc w:val="left"/>
            </w:pPr>
            <w:r>
              <w:rPr>
                <w:rStyle w:val="CodeChar"/>
              </w:rPr>
              <w:t xml:space="preserve">src/domain/quickRenewal.js</w:t>
            </w:r>
            <w:r>
              <w:t xml:space="preserve">,</w:t>
            </w:r>
            <w:r>
              <w:t xml:space="preserve"> </w:t>
            </w:r>
            <w:r>
              <w:rPr>
                <w:rStyle w:val="CodeChar"/>
              </w:rPr>
              <w:t xml:space="preserve">config/rules/service_levels.json</w:t>
            </w:r>
          </w:p>
        </w:tc>
      </w:tr>
      <w:tr>
        <w:trPr>
          <w:cantSplit/>
        </w:trPr>
        <w:tc>
          <w:tcPr>
            <w:tcW w:w="4510" w:type="dxa"/>
            <w:shd w:val="clear" w:color="auto" w:fill="F4F7FB"/>
            <w:vAlign w:val="top"/>
          </w:tcPr>
          <w:p>
            <w:pPr>
              <w:pStyle w:val="TableText"/>
              <w:jc w:val="left"/>
            </w:pPr>
            <w:r>
              <w:t xml:space="preserve">Data requests register: log, verify identity, export, erase or refuse, response time (</w:t>
            </w:r>
            <w:r>
              <w:rPr>
                <w:rStyle w:val="CodeChar"/>
              </w:rPr>
              <w:t xml:space="preserve">dsarResponseHours</w:t>
            </w:r>
            <w:r>
              <w:t xml:space="preserve">), timeline and audit</w:t>
            </w:r>
          </w:p>
        </w:tc>
        <w:tc>
          <w:tcPr>
            <w:tcW w:w="4517" w:type="dxa"/>
            <w:shd w:val="clear" w:color="auto" w:fill="F4F7FB"/>
            <w:vAlign w:val="top"/>
          </w:tcPr>
          <w:p>
            <w:pPr>
              <w:pStyle w:val="TableText"/>
              <w:jc w:val="left"/>
            </w:pPr>
            <w:r>
              <w:rPr>
                <w:rStyle w:val="CodeChar"/>
              </w:rPr>
              <w:t xml:space="preserve">src/application/dsarService.js</w:t>
            </w:r>
          </w:p>
        </w:tc>
      </w:tr>
      <w:tr>
        <w:trPr>
          <w:cantSplit/>
        </w:trPr>
        <w:tc>
          <w:tcPr>
            <w:tcW w:w="4510" w:type="dxa"/>
            <w:vAlign w:val="top"/>
          </w:tcPr>
          <w:p>
            <w:pPr>
              <w:pStyle w:val="TableText"/>
              <w:jc w:val="left"/>
            </w:pPr>
            <w:r>
              <w:t xml:space="preserve">Operations jobs: reconciliation, retention, relay</w:t>
            </w:r>
          </w:p>
        </w:tc>
        <w:tc>
          <w:tcPr>
            <w:tcW w:w="4517" w:type="dxa"/>
            <w:vAlign w:val="top"/>
          </w:tcPr>
          <w:p>
            <w:pPr>
              <w:pStyle w:val="TableText"/>
              <w:jc w:val="left"/>
            </w:pPr>
            <w:r>
              <w:rPr>
                <w:rStyle w:val="CodeChar"/>
              </w:rPr>
              <w:t xml:space="preserve">src/application/opsService.js</w:t>
            </w:r>
            <w:r>
              <w:t xml:space="preserve">,</w:t>
            </w:r>
            <w:r>
              <w:t xml:space="preserve"> </w:t>
            </w:r>
            <w:r>
              <w:rPr>
                <w:rStyle w:val="CodeChar"/>
              </w:rPr>
              <w:t xml:space="preserve">src/jobs/cli.js</w:t>
            </w:r>
          </w:p>
        </w:tc>
      </w:tr>
    </w:tbl>
    <w:p>
      <w:pPr>
        <w:pStyle w:val="Heading2"/>
      </w:pPr>
      <w:bookmarkStart w:id="16" w:name="_Toc300000012"/>
      <w:r>
        <w:t xml:space="preserve">Rules engine (engineers, configurators and approvers, one day)</w:t>
      </w:r>
      <w:bookmarkEnd w:id="16"/>
    </w:p>
    <w:p>
      <w:pPr>
        <w:pStyle w:val="Compact"/>
        <w:numPr>
          <w:ilvl w:val="0"/>
          <w:numId w:val="1001"/>
        </w:numPr>
      </w:pPr>
      <w:r>
        <w:t xml:space="preserve">Rule logic and decision tables:</w:t>
      </w:r>
      <w:r>
        <w:t xml:space="preserve"> </w:t>
      </w:r>
      <w:r>
        <w:rPr>
          <w:rStyle w:val="CodeChar"/>
        </w:rPr>
        <w:t xml:space="preserve">src/rules/jsonLogic.js</w:t>
      </w:r>
      <w:r>
        <w:t xml:space="preserve">,</w:t>
      </w:r>
      <w:r>
        <w:t xml:space="preserve"> </w:t>
      </w:r>
      <w:r>
        <w:rPr>
          <w:rStyle w:val="CodeChar"/>
        </w:rPr>
        <w:t xml:space="preserve">src/rules/decisionTable.js</w:t>
      </w:r>
      <w:r>
        <w:t xml:space="preserve">.</w:t>
      </w:r>
    </w:p>
    <w:p>
      <w:pPr>
        <w:pStyle w:val="Compact"/>
        <w:numPr>
          <w:ilvl w:val="0"/>
          <w:numId w:val="1001"/>
        </w:numPr>
      </w:pPr>
      <w:r>
        <w:t xml:space="preserve">Checks per rule type, including commission caps and the wording control:</w:t>
      </w:r>
      <w:r>
        <w:t xml:space="preserve"> </w:t>
      </w:r>
      <w:r>
        <w:rPr>
          <w:rStyle w:val="CodeChar"/>
        </w:rPr>
        <w:t xml:space="preserve">src/rules/validators.js</w:t>
      </w:r>
      <w:r>
        <w:t xml:space="preserve">.</w:t>
      </w:r>
    </w:p>
    <w:p>
      <w:pPr>
        <w:pStyle w:val="Compact"/>
        <w:numPr>
          <w:ilvl w:val="0"/>
          <w:numId w:val="1001"/>
        </w:numPr>
      </w:pPr>
      <w:r>
        <w:t xml:space="preserve">Lifecycle from draft to approval, rollback as a new draft, and transactional activation with one active version per type:</w:t>
      </w:r>
      <w:r>
        <w:t xml:space="preserve"> </w:t>
      </w:r>
      <w:r>
        <w:rPr>
          <w:rStyle w:val="CodeChar"/>
        </w:rPr>
        <w:t xml:space="preserve">src/application/rulesService.js</w:t>
      </w:r>
      <w:r>
        <w:t xml:space="preserve">.</w:t>
      </w:r>
    </w:p>
    <w:p>
      <w:pPr>
        <w:pStyle w:val="Compact"/>
        <w:numPr>
          <w:ilvl w:val="0"/>
          <w:numId w:val="1001"/>
        </w:numPr>
      </w:pPr>
      <w:r>
        <w:t xml:space="preserve">Simulation of a change against real customers before submission.</w:t>
      </w:r>
    </w:p>
    <w:p>
      <w:pPr>
        <w:pStyle w:val="Compact"/>
        <w:numPr>
          <w:ilvl w:val="0"/>
          <w:numId w:val="1001"/>
        </w:numPr>
      </w:pPr>
      <w:r>
        <w:t xml:space="preserve">Hands-on: change a scoring threshold, simulate it on three customers, submit it, approve it as a second user and watch leads recompute.</w:t>
      </w:r>
    </w:p>
    <w:p>
      <w:pPr>
        <w:pStyle w:val="Heading2"/>
      </w:pPr>
      <w:bookmarkStart w:id="17" w:name="_Toc300000013"/>
      <w:r>
        <w:t xml:space="preserve">Common changes (configurators and engineers, one day)</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214"/>
        <w:gridCol w:w="972"/>
        <w:gridCol w:w="4841"/>
      </w:tblGrid>
      <w:tr>
        <w:trPr>
          <w:cantSplit/>
          <w:tblHeader/>
        </w:trPr>
        <w:tc>
          <w:tcPr>
            <w:tcW w:w="3214" w:type="dxa"/>
            <w:shd w:val="clear" w:color="auto" w:fill="0F4761"/>
            <w:vAlign w:val="center"/>
          </w:tcPr>
          <w:p>
            <w:pPr>
              <w:pStyle w:val="TableHeading"/>
              <w:jc w:val="left"/>
            </w:pPr>
            <w:r>
              <w:rPr>
                <w:color w:val="FFFFFF"/>
              </w:rPr>
              <w:t xml:space="preserve">Change</w:t>
            </w:r>
          </w:p>
        </w:tc>
        <w:tc>
          <w:tcPr>
            <w:tcW w:w="972" w:type="dxa"/>
            <w:shd w:val="clear" w:color="auto" w:fill="0F4761"/>
            <w:vAlign w:val="center"/>
          </w:tcPr>
          <w:p>
            <w:pPr>
              <w:pStyle w:val="TableHeading"/>
              <w:jc w:val="left"/>
            </w:pPr>
            <w:r>
              <w:rPr>
                <w:color w:val="FFFFFF"/>
              </w:rPr>
              <w:t xml:space="preserve">Code needed</w:t>
            </w:r>
          </w:p>
        </w:tc>
        <w:tc>
          <w:tcPr>
            <w:tcW w:w="4841" w:type="dxa"/>
            <w:shd w:val="clear" w:color="auto" w:fill="0F4761"/>
            <w:vAlign w:val="center"/>
          </w:tcPr>
          <w:p>
            <w:pPr>
              <w:pStyle w:val="TableHeading"/>
              <w:jc w:val="left"/>
            </w:pPr>
            <w:r>
              <w:rPr>
                <w:color w:val="FFFFFF"/>
              </w:rPr>
              <w:t xml:space="preserve">How</w:t>
            </w:r>
          </w:p>
        </w:tc>
      </w:tr>
      <w:tr>
        <w:trPr>
          <w:cantSplit/>
        </w:trPr>
        <w:tc>
          <w:tcPr>
            <w:tcW w:w="3214" w:type="dxa"/>
            <w:vAlign w:val="top"/>
          </w:tcPr>
          <w:p>
            <w:pPr>
              <w:pStyle w:val="TableText"/>
              <w:jc w:val="left"/>
            </w:pPr>
            <w:r>
              <w:t xml:space="preserve">New product that uses an existing rating method</w:t>
            </w:r>
          </w:p>
        </w:tc>
        <w:tc>
          <w:tcPr>
            <w:tcW w:w="972" w:type="dxa"/>
            <w:vAlign w:val="top"/>
          </w:tcPr>
          <w:p>
            <w:pPr>
              <w:pStyle w:val="TableText"/>
              <w:jc w:val="left"/>
            </w:pPr>
            <w:r>
              <w:t xml:space="preserve">No</w:t>
            </w:r>
          </w:p>
        </w:tc>
        <w:tc>
          <w:tcPr>
            <w:tcW w:w="4841" w:type="dxa"/>
            <w:vAlign w:val="top"/>
          </w:tcPr>
          <w:p>
            <w:pPr>
              <w:pStyle w:val="TableText"/>
              <w:jc w:val="left"/>
            </w:pPr>
            <w:r>
              <w:t xml:space="preserve">New version of the product rule set, approved by underwriting or compliance; the product must also exist in TASCO core</w:t>
            </w:r>
          </w:p>
        </w:tc>
      </w:tr>
      <w:tr>
        <w:trPr>
          <w:cantSplit/>
        </w:trPr>
        <w:tc>
          <w:tcPr>
            <w:tcW w:w="3214" w:type="dxa"/>
            <w:shd w:val="clear" w:color="auto" w:fill="F4F7FB"/>
            <w:vAlign w:val="top"/>
          </w:tcPr>
          <w:p>
            <w:pPr>
              <w:pStyle w:val="TableText"/>
              <w:jc w:val="left"/>
            </w:pPr>
            <w:r>
              <w:t xml:space="preserve">New or changed journey step and message template</w:t>
            </w:r>
          </w:p>
        </w:tc>
        <w:tc>
          <w:tcPr>
            <w:tcW w:w="972" w:type="dxa"/>
            <w:shd w:val="clear" w:color="auto" w:fill="F4F7FB"/>
            <w:vAlign w:val="top"/>
          </w:tcPr>
          <w:p>
            <w:pPr>
              <w:pStyle w:val="TableText"/>
              <w:jc w:val="left"/>
            </w:pPr>
            <w:r>
              <w:t xml:space="preserve">No</w:t>
            </w:r>
          </w:p>
        </w:tc>
        <w:tc>
          <w:tcPr>
            <w:tcW w:w="4841" w:type="dxa"/>
            <w:shd w:val="clear" w:color="auto" w:fill="F4F7FB"/>
            <w:vAlign w:val="top"/>
          </w:tcPr>
          <w:p>
            <w:pPr>
              <w:pStyle w:val="TableText"/>
              <w:jc w:val="left"/>
            </w:pPr>
            <w:r>
              <w:t xml:space="preserve">Journey and template rule sets; Zalo templates need Zalo approval first</w:t>
            </w:r>
          </w:p>
        </w:tc>
      </w:tr>
      <w:tr>
        <w:trPr>
          <w:cantSplit/>
        </w:trPr>
        <w:tc>
          <w:tcPr>
            <w:tcW w:w="3214" w:type="dxa"/>
            <w:vAlign w:val="top"/>
          </w:tcPr>
          <w:p>
            <w:pPr>
              <w:pStyle w:val="TableText"/>
              <w:jc w:val="left"/>
            </w:pPr>
            <w:r>
              <w:t xml:space="preserve">New adapter for an external system (for example the production VETC wallet)</w:t>
            </w:r>
          </w:p>
        </w:tc>
        <w:tc>
          <w:tcPr>
            <w:tcW w:w="972" w:type="dxa"/>
            <w:vAlign w:val="top"/>
          </w:tcPr>
          <w:p>
            <w:pPr>
              <w:pStyle w:val="TableText"/>
              <w:jc w:val="left"/>
            </w:pPr>
            <w:r>
              <w:t xml:space="preserve">Yes</w:t>
            </w:r>
          </w:p>
        </w:tc>
        <w:tc>
          <w:tcPr>
            <w:tcW w:w="4841" w:type="dxa"/>
            <w:vAlign w:val="top"/>
          </w:tcPr>
          <w:p>
            <w:pPr>
              <w:pStyle w:val="TableText"/>
              <w:jc w:val="left"/>
            </w:pPr>
            <w:r>
              <w:t xml:space="preserve">Implement the port, wire it in the container with a circuit breaker, add configuration and contract tests</w:t>
            </w:r>
          </w:p>
        </w:tc>
      </w:tr>
      <w:tr>
        <w:trPr>
          <w:cantSplit/>
        </w:trPr>
        <w:tc>
          <w:tcPr>
            <w:tcW w:w="3214" w:type="dxa"/>
            <w:shd w:val="clear" w:color="auto" w:fill="F4F7FB"/>
            <w:vAlign w:val="top"/>
          </w:tcPr>
          <w:p>
            <w:pPr>
              <w:pStyle w:val="TableText"/>
              <w:jc w:val="left"/>
            </w:pPr>
            <w:r>
              <w:t xml:space="preserve">New rating method or quote option</w:t>
            </w:r>
          </w:p>
        </w:tc>
        <w:tc>
          <w:tcPr>
            <w:tcW w:w="972" w:type="dxa"/>
            <w:shd w:val="clear" w:color="auto" w:fill="F4F7FB"/>
            <w:vAlign w:val="top"/>
          </w:tcPr>
          <w:p>
            <w:pPr>
              <w:pStyle w:val="TableText"/>
              <w:jc w:val="left"/>
            </w:pPr>
            <w:r>
              <w:t xml:space="preserve">Yes</w:t>
            </w:r>
          </w:p>
        </w:tc>
        <w:tc>
          <w:tcPr>
            <w:tcW w:w="4841" w:type="dxa"/>
            <w:shd w:val="clear" w:color="auto" w:fill="F4F7FB"/>
            <w:vAlign w:val="top"/>
          </w:tcPr>
          <w:p>
            <w:pPr>
              <w:pStyle w:val="TableText"/>
              <w:jc w:val="left"/>
            </w:pPr>
            <w:r>
              <w:t xml:space="preserve">Domain rating code and route options, with unit tests</w:t>
            </w:r>
          </w:p>
        </w:tc>
      </w:tr>
    </w:tbl>
    <w:p>
      <w:pPr>
        <w:pStyle w:val="Heading2"/>
      </w:pPr>
      <w:bookmarkStart w:id="18" w:name="_Toc300000014"/>
      <w:r>
        <w:t xml:space="preserve">Operations (operations and support, two days including drills)</w:t>
      </w:r>
      <w:bookmarkEnd w:id="18"/>
    </w:p>
    <w:p>
      <w:pPr>
        <w:pStyle w:val="FirstParagraph"/>
      </w:pPr>
      <w:r>
        <w:t xml:space="preserve">The runbooks and procedures are in TGP-OPS-01 Runbook and Support Guide, TGP-OPS-02 Monitoring and Alerting and TGP-OPS-03 Disaster Recovery and Business Continuity Plan. The receiving team runs each topic below hands-on.</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468"/>
        <w:gridCol w:w="5559"/>
      </w:tblGrid>
      <w:tr>
        <w:trPr>
          <w:cantSplit/>
          <w:tblHeader/>
        </w:trPr>
        <w:tc>
          <w:tcPr>
            <w:tcW w:w="3468" w:type="dxa"/>
            <w:shd w:val="clear" w:color="auto" w:fill="0F4761"/>
            <w:vAlign w:val="center"/>
          </w:tcPr>
          <w:p>
            <w:pPr>
              <w:pStyle w:val="TableHeading"/>
              <w:jc w:val="left"/>
            </w:pPr>
            <w:r>
              <w:rPr>
                <w:color w:val="FFFFFF"/>
              </w:rPr>
              <w:t xml:space="preserve">Topic</w:t>
            </w:r>
          </w:p>
        </w:tc>
        <w:tc>
          <w:tcPr>
            <w:tcW w:w="5559" w:type="dxa"/>
            <w:shd w:val="clear" w:color="auto" w:fill="0F4761"/>
            <w:vAlign w:val="center"/>
          </w:tcPr>
          <w:p>
            <w:pPr>
              <w:pStyle w:val="TableHeading"/>
              <w:jc w:val="left"/>
            </w:pPr>
            <w:r>
              <w:rPr>
                <w:color w:val="FFFFFF"/>
              </w:rPr>
              <w:t xml:space="preserve">Hands-on</w:t>
            </w:r>
          </w:p>
        </w:tc>
      </w:tr>
      <w:tr>
        <w:trPr>
          <w:cantSplit/>
        </w:trPr>
        <w:tc>
          <w:tcPr>
            <w:tcW w:w="3468" w:type="dxa"/>
            <w:vAlign w:val="top"/>
          </w:tcPr>
          <w:p>
            <w:pPr>
              <w:pStyle w:val="TableText"/>
              <w:jc w:val="left"/>
            </w:pPr>
            <w:r>
              <w:t xml:space="preserve">Scheduled jobs, including the catalogue sync</w:t>
            </w:r>
          </w:p>
        </w:tc>
        <w:tc>
          <w:tcPr>
            <w:tcW w:w="5559" w:type="dxa"/>
            <w:vAlign w:val="top"/>
          </w:tcPr>
          <w:p>
            <w:pPr>
              <w:pStyle w:val="TableText"/>
              <w:jc w:val="left"/>
            </w:pPr>
            <w:r>
              <w:t xml:space="preserve">Run each job and read its history</w:t>
            </w:r>
          </w:p>
        </w:tc>
      </w:tr>
      <w:tr>
        <w:trPr>
          <w:cantSplit/>
        </w:trPr>
        <w:tc>
          <w:tcPr>
            <w:tcW w:w="3468" w:type="dxa"/>
            <w:shd w:val="clear" w:color="auto" w:fill="F4F7FB"/>
            <w:vAlign w:val="top"/>
          </w:tcPr>
          <w:p>
            <w:pPr>
              <w:pStyle w:val="TableText"/>
              <w:jc w:val="left"/>
            </w:pPr>
            <w:r>
              <w:t xml:space="preserve">Database failure and restore</w:t>
            </w:r>
          </w:p>
        </w:tc>
        <w:tc>
          <w:tcPr>
            <w:tcW w:w="5559" w:type="dxa"/>
            <w:shd w:val="clear" w:color="auto" w:fill="F4F7FB"/>
            <w:vAlign w:val="top"/>
          </w:tcPr>
          <w:p>
            <w:pPr>
              <w:pStyle w:val="TableText"/>
              <w:jc w:val="left"/>
            </w:pPr>
            <w:r>
              <w:t xml:space="preserve">Drill: point-in-time restore, migrate, check readiness, audit chain and reconciliation</w:t>
            </w:r>
          </w:p>
        </w:tc>
      </w:tr>
      <w:tr>
        <w:trPr>
          <w:cantSplit/>
        </w:trPr>
        <w:tc>
          <w:tcPr>
            <w:tcW w:w="3468" w:type="dxa"/>
            <w:vAlign w:val="top"/>
          </w:tcPr>
          <w:p>
            <w:pPr>
              <w:pStyle w:val="TableText"/>
              <w:jc w:val="left"/>
            </w:pPr>
            <w:r>
              <w:t xml:space="preserve">Circuit open on TASCO core, VETC wallet, messaging or voice</w:t>
            </w:r>
          </w:p>
        </w:tc>
        <w:tc>
          <w:tcPr>
            <w:tcW w:w="5559" w:type="dxa"/>
            <w:vAlign w:val="top"/>
          </w:tcPr>
          <w:p>
            <w:pPr>
              <w:pStyle w:val="TableText"/>
              <w:jc w:val="left"/>
            </w:pPr>
            <w:r>
              <w:t xml:space="preserve">Simulate a failure in the sandbox and watch the integration status</w:t>
            </w:r>
          </w:p>
        </w:tc>
      </w:tr>
      <w:tr>
        <w:trPr>
          <w:cantSplit/>
        </w:trPr>
        <w:tc>
          <w:tcPr>
            <w:tcW w:w="3468" w:type="dxa"/>
            <w:shd w:val="clear" w:color="auto" w:fill="F4F7FB"/>
            <w:vAlign w:val="top"/>
          </w:tcPr>
          <w:p>
            <w:pPr>
              <w:pStyle w:val="TableText"/>
              <w:jc w:val="left"/>
            </w:pPr>
            <w:r>
              <w:t xml:space="preserve">TASCO core unavailable under</w:t>
            </w:r>
            <w:r>
              <w:t xml:space="preserve"> </w:t>
            </w:r>
            <w:r>
              <w:rPr>
                <w:rStyle w:val="CodeChar"/>
              </w:rPr>
              <w:t xml:space="preserve">core_with_fallback</w:t>
            </w:r>
          </w:p>
        </w:tc>
        <w:tc>
          <w:tcPr>
            <w:tcW w:w="5559" w:type="dxa"/>
            <w:shd w:val="clear" w:color="auto" w:fill="F4F7FB"/>
            <w:vAlign w:val="top"/>
          </w:tcPr>
          <w:p>
            <w:pPr>
              <w:pStyle w:val="TableText"/>
              <w:jc w:val="left"/>
            </w:pPr>
            <w:r>
              <w:t xml:space="preserve">Create an indicative quote, confirm payment is blocked, re-rate after recovery</w:t>
            </w:r>
          </w:p>
        </w:tc>
      </w:tr>
      <w:tr>
        <w:trPr>
          <w:cantSplit/>
        </w:trPr>
        <w:tc>
          <w:tcPr>
            <w:tcW w:w="3468" w:type="dxa"/>
            <w:vAlign w:val="top"/>
          </w:tcPr>
          <w:p>
            <w:pPr>
              <w:pStyle w:val="TableText"/>
              <w:jc w:val="left"/>
            </w:pPr>
            <w:r>
              <w:t xml:space="preserve">Payment taken but issuance failed</w:t>
            </w:r>
          </w:p>
        </w:tc>
        <w:tc>
          <w:tcPr>
            <w:tcW w:w="5559" w:type="dxa"/>
            <w:vAlign w:val="top"/>
          </w:tcPr>
          <w:p>
            <w:pPr>
              <w:pStyle w:val="TableText"/>
              <w:jc w:val="left"/>
            </w:pPr>
            <w:r>
              <w:t xml:space="preserve">Follow reconciliation and refund checks</w:t>
            </w:r>
          </w:p>
        </w:tc>
      </w:tr>
      <w:tr>
        <w:trPr>
          <w:cantSplit/>
        </w:trPr>
        <w:tc>
          <w:tcPr>
            <w:tcW w:w="3468" w:type="dxa"/>
            <w:shd w:val="clear" w:color="auto" w:fill="F4F7FB"/>
            <w:vAlign w:val="top"/>
          </w:tcPr>
          <w:p>
            <w:pPr>
              <w:pStyle w:val="TableText"/>
              <w:jc w:val="left"/>
            </w:pPr>
            <w:r>
              <w:t xml:space="preserve">Rule activated by mistake</w:t>
            </w:r>
          </w:p>
        </w:tc>
        <w:tc>
          <w:tcPr>
            <w:tcW w:w="5559" w:type="dxa"/>
            <w:shd w:val="clear" w:color="auto" w:fill="F4F7FB"/>
            <w:vAlign w:val="top"/>
          </w:tcPr>
          <w:p>
            <w:pPr>
              <w:pStyle w:val="TableText"/>
              <w:jc w:val="left"/>
            </w:pPr>
            <w:r>
              <w:t xml:space="preserve">Roll back through the rules studio</w:t>
            </w:r>
          </w:p>
        </w:tc>
      </w:tr>
      <w:tr>
        <w:trPr>
          <w:cantSplit/>
        </w:trPr>
        <w:tc>
          <w:tcPr>
            <w:tcW w:w="3468" w:type="dxa"/>
            <w:vAlign w:val="top"/>
          </w:tcPr>
          <w:p>
            <w:pPr>
              <w:pStyle w:val="TableText"/>
              <w:jc w:val="left"/>
            </w:pPr>
            <w:r>
              <w:t xml:space="preserve">Account lockout and MFA reset</w:t>
            </w:r>
          </w:p>
        </w:tc>
        <w:tc>
          <w:tcPr>
            <w:tcW w:w="5559" w:type="dxa"/>
            <w:vAlign w:val="top"/>
          </w:tcPr>
          <w:p>
            <w:pPr>
              <w:pStyle w:val="TableText"/>
              <w:jc w:val="left"/>
            </w:pPr>
            <w:r>
              <w:t xml:space="preserve">Unlock an account and reset MFA in the sandbox</w:t>
            </w:r>
          </w:p>
        </w:tc>
      </w:tr>
      <w:tr>
        <w:trPr>
          <w:cantSplit/>
        </w:trPr>
        <w:tc>
          <w:tcPr>
            <w:tcW w:w="3468" w:type="dxa"/>
            <w:shd w:val="clear" w:color="auto" w:fill="F4F7FB"/>
            <w:vAlign w:val="top"/>
          </w:tcPr>
          <w:p>
            <w:pPr>
              <w:pStyle w:val="TableText"/>
              <w:jc w:val="left"/>
            </w:pPr>
            <w:r>
              <w:t xml:space="preserve">Key rotation and partner key revocation</w:t>
            </w:r>
          </w:p>
        </w:tc>
        <w:tc>
          <w:tcPr>
            <w:tcW w:w="5559" w:type="dxa"/>
            <w:shd w:val="clear" w:color="auto" w:fill="F4F7FB"/>
            <w:vAlign w:val="top"/>
          </w:tcPr>
          <w:p>
            <w:pPr>
              <w:pStyle w:val="TableText"/>
              <w:jc w:val="left"/>
            </w:pPr>
            <w:r>
              <w:t xml:space="preserve">Drill: rotate the data key; revoke a partner key</w:t>
            </w:r>
          </w:p>
        </w:tc>
      </w:tr>
      <w:tr>
        <w:trPr>
          <w:cantSplit/>
        </w:trPr>
        <w:tc>
          <w:tcPr>
            <w:tcW w:w="3468" w:type="dxa"/>
            <w:vAlign w:val="top"/>
          </w:tcPr>
          <w:p>
            <w:pPr>
              <w:pStyle w:val="TableText"/>
              <w:jc w:val="left"/>
            </w:pPr>
            <w:r>
              <w:t xml:space="preserve">Data request and data correction</w:t>
            </w:r>
          </w:p>
        </w:tc>
        <w:tc>
          <w:tcPr>
            <w:tcW w:w="5559" w:type="dxa"/>
            <w:vAlign w:val="top"/>
          </w:tcPr>
          <w:p>
            <w:pPr>
              <w:pStyle w:val="TableText"/>
              <w:jc w:val="left"/>
            </w:pPr>
            <w:r>
              <w:t xml:space="preserve">Walk-through with compliance and the data stewards: log a request, verify identity, export, erase or refuse in the data requests register; correct data with evidence</w:t>
            </w:r>
          </w:p>
        </w:tc>
      </w:tr>
      <w:tr>
        <w:trPr>
          <w:cantSplit/>
        </w:trPr>
        <w:tc>
          <w:tcPr>
            <w:tcW w:w="3468" w:type="dxa"/>
            <w:shd w:val="clear" w:color="auto" w:fill="F4F7FB"/>
            <w:vAlign w:val="top"/>
          </w:tcPr>
          <w:p>
            <w:pPr>
              <w:pStyle w:val="TableText"/>
              <w:jc w:val="left"/>
            </w:pPr>
            <w:r>
              <w:t xml:space="preserve">Quick renewal switched off</w:t>
            </w:r>
          </w:p>
        </w:tc>
        <w:tc>
          <w:tcPr>
            <w:tcW w:w="5559" w:type="dxa"/>
            <w:shd w:val="clear" w:color="auto" w:fill="F4F7FB"/>
            <w:vAlign w:val="top"/>
          </w:tcPr>
          <w:p>
            <w:pPr>
              <w:pStyle w:val="TableText"/>
              <w:jc w:val="left"/>
            </w:pPr>
            <w:r>
              <w:t xml:space="preserve">Approve a service-level rule version with quick renewal off and confirm the customer app offers only the full flow</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9" w:name="_Toc300000015"/>
      <w:r>
        <w:rPr>
          <w:rStyle w:val="BookTitle"/>
          <w:bCs w:val="0"/>
          <w:i w:val="0"/>
          <w:iCs w:val="0"/>
          <w:spacing w:val="0"/>
        </w:rPr>
        <w:t xml:space="preserve">Automated tests</w:t>
      </w:r>
      <w:bookmarkEnd w:id="19"/>
    </w:p>
    <w:p>
      <w:pPr>
        <w:pStyle w:val="FirstParagraph"/>
      </w:pPr>
      <w:r>
        <w:t xml:space="preserve">The test suites are the safety net for every change the receiving team makes.</w:t>
      </w:r>
      <w:r>
        <w:t xml:space="preserve"> </w:t>
      </w:r>
      <w:r>
        <w:rPr>
          <w:rStyle w:val="CodeChar"/>
        </w:rPr>
        <w:t xml:space="preserve">npm test</w:t>
      </w:r>
      <w:r>
        <w:t xml:space="preserve"> </w:t>
      </w:r>
      <w:r>
        <w:t xml:space="preserve">runs 271 tests: 268 pass, 0 fail and 3 are to-do items for manual or roadmap scenarios. Coverage is 99.4% of lines, 88.1% of branches and 97.2% of functions.</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2128"/>
        <w:gridCol w:w="6899"/>
      </w:tblGrid>
      <w:tr>
        <w:trPr>
          <w:cantSplit/>
          <w:tblHeader/>
        </w:trPr>
        <w:tc>
          <w:tcPr>
            <w:tcW w:w="2128" w:type="dxa"/>
            <w:shd w:val="clear" w:color="auto" w:fill="0F4761"/>
            <w:vAlign w:val="center"/>
          </w:tcPr>
          <w:p>
            <w:pPr>
              <w:pStyle w:val="TableHeading"/>
              <w:jc w:val="left"/>
            </w:pPr>
            <w:r>
              <w:rPr>
                <w:color w:val="FFFFFF"/>
              </w:rPr>
              <w:t xml:space="preserve">Folder</w:t>
            </w:r>
          </w:p>
        </w:tc>
        <w:tc>
          <w:tcPr>
            <w:tcW w:w="6899" w:type="dxa"/>
            <w:shd w:val="clear" w:color="auto" w:fill="0F4761"/>
            <w:vAlign w:val="center"/>
          </w:tcPr>
          <w:p>
            <w:pPr>
              <w:pStyle w:val="TableHeading"/>
              <w:jc w:val="left"/>
            </w:pPr>
            <w:r>
              <w:rPr>
                <w:color w:val="FFFFFF"/>
              </w:rPr>
              <w:t xml:space="preserve">What it covers</w:t>
            </w:r>
          </w:p>
        </w:tc>
      </w:tr>
      <w:tr>
        <w:trPr>
          <w:cantSplit/>
        </w:trPr>
        <w:tc>
          <w:tcPr>
            <w:tcW w:w="2128" w:type="dxa"/>
            <w:vAlign w:val="top"/>
          </w:tcPr>
          <w:p>
            <w:pPr>
              <w:pStyle w:val="TableText"/>
              <w:jc w:val="left"/>
            </w:pPr>
            <w:r>
              <w:rPr>
                <w:rStyle w:val="CodeChar"/>
              </w:rPr>
              <w:t xml:space="preserve">test/unit</w:t>
            </w:r>
          </w:p>
        </w:tc>
        <w:tc>
          <w:tcPr>
            <w:tcW w:w="6899" w:type="dxa"/>
            <w:vAlign w:val="top"/>
          </w:tcPr>
          <w:p>
            <w:pPr>
              <w:pStyle w:val="TableText"/>
              <w:jc w:val="left"/>
            </w:pPr>
            <w:r>
              <w:t xml:space="preserve">58 tests. Domain and shared code: identity, rule logic, platform, quick-renewal eligibility (</w:t>
            </w:r>
            <w:r>
              <w:rPr>
                <w:rStyle w:val="CodeChar"/>
              </w:rPr>
              <w:t xml:space="preserve">quickRenewal.test.js</w:t>
            </w:r>
            <w:r>
              <w:t xml:space="preserve">, suite U-QR), rules domain, stores, voice assistant, and the TASCO core REST client (</w:t>
            </w:r>
            <w:r>
              <w:rPr>
                <w:rStyle w:val="CodeChar"/>
              </w:rPr>
              <w:t xml:space="preserve">tascoCoreRatingClient.test.js</w:t>
            </w:r>
            <w:r>
              <w:t xml:space="preserve">)</w:t>
            </w:r>
          </w:p>
        </w:tc>
      </w:tr>
      <w:tr>
        <w:trPr>
          <w:cantSplit/>
        </w:trPr>
        <w:tc>
          <w:tcPr>
            <w:tcW w:w="2128" w:type="dxa"/>
            <w:shd w:val="clear" w:color="auto" w:fill="F4F7FB"/>
            <w:vAlign w:val="top"/>
          </w:tcPr>
          <w:p>
            <w:pPr>
              <w:pStyle w:val="TableText"/>
              <w:jc w:val="left"/>
            </w:pPr>
            <w:r>
              <w:rPr>
                <w:rStyle w:val="CodeChar"/>
              </w:rPr>
              <w:t xml:space="preserve">test/integration</w:t>
            </w:r>
          </w:p>
        </w:tc>
        <w:tc>
          <w:tcPr>
            <w:tcW w:w="6899" w:type="dxa"/>
            <w:shd w:val="clear" w:color="auto" w:fill="F4F7FB"/>
            <w:vAlign w:val="top"/>
          </w:tcPr>
          <w:p>
            <w:pPr>
              <w:pStyle w:val="TableText"/>
              <w:jc w:val="left"/>
            </w:pPr>
            <w:r>
              <w:t xml:space="preserve">44 tests. Services working together: TASCO core rating and catalogue sync (</w:t>
            </w:r>
            <w:r>
              <w:rPr>
                <w:rStyle w:val="CodeChar"/>
              </w:rPr>
              <w:t xml:space="preserve">coreRating.test.js</w:t>
            </w:r>
            <w:r>
              <w:t xml:space="preserve">), governance, journeys, sales, and regression checks for fixed defects</w:t>
            </w:r>
          </w:p>
        </w:tc>
      </w:tr>
      <w:tr>
        <w:trPr>
          <w:cantSplit/>
        </w:trPr>
        <w:tc>
          <w:tcPr>
            <w:tcW w:w="2128" w:type="dxa"/>
            <w:vAlign w:val="top"/>
          </w:tcPr>
          <w:p>
            <w:pPr>
              <w:pStyle w:val="TableText"/>
              <w:jc w:val="left"/>
            </w:pPr>
            <w:r>
              <w:rPr>
                <w:rStyle w:val="CodeChar"/>
              </w:rPr>
              <w:t xml:space="preserve">test/api</w:t>
            </w:r>
          </w:p>
        </w:tc>
        <w:tc>
          <w:tcPr>
            <w:tcW w:w="6899" w:type="dxa"/>
            <w:vAlign w:val="top"/>
          </w:tcPr>
          <w:p>
            <w:pPr>
              <w:pStyle w:val="TableText"/>
              <w:jc w:val="left"/>
            </w:pPr>
            <w:r>
              <w:t xml:space="preserve">33 tests. HTTP routes, permissions and error formats; console workflows; data requests register and quick renewal (</w:t>
            </w:r>
            <w:r>
              <w:rPr>
                <w:rStyle w:val="CodeChar"/>
              </w:rPr>
              <w:t xml:space="preserve">dsarQuickRenewal.test.js</w:t>
            </w:r>
            <w:r>
              <w:t xml:space="preserve">, suite API-DQ)</w:t>
            </w:r>
          </w:p>
        </w:tc>
      </w:tr>
      <w:tr>
        <w:trPr>
          <w:cantSplit/>
        </w:trPr>
        <w:tc>
          <w:tcPr>
            <w:tcW w:w="2128" w:type="dxa"/>
            <w:shd w:val="clear" w:color="auto" w:fill="F4F7FB"/>
            <w:vAlign w:val="top"/>
          </w:tcPr>
          <w:p>
            <w:pPr>
              <w:pStyle w:val="TableText"/>
              <w:jc w:val="left"/>
            </w:pPr>
            <w:r>
              <w:rPr>
                <w:rStyle w:val="CodeChar"/>
              </w:rPr>
              <w:t xml:space="preserve">test/security</w:t>
            </w:r>
          </w:p>
        </w:tc>
        <w:tc>
          <w:tcPr>
            <w:tcW w:w="6899" w:type="dxa"/>
            <w:shd w:val="clear" w:color="auto" w:fill="F4F7FB"/>
            <w:vAlign w:val="top"/>
          </w:tcPr>
          <w:p>
            <w:pPr>
              <w:pStyle w:val="TableText"/>
              <w:jc w:val="left"/>
            </w:pPr>
            <w:r>
              <w:t xml:space="preserve">12 tests. OWASP Top 10 checks: access control, encryption, injection, configuration, authentication, audit integrity, rate limits, double-charge protection</w:t>
            </w:r>
          </w:p>
        </w:tc>
      </w:tr>
      <w:tr>
        <w:trPr>
          <w:cantSplit/>
        </w:trPr>
        <w:tc>
          <w:tcPr>
            <w:tcW w:w="2128" w:type="dxa"/>
            <w:vAlign w:val="top"/>
          </w:tcPr>
          <w:p>
            <w:pPr>
              <w:pStyle w:val="TableText"/>
              <w:jc w:val="left"/>
            </w:pPr>
            <w:r>
              <w:rPr>
                <w:rStyle w:val="CodeChar"/>
              </w:rPr>
              <w:t xml:space="preserve">test/functional</w:t>
            </w:r>
          </w:p>
        </w:tc>
        <w:tc>
          <w:tcPr>
            <w:tcW w:w="6899" w:type="dxa"/>
            <w:vAlign w:val="top"/>
          </w:tcPr>
          <w:p>
            <w:pPr>
              <w:pStyle w:val="TableText"/>
              <w:jc w:val="left"/>
            </w:pPr>
            <w:r>
              <w:t xml:space="preserve">124 tests, one per Given/When/Then scenario in TGP-BUS-04 User Stories and Acceptance Criteria (three of them manual or roadmap); the scenarios of US-078 and US-079 run in suites API-DQ and U-QR</w:t>
            </w:r>
          </w:p>
        </w:tc>
      </w:tr>
      <w:tr>
        <w:trPr>
          <w:cantSplit/>
        </w:trPr>
        <w:tc>
          <w:tcPr>
            <w:tcW w:w="2128" w:type="dxa"/>
            <w:shd w:val="clear" w:color="auto" w:fill="F4F7FB"/>
            <w:vAlign w:val="top"/>
          </w:tcPr>
          <w:p>
            <w:pPr>
              <w:pStyle w:val="TableText"/>
              <w:jc w:val="left"/>
            </w:pPr>
            <w:r>
              <w:rPr>
                <w:rStyle w:val="CodeChar"/>
              </w:rPr>
              <w:t xml:space="preserve">test/pg</w:t>
            </w:r>
          </w:p>
        </w:tc>
        <w:tc>
          <w:tcPr>
            <w:tcW w:w="6899" w:type="dxa"/>
            <w:shd w:val="clear" w:color="auto" w:fill="F4F7FB"/>
            <w:vAlign w:val="top"/>
          </w:tcPr>
          <w:p>
            <w:pPr>
              <w:pStyle w:val="TableText"/>
              <w:jc w:val="left"/>
            </w:pPr>
            <w:r>
              <w:t xml:space="preserve">PostgreSQL store, 8 tests, run separately with</w:t>
            </w:r>
            <w:r>
              <w:t xml:space="preserve"> </w:t>
            </w:r>
            <w:r>
              <w:rPr>
                <w:rStyle w:val="CodeChar"/>
              </w:rPr>
              <w:t xml:space="preserve">npm run test:pg</w:t>
            </w:r>
          </w:p>
        </w:tc>
      </w:tr>
      <w:tr>
        <w:trPr>
          <w:cantSplit/>
        </w:trPr>
        <w:tc>
          <w:tcPr>
            <w:tcW w:w="2128" w:type="dxa"/>
            <w:vAlign w:val="top"/>
          </w:tcPr>
          <w:p>
            <w:pPr>
              <w:pStyle w:val="TableText"/>
              <w:jc w:val="left"/>
            </w:pPr>
            <w:r>
              <w:rPr>
                <w:rStyle w:val="CodeChar"/>
              </w:rPr>
              <w:t xml:space="preserve">test/perf</w:t>
            </w:r>
          </w:p>
        </w:tc>
        <w:tc>
          <w:tcPr>
            <w:tcW w:w="6899" w:type="dxa"/>
            <w:vAlign w:val="top"/>
          </w:tcPr>
          <w:p>
            <w:pPr>
              <w:pStyle w:val="TableText"/>
              <w:jc w:val="left"/>
            </w:pPr>
            <w:r>
              <w:t xml:space="preserve">Load smoke test (</w:t>
            </w:r>
            <w:r>
              <w:rPr>
                <w:rStyle w:val="CodeChar"/>
              </w:rPr>
              <w:t xml:space="preserve">load.js</w:t>
            </w:r>
            <w:r>
              <w:t xml:space="preserve">): 194 requests per second, p95 210 ms, no errors on a single instance</w:t>
            </w:r>
          </w:p>
        </w:tc>
      </w:tr>
    </w:tbl>
    <w:p>
      <w:pPr>
        <w:pStyle w:val="BodyText"/>
        <w:spacing w:before="160"/>
      </w:pPr>
      <w:r>
        <w:t xml:space="preserve">The CI pipeline runs lint, the test suites, coverage gates and the dependency audit on every change. The test-case workbook is described in TGP-QA-02 Test Case Catalogue.</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Practical exercises</w:t>
      </w:r>
      <w:bookmarkEnd w:id="20"/>
    </w:p>
    <w:p>
      <w:pPr>
        <w:pStyle w:val="FirstParagraph"/>
      </w:pPr>
      <w:r>
        <w:t xml:space="preserve">Each receiving engineer completes these without help during the reverse-shadow phase.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606"/>
        <w:gridCol w:w="5216"/>
        <w:gridCol w:w="3205"/>
      </w:tblGrid>
      <w:tr>
        <w:trPr>
          <w:cantSplit/>
          <w:tblHeader/>
        </w:trPr>
        <w:tc>
          <w:tcPr>
            <w:tcW w:w="606" w:type="dxa"/>
            <w:shd w:val="clear" w:color="auto" w:fill="0F4761"/>
            <w:vAlign w:val="center"/>
          </w:tcPr>
          <w:p>
            <w:pPr>
              <w:pStyle w:val="TableHeading"/>
              <w:jc w:val="left"/>
            </w:pPr>
            <w:r>
              <w:rPr>
                <w:color w:val="FFFFFF"/>
              </w:rPr>
              <w:t xml:space="preserve">No.</w:t>
            </w:r>
          </w:p>
        </w:tc>
        <w:tc>
          <w:tcPr>
            <w:tcW w:w="5216" w:type="dxa"/>
            <w:shd w:val="clear" w:color="auto" w:fill="0F4761"/>
            <w:vAlign w:val="center"/>
          </w:tcPr>
          <w:p>
            <w:pPr>
              <w:pStyle w:val="TableHeading"/>
              <w:jc w:val="left"/>
            </w:pPr>
            <w:r>
              <w:rPr>
                <w:color w:val="FFFFFF"/>
              </w:rPr>
              <w:t xml:space="preserve">Exercise</w:t>
            </w:r>
          </w:p>
        </w:tc>
        <w:tc>
          <w:tcPr>
            <w:tcW w:w="3205" w:type="dxa"/>
            <w:shd w:val="clear" w:color="auto" w:fill="0F4761"/>
            <w:vAlign w:val="center"/>
          </w:tcPr>
          <w:p>
            <w:pPr>
              <w:pStyle w:val="TableHeading"/>
              <w:jc w:val="left"/>
            </w:pPr>
            <w:r>
              <w:rPr>
                <w:color w:val="FFFFFF"/>
              </w:rPr>
              <w:t xml:space="preserve">Pass criteria</w:t>
            </w:r>
          </w:p>
        </w:tc>
      </w:tr>
      <w:tr>
        <w:trPr>
          <w:cantSplit/>
        </w:trPr>
        <w:tc>
          <w:tcPr>
            <w:tcW w:w="606" w:type="dxa"/>
            <w:vAlign w:val="top"/>
          </w:tcPr>
          <w:p>
            <w:pPr>
              <w:pStyle w:val="TableText"/>
              <w:jc w:val="left"/>
            </w:pPr>
            <w:r>
              <w:t xml:space="preserve">E1</w:t>
            </w:r>
          </w:p>
        </w:tc>
        <w:tc>
          <w:tcPr>
            <w:tcW w:w="5216" w:type="dxa"/>
            <w:vAlign w:val="top"/>
          </w:tcPr>
          <w:p>
            <w:pPr>
              <w:pStyle w:val="TableText"/>
              <w:jc w:val="left"/>
            </w:pPr>
            <w:r>
              <w:t xml:space="preserve">Run the platform locally on PostgreSQL, migrate, seed and sign in as an approver with MFA</w:t>
            </w:r>
          </w:p>
        </w:tc>
        <w:tc>
          <w:tcPr>
            <w:tcW w:w="3205" w:type="dxa"/>
            <w:vAlign w:val="top"/>
          </w:tcPr>
          <w:p>
            <w:pPr>
              <w:pStyle w:val="TableText"/>
              <w:jc w:val="left"/>
            </w:pPr>
            <w:r>
              <w:t xml:space="preserve">Done within one hour</w:t>
            </w:r>
          </w:p>
        </w:tc>
      </w:tr>
      <w:tr>
        <w:trPr>
          <w:cantSplit/>
        </w:trPr>
        <w:tc>
          <w:tcPr>
            <w:tcW w:w="606" w:type="dxa"/>
            <w:shd w:val="clear" w:color="auto" w:fill="F4F7FB"/>
            <w:vAlign w:val="top"/>
          </w:tcPr>
          <w:p>
            <w:pPr>
              <w:pStyle w:val="TableText"/>
              <w:jc w:val="left"/>
            </w:pPr>
            <w:r>
              <w:t xml:space="preserve">E2</w:t>
            </w:r>
          </w:p>
        </w:tc>
        <w:tc>
          <w:tcPr>
            <w:tcW w:w="5216" w:type="dxa"/>
            <w:shd w:val="clear" w:color="auto" w:fill="F4F7FB"/>
            <w:vAlign w:val="top"/>
          </w:tcPr>
          <w:p>
            <w:pPr>
              <w:pStyle w:val="TableText"/>
              <w:jc w:val="left"/>
            </w:pPr>
            <w:r>
              <w:t xml:space="preserve">Add a read-only reporting role through a pull request</w:t>
            </w:r>
          </w:p>
        </w:tc>
        <w:tc>
          <w:tcPr>
            <w:tcW w:w="3205" w:type="dxa"/>
            <w:shd w:val="clear" w:color="auto" w:fill="F4F7FB"/>
            <w:vAlign w:val="top"/>
          </w:tcPr>
          <w:p>
            <w:pPr>
              <w:pStyle w:val="TableText"/>
              <w:jc w:val="left"/>
            </w:pPr>
            <w:r>
              <w:t xml:space="preserve">Tests prove allowed and refused access; security review done</w:t>
            </w:r>
          </w:p>
        </w:tc>
      </w:tr>
      <w:tr>
        <w:trPr>
          <w:cantSplit/>
        </w:trPr>
        <w:tc>
          <w:tcPr>
            <w:tcW w:w="606" w:type="dxa"/>
            <w:vAlign w:val="top"/>
          </w:tcPr>
          <w:p>
            <w:pPr>
              <w:pStyle w:val="TableText"/>
              <w:jc w:val="left"/>
            </w:pPr>
            <w:r>
              <w:t xml:space="preserve">E3</w:t>
            </w:r>
          </w:p>
        </w:tc>
        <w:tc>
          <w:tcPr>
            <w:tcW w:w="5216" w:type="dxa"/>
            <w:vAlign w:val="top"/>
          </w:tcPr>
          <w:p>
            <w:pPr>
              <w:pStyle w:val="TableText"/>
              <w:jc w:val="left"/>
            </w:pPr>
            <w:r>
              <w:t xml:space="preserve">Add a product variant through configuration only</w:t>
            </w:r>
          </w:p>
        </w:tc>
        <w:tc>
          <w:tcPr>
            <w:tcW w:w="3205" w:type="dxa"/>
            <w:vAlign w:val="top"/>
          </w:tcPr>
          <w:p>
            <w:pPr>
              <w:pStyle w:val="TableText"/>
              <w:jc w:val="left"/>
            </w:pPr>
            <w:r>
              <w:t xml:space="preserve">Quote works and can be sent to the customer; no code change</w:t>
            </w:r>
          </w:p>
        </w:tc>
      </w:tr>
      <w:tr>
        <w:trPr>
          <w:cantSplit/>
        </w:trPr>
        <w:tc>
          <w:tcPr>
            <w:tcW w:w="606" w:type="dxa"/>
            <w:shd w:val="clear" w:color="auto" w:fill="F4F7FB"/>
            <w:vAlign w:val="top"/>
          </w:tcPr>
          <w:p>
            <w:pPr>
              <w:pStyle w:val="TableText"/>
              <w:jc w:val="left"/>
            </w:pPr>
            <w:r>
              <w:t xml:space="preserve">E4</w:t>
            </w:r>
          </w:p>
        </w:tc>
        <w:tc>
          <w:tcPr>
            <w:tcW w:w="5216" w:type="dxa"/>
            <w:shd w:val="clear" w:color="auto" w:fill="F4F7FB"/>
            <w:vAlign w:val="top"/>
          </w:tcPr>
          <w:p>
            <w:pPr>
              <w:pStyle w:val="TableText"/>
              <w:jc w:val="left"/>
            </w:pPr>
            <w:r>
              <w:t xml:space="preserve">Add a journey step and template, simulate and approve with a second user</w:t>
            </w:r>
          </w:p>
        </w:tc>
        <w:tc>
          <w:tcPr>
            <w:tcW w:w="3205" w:type="dxa"/>
            <w:shd w:val="clear" w:color="auto" w:fill="F4F7FB"/>
            <w:vAlign w:val="top"/>
          </w:tcPr>
          <w:p>
            <w:pPr>
              <w:pStyle w:val="TableText"/>
              <w:jc w:val="left"/>
            </w:pPr>
            <w:r>
              <w:t xml:space="preserve">Contacts scheduled correctly for a test customer</w:t>
            </w:r>
          </w:p>
        </w:tc>
      </w:tr>
      <w:tr>
        <w:trPr>
          <w:cantSplit/>
        </w:trPr>
        <w:tc>
          <w:tcPr>
            <w:tcW w:w="606" w:type="dxa"/>
            <w:vAlign w:val="top"/>
          </w:tcPr>
          <w:p>
            <w:pPr>
              <w:pStyle w:val="TableText"/>
              <w:jc w:val="left"/>
            </w:pPr>
            <w:r>
              <w:t xml:space="preserve">E5</w:t>
            </w:r>
          </w:p>
        </w:tc>
        <w:tc>
          <w:tcPr>
            <w:tcW w:w="5216" w:type="dxa"/>
            <w:vAlign w:val="top"/>
          </w:tcPr>
          <w:p>
            <w:pPr>
              <w:pStyle w:val="TableText"/>
              <w:jc w:val="left"/>
            </w:pPr>
            <w:r>
              <w:t xml:space="preserve">Run the catalogue sync against the simulated core, review the proposed change and approve it as a second user</w:t>
            </w:r>
          </w:p>
        </w:tc>
        <w:tc>
          <w:tcPr>
            <w:tcW w:w="3205" w:type="dxa"/>
            <w:vAlign w:val="top"/>
          </w:tcPr>
          <w:p>
            <w:pPr>
              <w:pStyle w:val="TableText"/>
              <w:jc w:val="left"/>
            </w:pPr>
            <w:r>
              <w:t xml:space="preserve">Product change active; diff recorded in the audit trail</w:t>
            </w:r>
          </w:p>
        </w:tc>
      </w:tr>
      <w:tr>
        <w:trPr>
          <w:cantSplit/>
        </w:trPr>
        <w:tc>
          <w:tcPr>
            <w:tcW w:w="606" w:type="dxa"/>
            <w:shd w:val="clear" w:color="auto" w:fill="F4F7FB"/>
            <w:vAlign w:val="top"/>
          </w:tcPr>
          <w:p>
            <w:pPr>
              <w:pStyle w:val="TableText"/>
              <w:jc w:val="left"/>
            </w:pPr>
            <w:r>
              <w:t xml:space="preserve">E6</w:t>
            </w:r>
          </w:p>
        </w:tc>
        <w:tc>
          <w:tcPr>
            <w:tcW w:w="5216" w:type="dxa"/>
            <w:shd w:val="clear" w:color="auto" w:fill="F4F7FB"/>
            <w:vAlign w:val="top"/>
          </w:tcPr>
          <w:p>
            <w:pPr>
              <w:pStyle w:val="TableText"/>
              <w:jc w:val="left"/>
            </w:pPr>
            <w:r>
              <w:t xml:space="preserve">Switch the rating source to</w:t>
            </w:r>
            <w:r>
              <w:t xml:space="preserve"> </w:t>
            </w:r>
            <w:r>
              <w:rPr>
                <w:rStyle w:val="CodeChar"/>
              </w:rPr>
              <w:t xml:space="preserve">core_with_fallback</w:t>
            </w:r>
            <w:r>
              <w:t xml:space="preserve">, stop the simulated core, and re-rate an indicative quote after recovery</w:t>
            </w:r>
          </w:p>
        </w:tc>
        <w:tc>
          <w:tcPr>
            <w:tcW w:w="3205" w:type="dxa"/>
            <w:shd w:val="clear" w:color="auto" w:fill="F4F7FB"/>
            <w:vAlign w:val="top"/>
          </w:tcPr>
          <w:p>
            <w:pPr>
              <w:pStyle w:val="TableText"/>
              <w:jc w:val="left"/>
            </w:pPr>
            <w:r>
              <w:t xml:space="preserve">Payment refused while indicative; accepted after re-rating</w:t>
            </w:r>
          </w:p>
        </w:tc>
      </w:tr>
      <w:tr>
        <w:trPr>
          <w:cantSplit/>
        </w:trPr>
        <w:tc>
          <w:tcPr>
            <w:tcW w:w="606" w:type="dxa"/>
            <w:vAlign w:val="top"/>
          </w:tcPr>
          <w:p>
            <w:pPr>
              <w:pStyle w:val="TableText"/>
              <w:jc w:val="left"/>
            </w:pPr>
            <w:r>
              <w:t xml:space="preserve">E7</w:t>
            </w:r>
          </w:p>
        </w:tc>
        <w:tc>
          <w:tcPr>
            <w:tcW w:w="5216" w:type="dxa"/>
            <w:vAlign w:val="top"/>
          </w:tcPr>
          <w:p>
            <w:pPr>
              <w:pStyle w:val="TableText"/>
              <w:jc w:val="left"/>
            </w:pPr>
            <w:r>
              <w:t xml:space="preserve">Implement a test adapter behind the notification port and wire it in the container</w:t>
            </w:r>
          </w:p>
        </w:tc>
        <w:tc>
          <w:tcPr>
            <w:tcW w:w="3205" w:type="dxa"/>
            <w:vAlign w:val="top"/>
          </w:tcPr>
          <w:p>
            <w:pPr>
              <w:pStyle w:val="TableText"/>
              <w:jc w:val="left"/>
            </w:pPr>
            <w:r>
              <w:t xml:space="preserve">Journeys send through it; its circuit shows in the integration status</w:t>
            </w:r>
          </w:p>
        </w:tc>
      </w:tr>
      <w:tr>
        <w:trPr>
          <w:cantSplit/>
        </w:trPr>
        <w:tc>
          <w:tcPr>
            <w:tcW w:w="606" w:type="dxa"/>
            <w:shd w:val="clear" w:color="auto" w:fill="F4F7FB"/>
            <w:vAlign w:val="top"/>
          </w:tcPr>
          <w:p>
            <w:pPr>
              <w:pStyle w:val="TableText"/>
              <w:jc w:val="left"/>
            </w:pPr>
            <w:r>
              <w:t xml:space="preserve">E8</w:t>
            </w:r>
          </w:p>
        </w:tc>
        <w:tc>
          <w:tcPr>
            <w:tcW w:w="5216" w:type="dxa"/>
            <w:shd w:val="clear" w:color="auto" w:fill="F4F7FB"/>
            <w:vAlign w:val="top"/>
          </w:tcPr>
          <w:p>
            <w:pPr>
              <w:pStyle w:val="TableText"/>
              <w:jc w:val="left"/>
            </w:pPr>
            <w:r>
              <w:t xml:space="preserve">Diagnose a seeded issuance failure from logs, metrics and reconciliation</w:t>
            </w:r>
          </w:p>
        </w:tc>
        <w:tc>
          <w:tcPr>
            <w:tcW w:w="3205" w:type="dxa"/>
            <w:shd w:val="clear" w:color="auto" w:fill="F4F7FB"/>
            <w:vAlign w:val="top"/>
          </w:tcPr>
          <w:p>
            <w:pPr>
              <w:pStyle w:val="TableText"/>
              <w:jc w:val="left"/>
            </w:pPr>
            <w:r>
              <w:t xml:space="preserve">Root cause found and written up within two hours</w:t>
            </w:r>
          </w:p>
        </w:tc>
      </w:tr>
      <w:tr>
        <w:trPr>
          <w:cantSplit/>
        </w:trPr>
        <w:tc>
          <w:tcPr>
            <w:tcW w:w="606" w:type="dxa"/>
            <w:vAlign w:val="top"/>
          </w:tcPr>
          <w:p>
            <w:pPr>
              <w:pStyle w:val="TableText"/>
              <w:jc w:val="left"/>
            </w:pPr>
            <w:r>
              <w:t xml:space="preserve">E9</w:t>
            </w:r>
          </w:p>
        </w:tc>
        <w:tc>
          <w:tcPr>
            <w:tcW w:w="5216" w:type="dxa"/>
            <w:vAlign w:val="top"/>
          </w:tcPr>
          <w:p>
            <w:pPr>
              <w:pStyle w:val="TableText"/>
              <w:jc w:val="left"/>
            </w:pPr>
            <w:r>
              <w:t xml:space="preserve">Release to pre-production through the full quality gate, then roll back</w:t>
            </w:r>
          </w:p>
        </w:tc>
        <w:tc>
          <w:tcPr>
            <w:tcW w:w="3205" w:type="dxa"/>
            <w:vAlign w:val="top"/>
          </w:tcPr>
          <w:p>
            <w:pPr>
              <w:pStyle w:val="TableText"/>
              <w:jc w:val="left"/>
            </w:pPr>
            <w:r>
              <w:t xml:space="preserve">Release and rollback both succeed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Code walkthroughs</w:t>
      </w:r>
      <w:bookmarkEnd w:id="21"/>
    </w:p>
    <w:p>
      <w:pPr>
        <w:pStyle w:val="FirstParagraph"/>
      </w:pPr>
      <w:r>
        <w:t xml:space="preserve">Each walkthrough lasts 90 minutes and is recorded for the handover pack.</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30"/>
        <w:gridCol w:w="2201"/>
        <w:gridCol w:w="5996"/>
      </w:tblGrid>
      <w:tr>
        <w:trPr>
          <w:cantSplit/>
          <w:tblHeader/>
        </w:trPr>
        <w:tc>
          <w:tcPr>
            <w:tcW w:w="830" w:type="dxa"/>
            <w:shd w:val="clear" w:color="auto" w:fill="0F4761"/>
            <w:vAlign w:val="center"/>
          </w:tcPr>
          <w:p>
            <w:pPr>
              <w:pStyle w:val="TableHeading"/>
              <w:jc w:val="left"/>
            </w:pPr>
            <w:r>
              <w:rPr>
                <w:color w:val="FFFFFF"/>
              </w:rPr>
              <w:t xml:space="preserve">No.</w:t>
            </w:r>
          </w:p>
        </w:tc>
        <w:tc>
          <w:tcPr>
            <w:tcW w:w="2201" w:type="dxa"/>
            <w:shd w:val="clear" w:color="auto" w:fill="0F4761"/>
            <w:vAlign w:val="center"/>
          </w:tcPr>
          <w:p>
            <w:pPr>
              <w:pStyle w:val="TableHeading"/>
              <w:jc w:val="left"/>
            </w:pPr>
            <w:r>
              <w:rPr>
                <w:color w:val="FFFFFF"/>
              </w:rPr>
              <w:t xml:space="preserve">Title</w:t>
            </w:r>
          </w:p>
        </w:tc>
        <w:tc>
          <w:tcPr>
            <w:tcW w:w="5996" w:type="dxa"/>
            <w:shd w:val="clear" w:color="auto" w:fill="0F4761"/>
            <w:vAlign w:val="center"/>
          </w:tcPr>
          <w:p>
            <w:pPr>
              <w:pStyle w:val="TableHeading"/>
              <w:jc w:val="left"/>
            </w:pPr>
            <w:r>
              <w:rPr>
                <w:color w:val="FFFFFF"/>
              </w:rPr>
              <w:t xml:space="preserve">Path through the code</w:t>
            </w:r>
          </w:p>
        </w:tc>
      </w:tr>
      <w:tr>
        <w:trPr>
          <w:cantSplit/>
        </w:trPr>
        <w:tc>
          <w:tcPr>
            <w:tcW w:w="830" w:type="dxa"/>
            <w:noWrap/>
            <w:vAlign w:val="top"/>
          </w:tcPr>
          <w:p>
            <w:pPr>
              <w:pStyle w:val="TableText"/>
              <w:jc w:val="left"/>
            </w:pPr>
            <w:r>
              <w:t xml:space="preserve">CW-1</w:t>
            </w:r>
          </w:p>
        </w:tc>
        <w:tc>
          <w:tcPr>
            <w:tcW w:w="2201" w:type="dxa"/>
            <w:vAlign w:val="top"/>
          </w:tcPr>
          <w:p>
            <w:pPr>
              <w:pStyle w:val="TableText"/>
              <w:jc w:val="left"/>
            </w:pPr>
            <w:r>
              <w:t xml:space="preserve">Request lifecycle</w:t>
            </w:r>
          </w:p>
        </w:tc>
        <w:tc>
          <w:tcPr>
            <w:tcW w:w="5996" w:type="dxa"/>
            <w:vAlign w:val="top"/>
          </w:tcPr>
          <w:p>
            <w:pPr>
              <w:pStyle w:val="TableText"/>
              <w:jc w:val="left"/>
            </w:pPr>
            <w:r>
              <w:rPr>
                <w:rStyle w:val="CodeChar"/>
              </w:rPr>
              <w:t xml:space="preserve">src/server.js</w:t>
            </w:r>
            <w:r>
              <w:t xml:space="preserve">,</w:t>
            </w:r>
            <w:r>
              <w:t xml:space="preserve"> </w:t>
            </w:r>
            <w:r>
              <w:rPr>
                <w:rStyle w:val="CodeChar"/>
              </w:rPr>
              <w:t xml:space="preserve">app.js</w:t>
            </w:r>
            <w:r>
              <w:t xml:space="preserve">,</w:t>
            </w:r>
            <w:r>
              <w:t xml:space="preserve"> </w:t>
            </w:r>
            <w:r>
              <w:rPr>
                <w:rStyle w:val="CodeChar"/>
              </w:rPr>
              <w:t xml:space="preserve">router.js</w:t>
            </w:r>
            <w:r>
              <w:t xml:space="preserve">, a handler in</w:t>
            </w:r>
            <w:r>
              <w:t xml:space="preserve"> </w:t>
            </w:r>
            <w:r>
              <w:rPr>
                <w:rStyle w:val="CodeChar"/>
              </w:rPr>
              <w:t xml:space="preserve">routes.js</w:t>
            </w:r>
          </w:p>
        </w:tc>
      </w:tr>
      <w:tr>
        <w:trPr>
          <w:cantSplit/>
        </w:trPr>
        <w:tc>
          <w:tcPr>
            <w:tcW w:w="830" w:type="dxa"/>
            <w:shd w:val="clear" w:color="auto" w:fill="F4F7FB"/>
            <w:noWrap/>
            <w:vAlign w:val="top"/>
          </w:tcPr>
          <w:p>
            <w:pPr>
              <w:pStyle w:val="TableText"/>
              <w:jc w:val="left"/>
            </w:pPr>
            <w:r>
              <w:t xml:space="preserve">CW-2</w:t>
            </w:r>
          </w:p>
        </w:tc>
        <w:tc>
          <w:tcPr>
            <w:tcW w:w="2201" w:type="dxa"/>
            <w:shd w:val="clear" w:color="auto" w:fill="F4F7FB"/>
            <w:vAlign w:val="top"/>
          </w:tcPr>
          <w:p>
            <w:pPr>
              <w:pStyle w:val="TableText"/>
              <w:jc w:val="left"/>
            </w:pPr>
            <w:r>
              <w:t xml:space="preserve">Composition root</w:t>
            </w:r>
          </w:p>
        </w:tc>
        <w:tc>
          <w:tcPr>
            <w:tcW w:w="5996" w:type="dxa"/>
            <w:shd w:val="clear" w:color="auto" w:fill="F4F7FB"/>
            <w:vAlign w:val="top"/>
          </w:tcPr>
          <w:p>
            <w:pPr>
              <w:pStyle w:val="TableText"/>
              <w:jc w:val="left"/>
            </w:pPr>
            <w:r>
              <w:rPr>
                <w:rStyle w:val="CodeChar"/>
              </w:rPr>
              <w:t xml:space="preserve">src/bootstrap/container.js</w:t>
            </w:r>
            <w:r>
              <w:t xml:space="preserve"> </w:t>
            </w:r>
            <w:r>
              <w:t xml:space="preserve">from configuration to services and event subscribers</w:t>
            </w:r>
          </w:p>
        </w:tc>
      </w:tr>
      <w:tr>
        <w:trPr>
          <w:cantSplit/>
        </w:trPr>
        <w:tc>
          <w:tcPr>
            <w:tcW w:w="830" w:type="dxa"/>
            <w:noWrap/>
            <w:vAlign w:val="top"/>
          </w:tcPr>
          <w:p>
            <w:pPr>
              <w:pStyle w:val="TableText"/>
              <w:jc w:val="left"/>
            </w:pPr>
            <w:r>
              <w:t xml:space="preserve">CW-3</w:t>
            </w:r>
          </w:p>
        </w:tc>
        <w:tc>
          <w:tcPr>
            <w:tcW w:w="2201" w:type="dxa"/>
            <w:vAlign w:val="top"/>
          </w:tcPr>
          <w:p>
            <w:pPr>
              <w:pStyle w:val="TableText"/>
              <w:jc w:val="left"/>
            </w:pPr>
            <w:r>
              <w:t xml:space="preserve">From raw record to lead</w:t>
            </w:r>
          </w:p>
        </w:tc>
        <w:tc>
          <w:tcPr>
            <w:tcW w:w="5996" w:type="dxa"/>
            <w:vAlign w:val="top"/>
          </w:tcPr>
          <w:p>
            <w:pPr>
              <w:pStyle w:val="TableText"/>
              <w:jc w:val="left"/>
            </w:pPr>
            <w:r>
              <w:t xml:space="preserve">Ingestion, golden record rebuild, lead scoring, touchpoint planning</w:t>
            </w:r>
          </w:p>
        </w:tc>
      </w:tr>
      <w:tr>
        <w:trPr>
          <w:cantSplit/>
        </w:trPr>
        <w:tc>
          <w:tcPr>
            <w:tcW w:w="830" w:type="dxa"/>
            <w:shd w:val="clear" w:color="auto" w:fill="F4F7FB"/>
            <w:noWrap/>
            <w:vAlign w:val="top"/>
          </w:tcPr>
          <w:p>
            <w:pPr>
              <w:pStyle w:val="TableText"/>
              <w:jc w:val="left"/>
            </w:pPr>
            <w:r>
              <w:t xml:space="preserve">CW-4</w:t>
            </w:r>
          </w:p>
        </w:tc>
        <w:tc>
          <w:tcPr>
            <w:tcW w:w="2201" w:type="dxa"/>
            <w:shd w:val="clear" w:color="auto" w:fill="F4F7FB"/>
            <w:vAlign w:val="top"/>
          </w:tcPr>
          <w:p>
            <w:pPr>
              <w:pStyle w:val="TableText"/>
              <w:jc w:val="left"/>
            </w:pPr>
            <w:r>
              <w:t xml:space="preserve">From touchpoint to message</w:t>
            </w:r>
          </w:p>
        </w:tc>
        <w:tc>
          <w:tcPr>
            <w:tcW w:w="5996" w:type="dxa"/>
            <w:shd w:val="clear" w:color="auto" w:fill="F4F7FB"/>
            <w:vAlign w:val="top"/>
          </w:tcPr>
          <w:p>
            <w:pPr>
              <w:pStyle w:val="TableText"/>
              <w:jc w:val="left"/>
            </w:pPr>
            <w:r>
              <w:t xml:space="preserve">Journey run, contact rules, wording control, channel fallback</w:t>
            </w:r>
          </w:p>
        </w:tc>
      </w:tr>
      <w:tr>
        <w:trPr>
          <w:cantSplit/>
        </w:trPr>
        <w:tc>
          <w:tcPr>
            <w:tcW w:w="830" w:type="dxa"/>
            <w:noWrap/>
            <w:vAlign w:val="top"/>
          </w:tcPr>
          <w:p>
            <w:pPr>
              <w:pStyle w:val="TableText"/>
              <w:jc w:val="left"/>
            </w:pPr>
            <w:r>
              <w:t xml:space="preserve">CW-5</w:t>
            </w:r>
          </w:p>
        </w:tc>
        <w:tc>
          <w:tcPr>
            <w:tcW w:w="2201" w:type="dxa"/>
            <w:vAlign w:val="top"/>
          </w:tcPr>
          <w:p>
            <w:pPr>
              <w:pStyle w:val="TableText"/>
              <w:jc w:val="left"/>
            </w:pPr>
            <w:r>
              <w:t xml:space="preserve">From voice call to sale</w:t>
            </w:r>
          </w:p>
        </w:tc>
        <w:tc>
          <w:tcPr>
            <w:tcW w:w="5996" w:type="dxa"/>
            <w:vAlign w:val="top"/>
          </w:tcPr>
          <w:p>
            <w:pPr>
              <w:pStyle w:val="TableText"/>
              <w:jc w:val="left"/>
            </w:pPr>
            <w:r>
              <w:t xml:space="preserve">Voice dialogue, handoff, quote, send to the customer, customer payment, issuance</w:t>
            </w:r>
          </w:p>
        </w:tc>
      </w:tr>
      <w:tr>
        <w:trPr>
          <w:cantSplit/>
        </w:trPr>
        <w:tc>
          <w:tcPr>
            <w:tcW w:w="830" w:type="dxa"/>
            <w:shd w:val="clear" w:color="auto" w:fill="F4F7FB"/>
            <w:noWrap/>
            <w:vAlign w:val="top"/>
          </w:tcPr>
          <w:p>
            <w:pPr>
              <w:pStyle w:val="TableText"/>
              <w:jc w:val="left"/>
            </w:pPr>
            <w:r>
              <w:t xml:space="preserve">CW-6</w:t>
            </w:r>
          </w:p>
        </w:tc>
        <w:tc>
          <w:tcPr>
            <w:tcW w:w="2201" w:type="dxa"/>
            <w:shd w:val="clear" w:color="auto" w:fill="F4F7FB"/>
            <w:vAlign w:val="top"/>
          </w:tcPr>
          <w:p>
            <w:pPr>
              <w:pStyle w:val="TableText"/>
              <w:jc w:val="left"/>
            </w:pPr>
            <w:r>
              <w:t xml:space="preserve">TASCO core rating and catalogue</w:t>
            </w:r>
          </w:p>
        </w:tc>
        <w:tc>
          <w:tcPr>
            <w:tcW w:w="5996" w:type="dxa"/>
            <w:shd w:val="clear" w:color="auto" w:fill="F4F7FB"/>
            <w:vAlign w:val="top"/>
          </w:tcPr>
          <w:p>
            <w:pPr>
              <w:pStyle w:val="TableText"/>
              <w:jc w:val="left"/>
            </w:pPr>
            <w:r>
              <w:t xml:space="preserve">Rating service, REST client, re-rate, catalogue sync and approval</w:t>
            </w:r>
          </w:p>
        </w:tc>
      </w:tr>
      <w:tr>
        <w:trPr>
          <w:cantSplit/>
        </w:trPr>
        <w:tc>
          <w:tcPr>
            <w:tcW w:w="830" w:type="dxa"/>
            <w:noWrap/>
            <w:vAlign w:val="top"/>
          </w:tcPr>
          <w:p>
            <w:pPr>
              <w:pStyle w:val="TableText"/>
              <w:jc w:val="left"/>
            </w:pPr>
            <w:r>
              <w:t xml:space="preserve">CW-7</w:t>
            </w:r>
          </w:p>
        </w:tc>
        <w:tc>
          <w:tcPr>
            <w:tcW w:w="2201" w:type="dxa"/>
            <w:vAlign w:val="top"/>
          </w:tcPr>
          <w:p>
            <w:pPr>
              <w:pStyle w:val="TableText"/>
              <w:jc w:val="left"/>
            </w:pPr>
            <w:r>
              <w:t xml:space="preserve">Rules governance</w:t>
            </w:r>
          </w:p>
        </w:tc>
        <w:tc>
          <w:tcPr>
            <w:tcW w:w="5996" w:type="dxa"/>
            <w:vAlign w:val="top"/>
          </w:tcPr>
          <w:p>
            <w:pPr>
              <w:pStyle w:val="TableText"/>
              <w:jc w:val="left"/>
            </w:pPr>
            <w:r>
              <w:t xml:space="preserve">Rules service lifecycle, validators, simulation</w:t>
            </w:r>
          </w:p>
        </w:tc>
      </w:tr>
      <w:tr>
        <w:trPr>
          <w:cantSplit/>
        </w:trPr>
        <w:tc>
          <w:tcPr>
            <w:tcW w:w="830" w:type="dxa"/>
            <w:shd w:val="clear" w:color="auto" w:fill="F4F7FB"/>
            <w:noWrap/>
            <w:vAlign w:val="top"/>
          </w:tcPr>
          <w:p>
            <w:pPr>
              <w:pStyle w:val="TableText"/>
              <w:jc w:val="left"/>
            </w:pPr>
            <w:r>
              <w:t xml:space="preserve">CW-8</w:t>
            </w:r>
          </w:p>
        </w:tc>
        <w:tc>
          <w:tcPr>
            <w:tcW w:w="2201" w:type="dxa"/>
            <w:shd w:val="clear" w:color="auto" w:fill="F4F7FB"/>
            <w:vAlign w:val="top"/>
          </w:tcPr>
          <w:p>
            <w:pPr>
              <w:pStyle w:val="TableText"/>
              <w:jc w:val="left"/>
            </w:pPr>
            <w:r>
              <w:t xml:space="preserve">Access control</w:t>
            </w:r>
          </w:p>
        </w:tc>
        <w:tc>
          <w:tcPr>
            <w:tcW w:w="5996" w:type="dxa"/>
            <w:shd w:val="clear" w:color="auto" w:fill="F4F7FB"/>
            <w:vAlign w:val="top"/>
          </w:tcPr>
          <w:p>
            <w:pPr>
              <w:pStyle w:val="TableText"/>
              <w:jc w:val="left"/>
            </w:pPr>
            <w:r>
              <w:t xml:space="preserve">Roles, attribute-based policies, masking of personal data</w:t>
            </w:r>
          </w:p>
        </w:tc>
      </w:tr>
      <w:tr>
        <w:trPr>
          <w:cantSplit/>
        </w:trPr>
        <w:tc>
          <w:tcPr>
            <w:tcW w:w="830" w:type="dxa"/>
            <w:noWrap/>
            <w:vAlign w:val="top"/>
          </w:tcPr>
          <w:p>
            <w:pPr>
              <w:pStyle w:val="TableText"/>
              <w:jc w:val="left"/>
            </w:pPr>
            <w:r>
              <w:t xml:space="preserve">CW-9</w:t>
            </w:r>
          </w:p>
        </w:tc>
        <w:tc>
          <w:tcPr>
            <w:tcW w:w="2201" w:type="dxa"/>
            <w:vAlign w:val="top"/>
          </w:tcPr>
          <w:p>
            <w:pPr>
              <w:pStyle w:val="TableText"/>
              <w:jc w:val="left"/>
            </w:pPr>
            <w:r>
              <w:t xml:space="preserve">Customer app and partner API</w:t>
            </w:r>
          </w:p>
        </w:tc>
        <w:tc>
          <w:tcPr>
            <w:tcW w:w="5996" w:type="dxa"/>
            <w:vAlign w:val="top"/>
          </w:tcPr>
          <w:p>
            <w:pPr>
              <w:pStyle w:val="TableText"/>
              <w:jc w:val="left"/>
            </w:pPr>
            <w:r>
              <w:t xml:space="preserve">Signed links, customer routes, quick renewal and the full flow, scoped partner keys, partner-collected orders</w:t>
            </w:r>
          </w:p>
        </w:tc>
      </w:tr>
      <w:tr>
        <w:trPr>
          <w:cantSplit/>
        </w:trPr>
        <w:tc>
          <w:tcPr>
            <w:tcW w:w="830" w:type="dxa"/>
            <w:shd w:val="clear" w:color="auto" w:fill="F4F7FB"/>
            <w:noWrap/>
            <w:vAlign w:val="top"/>
          </w:tcPr>
          <w:p>
            <w:pPr>
              <w:pStyle w:val="TableText"/>
              <w:jc w:val="left"/>
            </w:pPr>
            <w:r>
              <w:t xml:space="preserve">CW-10</w:t>
            </w:r>
          </w:p>
        </w:tc>
        <w:tc>
          <w:tcPr>
            <w:tcW w:w="2201" w:type="dxa"/>
            <w:shd w:val="clear" w:color="auto" w:fill="F4F7FB"/>
            <w:vAlign w:val="top"/>
          </w:tcPr>
          <w:p>
            <w:pPr>
              <w:pStyle w:val="TableText"/>
              <w:jc w:val="left"/>
            </w:pPr>
            <w:r>
              <w:t xml:space="preserve">Operations and jobs</w:t>
            </w:r>
          </w:p>
        </w:tc>
        <w:tc>
          <w:tcPr>
            <w:tcW w:w="5996" w:type="dxa"/>
            <w:shd w:val="clear" w:color="auto" w:fill="F4F7FB"/>
            <w:vAlign w:val="top"/>
          </w:tcPr>
          <w:p>
            <w:pPr>
              <w:pStyle w:val="TableText"/>
              <w:jc w:val="left"/>
            </w:pPr>
            <w:r>
              <w:t xml:space="preserve">Job runner, reconciliation, retention, integration status</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2" w:name="_Toc300000018"/>
      <w:r>
        <w:rPr>
          <w:rStyle w:val="BookTitle"/>
          <w:bCs w:val="0"/>
          <w:i w:val="0"/>
          <w:iCs w:val="0"/>
          <w:spacing w:val="0"/>
        </w:rPr>
        <w:t xml:space="preserve">Handover pack</w:t>
      </w:r>
      <w:bookmarkEnd w:id="2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4422"/>
        <w:gridCol w:w="4605"/>
      </w:tblGrid>
      <w:tr>
        <w:trPr>
          <w:cantSplit/>
          <w:tblHeader/>
        </w:trPr>
        <w:tc>
          <w:tcPr>
            <w:tcW w:w="4422" w:type="dxa"/>
            <w:shd w:val="clear" w:color="auto" w:fill="0F4761"/>
            <w:vAlign w:val="center"/>
          </w:tcPr>
          <w:p>
            <w:pPr>
              <w:pStyle w:val="TableHeading"/>
              <w:jc w:val="left"/>
            </w:pPr>
            <w:r>
              <w:rPr>
                <w:color w:val="FFFFFF"/>
              </w:rPr>
              <w:t xml:space="preserve">Item</w:t>
            </w:r>
          </w:p>
        </w:tc>
        <w:tc>
          <w:tcPr>
            <w:tcW w:w="4605" w:type="dxa"/>
            <w:shd w:val="clear" w:color="auto" w:fill="0F4761"/>
            <w:vAlign w:val="center"/>
          </w:tcPr>
          <w:p>
            <w:pPr>
              <w:pStyle w:val="TableHeading"/>
              <w:jc w:val="left"/>
            </w:pPr>
            <w:r>
              <w:rPr>
                <w:color w:val="FFFFFF"/>
              </w:rPr>
              <w:t xml:space="preserve">Where</w:t>
            </w:r>
          </w:p>
        </w:tc>
      </w:tr>
      <w:tr>
        <w:trPr>
          <w:cantSplit/>
        </w:trPr>
        <w:tc>
          <w:tcPr>
            <w:tcW w:w="4422" w:type="dxa"/>
            <w:vAlign w:val="top"/>
          </w:tcPr>
          <w:p>
            <w:pPr>
              <w:pStyle w:val="TableText"/>
              <w:jc w:val="left"/>
            </w:pPr>
            <w:r>
              <w:t xml:space="preserve">Architecture and design decisions</w:t>
            </w:r>
          </w:p>
        </w:tc>
        <w:tc>
          <w:tcPr>
            <w:tcW w:w="4605" w:type="dxa"/>
            <w:vAlign w:val="top"/>
          </w:tcPr>
          <w:p>
            <w:pPr>
              <w:pStyle w:val="TableText"/>
              <w:jc w:val="left"/>
            </w:pPr>
            <w:r>
              <w:t xml:space="preserve">TGP-ARC-01 to TGP-ARC-07</w:t>
            </w:r>
          </w:p>
        </w:tc>
      </w:tr>
      <w:tr>
        <w:trPr>
          <w:cantSplit/>
        </w:trPr>
        <w:tc>
          <w:tcPr>
            <w:tcW w:w="4422" w:type="dxa"/>
            <w:shd w:val="clear" w:color="auto" w:fill="F4F7FB"/>
            <w:vAlign w:val="top"/>
          </w:tcPr>
          <w:p>
            <w:pPr>
              <w:pStyle w:val="TableText"/>
              <w:jc w:val="left"/>
            </w:pPr>
            <w:r>
              <w:t xml:space="preserve">API specification</w:t>
            </w:r>
          </w:p>
        </w:tc>
        <w:tc>
          <w:tcPr>
            <w:tcW w:w="4605" w:type="dxa"/>
            <w:shd w:val="clear" w:color="auto" w:fill="F4F7FB"/>
            <w:vAlign w:val="top"/>
          </w:tcPr>
          <w:p>
            <w:pPr>
              <w:pStyle w:val="TableText"/>
              <w:jc w:val="left"/>
            </w:pPr>
            <w:r>
              <w:rPr>
                <w:rStyle w:val="CodeChar"/>
              </w:rPr>
              <w:t xml:space="preserve">openapi.json</w:t>
            </w:r>
            <w:r>
              <w:t xml:space="preserve">, also served by the platform</w:t>
            </w:r>
          </w:p>
        </w:tc>
      </w:tr>
      <w:tr>
        <w:trPr>
          <w:cantSplit/>
        </w:trPr>
        <w:tc>
          <w:tcPr>
            <w:tcW w:w="4422" w:type="dxa"/>
            <w:vAlign w:val="top"/>
          </w:tcPr>
          <w:p>
            <w:pPr>
              <w:pStyle w:val="TableText"/>
              <w:jc w:val="left"/>
            </w:pPr>
            <w:r>
              <w:t xml:space="preserve">Rule catalogue: each rule type, purpose, owner and approver</w:t>
            </w:r>
          </w:p>
        </w:tc>
        <w:tc>
          <w:tcPr>
            <w:tcW w:w="4605" w:type="dxa"/>
            <w:vAlign w:val="top"/>
          </w:tcPr>
          <w:p>
            <w:pPr>
              <w:pStyle w:val="TableText"/>
              <w:jc w:val="left"/>
            </w:pPr>
            <w:r>
              <w:t xml:space="preserve">Rules studio and</w:t>
            </w:r>
            <w:r>
              <w:t xml:space="preserve"> </w:t>
            </w:r>
            <w:r>
              <w:rPr>
                <w:rStyle w:val="CodeChar"/>
              </w:rPr>
              <w:t xml:space="preserve">config/rules</w:t>
            </w:r>
          </w:p>
        </w:tc>
      </w:tr>
      <w:tr>
        <w:trPr>
          <w:cantSplit/>
        </w:trPr>
        <w:tc>
          <w:tcPr>
            <w:tcW w:w="4422" w:type="dxa"/>
            <w:shd w:val="clear" w:color="auto" w:fill="F4F7FB"/>
            <w:vAlign w:val="top"/>
          </w:tcPr>
          <w:p>
            <w:pPr>
              <w:pStyle w:val="TableText"/>
              <w:jc w:val="left"/>
            </w:pPr>
            <w:r>
              <w:t xml:space="preserve">Runbooks and procedures</w:t>
            </w:r>
          </w:p>
        </w:tc>
        <w:tc>
          <w:tcPr>
            <w:tcW w:w="4605" w:type="dxa"/>
            <w:shd w:val="clear" w:color="auto" w:fill="F4F7FB"/>
            <w:vAlign w:val="top"/>
          </w:tcPr>
          <w:p>
            <w:pPr>
              <w:pStyle w:val="TableText"/>
              <w:jc w:val="left"/>
            </w:pPr>
            <w:r>
              <w:t xml:space="preserve">TGP-OPS-01 to TGP-OPS-06</w:t>
            </w:r>
          </w:p>
        </w:tc>
      </w:tr>
      <w:tr>
        <w:trPr>
          <w:cantSplit/>
        </w:trPr>
        <w:tc>
          <w:tcPr>
            <w:tcW w:w="4422" w:type="dxa"/>
            <w:vAlign w:val="top"/>
          </w:tcPr>
          <w:p>
            <w:pPr>
              <w:pStyle w:val="TableText"/>
              <w:jc w:val="left"/>
            </w:pPr>
            <w:r>
              <w:t xml:space="preserve">User documentation</w:t>
            </w:r>
          </w:p>
        </w:tc>
        <w:tc>
          <w:tcPr>
            <w:tcW w:w="4605" w:type="dxa"/>
            <w:vAlign w:val="top"/>
          </w:tcPr>
          <w:p>
            <w:pPr>
              <w:pStyle w:val="TableText"/>
              <w:jc w:val="left"/>
            </w:pPr>
            <w:r>
              <w:t xml:space="preserve">TGP-MAN-01 to TGP-MAN-03</w:t>
            </w:r>
          </w:p>
        </w:tc>
      </w:tr>
      <w:tr>
        <w:trPr>
          <w:cantSplit/>
        </w:trPr>
        <w:tc>
          <w:tcPr>
            <w:tcW w:w="4422" w:type="dxa"/>
            <w:shd w:val="clear" w:color="auto" w:fill="F4F7FB"/>
            <w:vAlign w:val="top"/>
          </w:tcPr>
          <w:p>
            <w:pPr>
              <w:pStyle w:val="TableText"/>
              <w:jc w:val="left"/>
            </w:pPr>
            <w:r>
              <w:t xml:space="preserve">Test strategy, suites and results</w:t>
            </w:r>
          </w:p>
        </w:tc>
        <w:tc>
          <w:tcPr>
            <w:tcW w:w="4605" w:type="dxa"/>
            <w:shd w:val="clear" w:color="auto" w:fill="F4F7FB"/>
            <w:vAlign w:val="top"/>
          </w:tcPr>
          <w:p>
            <w:pPr>
              <w:pStyle w:val="TableText"/>
              <w:jc w:val="left"/>
            </w:pPr>
            <w:r>
              <w:t xml:space="preserve">TGP-QA-01 to TGP-QA-04, the</w:t>
            </w:r>
            <w:r>
              <w:t xml:space="preserve"> </w:t>
            </w:r>
            <w:r>
              <w:rPr>
                <w:rStyle w:val="CodeChar"/>
              </w:rPr>
              <w:t xml:space="preserve">test</w:t>
            </w:r>
            <w:r>
              <w:t xml:space="preserve"> </w:t>
            </w:r>
            <w:r>
              <w:t xml:space="preserve">folders and the test-case workbook</w:t>
            </w:r>
          </w:p>
        </w:tc>
      </w:tr>
      <w:tr>
        <w:trPr>
          <w:cantSplit/>
        </w:trPr>
        <w:tc>
          <w:tcPr>
            <w:tcW w:w="4422" w:type="dxa"/>
            <w:vAlign w:val="top"/>
          </w:tcPr>
          <w:p>
            <w:pPr>
              <w:pStyle w:val="TableText"/>
              <w:jc w:val="left"/>
            </w:pPr>
            <w:r>
              <w:t xml:space="preserve">Environment and secrets inventory, without secret values</w:t>
            </w:r>
          </w:p>
        </w:tc>
        <w:tc>
          <w:tcPr>
            <w:tcW w:w="4605" w:type="dxa"/>
            <w:vAlign w:val="top"/>
          </w:tcPr>
          <w:p>
            <w:pPr>
              <w:pStyle w:val="TableText"/>
              <w:jc w:val="left"/>
            </w:pPr>
            <w:r>
              <w:t xml:space="preserve">Secrets manager and inventory sheet</w:t>
            </w:r>
          </w:p>
        </w:tc>
      </w:tr>
      <w:tr>
        <w:trPr>
          <w:cantSplit/>
        </w:trPr>
        <w:tc>
          <w:tcPr>
            <w:tcW w:w="4422" w:type="dxa"/>
            <w:shd w:val="clear" w:color="auto" w:fill="F4F7FB"/>
            <w:vAlign w:val="top"/>
          </w:tcPr>
          <w:p>
            <w:pPr>
              <w:pStyle w:val="TableText"/>
              <w:jc w:val="left"/>
            </w:pPr>
            <w:r>
              <w:t xml:space="preserve">Vendor contacts and service levels</w:t>
            </w:r>
          </w:p>
        </w:tc>
        <w:tc>
          <w:tcPr>
            <w:tcW w:w="4605" w:type="dxa"/>
            <w:shd w:val="clear" w:color="auto" w:fill="F4F7FB"/>
            <w:vAlign w:val="top"/>
          </w:tcPr>
          <w:p>
            <w:pPr>
              <w:pStyle w:val="TableText"/>
              <w:jc w:val="left"/>
            </w:pPr>
            <w:r>
              <w:t xml:space="preserve">Service management tool</w:t>
            </w:r>
          </w:p>
        </w:tc>
      </w:tr>
      <w:tr>
        <w:trPr>
          <w:cantSplit/>
        </w:trPr>
        <w:tc>
          <w:tcPr>
            <w:tcW w:w="4422" w:type="dxa"/>
            <w:vAlign w:val="top"/>
          </w:tcPr>
          <w:p>
            <w:pPr>
              <w:pStyle w:val="TableText"/>
              <w:jc w:val="left"/>
            </w:pPr>
            <w:r>
              <w:t xml:space="preserve">Walkthrough recordings CW-1 to CW-10</w:t>
            </w:r>
          </w:p>
        </w:tc>
        <w:tc>
          <w:tcPr>
            <w:tcW w:w="4605" w:type="dxa"/>
            <w:vAlign w:val="top"/>
          </w:tcPr>
          <w:p>
            <w:pPr>
              <w:pStyle w:val="TableText"/>
              <w:jc w:val="left"/>
            </w:pPr>
            <w:r>
              <w:t xml:space="preserve">Knowledge transfer repository</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3" w:name="_Toc300000019"/>
      <w:r>
        <w:rPr>
          <w:rStyle w:val="BookTitle"/>
          <w:bCs w:val="0"/>
          <w:i w:val="0"/>
          <w:iCs w:val="0"/>
          <w:spacing w:val="0"/>
        </w:rPr>
        <w:t xml:space="preserve">Sign-off criteria</w:t>
      </w:r>
      <w:bookmarkEnd w:id="23"/>
    </w:p>
    <w:p>
      <w:pPr>
        <w:pStyle w:val="FirstParagraph"/>
      </w:pPr>
      <w:r>
        <w:t xml:space="preserve">The MVP handover is complete at M4 when the handover pack is delivered, TASCO IT has attended the two-day handover, and access to the repository, CI pipeline, secrets manager, monitoring and vendor portals has been transferred.</w:t>
      </w:r>
    </w:p>
    <w:p>
      <w:pPr>
        <w:pStyle w:val="BodyText"/>
      </w:pPr>
      <w:r>
        <w:t xml:space="preserve">A full transition is complete when all of the following are true, signed by the head of TASCO IT and the iorta TechNXT engagement manager:</w:t>
      </w:r>
    </w:p>
    <w:p>
      <w:pPr>
        <w:pStyle w:val="Compact"/>
        <w:numPr>
          <w:ilvl w:val="0"/>
          <w:numId w:val="1002"/>
        </w:numPr>
      </w:pPr>
      <w:r>
        <w:t xml:space="preserve">All curriculum modules delivered, with at least 90% attendance of the target audience.</w:t>
      </w:r>
    </w:p>
    <w:p>
      <w:pPr>
        <w:pStyle w:val="Compact"/>
        <w:numPr>
          <w:ilvl w:val="0"/>
          <w:numId w:val="1002"/>
        </w:numPr>
      </w:pPr>
      <w:r>
        <w:t xml:space="preserve">Exercises E1 to E9 passed by at least two receiving engineers each.</w:t>
      </w:r>
    </w:p>
    <w:p>
      <w:pPr>
        <w:pStyle w:val="Compact"/>
        <w:numPr>
          <w:ilvl w:val="0"/>
          <w:numId w:val="1002"/>
        </w:numPr>
      </w:pPr>
      <w:r>
        <w:t xml:space="preserve">Each drill in the operations module run at least once by the receiving team.</w:t>
      </w:r>
    </w:p>
    <w:p>
      <w:pPr>
        <w:pStyle w:val="Compact"/>
        <w:numPr>
          <w:ilvl w:val="0"/>
          <w:numId w:val="1002"/>
        </w:numPr>
      </w:pPr>
      <w:r>
        <w:t xml:space="preserve">The receiving team resolved at least 80% of tickets in reverse shadow and all tickets in the independent phase without hands-on help.</w:t>
      </w:r>
    </w:p>
    <w:p>
      <w:pPr>
        <w:pStyle w:val="Compact"/>
        <w:numPr>
          <w:ilvl w:val="0"/>
          <w:numId w:val="1002"/>
        </w:numPr>
      </w:pPr>
      <w:r>
        <w:t xml:space="preserve">One production release and one rule change carried out end to end by the receiving team.</w:t>
      </w:r>
    </w:p>
    <w:p>
      <w:pPr>
        <w:pStyle w:val="Compact"/>
        <w:numPr>
          <w:ilvl w:val="0"/>
          <w:numId w:val="1002"/>
        </w:numPr>
      </w:pPr>
      <w:r>
        <w:t xml:space="preserve">Departing iorta TechNXT accounts disabled and confirmed in an access review.</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4" w:name="_Toc300000020"/>
      <w:r>
        <w:rPr>
          <w:rStyle w:val="BookTitle"/>
          <w:bCs w:val="0"/>
          <w:i w:val="0"/>
          <w:iCs w:val="0"/>
          <w:spacing w:val="0"/>
        </w:rPr>
        <w:t xml:space="preserve">Long-term maintainability</w:t>
      </w:r>
      <w:bookmarkEnd w:id="24"/>
    </w:p>
    <w:p>
      <w:pPr>
        <w:pStyle w:val="Compact"/>
        <w:numPr>
          <w:ilvl w:val="0"/>
          <w:numId w:val="1003"/>
        </w:numPr>
      </w:pPr>
      <w:r>
        <w:t xml:space="preserve">Keep the dependency surface small and upgrade Node.js on its long-term support cycle; the dependency audit runs in CI.</w:t>
      </w:r>
    </w:p>
    <w:p>
      <w:pPr>
        <w:pStyle w:val="Compact"/>
        <w:numPr>
          <w:ilvl w:val="0"/>
          <w:numId w:val="1003"/>
        </w:numPr>
      </w:pPr>
      <w:r>
        <w:t xml:space="preserve">Prefer rule changes to code changes: tariff references, templates, journey timings, benefits and commission rates are all rule sets with an audit trail.</w:t>
      </w:r>
    </w:p>
    <w:p>
      <w:pPr>
        <w:pStyle w:val="Compact"/>
        <w:numPr>
          <w:ilvl w:val="0"/>
          <w:numId w:val="1003"/>
        </w:numPr>
      </w:pPr>
      <w:r>
        <w:t xml:space="preserve">Replace vendors by replacing adapters behind the existing ports.</w:t>
      </w:r>
    </w:p>
    <w:p>
      <w:pPr>
        <w:pStyle w:val="Compact"/>
        <w:numPr>
          <w:ilvl w:val="0"/>
          <w:numId w:val="1003"/>
        </w:numPr>
      </w:pPr>
      <w:r>
        <w:t xml:space="preserve">Update user documentation and runbooks as part of the definition of done.</w:t>
      </w:r>
    </w:p>
    <w:p>
      <w:pPr>
        <w:pStyle w:val="Compact"/>
        <w:numPr>
          <w:ilvl w:val="0"/>
          <w:numId w:val="1003"/>
        </w:numPr>
      </w:pPr>
      <w:r>
        <w:t xml:space="preserve">Hold an annual architecture review covering dependencies, security, data growth and performance at full base size.</w:t>
      </w:r>
    </w:p>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5" w:name="_Toc300000021"/>
      <w:r>
        <w:rPr>
          <w:rStyle w:val="BookTitle"/>
          <w:bCs w:val="0"/>
          <w:i w:val="0"/>
          <w:iCs w:val="0"/>
          <w:spacing w:val="0"/>
        </w:rPr>
        <w:t xml:space="preserve">Sign-Off</w:t>
      </w:r>
      <w:bookmarkEnd w:id="2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6065"/>
        <w:gridCol w:w="1018"/>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6065"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1018"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606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Receiving team for the technical handover named by TASCO IT before week 12</w:t>
            </w:r>
          </w:p>
        </w:tc>
        <w:tc>
          <w:tcPr>
            <w:tcW w:w="101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2</w:t>
            </w:r>
          </w:p>
        </w:tc>
        <w:tc>
          <w:tcPr>
            <w:tcW w:w="6065"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TASCO core interface specification received, so that the core module covers the final endpoints</w:t>
            </w:r>
          </w:p>
        </w:tc>
        <w:tc>
          <w:tcPr>
            <w:tcW w:w="1018"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IT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137"/>
        <w:gridCol w:w="1790"/>
        <w:gridCol w:w="2805"/>
        <w:gridCol w:w="3295"/>
      </w:tblGrid>
      <w:tr w:rsidR="002B183A" w14:paraId="731A77C7" w14:textId="77777777" w:rsidTr="002923F3">
        <w:trPr>
          <w:cantSplit/>
          <w:trHeight w:val="440"/>
          <w:tblHeader/>
        </w:trPr>
        <w:tc>
          <w:tcPr>
            <w:tcW w:w="1137"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790"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805"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29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137"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805"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29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137"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805"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29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r>
      <w:tr w:rsidR="002B183A" w:rsidRPr="00BB346A" w14:paraId="2AD1806B" w14:textId="77777777" w:rsidTr="002923F3">
        <w:trPr>
          <w:cantSplit/>
          <w:trHeight w:val="760"/>
        </w:trPr>
        <w:tc>
          <w:tcPr>
            <w:tcW w:w="1137"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790"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805"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29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Delivery Management</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411">
    <w:nsid w:val="A99411"/>
    <w:multiLevelType w:val="multilevel"/>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 Id="rIdG1" Type="http://schemas.openxmlformats.org/officeDocument/2006/relationships/image" Target="media/body_001.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Transfer Plan</dc:title>
  <dc:subject>TGP-DEL-05</dc:subject>
  <dc:creator>iorta TechNXT</dc:creator>
  <cp:keywords>TGP-DEL-05; TASCO Insurance; iorta TechNXT</cp:keywords>
  <dc:description>TASCO Motor Insurance Growth Platform</dc:description>
  <cp:lastModifiedBy>iorta TechNXT</cp:lastModifiedBy>
  <cp:revision>1</cp:revision>
  <dcterms:created xsi:type="dcterms:W3CDTF">2026-10-08T03:54:48Z</dcterms:created>
  <dcterms:modified xsi:type="dcterms:W3CDTF">2026-10-08T03:54:48Z</dcterms:modified>
</cp:coreProperties>
</file>