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2347965</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TGP-DEL-06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829056"/>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9056"/>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Organisational Change and Training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What changes</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1"/>
      </w:pPr>
      <w:hyperlink w:anchor="_Toc300000005" w:history="1">
        <w:r>
          <w:rPr>
            <w:noProof/>
          </w:rPr>
          <w:t>5.</w:t>
        </w:r>
        <w:r>
          <w:rPr>
            <w:noProof/>
          </w:rPr>
          <w:tab/>
        </w:r>
        <w:r>
          <w:rPr>
            <w:noProof/>
          </w:rPr>
          <w:t xml:space="preserve">Communications</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1"/>
      </w:pPr>
      <w:hyperlink w:anchor="_Toc300000006" w:history="1">
        <w:r>
          <w:rPr>
            <w:noProof/>
          </w:rPr>
          <w:t>6.</w:t>
        </w:r>
        <w:r>
          <w:rPr>
            <w:noProof/>
          </w:rPr>
          <w:tab/>
        </w:r>
        <w:r>
          <w:rPr>
            <w:noProof/>
          </w:rPr>
          <w:t xml:space="preserve">Super users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6</w:t>
        </w:r>
        <w:r>
          <w:rPr>
            <w:noProof/>
            <w:webHidden/>
          </w:rPr>
          <w:fldChar w:fldCharType="end"/>
        </w:r>
      </w:hyperlink>
    </w:p>
    <w:p>
      <w:pPr>
        <w:pStyle w:val="TOC1"/>
      </w:pPr>
      <w:hyperlink w:anchor="_Toc300000007" w:history="1">
        <w:r>
          <w:rPr>
            <w:noProof/>
          </w:rPr>
          <w:t>7.</w:t>
        </w:r>
        <w:r>
          <w:rPr>
            <w:noProof/>
          </w:rPr>
          <w:tab/>
        </w:r>
        <w:r>
          <w:rPr>
            <w:noProof/>
          </w:rPr>
          <w:t xml:space="preserve">Training plan</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6</w:t>
        </w:r>
        <w:r>
          <w:rPr>
            <w:noProof/>
            <w:webHidden/>
          </w:rPr>
          <w:fldChar w:fldCharType="end"/>
        </w:r>
      </w:hyperlink>
    </w:p>
    <w:p>
      <w:pPr>
        <w:pStyle w:val="TOC2"/>
      </w:pPr>
      <w:hyperlink w:anchor="_Toc300000008" w:history="1">
        <w:r>
          <w:rPr>
            <w:noProof/>
          </w:rPr>
          <w:t>7.1.</w:t>
        </w:r>
        <w:r>
          <w:rPr>
            <w:noProof/>
          </w:rPr>
          <w:tab/>
        </w:r>
        <w:r>
          <w:rPr>
            <w:noProof/>
          </w:rPr>
          <w:t xml:space="preserve">Training environment</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7</w:t>
        </w:r>
        <w:r>
          <w:rPr>
            <w:noProof/>
            <w:webHidden/>
          </w:rPr>
          <w:fldChar w:fldCharType="end"/>
        </w:r>
      </w:hyperlink>
    </w:p>
    <w:p>
      <w:pPr>
        <w:pStyle w:val="TOC2"/>
      </w:pPr>
      <w:hyperlink w:anchor="_Toc300000009" w:history="1">
        <w:r>
          <w:rPr>
            <w:noProof/>
          </w:rPr>
          <w:t>7.2.</w:t>
        </w:r>
        <w:r>
          <w:rPr>
            <w:noProof/>
          </w:rPr>
          <w:tab/>
        </w:r>
        <w:r>
          <w:rPr>
            <w:noProof/>
          </w:rPr>
          <w:t xml:space="preserve">Readiness for go-live</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8</w:t>
        </w:r>
        <w:r>
          <w:rPr>
            <w:noProof/>
            <w:webHidden/>
          </w:rPr>
          <w:fldChar w:fldCharType="end"/>
        </w:r>
      </w:hyperlink>
    </w:p>
    <w:p>
      <w:pPr>
        <w:pStyle w:val="TOC1"/>
      </w:pPr>
      <w:hyperlink w:anchor="_Toc300000010" w:history="1">
        <w:r>
          <w:rPr>
            <w:noProof/>
          </w:rPr>
          <w:t>8.</w:t>
        </w:r>
        <w:r>
          <w:rPr>
            <w:noProof/>
          </w:rPr>
          <w:tab/>
        </w:r>
        <w:r>
          <w:rPr>
            <w:noProof/>
          </w:rPr>
          <w:t xml:space="preserve">Adoption measures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8</w:t>
        </w:r>
        <w:r>
          <w:rPr>
            <w:noProof/>
            <w:webHidden/>
          </w:rPr>
          <w:fldChar w:fldCharType="end"/>
        </w:r>
      </w:hyperlink>
    </w:p>
    <w:p>
      <w:pPr>
        <w:pStyle w:val="TOC1"/>
      </w:pPr>
      <w:hyperlink w:anchor="_Toc300000011" w:history="1">
        <w:r>
          <w:rPr>
            <w:noProof/>
          </w:rPr>
          <w:t>9.</w:t>
        </w:r>
        <w:r>
          <w:rPr>
            <w:noProof/>
          </w:rPr>
          <w:tab/>
        </w:r>
        <w:r>
          <w:rPr>
            <w:noProof/>
          </w:rPr>
          <w:t xml:space="preserve">Resistance and reinforcement</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1"/>
      </w:pPr>
      <w:hyperlink w:anchor="_Toc300000012" w:history="1">
        <w:r>
          <w:rPr>
            <w:noProof/>
          </w:rPr>
          <w:t>10.</w:t>
        </w:r>
        <w:r>
          <w:rPr>
            <w:noProof/>
          </w:rPr>
          <w:tab/>
        </w:r>
        <w:r>
          <w:rPr>
            <w:noProof/>
          </w:rPr>
          <w:t xml:space="preserve">Sign-Off</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10</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Management</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and Distribution</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94"/>
        <w:gridCol w:w="7533"/>
      </w:tblGrid>
      <w:tr w:rsidR="002B183A" w14:paraId="388F227F" w14:textId="77777777" w:rsidTr="002923F3">
        <w:trPr>
          <w:cantSplit/>
          <w:trHeight w:val="440"/>
          <w:tblHeader/>
        </w:trPr>
        <w:tc>
          <w:tcPr>
            <w:tcW w:w="1494"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33"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4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5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 Automatic Toll Collection Company</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describes how TASCO Insurance staff, VETC and the pilot partner will be prepared to work with the TASCO Growth Platform (the platform): what changes for each group, how it is communicated, how each role is trained, and how adoption is measured during the pilot.</w:t>
      </w:r>
    </w:p>
    <w:p>
      <w:pPr>
        <w:pStyle w:val="BodyText"/>
      </w:pPr>
      <w:r>
        <w:t xml:space="preserve">It covers the MVP and the pilot. The training schedule follows the proposal, section 19. The same pattern is repeated for new users in each step of the scale phase.</w:t>
      </w:r>
    </w:p>
    <w:p>
      <w:pPr>
        <w:pStyle w:val="BodyText"/>
      </w:pPr>
      <w:r>
        <w:t xml:space="preserve">The audience is the TASCO product owner, the managers of the teams that will use the platform, the super users and the iorta TechNXT business analyst.</w:t>
      </w:r>
    </w:p>
    <w:p>
      <w:pPr>
        <w:pStyle w:val="BodyText"/>
      </w:pPr>
      <w:r>
        <w:t xml:space="preserve">Related documents: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6"/>
        <w:gridCol w:w="2901"/>
        <w:gridCol w:w="4660"/>
      </w:tblGrid>
      <w:tr>
        <w:trPr>
          <w:cantSplit/>
          <w:tblHeader/>
        </w:trPr>
        <w:tc>
          <w:tcPr>
            <w:tcW w:w="1466" w:type="dxa"/>
            <w:shd w:val="clear" w:color="auto" w:fill="0F4761"/>
            <w:vAlign w:val="center"/>
          </w:tcPr>
          <w:p>
            <w:pPr>
              <w:pStyle w:val="TableHeading"/>
              <w:jc w:val="left"/>
            </w:pPr>
            <w:r>
              <w:rPr>
                <w:color w:val="FFFFFF"/>
              </w:rPr>
              <w:t xml:space="preserve">ID</w:t>
            </w:r>
          </w:p>
        </w:tc>
        <w:tc>
          <w:tcPr>
            <w:tcW w:w="2901" w:type="dxa"/>
            <w:shd w:val="clear" w:color="auto" w:fill="0F4761"/>
            <w:vAlign w:val="center"/>
          </w:tcPr>
          <w:p>
            <w:pPr>
              <w:pStyle w:val="TableHeading"/>
              <w:jc w:val="left"/>
            </w:pPr>
            <w:r>
              <w:rPr>
                <w:color w:val="FFFFFF"/>
              </w:rPr>
              <w:t xml:space="preserve">Title</w:t>
            </w:r>
          </w:p>
        </w:tc>
        <w:tc>
          <w:tcPr>
            <w:tcW w:w="4660" w:type="dxa"/>
            <w:shd w:val="clear" w:color="auto" w:fill="0F4761"/>
            <w:vAlign w:val="center"/>
          </w:tcPr>
          <w:p>
            <w:pPr>
              <w:pStyle w:val="TableHeading"/>
              <w:jc w:val="left"/>
            </w:pPr>
            <w:r>
              <w:rPr>
                <w:color w:val="FFFFFF"/>
              </w:rPr>
              <w:t xml:space="preserve">Relationship</w:t>
            </w:r>
          </w:p>
        </w:tc>
      </w:tr>
      <w:tr>
        <w:trPr>
          <w:cantSplit/>
        </w:trPr>
        <w:tc>
          <w:tcPr>
            <w:tcW w:w="1466" w:type="dxa"/>
            <w:noWrap/>
            <w:vAlign w:val="top"/>
          </w:tcPr>
          <w:p>
            <w:pPr>
              <w:pStyle w:val="TableText"/>
              <w:jc w:val="left"/>
            </w:pPr>
            <w:r>
              <w:t xml:space="preserve">TGP-DEL-01</w:t>
            </w:r>
          </w:p>
        </w:tc>
        <w:tc>
          <w:tcPr>
            <w:tcW w:w="2901" w:type="dxa"/>
            <w:vAlign w:val="top"/>
          </w:tcPr>
          <w:p>
            <w:pPr>
              <w:pStyle w:val="TableText"/>
              <w:jc w:val="left"/>
            </w:pPr>
            <w:r>
              <w:t xml:space="preserve">Project Plan</w:t>
            </w:r>
          </w:p>
        </w:tc>
        <w:tc>
          <w:tcPr>
            <w:tcW w:w="4660" w:type="dxa"/>
            <w:vAlign w:val="top"/>
          </w:tcPr>
          <w:p>
            <w:pPr>
              <w:pStyle w:val="TableText"/>
              <w:jc w:val="left"/>
            </w:pPr>
            <w:r>
              <w:t xml:space="preserve">Weeks and milestones the training is tied to</w:t>
            </w:r>
          </w:p>
        </w:tc>
      </w:tr>
      <w:tr>
        <w:trPr>
          <w:cantSplit/>
        </w:trPr>
        <w:tc>
          <w:tcPr>
            <w:tcW w:w="1466" w:type="dxa"/>
            <w:shd w:val="clear" w:color="auto" w:fill="F4F7FB"/>
            <w:noWrap/>
            <w:vAlign w:val="top"/>
          </w:tcPr>
          <w:p>
            <w:pPr>
              <w:pStyle w:val="TableText"/>
              <w:jc w:val="left"/>
            </w:pPr>
            <w:r>
              <w:t xml:space="preserve">TGP-DEL-05</w:t>
            </w:r>
          </w:p>
        </w:tc>
        <w:tc>
          <w:tcPr>
            <w:tcW w:w="2901" w:type="dxa"/>
            <w:shd w:val="clear" w:color="auto" w:fill="F4F7FB"/>
            <w:vAlign w:val="top"/>
          </w:tcPr>
          <w:p>
            <w:pPr>
              <w:pStyle w:val="TableText"/>
              <w:jc w:val="left"/>
            </w:pPr>
            <w:r>
              <w:t xml:space="preserve">Knowledge Transfer Plan</w:t>
            </w:r>
          </w:p>
        </w:tc>
        <w:tc>
          <w:tcPr>
            <w:tcW w:w="4660" w:type="dxa"/>
            <w:shd w:val="clear" w:color="auto" w:fill="F4F7FB"/>
            <w:vAlign w:val="top"/>
          </w:tcPr>
          <w:p>
            <w:pPr>
              <w:pStyle w:val="TableText"/>
              <w:jc w:val="left"/>
            </w:pPr>
            <w:r>
              <w:t xml:space="preserve">Technical handover to TASCO IT</w:t>
            </w:r>
          </w:p>
        </w:tc>
      </w:tr>
      <w:tr>
        <w:trPr>
          <w:cantSplit/>
        </w:trPr>
        <w:tc>
          <w:tcPr>
            <w:tcW w:w="1466" w:type="dxa"/>
            <w:noWrap/>
            <w:vAlign w:val="top"/>
          </w:tcPr>
          <w:p>
            <w:pPr>
              <w:pStyle w:val="TableText"/>
              <w:jc w:val="left"/>
            </w:pPr>
            <w:r>
              <w:t xml:space="preserve">TGP-BUS-06</w:t>
            </w:r>
          </w:p>
        </w:tc>
        <w:tc>
          <w:tcPr>
            <w:tcW w:w="2901" w:type="dxa"/>
            <w:vAlign w:val="top"/>
          </w:tcPr>
          <w:p>
            <w:pPr>
              <w:pStyle w:val="TableText"/>
              <w:jc w:val="left"/>
            </w:pPr>
            <w:r>
              <w:t xml:space="preserve">Personas and Customer Journeys</w:t>
            </w:r>
          </w:p>
        </w:tc>
        <w:tc>
          <w:tcPr>
            <w:tcW w:w="4660" w:type="dxa"/>
            <w:vAlign w:val="top"/>
          </w:tcPr>
          <w:p>
            <w:pPr>
              <w:pStyle w:val="TableText"/>
              <w:jc w:val="left"/>
            </w:pPr>
            <w:r>
              <w:t xml:space="preserve">The people whose work changes</w:t>
            </w:r>
          </w:p>
        </w:tc>
      </w:tr>
      <w:tr>
        <w:trPr>
          <w:cantSplit/>
        </w:trPr>
        <w:tc>
          <w:tcPr>
            <w:tcW w:w="1466" w:type="dxa"/>
            <w:shd w:val="clear" w:color="auto" w:fill="F4F7FB"/>
            <w:noWrap/>
            <w:vAlign w:val="top"/>
          </w:tcPr>
          <w:p>
            <w:pPr>
              <w:pStyle w:val="TableText"/>
              <w:jc w:val="left"/>
            </w:pPr>
            <w:r>
              <w:t xml:space="preserve">TGP-MAN-01</w:t>
            </w:r>
          </w:p>
        </w:tc>
        <w:tc>
          <w:tcPr>
            <w:tcW w:w="2901" w:type="dxa"/>
            <w:shd w:val="clear" w:color="auto" w:fill="F4F7FB"/>
            <w:vAlign w:val="top"/>
          </w:tcPr>
          <w:p>
            <w:pPr>
              <w:pStyle w:val="TableText"/>
              <w:jc w:val="left"/>
            </w:pPr>
            <w:r>
              <w:t xml:space="preserve">Staff Console User Manual</w:t>
            </w:r>
          </w:p>
        </w:tc>
        <w:tc>
          <w:tcPr>
            <w:tcW w:w="4660" w:type="dxa"/>
            <w:shd w:val="clear" w:color="auto" w:fill="F4F7FB"/>
            <w:vAlign w:val="top"/>
          </w:tcPr>
          <w:p>
            <w:pPr>
              <w:pStyle w:val="TableText"/>
              <w:jc w:val="left"/>
            </w:pPr>
            <w:r>
              <w:t xml:space="preserve">Reference material for staff roles, one chapter per role</w:t>
            </w:r>
          </w:p>
        </w:tc>
      </w:tr>
      <w:tr>
        <w:trPr>
          <w:cantSplit/>
        </w:trPr>
        <w:tc>
          <w:tcPr>
            <w:tcW w:w="1466" w:type="dxa"/>
            <w:noWrap/>
            <w:vAlign w:val="top"/>
          </w:tcPr>
          <w:p>
            <w:pPr>
              <w:pStyle w:val="TableText"/>
              <w:jc w:val="left"/>
            </w:pPr>
            <w:r>
              <w:t xml:space="preserve">TGP-MAN-02</w:t>
            </w:r>
          </w:p>
        </w:tc>
        <w:tc>
          <w:tcPr>
            <w:tcW w:w="2901" w:type="dxa"/>
            <w:vAlign w:val="top"/>
          </w:tcPr>
          <w:p>
            <w:pPr>
              <w:pStyle w:val="TableText"/>
              <w:jc w:val="left"/>
            </w:pPr>
            <w:r>
              <w:t xml:space="preserve">Customer App Guide</w:t>
            </w:r>
          </w:p>
        </w:tc>
        <w:tc>
          <w:tcPr>
            <w:tcW w:w="4660" w:type="dxa"/>
            <w:vAlign w:val="top"/>
          </w:tcPr>
          <w:p>
            <w:pPr>
              <w:pStyle w:val="TableText"/>
              <w:jc w:val="left"/>
            </w:pPr>
            <w:r>
              <w:t xml:space="preserve">Reference for customer-facing staff</w:t>
            </w:r>
          </w:p>
        </w:tc>
      </w:tr>
      <w:tr>
        <w:trPr>
          <w:cantSplit/>
        </w:trPr>
        <w:tc>
          <w:tcPr>
            <w:tcW w:w="1466" w:type="dxa"/>
            <w:shd w:val="clear" w:color="auto" w:fill="F4F7FB"/>
            <w:noWrap/>
            <w:vAlign w:val="top"/>
          </w:tcPr>
          <w:p>
            <w:pPr>
              <w:pStyle w:val="TableText"/>
              <w:jc w:val="left"/>
            </w:pPr>
            <w:r>
              <w:t xml:space="preserve">TGP-MAN-03</w:t>
            </w:r>
          </w:p>
        </w:tc>
        <w:tc>
          <w:tcPr>
            <w:tcW w:w="2901" w:type="dxa"/>
            <w:shd w:val="clear" w:color="auto" w:fill="F4F7FB"/>
            <w:vAlign w:val="top"/>
          </w:tcPr>
          <w:p>
            <w:pPr>
              <w:pStyle w:val="TableText"/>
              <w:jc w:val="left"/>
            </w:pPr>
            <w:r>
              <w:t xml:space="preserve">Partner API Integration Guide</w:t>
            </w:r>
          </w:p>
        </w:tc>
        <w:tc>
          <w:tcPr>
            <w:tcW w:w="4660" w:type="dxa"/>
            <w:shd w:val="clear" w:color="auto" w:fill="F4F7FB"/>
            <w:vAlign w:val="top"/>
          </w:tcPr>
          <w:p>
            <w:pPr>
              <w:pStyle w:val="TableText"/>
              <w:jc w:val="left"/>
            </w:pPr>
            <w:r>
              <w:t xml:space="preserve">Reference for partner developers</w:t>
            </w:r>
          </w:p>
        </w:tc>
      </w:tr>
      <w:tr>
        <w:trPr>
          <w:cantSplit/>
        </w:trPr>
        <w:tc>
          <w:tcPr>
            <w:tcW w:w="1466" w:type="dxa"/>
            <w:noWrap/>
            <w:vAlign w:val="top"/>
          </w:tcPr>
          <w:p>
            <w:pPr>
              <w:pStyle w:val="TableText"/>
              <w:jc w:val="left"/>
            </w:pPr>
            <w:r>
              <w:t xml:space="preserve">TGP-QA-04</w:t>
            </w:r>
          </w:p>
        </w:tc>
        <w:tc>
          <w:tcPr>
            <w:tcW w:w="2901" w:type="dxa"/>
            <w:vAlign w:val="top"/>
          </w:tcPr>
          <w:p>
            <w:pPr>
              <w:pStyle w:val="TableText"/>
              <w:jc w:val="left"/>
            </w:pPr>
            <w:r>
              <w:t xml:space="preserve">User Acceptance Test Plan</w:t>
            </w:r>
          </w:p>
        </w:tc>
        <w:tc>
          <w:tcPr>
            <w:tcW w:w="4660" w:type="dxa"/>
            <w:vAlign w:val="top"/>
          </w:tcPr>
          <w:p>
            <w:pPr>
              <w:pStyle w:val="TableText"/>
              <w:jc w:val="left"/>
            </w:pPr>
            <w:r>
              <w:t xml:space="preserve">UAT, which doubles as practice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What changes</w:t>
      </w:r>
      <w:bookmarkEnd w:id="8"/>
    </w:p>
    <w:p>
      <w:pPr>
        <w:pStyle w:val="FirstParagraph"/>
      </w:pPr>
      <w:r>
        <w:t xml:space="preserve">Technology alone will not move own-channel sales. The groups below change how they work, and the plan concentrates effort where the change is largest.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99"/>
        <w:gridCol w:w="2405"/>
        <w:gridCol w:w="3886"/>
        <w:gridCol w:w="1037"/>
      </w:tblGrid>
      <w:tr>
        <w:trPr>
          <w:cantSplit/>
          <w:tblHeader/>
        </w:trPr>
        <w:tc>
          <w:tcPr>
            <w:tcW w:w="1699" w:type="dxa"/>
            <w:shd w:val="clear" w:color="auto" w:fill="0F4761"/>
            <w:vAlign w:val="center"/>
          </w:tcPr>
          <w:p>
            <w:pPr>
              <w:pStyle w:val="TableHeading"/>
              <w:jc w:val="left"/>
            </w:pPr>
            <w:r>
              <w:rPr>
                <w:color w:val="FFFFFF"/>
              </w:rPr>
              <w:t xml:space="preserve">Group</w:t>
            </w:r>
          </w:p>
        </w:tc>
        <w:tc>
          <w:tcPr>
            <w:tcW w:w="2405" w:type="dxa"/>
            <w:shd w:val="clear" w:color="auto" w:fill="0F4761"/>
            <w:vAlign w:val="center"/>
          </w:tcPr>
          <w:p>
            <w:pPr>
              <w:pStyle w:val="TableHeading"/>
              <w:jc w:val="left"/>
            </w:pPr>
            <w:r>
              <w:rPr>
                <w:color w:val="FFFFFF"/>
              </w:rPr>
              <w:t xml:space="preserve">Today</w:t>
            </w:r>
          </w:p>
        </w:tc>
        <w:tc>
          <w:tcPr>
            <w:tcW w:w="3886" w:type="dxa"/>
            <w:shd w:val="clear" w:color="auto" w:fill="0F4761"/>
            <w:vAlign w:val="center"/>
          </w:tcPr>
          <w:p>
            <w:pPr>
              <w:pStyle w:val="TableHeading"/>
              <w:jc w:val="left"/>
            </w:pPr>
            <w:r>
              <w:rPr>
                <w:color w:val="FFFFFF"/>
              </w:rPr>
              <w:t xml:space="preserve">With the platform</w:t>
            </w:r>
          </w:p>
        </w:tc>
        <w:tc>
          <w:tcPr>
            <w:tcW w:w="1037" w:type="dxa"/>
            <w:shd w:val="clear" w:color="auto" w:fill="0F4761"/>
            <w:vAlign w:val="center"/>
          </w:tcPr>
          <w:p>
            <w:pPr>
              <w:pStyle w:val="TableHeading"/>
              <w:jc w:val="left"/>
            </w:pPr>
            <w:r>
              <w:rPr>
                <w:color w:val="FFFFFF"/>
              </w:rPr>
              <w:t xml:space="preserve">Impact</w:t>
            </w:r>
          </w:p>
        </w:tc>
      </w:tr>
      <w:tr>
        <w:trPr>
          <w:cantSplit/>
        </w:trPr>
        <w:tc>
          <w:tcPr>
            <w:tcW w:w="1699" w:type="dxa"/>
            <w:vAlign w:val="top"/>
          </w:tcPr>
          <w:p>
            <w:pPr>
              <w:pStyle w:val="TableText"/>
              <w:jc w:val="left"/>
            </w:pPr>
            <w:r>
              <w:t xml:space="preserve">Telesales agents</w:t>
            </w:r>
          </w:p>
        </w:tc>
        <w:tc>
          <w:tcPr>
            <w:tcW w:w="2405" w:type="dxa"/>
            <w:vAlign w:val="top"/>
          </w:tcPr>
          <w:p>
            <w:pPr>
              <w:pStyle w:val="TableText"/>
              <w:jc w:val="left"/>
            </w:pPr>
            <w:r>
              <w:t xml:space="preserve">Cold-call lists with little context; customers suspect scams</w:t>
            </w:r>
          </w:p>
        </w:tc>
        <w:tc>
          <w:tcPr>
            <w:tcW w:w="3886" w:type="dxa"/>
            <w:vAlign w:val="top"/>
          </w:tcPr>
          <w:p>
            <w:pPr>
              <w:pStyle w:val="TableText"/>
              <w:jc w:val="left"/>
            </w:pPr>
            <w:r>
              <w:t xml:space="preserve">Warm handoffs from the voice assistant with a verified plate and talking points; quotes sent to the customer’s VETC app; staff never take payment</w:t>
            </w:r>
          </w:p>
        </w:tc>
        <w:tc>
          <w:tcPr>
            <w:tcW w:w="1037" w:type="dxa"/>
            <w:vAlign w:val="top"/>
          </w:tcPr>
          <w:p>
            <w:pPr>
              <w:pStyle w:val="TableText"/>
              <w:jc w:val="left"/>
            </w:pPr>
            <w:r>
              <w:t xml:space="preserve">High</w:t>
            </w:r>
          </w:p>
        </w:tc>
      </w:tr>
      <w:tr>
        <w:trPr>
          <w:cantSplit/>
        </w:trPr>
        <w:tc>
          <w:tcPr>
            <w:tcW w:w="1699" w:type="dxa"/>
            <w:shd w:val="clear" w:color="auto" w:fill="F4F7FB"/>
            <w:vAlign w:val="top"/>
          </w:tcPr>
          <w:p>
            <w:pPr>
              <w:pStyle w:val="TableText"/>
              <w:jc w:val="left"/>
            </w:pPr>
            <w:r>
              <w:t xml:space="preserve">Telesales supervisors</w:t>
            </w:r>
          </w:p>
        </w:tc>
        <w:tc>
          <w:tcPr>
            <w:tcW w:w="2405" w:type="dxa"/>
            <w:shd w:val="clear" w:color="auto" w:fill="F4F7FB"/>
            <w:vAlign w:val="top"/>
          </w:tcPr>
          <w:p>
            <w:pPr>
              <w:pStyle w:val="TableText"/>
              <w:jc w:val="left"/>
            </w:pPr>
            <w:r>
              <w:t xml:space="preserve">Manual allocation from spreadsheets</w:t>
            </w:r>
          </w:p>
        </w:tc>
        <w:tc>
          <w:tcPr>
            <w:tcW w:w="3886" w:type="dxa"/>
            <w:shd w:val="clear" w:color="auto" w:fill="F4F7FB"/>
            <w:vAlign w:val="top"/>
          </w:tcPr>
          <w:p>
            <w:pPr>
              <w:pStyle w:val="TableText"/>
              <w:jc w:val="left"/>
            </w:pPr>
            <w:r>
              <w:t xml:space="preserve">Handoff queue, assignment and service-level tracking</w:t>
            </w:r>
          </w:p>
        </w:tc>
        <w:tc>
          <w:tcPr>
            <w:tcW w:w="1037" w:type="dxa"/>
            <w:shd w:val="clear" w:color="auto" w:fill="F4F7FB"/>
            <w:vAlign w:val="top"/>
          </w:tcPr>
          <w:p>
            <w:pPr>
              <w:pStyle w:val="TableText"/>
              <w:jc w:val="left"/>
            </w:pPr>
            <w:r>
              <w:t xml:space="preserve">High</w:t>
            </w:r>
          </w:p>
        </w:tc>
      </w:tr>
      <w:tr>
        <w:trPr>
          <w:cantSplit/>
        </w:trPr>
        <w:tc>
          <w:tcPr>
            <w:tcW w:w="1699" w:type="dxa"/>
            <w:vAlign w:val="top"/>
          </w:tcPr>
          <w:p>
            <w:pPr>
              <w:pStyle w:val="TableText"/>
              <w:jc w:val="left"/>
            </w:pPr>
            <w:r>
              <w:t xml:space="preserve">Campaign managers</w:t>
            </w:r>
          </w:p>
        </w:tc>
        <w:tc>
          <w:tcPr>
            <w:tcW w:w="2405" w:type="dxa"/>
            <w:vAlign w:val="top"/>
          </w:tcPr>
          <w:p>
            <w:pPr>
              <w:pStyle w:val="TableText"/>
              <w:jc w:val="left"/>
            </w:pPr>
            <w:r>
              <w:t xml:space="preserve">Mass SMS with no frequency control</w:t>
            </w:r>
          </w:p>
        </w:tc>
        <w:tc>
          <w:tcPr>
            <w:tcW w:w="3886" w:type="dxa"/>
            <w:vAlign w:val="top"/>
          </w:tcPr>
          <w:p>
            <w:pPr>
              <w:pStyle w:val="TableText"/>
              <w:jc w:val="left"/>
            </w:pPr>
            <w:r>
              <w:t xml:space="preserve">Journeys with contact rules, voice campaigns and dashboards; discount wording is blocked</w:t>
            </w:r>
          </w:p>
        </w:tc>
        <w:tc>
          <w:tcPr>
            <w:tcW w:w="1037" w:type="dxa"/>
            <w:vAlign w:val="top"/>
          </w:tcPr>
          <w:p>
            <w:pPr>
              <w:pStyle w:val="TableText"/>
              <w:jc w:val="left"/>
            </w:pPr>
            <w:r>
              <w:t xml:space="preserve">High</w:t>
            </w:r>
          </w:p>
        </w:tc>
      </w:tr>
      <w:tr>
        <w:trPr>
          <w:cantSplit/>
        </w:trPr>
        <w:tc>
          <w:tcPr>
            <w:tcW w:w="1699" w:type="dxa"/>
            <w:shd w:val="clear" w:color="auto" w:fill="F4F7FB"/>
            <w:vAlign w:val="top"/>
          </w:tcPr>
          <w:p>
            <w:pPr>
              <w:pStyle w:val="TableText"/>
              <w:jc w:val="left"/>
            </w:pPr>
            <w:r>
              <w:t xml:space="preserve">Data stewards</w:t>
            </w:r>
          </w:p>
        </w:tc>
        <w:tc>
          <w:tcPr>
            <w:tcW w:w="2405" w:type="dxa"/>
            <w:shd w:val="clear" w:color="auto" w:fill="F4F7FB"/>
            <w:vAlign w:val="top"/>
          </w:tcPr>
          <w:p>
            <w:pPr>
              <w:pStyle w:val="TableText"/>
              <w:jc w:val="left"/>
            </w:pPr>
            <w:r>
              <w:t xml:space="preserve">No defined role</w:t>
            </w:r>
          </w:p>
        </w:tc>
        <w:tc>
          <w:tcPr>
            <w:tcW w:w="3886" w:type="dxa"/>
            <w:shd w:val="clear" w:color="auto" w:fill="F4F7FB"/>
            <w:vAlign w:val="top"/>
          </w:tcPr>
          <w:p>
            <w:pPr>
              <w:pStyle w:val="TableText"/>
              <w:jc w:val="left"/>
            </w:pPr>
            <w:r>
              <w:t xml:space="preserve">Data-quality queue and corrections with evidence</w:t>
            </w:r>
          </w:p>
        </w:tc>
        <w:tc>
          <w:tcPr>
            <w:tcW w:w="1037" w:type="dxa"/>
            <w:shd w:val="clear" w:color="auto" w:fill="F4F7FB"/>
            <w:vAlign w:val="top"/>
          </w:tcPr>
          <w:p>
            <w:pPr>
              <w:pStyle w:val="TableText"/>
              <w:jc w:val="left"/>
            </w:pPr>
            <w:r>
              <w:t xml:space="preserve">High (new role)</w:t>
            </w:r>
          </w:p>
        </w:tc>
      </w:tr>
      <w:tr>
        <w:trPr>
          <w:cantSplit/>
        </w:trPr>
        <w:tc>
          <w:tcPr>
            <w:tcW w:w="1699" w:type="dxa"/>
            <w:vAlign w:val="top"/>
          </w:tcPr>
          <w:p>
            <w:pPr>
              <w:pStyle w:val="TableText"/>
              <w:jc w:val="left"/>
            </w:pPr>
            <w:r>
              <w:t xml:space="preserve">Product rule authors</w:t>
            </w:r>
          </w:p>
        </w:tc>
        <w:tc>
          <w:tcPr>
            <w:tcW w:w="2405" w:type="dxa"/>
            <w:vAlign w:val="top"/>
          </w:tcPr>
          <w:p>
            <w:pPr>
              <w:pStyle w:val="TableText"/>
              <w:jc w:val="left"/>
            </w:pPr>
            <w:r>
              <w:t xml:space="preserve">Change requests to IT</w:t>
            </w:r>
          </w:p>
        </w:tc>
        <w:tc>
          <w:tcPr>
            <w:tcW w:w="3886" w:type="dxa"/>
            <w:vAlign w:val="top"/>
          </w:tcPr>
          <w:p>
            <w:pPr>
              <w:pStyle w:val="TableText"/>
              <w:jc w:val="left"/>
            </w:pPr>
            <w:r>
              <w:t xml:space="preserve">Draft, check and simulate rule changes in the rules studio</w:t>
            </w:r>
          </w:p>
        </w:tc>
        <w:tc>
          <w:tcPr>
            <w:tcW w:w="1037" w:type="dxa"/>
            <w:vAlign w:val="top"/>
          </w:tcPr>
          <w:p>
            <w:pPr>
              <w:pStyle w:val="TableText"/>
              <w:jc w:val="left"/>
            </w:pPr>
            <w:r>
              <w:t xml:space="preserve">Medium</w:t>
            </w:r>
          </w:p>
        </w:tc>
      </w:tr>
      <w:tr>
        <w:trPr>
          <w:cantSplit/>
        </w:trPr>
        <w:tc>
          <w:tcPr>
            <w:tcW w:w="1699" w:type="dxa"/>
            <w:shd w:val="clear" w:color="auto" w:fill="F4F7FB"/>
            <w:vAlign w:val="top"/>
          </w:tcPr>
          <w:p>
            <w:pPr>
              <w:pStyle w:val="TableText"/>
              <w:jc w:val="left"/>
            </w:pPr>
            <w:r>
              <w:t xml:space="preserve">Compliance officers</w:t>
            </w:r>
          </w:p>
        </w:tc>
        <w:tc>
          <w:tcPr>
            <w:tcW w:w="2405" w:type="dxa"/>
            <w:shd w:val="clear" w:color="auto" w:fill="F4F7FB"/>
            <w:vAlign w:val="top"/>
          </w:tcPr>
          <w:p>
            <w:pPr>
              <w:pStyle w:val="TableText"/>
              <w:jc w:val="left"/>
            </w:pPr>
            <w:r>
              <w:t xml:space="preserve">Review after the event; data requests handled by email and letter with no register</w:t>
            </w:r>
          </w:p>
        </w:tc>
        <w:tc>
          <w:tcPr>
            <w:tcW w:w="3886" w:type="dxa"/>
            <w:shd w:val="clear" w:color="auto" w:fill="F4F7FB"/>
            <w:vAlign w:val="top"/>
          </w:tcPr>
          <w:p>
            <w:pPr>
              <w:pStyle w:val="TableText"/>
              <w:jc w:val="left"/>
            </w:pPr>
            <w:r>
              <w:t xml:space="preserve">Approve changes before they take effect; audit trail; every data request logged in Governance ›</w:t>
            </w:r>
            <w:r>
              <w:t xml:space="preserve"> </w:t>
            </w:r>
            <w:r>
              <w:t xml:space="preserve">“</w:t>
            </w:r>
            <w:r>
              <w:t xml:space="preserve">Data requests</w:t>
            </w:r>
            <w:r>
              <w:t xml:space="preserve">”</w:t>
            </w:r>
            <w:r>
              <w:t xml:space="preserve"> </w:t>
            </w:r>
            <w:r>
              <w:t xml:space="preserve">with a due date, identity check, export or erasure, and a timeline</w:t>
            </w:r>
          </w:p>
        </w:tc>
        <w:tc>
          <w:tcPr>
            <w:tcW w:w="1037" w:type="dxa"/>
            <w:shd w:val="clear" w:color="auto" w:fill="F4F7FB"/>
            <w:vAlign w:val="top"/>
          </w:tcPr>
          <w:p>
            <w:pPr>
              <w:pStyle w:val="TableText"/>
              <w:jc w:val="left"/>
            </w:pPr>
            <w:r>
              <w:t xml:space="preserve">Medium</w:t>
            </w:r>
          </w:p>
        </w:tc>
      </w:tr>
      <w:tr>
        <w:trPr>
          <w:cantSplit/>
        </w:trPr>
        <w:tc>
          <w:tcPr>
            <w:tcW w:w="1699" w:type="dxa"/>
            <w:vAlign w:val="top"/>
          </w:tcPr>
          <w:p>
            <w:pPr>
              <w:pStyle w:val="TableText"/>
              <w:jc w:val="left"/>
            </w:pPr>
            <w:r>
              <w:t xml:space="preserve">Claims handlers</w:t>
            </w:r>
          </w:p>
        </w:tc>
        <w:tc>
          <w:tcPr>
            <w:tcW w:w="2405" w:type="dxa"/>
            <w:vAlign w:val="top"/>
          </w:tcPr>
          <w:p>
            <w:pPr>
              <w:pStyle w:val="TableText"/>
              <w:jc w:val="left"/>
            </w:pPr>
            <w:r>
              <w:t xml:space="preserve">Phone and paper first notice</w:t>
            </w:r>
          </w:p>
        </w:tc>
        <w:tc>
          <w:tcPr>
            <w:tcW w:w="3886" w:type="dxa"/>
            <w:vAlign w:val="top"/>
          </w:tcPr>
          <w:p>
            <w:pPr>
              <w:pStyle w:val="TableText"/>
              <w:jc w:val="left"/>
            </w:pPr>
            <w:r>
              <w:t xml:space="preserve">Digital first-notice queue with a 4-hour acknowledgement target</w:t>
            </w:r>
          </w:p>
        </w:tc>
        <w:tc>
          <w:tcPr>
            <w:tcW w:w="1037" w:type="dxa"/>
            <w:vAlign w:val="top"/>
          </w:tcPr>
          <w:p>
            <w:pPr>
              <w:pStyle w:val="TableText"/>
              <w:jc w:val="left"/>
            </w:pPr>
            <w:r>
              <w:t xml:space="preserve">Medium</w:t>
            </w:r>
          </w:p>
        </w:tc>
      </w:tr>
      <w:tr>
        <w:trPr>
          <w:cantSplit/>
        </w:trPr>
        <w:tc>
          <w:tcPr>
            <w:tcW w:w="1699" w:type="dxa"/>
            <w:shd w:val="clear" w:color="auto" w:fill="F4F7FB"/>
            <w:vAlign w:val="top"/>
          </w:tcPr>
          <w:p>
            <w:pPr>
              <w:pStyle w:val="TableText"/>
              <w:jc w:val="left"/>
            </w:pPr>
            <w:r>
              <w:t xml:space="preserve">Partner managers</w:t>
            </w:r>
          </w:p>
        </w:tc>
        <w:tc>
          <w:tcPr>
            <w:tcW w:w="2405" w:type="dxa"/>
            <w:shd w:val="clear" w:color="auto" w:fill="F4F7FB"/>
            <w:vAlign w:val="top"/>
          </w:tcPr>
          <w:p>
            <w:pPr>
              <w:pStyle w:val="TableText"/>
              <w:jc w:val="left"/>
            </w:pPr>
            <w:r>
              <w:t xml:space="preserve">Email and spreadsheet commission</w:t>
            </w:r>
          </w:p>
        </w:tc>
        <w:tc>
          <w:tcPr>
            <w:tcW w:w="3886" w:type="dxa"/>
            <w:shd w:val="clear" w:color="auto" w:fill="F4F7FB"/>
            <w:vAlign w:val="top"/>
          </w:tcPr>
          <w:p>
            <w:pPr>
              <w:pStyle w:val="TableText"/>
              <w:jc w:val="left"/>
            </w:pPr>
            <w:r>
              <w:t xml:space="preserve">Partner onboarding, API keys and commission statements</w:t>
            </w:r>
          </w:p>
        </w:tc>
        <w:tc>
          <w:tcPr>
            <w:tcW w:w="1037" w:type="dxa"/>
            <w:shd w:val="clear" w:color="auto" w:fill="F4F7FB"/>
            <w:vAlign w:val="top"/>
          </w:tcPr>
          <w:p>
            <w:pPr>
              <w:pStyle w:val="TableText"/>
              <w:jc w:val="left"/>
            </w:pPr>
            <w:r>
              <w:t xml:space="preserve">Medium</w:t>
            </w:r>
          </w:p>
        </w:tc>
      </w:tr>
      <w:tr>
        <w:trPr>
          <w:cantSplit/>
        </w:trPr>
        <w:tc>
          <w:tcPr>
            <w:tcW w:w="1699" w:type="dxa"/>
            <w:vAlign w:val="top"/>
          </w:tcPr>
          <w:p>
            <w:pPr>
              <w:pStyle w:val="TableText"/>
              <w:jc w:val="left"/>
            </w:pPr>
            <w:r>
              <w:t xml:space="preserve">TASCO IT and support</w:t>
            </w:r>
          </w:p>
        </w:tc>
        <w:tc>
          <w:tcPr>
            <w:tcW w:w="2405" w:type="dxa"/>
            <w:vAlign w:val="top"/>
          </w:tcPr>
          <w:p>
            <w:pPr>
              <w:pStyle w:val="TableText"/>
              <w:jc w:val="left"/>
            </w:pPr>
            <w:r>
              <w:t xml:space="preserve">Not involved</w:t>
            </w:r>
          </w:p>
        </w:tc>
        <w:tc>
          <w:tcPr>
            <w:tcW w:w="3886" w:type="dxa"/>
            <w:vAlign w:val="top"/>
          </w:tcPr>
          <w:p>
            <w:pPr>
              <w:pStyle w:val="TableText"/>
              <w:jc w:val="left"/>
            </w:pPr>
            <w:r>
              <w:t xml:space="preserve">Operate the platform, its jobs and integrations</w:t>
            </w:r>
          </w:p>
        </w:tc>
        <w:tc>
          <w:tcPr>
            <w:tcW w:w="1037" w:type="dxa"/>
            <w:vAlign w:val="top"/>
          </w:tcPr>
          <w:p>
            <w:pPr>
              <w:pStyle w:val="TableText"/>
              <w:jc w:val="left"/>
            </w:pPr>
            <w:r>
              <w:t xml:space="preserve">Medium</w:t>
            </w:r>
          </w:p>
        </w:tc>
      </w:tr>
      <w:tr>
        <w:trPr>
          <w:cantSplit/>
        </w:trPr>
        <w:tc>
          <w:tcPr>
            <w:tcW w:w="1699" w:type="dxa"/>
            <w:shd w:val="clear" w:color="auto" w:fill="F4F7FB"/>
            <w:vAlign w:val="top"/>
          </w:tcPr>
          <w:p>
            <w:pPr>
              <w:pStyle w:val="TableText"/>
              <w:jc w:val="left"/>
            </w:pPr>
            <w:r>
              <w:t xml:space="preserve">Customers in the pilot</w:t>
            </w:r>
          </w:p>
        </w:tc>
        <w:tc>
          <w:tcPr>
            <w:tcW w:w="2405" w:type="dxa"/>
            <w:shd w:val="clear" w:color="auto" w:fill="F4F7FB"/>
            <w:vAlign w:val="top"/>
          </w:tcPr>
          <w:p>
            <w:pPr>
              <w:pStyle w:val="TableText"/>
              <w:jc w:val="left"/>
            </w:pPr>
            <w:r>
              <w:t xml:space="preserve">Renew with whoever calls; paper certificate</w:t>
            </w:r>
          </w:p>
        </w:tc>
        <w:tc>
          <w:tcPr>
            <w:tcW w:w="3886" w:type="dxa"/>
            <w:shd w:val="clear" w:color="auto" w:fill="F4F7FB"/>
            <w:vAlign w:val="top"/>
          </w:tcPr>
          <w:p>
            <w:pPr>
              <w:pStyle w:val="TableText"/>
              <w:jc w:val="left"/>
            </w:pPr>
            <w:r>
              <w:t xml:space="preserve">Reminders in the app and Zalo; quick renewal in 3 steps where eligible, or the full flow; e-certificate with QR code</w:t>
            </w:r>
          </w:p>
        </w:tc>
        <w:tc>
          <w:tcPr>
            <w:tcW w:w="1037" w:type="dxa"/>
            <w:shd w:val="clear" w:color="auto" w:fill="F4F7FB"/>
            <w:vAlign w:val="top"/>
          </w:tcPr>
          <w:p>
            <w:pPr>
              <w:pStyle w:val="TableText"/>
              <w:jc w:val="left"/>
            </w:pPr>
            <w:r>
              <w:t xml:space="preserve">Medium</w:t>
            </w:r>
          </w:p>
        </w:tc>
      </w:tr>
    </w:tbl>
    <w:p>
      <w:pPr>
        <w:pStyle w:val="BodyText"/>
        <w:spacing w:before="160"/>
      </w:pPr>
      <w:r>
        <w:t xml:space="preserve">For telesales the change is the largest: their role shifts from cold calling to closing warm, verified leads. The bot does the verification and the reminders; agents do the conversation.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Communications</w:t>
      </w:r>
      <w:bookmarkEnd w:id="9"/>
    </w:p>
    <w:p>
      <w:pPr>
        <w:pStyle w:val="FirstParagraph"/>
      </w:pPr>
      <w:r>
        <w:t xml:space="preserve">TASCO and VETC own all customer communications. iorta TechNXT provides the message templates, the wording control and the measurement.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1"/>
        <w:gridCol w:w="1837"/>
        <w:gridCol w:w="2600"/>
        <w:gridCol w:w="1589"/>
        <w:gridCol w:w="1700"/>
      </w:tblGrid>
      <w:tr>
        <w:trPr>
          <w:cantSplit/>
          <w:tblHeader/>
        </w:trPr>
        <w:tc>
          <w:tcPr>
            <w:tcW w:w="1301" w:type="dxa"/>
            <w:shd w:val="clear" w:color="auto" w:fill="0F4761"/>
            <w:vAlign w:val="center"/>
          </w:tcPr>
          <w:p>
            <w:pPr>
              <w:pStyle w:val="TableHeading"/>
              <w:jc w:val="left"/>
            </w:pPr>
            <w:r>
              <w:rPr>
                <w:color w:val="FFFFFF"/>
              </w:rPr>
              <w:t xml:space="preserve">When</w:t>
            </w:r>
          </w:p>
        </w:tc>
        <w:tc>
          <w:tcPr>
            <w:tcW w:w="1837" w:type="dxa"/>
            <w:shd w:val="clear" w:color="auto" w:fill="0F4761"/>
            <w:vAlign w:val="center"/>
          </w:tcPr>
          <w:p>
            <w:pPr>
              <w:pStyle w:val="TableHeading"/>
              <w:jc w:val="left"/>
            </w:pPr>
            <w:r>
              <w:rPr>
                <w:color w:val="FFFFFF"/>
              </w:rPr>
              <w:t xml:space="preserve">Audience</w:t>
            </w:r>
          </w:p>
        </w:tc>
        <w:tc>
          <w:tcPr>
            <w:tcW w:w="2600" w:type="dxa"/>
            <w:shd w:val="clear" w:color="auto" w:fill="0F4761"/>
            <w:vAlign w:val="center"/>
          </w:tcPr>
          <w:p>
            <w:pPr>
              <w:pStyle w:val="TableHeading"/>
              <w:jc w:val="left"/>
            </w:pPr>
            <w:r>
              <w:rPr>
                <w:color w:val="FFFFFF"/>
              </w:rPr>
              <w:t xml:space="preserve">Message</w:t>
            </w:r>
          </w:p>
        </w:tc>
        <w:tc>
          <w:tcPr>
            <w:tcW w:w="1589" w:type="dxa"/>
            <w:shd w:val="clear" w:color="auto" w:fill="0F4761"/>
            <w:vAlign w:val="center"/>
          </w:tcPr>
          <w:p>
            <w:pPr>
              <w:pStyle w:val="TableHeading"/>
              <w:jc w:val="left"/>
            </w:pPr>
            <w:r>
              <w:rPr>
                <w:color w:val="FFFFFF"/>
              </w:rPr>
              <w:t xml:space="preserve">Channel</w:t>
            </w:r>
          </w:p>
        </w:tc>
        <w:tc>
          <w:tcPr>
            <w:tcW w:w="1700" w:type="dxa"/>
            <w:shd w:val="clear" w:color="auto" w:fill="0F4761"/>
            <w:vAlign w:val="center"/>
          </w:tcPr>
          <w:p>
            <w:pPr>
              <w:pStyle w:val="TableHeading"/>
              <w:jc w:val="left"/>
            </w:pPr>
            <w:r>
              <w:rPr>
                <w:color w:val="FFFFFF"/>
              </w:rPr>
              <w:t xml:space="preserve">Sender</w:t>
            </w:r>
          </w:p>
        </w:tc>
      </w:tr>
      <w:tr>
        <w:trPr>
          <w:cantSplit/>
        </w:trPr>
        <w:tc>
          <w:tcPr>
            <w:tcW w:w="1301" w:type="dxa"/>
            <w:vAlign w:val="top"/>
          </w:tcPr>
          <w:p>
            <w:pPr>
              <w:pStyle w:val="TableText"/>
              <w:jc w:val="left"/>
            </w:pPr>
            <w:r>
              <w:t xml:space="preserve">Week 1</w:t>
            </w:r>
          </w:p>
        </w:tc>
        <w:tc>
          <w:tcPr>
            <w:tcW w:w="1837" w:type="dxa"/>
            <w:vAlign w:val="top"/>
          </w:tcPr>
          <w:p>
            <w:pPr>
              <w:pStyle w:val="TableText"/>
              <w:jc w:val="left"/>
            </w:pPr>
            <w:r>
              <w:t xml:space="preserve">All internal stakeholders</w:t>
            </w:r>
          </w:p>
        </w:tc>
        <w:tc>
          <w:tcPr>
            <w:tcW w:w="2600" w:type="dxa"/>
            <w:vAlign w:val="top"/>
          </w:tcPr>
          <w:p>
            <w:pPr>
              <w:pStyle w:val="TableText"/>
              <w:jc w:val="left"/>
            </w:pPr>
            <w:r>
              <w:t xml:space="preserve">Why the platform, what changes and what does not</w:t>
            </w:r>
          </w:p>
        </w:tc>
        <w:tc>
          <w:tcPr>
            <w:tcW w:w="1589" w:type="dxa"/>
            <w:vAlign w:val="top"/>
          </w:tcPr>
          <w:p>
            <w:pPr>
              <w:pStyle w:val="TableText"/>
              <w:jc w:val="left"/>
            </w:pPr>
            <w:r>
              <w:t xml:space="preserve">Briefing and email</w:t>
            </w:r>
          </w:p>
        </w:tc>
        <w:tc>
          <w:tcPr>
            <w:tcW w:w="1700" w:type="dxa"/>
            <w:vAlign w:val="top"/>
          </w:tcPr>
          <w:p>
            <w:pPr>
              <w:pStyle w:val="TableText"/>
              <w:jc w:val="left"/>
            </w:pPr>
            <w:r>
              <w:t xml:space="preserve">TASCO programme sponsor</w:t>
            </w:r>
          </w:p>
        </w:tc>
      </w:tr>
      <w:tr>
        <w:trPr>
          <w:cantSplit/>
        </w:trPr>
        <w:tc>
          <w:tcPr>
            <w:tcW w:w="1301" w:type="dxa"/>
            <w:shd w:val="clear" w:color="auto" w:fill="F4F7FB"/>
            <w:vAlign w:val="top"/>
          </w:tcPr>
          <w:p>
            <w:pPr>
              <w:pStyle w:val="TableText"/>
              <w:jc w:val="left"/>
            </w:pPr>
            <w:r>
              <w:t xml:space="preserve">Weeks 1 and 2</w:t>
            </w:r>
          </w:p>
        </w:tc>
        <w:tc>
          <w:tcPr>
            <w:tcW w:w="1837" w:type="dxa"/>
            <w:shd w:val="clear" w:color="auto" w:fill="F4F7FB"/>
            <w:vAlign w:val="top"/>
          </w:tcPr>
          <w:p>
            <w:pPr>
              <w:pStyle w:val="TableText"/>
              <w:jc w:val="left"/>
            </w:pPr>
            <w:r>
              <w:t xml:space="preserve">Telesales and supervisors</w:t>
            </w:r>
          </w:p>
        </w:tc>
        <w:tc>
          <w:tcPr>
            <w:tcW w:w="2600" w:type="dxa"/>
            <w:shd w:val="clear" w:color="auto" w:fill="F4F7FB"/>
            <w:vAlign w:val="top"/>
          </w:tcPr>
          <w:p>
            <w:pPr>
              <w:pStyle w:val="TableText"/>
              <w:jc w:val="left"/>
            </w:pPr>
            <w:r>
              <w:t xml:space="preserve">Invitation to discovery interviews and design reviews</w:t>
            </w:r>
          </w:p>
        </w:tc>
        <w:tc>
          <w:tcPr>
            <w:tcW w:w="1589" w:type="dxa"/>
            <w:shd w:val="clear" w:color="auto" w:fill="F4F7FB"/>
            <w:vAlign w:val="top"/>
          </w:tcPr>
          <w:p>
            <w:pPr>
              <w:pStyle w:val="TableText"/>
              <w:jc w:val="left"/>
            </w:pPr>
            <w:r>
              <w:t xml:space="preserve">Team briefings</w:t>
            </w:r>
          </w:p>
        </w:tc>
        <w:tc>
          <w:tcPr>
            <w:tcW w:w="1700" w:type="dxa"/>
            <w:shd w:val="clear" w:color="auto" w:fill="F4F7FB"/>
            <w:vAlign w:val="top"/>
          </w:tcPr>
          <w:p>
            <w:pPr>
              <w:pStyle w:val="TableText"/>
              <w:jc w:val="left"/>
            </w:pPr>
            <w:r>
              <w:t xml:space="preserve">Telesales lead</w:t>
            </w:r>
          </w:p>
        </w:tc>
      </w:tr>
      <w:tr>
        <w:trPr>
          <w:cantSplit/>
        </w:trPr>
        <w:tc>
          <w:tcPr>
            <w:tcW w:w="1301" w:type="dxa"/>
            <w:vAlign w:val="top"/>
          </w:tcPr>
          <w:p>
            <w:pPr>
              <w:pStyle w:val="TableText"/>
              <w:jc w:val="left"/>
            </w:pPr>
            <w:r>
              <w:t xml:space="preserve">End of each sprint</w:t>
            </w:r>
          </w:p>
        </w:tc>
        <w:tc>
          <w:tcPr>
            <w:tcW w:w="1837" w:type="dxa"/>
            <w:vAlign w:val="top"/>
          </w:tcPr>
          <w:p>
            <w:pPr>
              <w:pStyle w:val="TableText"/>
              <w:jc w:val="left"/>
            </w:pPr>
            <w:r>
              <w:t xml:space="preserve">Super users and managers</w:t>
            </w:r>
          </w:p>
        </w:tc>
        <w:tc>
          <w:tcPr>
            <w:tcW w:w="2600" w:type="dxa"/>
            <w:vAlign w:val="top"/>
          </w:tcPr>
          <w:p>
            <w:pPr>
              <w:pStyle w:val="TableText"/>
              <w:jc w:val="left"/>
            </w:pPr>
            <w:r>
              <w:t xml:space="preserve">What was demonstrated, what comes next</w:t>
            </w:r>
          </w:p>
        </w:tc>
        <w:tc>
          <w:tcPr>
            <w:tcW w:w="1589" w:type="dxa"/>
            <w:vAlign w:val="top"/>
          </w:tcPr>
          <w:p>
            <w:pPr>
              <w:pStyle w:val="TableText"/>
              <w:jc w:val="left"/>
            </w:pPr>
            <w:r>
              <w:t xml:space="preserve">Short note and recording</w:t>
            </w:r>
          </w:p>
        </w:tc>
        <w:tc>
          <w:tcPr>
            <w:tcW w:w="1700" w:type="dxa"/>
            <w:vAlign w:val="top"/>
          </w:tcPr>
          <w:p>
            <w:pPr>
              <w:pStyle w:val="TableText"/>
              <w:jc w:val="left"/>
            </w:pPr>
            <w:r>
              <w:t xml:space="preserve">TASCO product owner</w:t>
            </w:r>
          </w:p>
        </w:tc>
      </w:tr>
      <w:tr>
        <w:trPr>
          <w:cantSplit/>
        </w:trPr>
        <w:tc>
          <w:tcPr>
            <w:tcW w:w="1301" w:type="dxa"/>
            <w:shd w:val="clear" w:color="auto" w:fill="F4F7FB"/>
            <w:vAlign w:val="top"/>
          </w:tcPr>
          <w:p>
            <w:pPr>
              <w:pStyle w:val="TableText"/>
              <w:jc w:val="left"/>
            </w:pPr>
            <w:r>
              <w:t xml:space="preserve">Week 10</w:t>
            </w:r>
          </w:p>
        </w:tc>
        <w:tc>
          <w:tcPr>
            <w:tcW w:w="1837" w:type="dxa"/>
            <w:shd w:val="clear" w:color="auto" w:fill="F4F7FB"/>
            <w:vAlign w:val="top"/>
          </w:tcPr>
          <w:p>
            <w:pPr>
              <w:pStyle w:val="TableText"/>
              <w:jc w:val="left"/>
            </w:pPr>
            <w:r>
              <w:t xml:space="preserve">All user groups</w:t>
            </w:r>
          </w:p>
        </w:tc>
        <w:tc>
          <w:tcPr>
            <w:tcW w:w="2600" w:type="dxa"/>
            <w:shd w:val="clear" w:color="auto" w:fill="F4F7FB"/>
            <w:vAlign w:val="top"/>
          </w:tcPr>
          <w:p>
            <w:pPr>
              <w:pStyle w:val="TableText"/>
              <w:jc w:val="left"/>
            </w:pPr>
            <w:r>
              <w:t xml:space="preserve">Training schedule, UAT access, each role’s part</w:t>
            </w:r>
          </w:p>
        </w:tc>
        <w:tc>
          <w:tcPr>
            <w:tcW w:w="1589" w:type="dxa"/>
            <w:shd w:val="clear" w:color="auto" w:fill="F4F7FB"/>
            <w:vAlign w:val="top"/>
          </w:tcPr>
          <w:p>
            <w:pPr>
              <w:pStyle w:val="TableText"/>
              <w:jc w:val="left"/>
            </w:pPr>
            <w:r>
              <w:t xml:space="preserve">Email</w:t>
            </w:r>
          </w:p>
        </w:tc>
        <w:tc>
          <w:tcPr>
            <w:tcW w:w="1700" w:type="dxa"/>
            <w:shd w:val="clear" w:color="auto" w:fill="F4F7FB"/>
            <w:vAlign w:val="top"/>
          </w:tcPr>
          <w:p>
            <w:pPr>
              <w:pStyle w:val="TableText"/>
              <w:jc w:val="left"/>
            </w:pPr>
            <w:r>
              <w:t xml:space="preserve">TASCO product owner</w:t>
            </w:r>
          </w:p>
        </w:tc>
      </w:tr>
      <w:tr>
        <w:trPr>
          <w:cantSplit/>
        </w:trPr>
        <w:tc>
          <w:tcPr>
            <w:tcW w:w="1301" w:type="dxa"/>
            <w:vAlign w:val="top"/>
          </w:tcPr>
          <w:p>
            <w:pPr>
              <w:pStyle w:val="TableText"/>
              <w:jc w:val="left"/>
            </w:pPr>
            <w:r>
              <w:t xml:space="preserve">Week 12</w:t>
            </w:r>
          </w:p>
        </w:tc>
        <w:tc>
          <w:tcPr>
            <w:tcW w:w="1837" w:type="dxa"/>
            <w:vAlign w:val="top"/>
          </w:tcPr>
          <w:p>
            <w:pPr>
              <w:pStyle w:val="TableText"/>
              <w:jc w:val="left"/>
            </w:pPr>
            <w:r>
              <w:t xml:space="preserve">Telesales</w:t>
            </w:r>
          </w:p>
        </w:tc>
        <w:tc>
          <w:tcPr>
            <w:tcW w:w="2600" w:type="dxa"/>
            <w:vAlign w:val="top"/>
          </w:tcPr>
          <w:p>
            <w:pPr>
              <w:pStyle w:val="TableText"/>
              <w:jc w:val="left"/>
            </w:pPr>
            <w:r>
              <w:t xml:space="preserve">A day in the life with the platform; how wins are recorded</w:t>
            </w:r>
          </w:p>
        </w:tc>
        <w:tc>
          <w:tcPr>
            <w:tcW w:w="1589" w:type="dxa"/>
            <w:vAlign w:val="top"/>
          </w:tcPr>
          <w:p>
            <w:pPr>
              <w:pStyle w:val="TableText"/>
              <w:jc w:val="left"/>
            </w:pPr>
            <w:r>
              <w:t xml:space="preserve">Huddles with super users</w:t>
            </w:r>
          </w:p>
        </w:tc>
        <w:tc>
          <w:tcPr>
            <w:tcW w:w="1700" w:type="dxa"/>
            <w:vAlign w:val="top"/>
          </w:tcPr>
          <w:p>
            <w:pPr>
              <w:pStyle w:val="TableText"/>
              <w:jc w:val="left"/>
            </w:pPr>
            <w:r>
              <w:t xml:space="preserve">Telesales supervisors</w:t>
            </w:r>
          </w:p>
        </w:tc>
      </w:tr>
      <w:tr>
        <w:trPr>
          <w:cantSplit/>
        </w:trPr>
        <w:tc>
          <w:tcPr>
            <w:tcW w:w="1301" w:type="dxa"/>
            <w:shd w:val="clear" w:color="auto" w:fill="F4F7FB"/>
            <w:vAlign w:val="top"/>
          </w:tcPr>
          <w:p>
            <w:pPr>
              <w:pStyle w:val="TableText"/>
              <w:jc w:val="left"/>
            </w:pPr>
            <w:r>
              <w:t xml:space="preserve">Soft launch</w:t>
            </w:r>
          </w:p>
        </w:tc>
        <w:tc>
          <w:tcPr>
            <w:tcW w:w="1837" w:type="dxa"/>
            <w:shd w:val="clear" w:color="auto" w:fill="F4F7FB"/>
            <w:vAlign w:val="top"/>
          </w:tcPr>
          <w:p>
            <w:pPr>
              <w:pStyle w:val="TableText"/>
              <w:jc w:val="left"/>
            </w:pPr>
            <w:r>
              <w:t xml:space="preserve">Pilot users</w:t>
            </w:r>
          </w:p>
        </w:tc>
        <w:tc>
          <w:tcPr>
            <w:tcW w:w="2600" w:type="dxa"/>
            <w:shd w:val="clear" w:color="auto" w:fill="F4F7FB"/>
            <w:vAlign w:val="top"/>
          </w:tcPr>
          <w:p>
            <w:pPr>
              <w:pStyle w:val="TableText"/>
              <w:jc w:val="left"/>
            </w:pPr>
            <w:r>
              <w:t xml:space="preserve">Go-live guide, hypercare contacts, help in the console</w:t>
            </w:r>
          </w:p>
        </w:tc>
        <w:tc>
          <w:tcPr>
            <w:tcW w:w="1589" w:type="dxa"/>
            <w:shd w:val="clear" w:color="auto" w:fill="F4F7FB"/>
            <w:vAlign w:val="top"/>
          </w:tcPr>
          <w:p>
            <w:pPr>
              <w:pStyle w:val="TableText"/>
              <w:jc w:val="left"/>
            </w:pPr>
            <w:r>
              <w:t xml:space="preserve">Email and floor visits</w:t>
            </w:r>
          </w:p>
        </w:tc>
        <w:tc>
          <w:tcPr>
            <w:tcW w:w="1700" w:type="dxa"/>
            <w:shd w:val="clear" w:color="auto" w:fill="F4F7FB"/>
            <w:vAlign w:val="top"/>
          </w:tcPr>
          <w:p>
            <w:pPr>
              <w:pStyle w:val="TableText"/>
              <w:jc w:val="left"/>
            </w:pPr>
            <w:r>
              <w:t xml:space="preserve">TASCO product owner</w:t>
            </w:r>
          </w:p>
        </w:tc>
      </w:tr>
      <w:tr>
        <w:trPr>
          <w:cantSplit/>
        </w:trPr>
        <w:tc>
          <w:tcPr>
            <w:tcW w:w="1301" w:type="dxa"/>
            <w:vAlign w:val="top"/>
          </w:tcPr>
          <w:p>
            <w:pPr>
              <w:pStyle w:val="TableText"/>
              <w:jc w:val="left"/>
            </w:pPr>
            <w:r>
              <w:t xml:space="preserve">Soft launch</w:t>
            </w:r>
          </w:p>
        </w:tc>
        <w:tc>
          <w:tcPr>
            <w:tcW w:w="1837" w:type="dxa"/>
            <w:vAlign w:val="top"/>
          </w:tcPr>
          <w:p>
            <w:pPr>
              <w:pStyle w:val="TableText"/>
              <w:jc w:val="left"/>
            </w:pPr>
            <w:r>
              <w:t xml:space="preserve">Customers in the cohort</w:t>
            </w:r>
          </w:p>
        </w:tc>
        <w:tc>
          <w:tcPr>
            <w:tcW w:w="2600" w:type="dxa"/>
            <w:vAlign w:val="top"/>
          </w:tcPr>
          <w:p>
            <w:pPr>
              <w:pStyle w:val="TableText"/>
              <w:jc w:val="left"/>
            </w:pPr>
            <w:r>
              <w:t xml:space="preserve">Renew in the VETC app; VETC and TASCO never ask for an OTP or payment by phone</w:t>
            </w:r>
          </w:p>
        </w:tc>
        <w:tc>
          <w:tcPr>
            <w:tcW w:w="1589" w:type="dxa"/>
            <w:vAlign w:val="top"/>
          </w:tcPr>
          <w:p>
            <w:pPr>
              <w:pStyle w:val="TableText"/>
              <w:jc w:val="left"/>
            </w:pPr>
            <w:r>
              <w:t xml:space="preserve">In-app banner, Zalo post</w:t>
            </w:r>
          </w:p>
        </w:tc>
        <w:tc>
          <w:tcPr>
            <w:tcW w:w="1700" w:type="dxa"/>
            <w:vAlign w:val="top"/>
          </w:tcPr>
          <w:p>
            <w:pPr>
              <w:pStyle w:val="TableText"/>
              <w:jc w:val="left"/>
            </w:pPr>
            <w:r>
              <w:t xml:space="preserve">VETC</w:t>
            </w:r>
          </w:p>
        </w:tc>
      </w:tr>
      <w:tr>
        <w:trPr>
          <w:cantSplit/>
        </w:trPr>
        <w:tc>
          <w:tcPr>
            <w:tcW w:w="1301" w:type="dxa"/>
            <w:shd w:val="clear" w:color="auto" w:fill="F4F7FB"/>
            <w:vAlign w:val="top"/>
          </w:tcPr>
          <w:p>
            <w:pPr>
              <w:pStyle w:val="TableText"/>
              <w:jc w:val="left"/>
            </w:pPr>
            <w:r>
              <w:t xml:space="preserve">Weekly in the pilot</w:t>
            </w:r>
          </w:p>
        </w:tc>
        <w:tc>
          <w:tcPr>
            <w:tcW w:w="1837" w:type="dxa"/>
            <w:shd w:val="clear" w:color="auto" w:fill="F4F7FB"/>
            <w:vAlign w:val="top"/>
          </w:tcPr>
          <w:p>
            <w:pPr>
              <w:pStyle w:val="TableText"/>
              <w:jc w:val="left"/>
            </w:pPr>
            <w:r>
              <w:t xml:space="preserve">Pilot users and managers</w:t>
            </w:r>
          </w:p>
        </w:tc>
        <w:tc>
          <w:tcPr>
            <w:tcW w:w="2600" w:type="dxa"/>
            <w:shd w:val="clear" w:color="auto" w:fill="F4F7FB"/>
            <w:vAlign w:val="top"/>
          </w:tcPr>
          <w:p>
            <w:pPr>
              <w:pStyle w:val="TableText"/>
              <w:jc w:val="left"/>
            </w:pPr>
            <w:r>
              <w:t xml:space="preserve">Results, tips, fixes released</w:t>
            </w:r>
          </w:p>
        </w:tc>
        <w:tc>
          <w:tcPr>
            <w:tcW w:w="1589" w:type="dxa"/>
            <w:shd w:val="clear" w:color="auto" w:fill="F4F7FB"/>
            <w:vAlign w:val="top"/>
          </w:tcPr>
          <w:p>
            <w:pPr>
              <w:pStyle w:val="TableText"/>
              <w:jc w:val="left"/>
            </w:pPr>
            <w:r>
              <w:t xml:space="preserve">Newsletter</w:t>
            </w:r>
          </w:p>
        </w:tc>
        <w:tc>
          <w:tcPr>
            <w:tcW w:w="1700" w:type="dxa"/>
            <w:shd w:val="clear" w:color="auto" w:fill="F4F7FB"/>
            <w:vAlign w:val="top"/>
          </w:tcPr>
          <w:p>
            <w:pPr>
              <w:pStyle w:val="TableText"/>
              <w:jc w:val="left"/>
            </w:pPr>
            <w:r>
              <w:t xml:space="preserve">TASCO product owner</w:t>
            </w:r>
          </w:p>
        </w:tc>
      </w:tr>
      <w:tr>
        <w:trPr>
          <w:cantSplit/>
        </w:trPr>
        <w:tc>
          <w:tcPr>
            <w:tcW w:w="1301" w:type="dxa"/>
            <w:vAlign w:val="top"/>
          </w:tcPr>
          <w:p>
            <w:pPr>
              <w:pStyle w:val="TableText"/>
              <w:jc w:val="left"/>
            </w:pPr>
            <w:r>
              <w:t xml:space="preserve">Pilot read-out</w:t>
            </w:r>
          </w:p>
        </w:tc>
        <w:tc>
          <w:tcPr>
            <w:tcW w:w="1837" w:type="dxa"/>
            <w:vAlign w:val="top"/>
          </w:tcPr>
          <w:p>
            <w:pPr>
              <w:pStyle w:val="TableText"/>
              <w:jc w:val="left"/>
            </w:pPr>
            <w:r>
              <w:t xml:space="preserve">All internal stakeholders</w:t>
            </w:r>
          </w:p>
        </w:tc>
        <w:tc>
          <w:tcPr>
            <w:tcW w:w="2600" w:type="dxa"/>
            <w:vAlign w:val="top"/>
          </w:tcPr>
          <w:p>
            <w:pPr>
              <w:pStyle w:val="TableText"/>
              <w:jc w:val="left"/>
            </w:pPr>
            <w:r>
              <w:t xml:space="preserve">Results against the control group and the next steps</w:t>
            </w:r>
          </w:p>
        </w:tc>
        <w:tc>
          <w:tcPr>
            <w:tcW w:w="1589" w:type="dxa"/>
            <w:vAlign w:val="top"/>
          </w:tcPr>
          <w:p>
            <w:pPr>
              <w:pStyle w:val="TableText"/>
              <w:jc w:val="left"/>
            </w:pPr>
            <w:r>
              <w:t xml:space="preserve">Briefing</w:t>
            </w:r>
          </w:p>
        </w:tc>
        <w:tc>
          <w:tcPr>
            <w:tcW w:w="1700" w:type="dxa"/>
            <w:vAlign w:val="top"/>
          </w:tcPr>
          <w:p>
            <w:pPr>
              <w:pStyle w:val="TableText"/>
              <w:jc w:val="left"/>
            </w:pPr>
            <w:r>
              <w:t xml:space="preserve">TASCO programme sponsor</w:t>
            </w:r>
          </w:p>
        </w:tc>
      </w:tr>
    </w:tbl>
    <w:p>
      <w:pPr>
        <w:pStyle w:val="BodyText"/>
        <w:spacing w:before="160"/>
      </w:pPr>
      <w:r>
        <w:t xml:space="preserve">Key messages, to be approved by TASCO compliance:</w:t>
      </w:r>
    </w:p>
    <w:p>
      <w:pPr>
        <w:pStyle w:val="Compact"/>
        <w:numPr>
          <w:ilvl w:val="0"/>
          <w:numId w:val="1001"/>
        </w:numPr>
      </w:pPr>
      <w:r>
        <w:t xml:space="preserve">TNDS premiums are set by regulation and are the same everywhere. We compete on service, never on discounts.</w:t>
      </w:r>
    </w:p>
    <w:p>
      <w:pPr>
        <w:pStyle w:val="Compact"/>
        <w:numPr>
          <w:ilvl w:val="0"/>
          <w:numId w:val="1001"/>
        </w:numPr>
      </w:pPr>
      <w:r>
        <w:t xml:space="preserve">Payment happens only inside the official VETC app. Nobody from TASCO or VETC asks for an OTP or a payment over the phone.</w:t>
      </w:r>
    </w:p>
    <w:p>
      <w:pPr>
        <w:pStyle w:val="Compact"/>
        <w:numPr>
          <w:ilvl w:val="0"/>
          <w:numId w:val="1001"/>
        </w:numPr>
      </w:pPr>
      <w:r>
        <w:t xml:space="preserve">The voice assistant handles verification and reminders. People handle conversations and advice.</w:t>
      </w:r>
    </w:p>
    <w:p>
      <w:pPr>
        <w:pStyle w:val="Compact"/>
        <w:numPr>
          <w:ilvl w:val="0"/>
          <w:numId w:val="1001"/>
        </w:numPr>
      </w:pPr>
      <w:r>
        <w:t xml:space="preserve">Every change to customer-facing rules is approved by a second person and recorded.</w:t>
      </w:r>
    </w:p>
    <w:p>
      <w:pPr>
        <w:pStyle w:val="FirstParagraph"/>
      </w:pPr>
      <w:r>
        <w:t xml:space="preserve">For customers we recommend a simple launch message, subject to TASCO compliance approval:</w:t>
      </w:r>
      <w:r>
        <w:t xml:space="preserve"> </w:t>
      </w:r>
      <w:r>
        <w:t xml:space="preserve">“</w:t>
      </w:r>
      <w:r>
        <w:t xml:space="preserve">Renew your TNDS in the VETC app in about a minute.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 w:name="_Toc300000006"/>
      <w:r>
        <w:rPr>
          <w:rStyle w:val="BookTitle"/>
          <w:bCs w:val="0"/>
          <w:i w:val="0"/>
          <w:iCs w:val="0"/>
          <w:spacing w:val="0"/>
        </w:rPr>
        <w:t xml:space="preserve">Super users</w:t>
      </w:r>
      <w:bookmarkEnd w:id="10"/>
    </w:p>
    <w:p>
      <w:pPr>
        <w:pStyle w:val="FirstParagraph"/>
      </w:pPr>
      <w:r>
        <w:t xml:space="preserve">TASCO nominates super users who are trained first and then support their colleagues.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2"/>
        <w:gridCol w:w="7725"/>
      </w:tblGrid>
      <w:tr>
        <w:trPr>
          <w:cantSplit/>
          <w:tblHeader/>
        </w:trPr>
        <w:tc>
          <w:tcPr>
            <w:tcW w:w="1302" w:type="dxa"/>
            <w:shd w:val="clear" w:color="auto" w:fill="0F4761"/>
            <w:vAlign w:val="center"/>
          </w:tcPr>
          <w:p>
            <w:pPr>
              <w:pStyle w:val="TableHeading"/>
              <w:jc w:val="left"/>
            </w:pPr>
            <w:r>
              <w:rPr>
                <w:color w:val="FFFFFF"/>
              </w:rPr>
              <w:t xml:space="preserve">Item</w:t>
            </w:r>
          </w:p>
        </w:tc>
        <w:tc>
          <w:tcPr>
            <w:tcW w:w="7725" w:type="dxa"/>
            <w:shd w:val="clear" w:color="auto" w:fill="0F4761"/>
            <w:vAlign w:val="center"/>
          </w:tcPr>
          <w:p>
            <w:pPr>
              <w:pStyle w:val="TableHeading"/>
              <w:jc w:val="left"/>
            </w:pPr>
            <w:r>
              <w:rPr>
                <w:color w:val="FFFFFF"/>
              </w:rPr>
              <w:t xml:space="preserve">Arrangement</w:t>
            </w:r>
          </w:p>
        </w:tc>
      </w:tr>
      <w:tr>
        <w:trPr>
          <w:cantSplit/>
        </w:trPr>
        <w:tc>
          <w:tcPr>
            <w:tcW w:w="1302" w:type="dxa"/>
            <w:vAlign w:val="top"/>
          </w:tcPr>
          <w:p>
            <w:pPr>
              <w:pStyle w:val="TableText"/>
              <w:jc w:val="left"/>
            </w:pPr>
            <w:r>
              <w:t xml:space="preserve">Number</w:t>
            </w:r>
          </w:p>
        </w:tc>
        <w:tc>
          <w:tcPr>
            <w:tcW w:w="7725" w:type="dxa"/>
            <w:vAlign w:val="top"/>
          </w:tcPr>
          <w:p>
            <w:pPr>
              <w:pStyle w:val="TableText"/>
              <w:jc w:val="left"/>
            </w:pPr>
            <w:r>
              <w:t xml:space="preserve">About one per ten users: two or three per telesales team, one each in campaigns, compliance, data and claims</w:t>
            </w:r>
          </w:p>
        </w:tc>
      </w:tr>
      <w:tr>
        <w:trPr>
          <w:cantSplit/>
        </w:trPr>
        <w:tc>
          <w:tcPr>
            <w:tcW w:w="1302" w:type="dxa"/>
            <w:shd w:val="clear" w:color="auto" w:fill="F4F7FB"/>
            <w:vAlign w:val="top"/>
          </w:tcPr>
          <w:p>
            <w:pPr>
              <w:pStyle w:val="TableText"/>
              <w:jc w:val="left"/>
            </w:pPr>
            <w:r>
              <w:t xml:space="preserve">Selection</w:t>
            </w:r>
          </w:p>
        </w:tc>
        <w:tc>
          <w:tcPr>
            <w:tcW w:w="7725" w:type="dxa"/>
            <w:shd w:val="clear" w:color="auto" w:fill="F4F7FB"/>
            <w:vAlign w:val="top"/>
          </w:tcPr>
          <w:p>
            <w:pPr>
              <w:pStyle w:val="TableText"/>
              <w:jc w:val="left"/>
            </w:pPr>
            <w:r>
              <w:t xml:space="preserve">Respected practitioners nominated by their managers</w:t>
            </w:r>
          </w:p>
        </w:tc>
      </w:tr>
      <w:tr>
        <w:trPr>
          <w:cantSplit/>
        </w:trPr>
        <w:tc>
          <w:tcPr>
            <w:tcW w:w="1302" w:type="dxa"/>
            <w:vAlign w:val="top"/>
          </w:tcPr>
          <w:p>
            <w:pPr>
              <w:pStyle w:val="TableText"/>
              <w:jc w:val="left"/>
            </w:pPr>
            <w:r>
              <w:t xml:space="preserve">Time</w:t>
            </w:r>
          </w:p>
        </w:tc>
        <w:tc>
          <w:tcPr>
            <w:tcW w:w="7725" w:type="dxa"/>
            <w:vAlign w:val="top"/>
          </w:tcPr>
          <w:p>
            <w:pPr>
              <w:pStyle w:val="TableText"/>
              <w:jc w:val="left"/>
            </w:pPr>
            <w:r>
              <w:t xml:space="preserve">About 10% of their time during the pilot</w:t>
            </w:r>
          </w:p>
        </w:tc>
      </w:tr>
      <w:tr>
        <w:trPr>
          <w:cantSplit/>
        </w:trPr>
        <w:tc>
          <w:tcPr>
            <w:tcW w:w="1302" w:type="dxa"/>
            <w:shd w:val="clear" w:color="auto" w:fill="F4F7FB"/>
            <w:vAlign w:val="top"/>
          </w:tcPr>
          <w:p>
            <w:pPr>
              <w:pStyle w:val="TableText"/>
              <w:jc w:val="left"/>
            </w:pPr>
            <w:r>
              <w:t xml:space="preserve">Role</w:t>
            </w:r>
          </w:p>
        </w:tc>
        <w:tc>
          <w:tcPr>
            <w:tcW w:w="7725" w:type="dxa"/>
            <w:shd w:val="clear" w:color="auto" w:fill="F4F7FB"/>
            <w:vAlign w:val="top"/>
          </w:tcPr>
          <w:p>
            <w:pPr>
              <w:pStyle w:val="TableText"/>
              <w:jc w:val="left"/>
            </w:pPr>
            <w:r>
              <w:t xml:space="preserve">Early access to UAT, first-line</w:t>
            </w:r>
            <w:r>
              <w:t xml:space="preserve"> </w:t>
            </w:r>
            <w:r>
              <w:t xml:space="preserve">“</w:t>
            </w:r>
            <w:r>
              <w:t xml:space="preserve">how do I</w:t>
            </w:r>
            <w:r>
              <w:t xml:space="preserve">”</w:t>
            </w:r>
            <w:r>
              <w:t xml:space="preserve"> </w:t>
            </w:r>
            <w:r>
              <w:t xml:space="preserve">help, feedback to the product council, co-delivery of training</w:t>
            </w:r>
          </w:p>
        </w:tc>
      </w:tr>
      <w:tr>
        <w:trPr>
          <w:cantSplit/>
        </w:trPr>
        <w:tc>
          <w:tcPr>
            <w:tcW w:w="1302" w:type="dxa"/>
            <w:vAlign w:val="top"/>
          </w:tcPr>
          <w:p>
            <w:pPr>
              <w:pStyle w:val="TableText"/>
              <w:jc w:val="left"/>
            </w:pPr>
            <w:r>
              <w:t xml:space="preserve">Support</w:t>
            </w:r>
          </w:p>
        </w:tc>
        <w:tc>
          <w:tcPr>
            <w:tcW w:w="7725" w:type="dxa"/>
            <w:vAlign w:val="top"/>
          </w:tcPr>
          <w:p>
            <w:pPr>
              <w:pStyle w:val="TableText"/>
              <w:jc w:val="left"/>
            </w:pPr>
            <w:r>
              <w:t xml:space="preserve">Direct channel to the delivery team; preview of each release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Training plan</w:t>
      </w:r>
      <w:bookmarkEnd w:id="11"/>
    </w:p>
    <w:p>
      <w:pPr>
        <w:pStyle w:val="FirstParagraph"/>
      </w:pPr>
      <w:r>
        <w:t xml:space="preserve">Training is role-based: each person learns only the screens their role can see. Every session ends with practice in UAT.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7"/>
        <w:gridCol w:w="2130"/>
        <w:gridCol w:w="4027"/>
        <w:gridCol w:w="913"/>
      </w:tblGrid>
      <w:tr>
        <w:trPr>
          <w:cantSplit/>
          <w:tblHeader/>
        </w:trPr>
        <w:tc>
          <w:tcPr>
            <w:tcW w:w="1957" w:type="dxa"/>
            <w:shd w:val="clear" w:color="auto" w:fill="0F4761"/>
            <w:vAlign w:val="center"/>
          </w:tcPr>
          <w:p>
            <w:pPr>
              <w:pStyle w:val="TableHeading"/>
              <w:jc w:val="left"/>
            </w:pPr>
            <w:r>
              <w:rPr>
                <w:color w:val="FFFFFF"/>
              </w:rPr>
              <w:t xml:space="preserve">Audience</w:t>
            </w:r>
          </w:p>
        </w:tc>
        <w:tc>
          <w:tcPr>
            <w:tcW w:w="2130" w:type="dxa"/>
            <w:shd w:val="clear" w:color="auto" w:fill="0F4761"/>
            <w:vAlign w:val="center"/>
          </w:tcPr>
          <w:p>
            <w:pPr>
              <w:pStyle w:val="TableHeading"/>
              <w:jc w:val="left"/>
            </w:pPr>
            <w:r>
              <w:rPr>
                <w:color w:val="FFFFFF"/>
              </w:rPr>
              <w:t xml:space="preserve">Format</w:t>
            </w:r>
          </w:p>
        </w:tc>
        <w:tc>
          <w:tcPr>
            <w:tcW w:w="4027" w:type="dxa"/>
            <w:shd w:val="clear" w:color="auto" w:fill="0F4761"/>
            <w:vAlign w:val="center"/>
          </w:tcPr>
          <w:p>
            <w:pPr>
              <w:pStyle w:val="TableHeading"/>
              <w:jc w:val="left"/>
            </w:pPr>
            <w:r>
              <w:rPr>
                <w:color w:val="FFFFFF"/>
              </w:rPr>
              <w:t xml:space="preserve">Content</w:t>
            </w:r>
          </w:p>
        </w:tc>
        <w:tc>
          <w:tcPr>
            <w:tcW w:w="913" w:type="dxa"/>
            <w:shd w:val="clear" w:color="auto" w:fill="0F4761"/>
            <w:vAlign w:val="center"/>
          </w:tcPr>
          <w:p>
            <w:pPr>
              <w:pStyle w:val="TableHeading"/>
              <w:jc w:val="left"/>
            </w:pPr>
            <w:r>
              <w:rPr>
                <w:color w:val="FFFFFF"/>
              </w:rPr>
              <w:t xml:space="preserve">When</w:t>
            </w:r>
          </w:p>
        </w:tc>
      </w:tr>
      <w:tr>
        <w:trPr>
          <w:cantSplit/>
        </w:trPr>
        <w:tc>
          <w:tcPr>
            <w:tcW w:w="1957" w:type="dxa"/>
            <w:vAlign w:val="top"/>
          </w:tcPr>
          <w:p>
            <w:pPr>
              <w:pStyle w:val="TableText"/>
              <w:jc w:val="left"/>
            </w:pPr>
            <w:r>
              <w:t xml:space="preserve">Telesales agents and supervisors</w:t>
            </w:r>
          </w:p>
        </w:tc>
        <w:tc>
          <w:tcPr>
            <w:tcW w:w="2130" w:type="dxa"/>
            <w:vAlign w:val="top"/>
          </w:tcPr>
          <w:p>
            <w:pPr>
              <w:pStyle w:val="TableText"/>
              <w:jc w:val="left"/>
            </w:pPr>
            <w:r>
              <w:t xml:space="preserve">Classroom and practice in UAT, half a day</w:t>
            </w:r>
          </w:p>
        </w:tc>
        <w:tc>
          <w:tcPr>
            <w:tcW w:w="4027" w:type="dxa"/>
            <w:vAlign w:val="top"/>
          </w:tcPr>
          <w:p>
            <w:pPr>
              <w:pStyle w:val="TableText"/>
              <w:jc w:val="left"/>
            </w:pPr>
            <w:r>
              <w:t xml:space="preserve">Handoff inbox, customer 360 view, sending quotes to the app, the two renewal paths customers see (quick renewal and the full flow), scripts that respect the no-discount rule</w:t>
            </w:r>
          </w:p>
        </w:tc>
        <w:tc>
          <w:tcPr>
            <w:tcW w:w="913" w:type="dxa"/>
            <w:vAlign w:val="top"/>
          </w:tcPr>
          <w:p>
            <w:pPr>
              <w:pStyle w:val="TableText"/>
              <w:jc w:val="left"/>
            </w:pPr>
            <w:r>
              <w:t xml:space="preserve">Week 12</w:t>
            </w:r>
          </w:p>
        </w:tc>
      </w:tr>
      <w:tr>
        <w:trPr>
          <w:cantSplit/>
        </w:trPr>
        <w:tc>
          <w:tcPr>
            <w:tcW w:w="1957" w:type="dxa"/>
            <w:shd w:val="clear" w:color="auto" w:fill="F4F7FB"/>
            <w:vAlign w:val="top"/>
          </w:tcPr>
          <w:p>
            <w:pPr>
              <w:pStyle w:val="TableText"/>
              <w:jc w:val="left"/>
            </w:pPr>
            <w:r>
              <w:t xml:space="preserve">Campaign managers</w:t>
            </w:r>
          </w:p>
        </w:tc>
        <w:tc>
          <w:tcPr>
            <w:tcW w:w="2130" w:type="dxa"/>
            <w:shd w:val="clear" w:color="auto" w:fill="F4F7FB"/>
            <w:vAlign w:val="top"/>
          </w:tcPr>
          <w:p>
            <w:pPr>
              <w:pStyle w:val="TableText"/>
              <w:jc w:val="left"/>
            </w:pPr>
            <w:r>
              <w:t xml:space="preserve">Workshop, one day</w:t>
            </w:r>
          </w:p>
        </w:tc>
        <w:tc>
          <w:tcPr>
            <w:tcW w:w="4027" w:type="dxa"/>
            <w:shd w:val="clear" w:color="auto" w:fill="F4F7FB"/>
            <w:vAlign w:val="top"/>
          </w:tcPr>
          <w:p>
            <w:pPr>
              <w:pStyle w:val="TableText"/>
              <w:jc w:val="left"/>
            </w:pPr>
            <w:r>
              <w:t xml:space="preserve">Leads, journeys, voice campaigns, dashboards</w:t>
            </w:r>
          </w:p>
        </w:tc>
        <w:tc>
          <w:tcPr>
            <w:tcW w:w="913" w:type="dxa"/>
            <w:shd w:val="clear" w:color="auto" w:fill="F4F7FB"/>
            <w:vAlign w:val="top"/>
          </w:tcPr>
          <w:p>
            <w:pPr>
              <w:pStyle w:val="TableText"/>
              <w:jc w:val="left"/>
            </w:pPr>
            <w:r>
              <w:t xml:space="preserve">Week 11</w:t>
            </w:r>
          </w:p>
        </w:tc>
      </w:tr>
      <w:tr>
        <w:trPr>
          <w:cantSplit/>
        </w:trPr>
        <w:tc>
          <w:tcPr>
            <w:tcW w:w="1957" w:type="dxa"/>
            <w:vAlign w:val="top"/>
          </w:tcPr>
          <w:p>
            <w:pPr>
              <w:pStyle w:val="TableText"/>
              <w:jc w:val="left"/>
            </w:pPr>
            <w:r>
              <w:t xml:space="preserve">Product rule authors and compliance approvers</w:t>
            </w:r>
          </w:p>
        </w:tc>
        <w:tc>
          <w:tcPr>
            <w:tcW w:w="2130" w:type="dxa"/>
            <w:vAlign w:val="top"/>
          </w:tcPr>
          <w:p>
            <w:pPr>
              <w:pStyle w:val="TableText"/>
              <w:jc w:val="left"/>
            </w:pPr>
            <w:r>
              <w:t xml:space="preserve">Workshop, one day</w:t>
            </w:r>
          </w:p>
        </w:tc>
        <w:tc>
          <w:tcPr>
            <w:tcW w:w="4027" w:type="dxa"/>
            <w:vAlign w:val="top"/>
          </w:tcPr>
          <w:p>
            <w:pPr>
              <w:pStyle w:val="TableText"/>
              <w:jc w:val="left"/>
            </w:pPr>
            <w:r>
              <w:t xml:space="preserve">Rules studio: drafting, simulation, approval, rollback; switching quick renewal on or off in the service levels</w:t>
            </w:r>
          </w:p>
        </w:tc>
        <w:tc>
          <w:tcPr>
            <w:tcW w:w="913" w:type="dxa"/>
            <w:vAlign w:val="top"/>
          </w:tcPr>
          <w:p>
            <w:pPr>
              <w:pStyle w:val="TableText"/>
              <w:jc w:val="left"/>
            </w:pPr>
            <w:r>
              <w:t xml:space="preserve">Weeks 9 to 11</w:t>
            </w:r>
          </w:p>
        </w:tc>
      </w:tr>
      <w:tr>
        <w:trPr>
          <w:cantSplit/>
        </w:trPr>
        <w:tc>
          <w:tcPr>
            <w:tcW w:w="1957" w:type="dxa"/>
            <w:shd w:val="clear" w:color="auto" w:fill="F4F7FB"/>
            <w:vAlign w:val="top"/>
          </w:tcPr>
          <w:p>
            <w:pPr>
              <w:pStyle w:val="TableText"/>
              <w:jc w:val="left"/>
            </w:pPr>
            <w:r>
              <w:t xml:space="preserve">Compliance officers</w:t>
            </w:r>
          </w:p>
        </w:tc>
        <w:tc>
          <w:tcPr>
            <w:tcW w:w="2130" w:type="dxa"/>
            <w:shd w:val="clear" w:color="auto" w:fill="F4F7FB"/>
            <w:vAlign w:val="top"/>
          </w:tcPr>
          <w:p>
            <w:pPr>
              <w:pStyle w:val="TableText"/>
              <w:jc w:val="left"/>
            </w:pPr>
            <w:r>
              <w:t xml:space="preserve">Session and practice in UAT, two hours</w:t>
            </w:r>
          </w:p>
        </w:tc>
        <w:tc>
          <w:tcPr>
            <w:tcW w:w="4027" w:type="dxa"/>
            <w:shd w:val="clear" w:color="auto" w:fill="F4F7FB"/>
            <w:vAlign w:val="top"/>
          </w:tcPr>
          <w:p>
            <w:pPr>
              <w:pStyle w:val="TableText"/>
              <w:jc w:val="left"/>
            </w:pPr>
            <w:r>
              <w:t xml:space="preserve">Data requests process in Governance ›</w:t>
            </w:r>
            <w:r>
              <w:t xml:space="preserve"> </w:t>
            </w:r>
            <w:r>
              <w:t xml:space="preserve">“</w:t>
            </w:r>
            <w:r>
              <w:t xml:space="preserve">Data requests</w:t>
            </w:r>
            <w:r>
              <w:t xml:space="preserve">”</w:t>
            </w:r>
            <w:r>
              <w:t xml:space="preserve">:</w:t>
            </w:r>
            <w:r>
              <w:t xml:space="preserve"> </w:t>
            </w:r>
            <w:r>
              <w:t xml:space="preserve">“</w:t>
            </w:r>
            <w:r>
              <w:t xml:space="preserve">Log request</w:t>
            </w:r>
            <w:r>
              <w:t xml:space="preserve">”</w:t>
            </w:r>
            <w:r>
              <w:t xml:space="preserve"> </w:t>
            </w:r>
            <w:r>
              <w:t xml:space="preserve">from the hotline, email, app, branch or letter; verify identity;</w:t>
            </w:r>
            <w:r>
              <w:t xml:space="preserve"> </w:t>
            </w:r>
            <w:r>
              <w:t xml:space="preserve">“</w:t>
            </w:r>
            <w:r>
              <w:t xml:space="preserve">Export data</w:t>
            </w:r>
            <w:r>
              <w:t xml:space="preserve">”</w:t>
            </w:r>
            <w:r>
              <w:t xml:space="preserve">;</w:t>
            </w:r>
            <w:r>
              <w:t xml:space="preserve"> </w:t>
            </w:r>
            <w:r>
              <w:t xml:space="preserve">“</w:t>
            </w:r>
            <w:r>
              <w:t xml:space="preserve">Erase personal data</w:t>
            </w:r>
            <w:r>
              <w:t xml:space="preserve">”</w:t>
            </w:r>
            <w:r>
              <w:t xml:space="preserve">, or refuse with a reason; watch</w:t>
            </w:r>
            <w:r>
              <w:t xml:space="preserve"> </w:t>
            </w:r>
            <w:r>
              <w:t xml:space="preserve">“</w:t>
            </w:r>
            <w:r>
              <w:t xml:space="preserve">Due within 24 h</w:t>
            </w:r>
            <w:r>
              <w:t xml:space="preserve">”</w:t>
            </w:r>
            <w:r>
              <w:t xml:space="preserve"> </w:t>
            </w:r>
            <w:r>
              <w:t xml:space="preserve">and</w:t>
            </w:r>
            <w:r>
              <w:t xml:space="preserve"> </w:t>
            </w:r>
            <w:r>
              <w:t xml:space="preserve">“</w:t>
            </w:r>
            <w:r>
              <w:t xml:space="preserve">Overdue</w:t>
            </w:r>
            <w:r>
              <w:t xml:space="preserve">”</w:t>
            </w:r>
            <w:r>
              <w:t xml:space="preserve">; data downloaded in the app appears as a completed request</w:t>
            </w:r>
          </w:p>
        </w:tc>
        <w:tc>
          <w:tcPr>
            <w:tcW w:w="913" w:type="dxa"/>
            <w:shd w:val="clear" w:color="auto" w:fill="F4F7FB"/>
            <w:vAlign w:val="top"/>
          </w:tcPr>
          <w:p>
            <w:pPr>
              <w:pStyle w:val="TableText"/>
              <w:jc w:val="left"/>
            </w:pPr>
            <w:r>
              <w:t xml:space="preserve">Week 11</w:t>
            </w:r>
          </w:p>
        </w:tc>
      </w:tr>
      <w:tr>
        <w:trPr>
          <w:cantSplit/>
        </w:trPr>
        <w:tc>
          <w:tcPr>
            <w:tcW w:w="1957" w:type="dxa"/>
            <w:vAlign w:val="top"/>
          </w:tcPr>
          <w:p>
            <w:pPr>
              <w:pStyle w:val="TableText"/>
              <w:jc w:val="left"/>
            </w:pPr>
            <w:r>
              <w:t xml:space="preserve">Data stewards</w:t>
            </w:r>
          </w:p>
        </w:tc>
        <w:tc>
          <w:tcPr>
            <w:tcW w:w="2130" w:type="dxa"/>
            <w:vAlign w:val="top"/>
          </w:tcPr>
          <w:p>
            <w:pPr>
              <w:pStyle w:val="TableText"/>
              <w:jc w:val="left"/>
            </w:pPr>
            <w:r>
              <w:t xml:space="preserve">Workshop, half a day</w:t>
            </w:r>
          </w:p>
        </w:tc>
        <w:tc>
          <w:tcPr>
            <w:tcW w:w="4027" w:type="dxa"/>
            <w:vAlign w:val="top"/>
          </w:tcPr>
          <w:p>
            <w:pPr>
              <w:pStyle w:val="TableText"/>
              <w:jc w:val="left"/>
            </w:pPr>
            <w:r>
              <w:t xml:space="preserve">Data-quality queue, corrections with evidence, lineage</w:t>
            </w:r>
          </w:p>
        </w:tc>
        <w:tc>
          <w:tcPr>
            <w:tcW w:w="913" w:type="dxa"/>
            <w:vAlign w:val="top"/>
          </w:tcPr>
          <w:p>
            <w:pPr>
              <w:pStyle w:val="TableText"/>
              <w:jc w:val="left"/>
            </w:pPr>
            <w:r>
              <w:t xml:space="preserve">Week 11</w:t>
            </w:r>
          </w:p>
        </w:tc>
      </w:tr>
      <w:tr>
        <w:trPr>
          <w:cantSplit/>
        </w:trPr>
        <w:tc>
          <w:tcPr>
            <w:tcW w:w="1957" w:type="dxa"/>
            <w:shd w:val="clear" w:color="auto" w:fill="F4F7FB"/>
            <w:vAlign w:val="top"/>
          </w:tcPr>
          <w:p>
            <w:pPr>
              <w:pStyle w:val="TableText"/>
              <w:jc w:val="left"/>
            </w:pPr>
            <w:r>
              <w:t xml:space="preserve">Claims handlers and partner managers</w:t>
            </w:r>
          </w:p>
        </w:tc>
        <w:tc>
          <w:tcPr>
            <w:tcW w:w="2130" w:type="dxa"/>
            <w:shd w:val="clear" w:color="auto" w:fill="F4F7FB"/>
            <w:vAlign w:val="top"/>
          </w:tcPr>
          <w:p>
            <w:pPr>
              <w:pStyle w:val="TableText"/>
              <w:jc w:val="left"/>
            </w:pPr>
            <w:r>
              <w:t xml:space="preserve">Session, two hours each</w:t>
            </w:r>
          </w:p>
        </w:tc>
        <w:tc>
          <w:tcPr>
            <w:tcW w:w="4027" w:type="dxa"/>
            <w:shd w:val="clear" w:color="auto" w:fill="F4F7FB"/>
            <w:vAlign w:val="top"/>
          </w:tcPr>
          <w:p>
            <w:pPr>
              <w:pStyle w:val="TableText"/>
              <w:jc w:val="left"/>
            </w:pPr>
            <w:r>
              <w:t xml:space="preserve">Claims queue; partner onboarding, keys and statements</w:t>
            </w:r>
          </w:p>
        </w:tc>
        <w:tc>
          <w:tcPr>
            <w:tcW w:w="913" w:type="dxa"/>
            <w:shd w:val="clear" w:color="auto" w:fill="F4F7FB"/>
            <w:vAlign w:val="top"/>
          </w:tcPr>
          <w:p>
            <w:pPr>
              <w:pStyle w:val="TableText"/>
              <w:jc w:val="left"/>
            </w:pPr>
            <w:r>
              <w:t xml:space="preserve">Week 12</w:t>
            </w:r>
          </w:p>
        </w:tc>
      </w:tr>
      <w:tr>
        <w:trPr>
          <w:cantSplit/>
        </w:trPr>
        <w:tc>
          <w:tcPr>
            <w:tcW w:w="1957" w:type="dxa"/>
            <w:vAlign w:val="top"/>
          </w:tcPr>
          <w:p>
            <w:pPr>
              <w:pStyle w:val="TableText"/>
              <w:jc w:val="left"/>
            </w:pPr>
            <w:r>
              <w:t xml:space="preserve">TASCO IT and support</w:t>
            </w:r>
          </w:p>
        </w:tc>
        <w:tc>
          <w:tcPr>
            <w:tcW w:w="2130" w:type="dxa"/>
            <w:vAlign w:val="top"/>
          </w:tcPr>
          <w:p>
            <w:pPr>
              <w:pStyle w:val="TableText"/>
              <w:jc w:val="left"/>
            </w:pPr>
            <w:r>
              <w:t xml:space="preserve">Technical handover, two days</w:t>
            </w:r>
          </w:p>
        </w:tc>
        <w:tc>
          <w:tcPr>
            <w:tcW w:w="4027" w:type="dxa"/>
            <w:vAlign w:val="top"/>
          </w:tcPr>
          <w:p>
            <w:pPr>
              <w:pStyle w:val="TableText"/>
              <w:jc w:val="left"/>
            </w:pPr>
            <w:r>
              <w:t xml:space="preserve">Architecture, deployment, monitoring, runbooks, incident handling</w:t>
            </w:r>
          </w:p>
        </w:tc>
        <w:tc>
          <w:tcPr>
            <w:tcW w:w="913" w:type="dxa"/>
            <w:vAlign w:val="top"/>
          </w:tcPr>
          <w:p>
            <w:pPr>
              <w:pStyle w:val="TableText"/>
              <w:jc w:val="left"/>
            </w:pPr>
            <w:r>
              <w:t xml:space="preserve">Weeks 12 to 13</w:t>
            </w:r>
          </w:p>
        </w:tc>
      </w:tr>
      <w:tr>
        <w:trPr>
          <w:cantSplit/>
        </w:trPr>
        <w:tc>
          <w:tcPr>
            <w:tcW w:w="1957" w:type="dxa"/>
            <w:shd w:val="clear" w:color="auto" w:fill="F4F7FB"/>
            <w:vAlign w:val="top"/>
          </w:tcPr>
          <w:p>
            <w:pPr>
              <w:pStyle w:val="TableText"/>
              <w:jc w:val="left"/>
            </w:pPr>
            <w:r>
              <w:t xml:space="preserve">Tasco360 users and partner staff</w:t>
            </w:r>
          </w:p>
        </w:tc>
        <w:tc>
          <w:tcPr>
            <w:tcW w:w="2130" w:type="dxa"/>
            <w:shd w:val="clear" w:color="auto" w:fill="F4F7FB"/>
            <w:vAlign w:val="top"/>
          </w:tcPr>
          <w:p>
            <w:pPr>
              <w:pStyle w:val="TableText"/>
              <w:jc w:val="left"/>
            </w:pPr>
            <w:r>
              <w:t xml:space="preserve">Integration guide, sandbox and a short demonstration</w:t>
            </w:r>
          </w:p>
        </w:tc>
        <w:tc>
          <w:tcPr>
            <w:tcW w:w="4027" w:type="dxa"/>
            <w:shd w:val="clear" w:color="auto" w:fill="F4F7FB"/>
            <w:vAlign w:val="top"/>
          </w:tcPr>
          <w:p>
            <w:pPr>
              <w:pStyle w:val="TableText"/>
              <w:jc w:val="left"/>
            </w:pPr>
            <w:r>
              <w:t xml:space="preserve">Quote by plate, instant certificate, commission statement</w:t>
            </w:r>
          </w:p>
        </w:tc>
        <w:tc>
          <w:tcPr>
            <w:tcW w:w="913" w:type="dxa"/>
            <w:shd w:val="clear" w:color="auto" w:fill="F4F7FB"/>
            <w:vAlign w:val="top"/>
          </w:tcPr>
          <w:p>
            <w:pPr>
              <w:pStyle w:val="TableText"/>
              <w:jc w:val="left"/>
            </w:pPr>
            <w:r>
              <w:t xml:space="preserve">From week 8</w:t>
            </w:r>
          </w:p>
        </w:tc>
      </w:tr>
      <w:tr>
        <w:trPr>
          <w:cantSplit/>
        </w:trPr>
        <w:tc>
          <w:tcPr>
            <w:tcW w:w="1957" w:type="dxa"/>
            <w:vAlign w:val="top"/>
          </w:tcPr>
          <w:p>
            <w:pPr>
              <w:pStyle w:val="TableText"/>
              <w:jc w:val="left"/>
            </w:pPr>
            <w:r>
              <w:t xml:space="preserve">TASCO digital team (TASCO app, website, Zalo OA, Tasco360)</w:t>
            </w:r>
          </w:p>
        </w:tc>
        <w:tc>
          <w:tcPr>
            <w:tcW w:w="2130" w:type="dxa"/>
            <w:vAlign w:val="top"/>
          </w:tcPr>
          <w:p>
            <w:pPr>
              <w:pStyle w:val="TableText"/>
              <w:jc w:val="left"/>
            </w:pPr>
            <w:r>
              <w:t xml:space="preserve">Technical session, half a day</w:t>
            </w:r>
          </w:p>
        </w:tc>
        <w:tc>
          <w:tcPr>
            <w:tcW w:w="4027" w:type="dxa"/>
            <w:vAlign w:val="top"/>
          </w:tcPr>
          <w:p>
            <w:pPr>
              <w:pStyle w:val="TableText"/>
              <w:jc w:val="left"/>
            </w:pPr>
            <w:r>
              <w:t xml:space="preserve">Embedding the shared journeys, partner API keys, shared wording and official contacts</w:t>
            </w:r>
          </w:p>
        </w:tc>
        <w:tc>
          <w:tcPr>
            <w:tcW w:w="913" w:type="dxa"/>
            <w:vAlign w:val="top"/>
          </w:tcPr>
          <w:p>
            <w:pPr>
              <w:pStyle w:val="TableText"/>
              <w:jc w:val="left"/>
            </w:pPr>
            <w:r>
              <w:t xml:space="preserve">Week 12</w:t>
            </w:r>
          </w:p>
        </w:tc>
      </w:tr>
    </w:tbl>
    <w:p>
      <w:pPr>
        <w:pStyle w:val="BodyText"/>
        <w:spacing w:before="160"/>
      </w:pPr>
      <w:r>
        <w:t xml:space="preserve">Week 8 starts on 21/12/2026, week 9 on 28/12/2026, week 11 on 11/01/2027, week 12 on 18/01/2027 and week 13 on 25/01/2027. Rule authors and approvers start earlier because they configure the pilot rules with the business analyst during Sprint 4. The technical handover for TASCO IT is described in TGP-DEL-05 Knowledge Transfer Plan.</w:t>
      </w:r>
    </w:p>
    <w:p>
      <w:pPr>
        <w:pStyle w:val="BodyText"/>
      </w:pPr>
      <w:r>
        <w:t xml:space="preserve">Training is supported by:</w:t>
      </w:r>
    </w:p>
    <w:p>
      <w:pPr>
        <w:pStyle w:val="Compact"/>
        <w:numPr>
          <w:ilvl w:val="0"/>
          <w:numId w:val="1002"/>
        </w:numPr>
      </w:pPr>
      <w:r>
        <w:t xml:space="preserve">the role chapters of TGP-MAN-01 Staff Console User Manual, TGP-MAN-02 Customer App Guide and TGP-MAN-03 Partner API Integration Guide;</w:t>
      </w:r>
    </w:p>
    <w:p>
      <w:pPr>
        <w:pStyle w:val="Compact"/>
        <w:numPr>
          <w:ilvl w:val="0"/>
          <w:numId w:val="1002"/>
        </w:numPr>
      </w:pPr>
      <w:r>
        <w:t xml:space="preserve">short how-to videos recorded during UAT;</w:t>
      </w:r>
    </w:p>
    <w:p>
      <w:pPr>
        <w:pStyle w:val="Compact"/>
        <w:numPr>
          <w:ilvl w:val="0"/>
          <w:numId w:val="1002"/>
        </w:numPr>
      </w:pPr>
      <w:r>
        <w:t xml:space="preserve">in-app help in the staff console.</w:t>
      </w:r>
    </w:p>
    <w:p>
      <w:pPr>
        <w:pStyle w:val="Heading2"/>
      </w:pPr>
      <w:bookmarkStart w:id="12" w:name="_Toc300000008"/>
      <w:r>
        <w:t xml:space="preserve">Training environment</w:t>
      </w:r>
      <w:bookmarkEnd w:id="12"/>
    </w:p>
    <w:p>
      <w:pPr>
        <w:pStyle w:val="FirstParagraph"/>
      </w:pPr>
      <w:r>
        <w:t xml:space="preserve">All practice takes place in UAT with synthetic data. Each trainee receives a named account for their role; credentials are issued through the access workbook and are never written in training material. Users with privileged roles (administrators, rule approvers, compliance officers and data stewards) enrol an authenticator app at first sign-in, exactly as they will in production. Demo accounts exist only in UAT and never in production.</w:t>
      </w:r>
    </w:p>
    <w:p>
      <w:pPr>
        <w:pStyle w:val="Heading2"/>
      </w:pPr>
      <w:bookmarkStart w:id="13" w:name="_Toc300000009"/>
      <w:r>
        <w:t xml:space="preserve">Readiness for go-live</w:t>
      </w:r>
      <w:bookmarkEnd w:id="13"/>
    </w:p>
    <w:p>
      <w:pPr>
        <w:pStyle w:val="FirstParagraph"/>
      </w:pPr>
      <w:r>
        <w:t xml:space="preserve">A user receives a production account when they have completed their session and the practice tasks for their role, observed by a super user or trainer. Accounts for privileged roles are created only after this check, which forms part of the access-approval evidence.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Adoption measures</w:t>
      </w:r>
      <w:bookmarkEnd w:id="14"/>
    </w:p>
    <w:p>
      <w:pPr>
        <w:pStyle w:val="FirstParagraph"/>
      </w:pPr>
      <w:r>
        <w:t xml:space="preserve">The pilot success criteria in TGP-DEL-01 Project Plan measure the business result. The measures below show whether people are using the platform as intended. Targets are proposals to be confirmed in discovery.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74"/>
        <w:gridCol w:w="4967"/>
        <w:gridCol w:w="1786"/>
      </w:tblGrid>
      <w:tr>
        <w:trPr>
          <w:cantSplit/>
          <w:tblHeader/>
        </w:trPr>
        <w:tc>
          <w:tcPr>
            <w:tcW w:w="2274" w:type="dxa"/>
            <w:shd w:val="clear" w:color="auto" w:fill="0F4761"/>
            <w:vAlign w:val="center"/>
          </w:tcPr>
          <w:p>
            <w:pPr>
              <w:pStyle w:val="TableHeading"/>
              <w:jc w:val="left"/>
            </w:pPr>
            <w:r>
              <w:rPr>
                <w:color w:val="FFFFFF"/>
              </w:rPr>
              <w:t xml:space="preserve">Measure</w:t>
            </w:r>
          </w:p>
        </w:tc>
        <w:tc>
          <w:tcPr>
            <w:tcW w:w="4967" w:type="dxa"/>
            <w:shd w:val="clear" w:color="auto" w:fill="0F4761"/>
            <w:vAlign w:val="center"/>
          </w:tcPr>
          <w:p>
            <w:pPr>
              <w:pStyle w:val="TableHeading"/>
              <w:jc w:val="left"/>
            </w:pPr>
            <w:r>
              <w:rPr>
                <w:color w:val="FFFFFF"/>
              </w:rPr>
              <w:t xml:space="preserve">Definition</w:t>
            </w:r>
          </w:p>
        </w:tc>
        <w:tc>
          <w:tcPr>
            <w:tcW w:w="1786" w:type="dxa"/>
            <w:shd w:val="clear" w:color="auto" w:fill="0F4761"/>
            <w:vAlign w:val="center"/>
          </w:tcPr>
          <w:p>
            <w:pPr>
              <w:pStyle w:val="TableHeading"/>
              <w:jc w:val="left"/>
            </w:pPr>
            <w:r>
              <w:rPr>
                <w:color w:val="FFFFFF"/>
              </w:rPr>
              <w:t xml:space="preserve">Pilot target</w:t>
            </w:r>
          </w:p>
        </w:tc>
      </w:tr>
      <w:tr>
        <w:trPr>
          <w:cantSplit/>
        </w:trPr>
        <w:tc>
          <w:tcPr>
            <w:tcW w:w="2274" w:type="dxa"/>
            <w:vAlign w:val="top"/>
          </w:tcPr>
          <w:p>
            <w:pPr>
              <w:pStyle w:val="TableText"/>
              <w:jc w:val="left"/>
            </w:pPr>
            <w:r>
              <w:t xml:space="preserve">Training completed</w:t>
            </w:r>
          </w:p>
        </w:tc>
        <w:tc>
          <w:tcPr>
            <w:tcW w:w="4967" w:type="dxa"/>
            <w:vAlign w:val="top"/>
          </w:tcPr>
          <w:p>
            <w:pPr>
              <w:pStyle w:val="TableText"/>
              <w:jc w:val="left"/>
            </w:pPr>
            <w:r>
              <w:t xml:space="preserve">Users trained and checked before their account is activated</w:t>
            </w:r>
          </w:p>
        </w:tc>
        <w:tc>
          <w:tcPr>
            <w:tcW w:w="1786" w:type="dxa"/>
            <w:vAlign w:val="top"/>
          </w:tcPr>
          <w:p>
            <w:pPr>
              <w:pStyle w:val="TableText"/>
              <w:jc w:val="left"/>
            </w:pPr>
            <w:r>
              <w:t xml:space="preserve">100% before go-live</w:t>
            </w:r>
          </w:p>
        </w:tc>
      </w:tr>
      <w:tr>
        <w:trPr>
          <w:cantSplit/>
        </w:trPr>
        <w:tc>
          <w:tcPr>
            <w:tcW w:w="2274" w:type="dxa"/>
            <w:shd w:val="clear" w:color="auto" w:fill="F4F7FB"/>
            <w:vAlign w:val="top"/>
          </w:tcPr>
          <w:p>
            <w:pPr>
              <w:pStyle w:val="TableText"/>
              <w:jc w:val="left"/>
            </w:pPr>
            <w:r>
              <w:t xml:space="preserve">Weekly active telesales agents</w:t>
            </w:r>
          </w:p>
        </w:tc>
        <w:tc>
          <w:tcPr>
            <w:tcW w:w="4967" w:type="dxa"/>
            <w:shd w:val="clear" w:color="auto" w:fill="F4F7FB"/>
            <w:vAlign w:val="top"/>
          </w:tcPr>
          <w:p>
            <w:pPr>
              <w:pStyle w:val="TableText"/>
              <w:jc w:val="left"/>
            </w:pPr>
            <w:r>
              <w:t xml:space="preserve">Agents who worked at least one handoff in the week</w:t>
            </w:r>
          </w:p>
        </w:tc>
        <w:tc>
          <w:tcPr>
            <w:tcW w:w="1786" w:type="dxa"/>
            <w:shd w:val="clear" w:color="auto" w:fill="F4F7FB"/>
            <w:vAlign w:val="top"/>
          </w:tcPr>
          <w:p>
            <w:pPr>
              <w:pStyle w:val="TableText"/>
              <w:jc w:val="left"/>
            </w:pPr>
            <w:r>
              <w:t xml:space="preserve">At least 90%</w:t>
            </w:r>
          </w:p>
        </w:tc>
      </w:tr>
      <w:tr>
        <w:trPr>
          <w:cantSplit/>
        </w:trPr>
        <w:tc>
          <w:tcPr>
            <w:tcW w:w="2274" w:type="dxa"/>
            <w:vAlign w:val="top"/>
          </w:tcPr>
          <w:p>
            <w:pPr>
              <w:pStyle w:val="TableText"/>
              <w:jc w:val="left"/>
            </w:pPr>
            <w:r>
              <w:t xml:space="preserve">Handoff first contact</w:t>
            </w:r>
          </w:p>
        </w:tc>
        <w:tc>
          <w:tcPr>
            <w:tcW w:w="4967" w:type="dxa"/>
            <w:vAlign w:val="top"/>
          </w:tcPr>
          <w:p>
            <w:pPr>
              <w:pStyle w:val="TableText"/>
              <w:jc w:val="left"/>
            </w:pPr>
            <w:r>
              <w:t xml:space="preserve">Time from handoff to the agent’s first contact, in business hours</w:t>
            </w:r>
          </w:p>
        </w:tc>
        <w:tc>
          <w:tcPr>
            <w:tcW w:w="1786" w:type="dxa"/>
            <w:vAlign w:val="top"/>
          </w:tcPr>
          <w:p>
            <w:pPr>
              <w:pStyle w:val="TableText"/>
              <w:jc w:val="left"/>
            </w:pPr>
            <w:r>
              <w:t xml:space="preserve">Within 2 business hours</w:t>
            </w:r>
          </w:p>
        </w:tc>
      </w:tr>
      <w:tr>
        <w:trPr>
          <w:cantSplit/>
        </w:trPr>
        <w:tc>
          <w:tcPr>
            <w:tcW w:w="2274" w:type="dxa"/>
            <w:shd w:val="clear" w:color="auto" w:fill="F4F7FB"/>
            <w:vAlign w:val="top"/>
          </w:tcPr>
          <w:p>
            <w:pPr>
              <w:pStyle w:val="TableText"/>
              <w:jc w:val="left"/>
            </w:pPr>
            <w:r>
              <w:t xml:space="preserve">Rule change lead time</w:t>
            </w:r>
          </w:p>
        </w:tc>
        <w:tc>
          <w:tcPr>
            <w:tcW w:w="4967" w:type="dxa"/>
            <w:shd w:val="clear" w:color="auto" w:fill="F4F7FB"/>
            <w:vAlign w:val="top"/>
          </w:tcPr>
          <w:p>
            <w:pPr>
              <w:pStyle w:val="TableText"/>
              <w:jc w:val="left"/>
            </w:pPr>
            <w:r>
              <w:t xml:space="preserve">Time from draft to approval</w:t>
            </w:r>
          </w:p>
        </w:tc>
        <w:tc>
          <w:tcPr>
            <w:tcW w:w="1786" w:type="dxa"/>
            <w:shd w:val="clear" w:color="auto" w:fill="F4F7FB"/>
            <w:vAlign w:val="top"/>
          </w:tcPr>
          <w:p>
            <w:pPr>
              <w:pStyle w:val="TableText"/>
              <w:jc w:val="left"/>
            </w:pPr>
            <w:r>
              <w:t xml:space="preserve">Within 1 business day</w:t>
            </w:r>
          </w:p>
        </w:tc>
      </w:tr>
      <w:tr>
        <w:trPr>
          <w:cantSplit/>
        </w:trPr>
        <w:tc>
          <w:tcPr>
            <w:tcW w:w="2274" w:type="dxa"/>
            <w:vAlign w:val="top"/>
          </w:tcPr>
          <w:p>
            <w:pPr>
              <w:pStyle w:val="TableText"/>
              <w:jc w:val="left"/>
            </w:pPr>
            <w:r>
              <w:t xml:space="preserve">Data requests answered on time</w:t>
            </w:r>
          </w:p>
        </w:tc>
        <w:tc>
          <w:tcPr>
            <w:tcW w:w="4967" w:type="dxa"/>
            <w:vAlign w:val="top"/>
          </w:tcPr>
          <w:p>
            <w:pPr>
              <w:pStyle w:val="TableText"/>
              <w:jc w:val="left"/>
            </w:pPr>
            <w:r>
              <w:t xml:space="preserve">Requests completed or refused within the response time (72 hours, to be confirmed by TASCO legal)</w:t>
            </w:r>
          </w:p>
        </w:tc>
        <w:tc>
          <w:tcPr>
            <w:tcW w:w="1786" w:type="dxa"/>
            <w:vAlign w:val="top"/>
          </w:tcPr>
          <w:p>
            <w:pPr>
              <w:pStyle w:val="TableText"/>
              <w:jc w:val="left"/>
            </w:pPr>
            <w:r>
              <w:t xml:space="preserve">100%</w:t>
            </w:r>
          </w:p>
        </w:tc>
      </w:tr>
      <w:tr>
        <w:trPr>
          <w:cantSplit/>
        </w:trPr>
        <w:tc>
          <w:tcPr>
            <w:tcW w:w="2274" w:type="dxa"/>
            <w:shd w:val="clear" w:color="auto" w:fill="F4F7FB"/>
            <w:vAlign w:val="top"/>
          </w:tcPr>
          <w:p>
            <w:pPr>
              <w:pStyle w:val="TableText"/>
              <w:jc w:val="left"/>
            </w:pPr>
            <w:r>
              <w:t xml:space="preserve">Policies bought in the app</w:t>
            </w:r>
          </w:p>
        </w:tc>
        <w:tc>
          <w:tcPr>
            <w:tcW w:w="4967" w:type="dxa"/>
            <w:shd w:val="clear" w:color="auto" w:fill="F4F7FB"/>
            <w:vAlign w:val="top"/>
          </w:tcPr>
          <w:p>
            <w:pPr>
              <w:pStyle w:val="TableText"/>
              <w:jc w:val="left"/>
            </w:pPr>
            <w:r>
              <w:t xml:space="preserve">Share of own-channel sales completed in the VETC app</w:t>
            </w:r>
          </w:p>
        </w:tc>
        <w:tc>
          <w:tcPr>
            <w:tcW w:w="1786" w:type="dxa"/>
            <w:shd w:val="clear" w:color="auto" w:fill="F4F7FB"/>
            <w:vAlign w:val="top"/>
          </w:tcPr>
          <w:p>
            <w:pPr>
              <w:pStyle w:val="TableText"/>
              <w:jc w:val="left"/>
            </w:pPr>
            <w:r>
              <w:t xml:space="preserve">At least 60%</w:t>
            </w:r>
          </w:p>
        </w:tc>
      </w:tr>
      <w:tr>
        <w:trPr>
          <w:cantSplit/>
        </w:trPr>
        <w:tc>
          <w:tcPr>
            <w:tcW w:w="2274" w:type="dxa"/>
            <w:vAlign w:val="top"/>
          </w:tcPr>
          <w:p>
            <w:pPr>
              <w:pStyle w:val="TableText"/>
              <w:jc w:val="left"/>
            </w:pPr>
            <w:r>
              <w:t xml:space="preserve">How-to support tickets</w:t>
            </w:r>
          </w:p>
        </w:tc>
        <w:tc>
          <w:tcPr>
            <w:tcW w:w="4967" w:type="dxa"/>
            <w:vAlign w:val="top"/>
          </w:tcPr>
          <w:p>
            <w:pPr>
              <w:pStyle w:val="TableText"/>
              <w:jc w:val="left"/>
            </w:pPr>
            <w:r>
              <w:t xml:space="preserve">Tickets asking how to do something, per 100 users per week</w:t>
            </w:r>
          </w:p>
        </w:tc>
        <w:tc>
          <w:tcPr>
            <w:tcW w:w="1786" w:type="dxa"/>
            <w:vAlign w:val="top"/>
          </w:tcPr>
          <w:p>
            <w:pPr>
              <w:pStyle w:val="TableText"/>
              <w:jc w:val="left"/>
            </w:pPr>
            <w:r>
              <w:t xml:space="preserve">Falling week on week</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Resistance and reinforcement</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986"/>
        <w:gridCol w:w="2187"/>
        <w:gridCol w:w="3854"/>
      </w:tblGrid>
      <w:tr>
        <w:trPr>
          <w:cantSplit/>
          <w:tblHeader/>
        </w:trPr>
        <w:tc>
          <w:tcPr>
            <w:tcW w:w="2986" w:type="dxa"/>
            <w:shd w:val="clear" w:color="auto" w:fill="0F4761"/>
            <w:vAlign w:val="center"/>
          </w:tcPr>
          <w:p>
            <w:pPr>
              <w:pStyle w:val="TableHeading"/>
              <w:jc w:val="left"/>
            </w:pPr>
            <w:r>
              <w:rPr>
                <w:color w:val="FFFFFF"/>
              </w:rPr>
              <w:t xml:space="preserve">Likely resistance</w:t>
            </w:r>
          </w:p>
        </w:tc>
        <w:tc>
          <w:tcPr>
            <w:tcW w:w="2187" w:type="dxa"/>
            <w:shd w:val="clear" w:color="auto" w:fill="0F4761"/>
            <w:vAlign w:val="center"/>
          </w:tcPr>
          <w:p>
            <w:pPr>
              <w:pStyle w:val="TableHeading"/>
              <w:jc w:val="left"/>
            </w:pPr>
            <w:r>
              <w:rPr>
                <w:color w:val="FFFFFF"/>
              </w:rPr>
              <w:t xml:space="preserve">Signal</w:t>
            </w:r>
          </w:p>
        </w:tc>
        <w:tc>
          <w:tcPr>
            <w:tcW w:w="3854" w:type="dxa"/>
            <w:shd w:val="clear" w:color="auto" w:fill="0F4761"/>
            <w:vAlign w:val="center"/>
          </w:tcPr>
          <w:p>
            <w:pPr>
              <w:pStyle w:val="TableHeading"/>
              <w:jc w:val="left"/>
            </w:pPr>
            <w:r>
              <w:rPr>
                <w:color w:val="FFFFFF"/>
              </w:rPr>
              <w:t xml:space="preserve">Response</w:t>
            </w:r>
          </w:p>
        </w:tc>
      </w:tr>
      <w:tr>
        <w:trPr>
          <w:cantSplit/>
        </w:trPr>
        <w:tc>
          <w:tcPr>
            <w:tcW w:w="2986" w:type="dxa"/>
            <w:vAlign w:val="top"/>
          </w:tcPr>
          <w:p>
            <w:pPr>
              <w:pStyle w:val="TableText"/>
              <w:jc w:val="left"/>
            </w:pPr>
            <w:r>
              <w:t xml:space="preserve">Agents bypass the inbox and keep old lists</w:t>
            </w:r>
          </w:p>
        </w:tc>
        <w:tc>
          <w:tcPr>
            <w:tcW w:w="2187" w:type="dxa"/>
            <w:vAlign w:val="top"/>
          </w:tcPr>
          <w:p>
            <w:pPr>
              <w:pStyle w:val="TableText"/>
              <w:jc w:val="left"/>
            </w:pPr>
            <w:r>
              <w:t xml:space="preserve">Few handoff actions; wins not recorded</w:t>
            </w:r>
          </w:p>
        </w:tc>
        <w:tc>
          <w:tcPr>
            <w:tcW w:w="3854" w:type="dxa"/>
            <w:vAlign w:val="top"/>
          </w:tcPr>
          <w:p>
            <w:pPr>
              <w:pStyle w:val="TableText"/>
              <w:jc w:val="left"/>
            </w:pPr>
            <w:r>
              <w:t xml:space="preserve">Supervisor coaching; old lists retired by a set date; recognition based on wins recorded in the platform</w:t>
            </w:r>
          </w:p>
        </w:tc>
      </w:tr>
      <w:tr>
        <w:trPr>
          <w:cantSplit/>
        </w:trPr>
        <w:tc>
          <w:tcPr>
            <w:tcW w:w="2986" w:type="dxa"/>
            <w:shd w:val="clear" w:color="auto" w:fill="F4F7FB"/>
            <w:vAlign w:val="top"/>
          </w:tcPr>
          <w:p>
            <w:pPr>
              <w:pStyle w:val="TableText"/>
              <w:jc w:val="left"/>
            </w:pPr>
            <w:r>
              <w:t xml:space="preserve">Agents fear the voice assistant takes their leads</w:t>
            </w:r>
          </w:p>
        </w:tc>
        <w:tc>
          <w:tcPr>
            <w:tcW w:w="2187" w:type="dxa"/>
            <w:shd w:val="clear" w:color="auto" w:fill="F4F7FB"/>
            <w:vAlign w:val="top"/>
          </w:tcPr>
          <w:p>
            <w:pPr>
              <w:pStyle w:val="TableText"/>
              <w:jc w:val="left"/>
            </w:pPr>
            <w:r>
              <w:t xml:space="preserve">Super-user feedback</w:t>
            </w:r>
          </w:p>
        </w:tc>
        <w:tc>
          <w:tcPr>
            <w:tcW w:w="3854" w:type="dxa"/>
            <w:shd w:val="clear" w:color="auto" w:fill="F4F7FB"/>
            <w:vAlign w:val="top"/>
          </w:tcPr>
          <w:p>
            <w:pPr>
              <w:pStyle w:val="TableText"/>
              <w:jc w:val="left"/>
            </w:pPr>
            <w:r>
              <w:t xml:space="preserve">Show that the assistant verifies and hands warm leads to agents; share agent conversion in the pilot</w:t>
            </w:r>
          </w:p>
        </w:tc>
      </w:tr>
      <w:tr>
        <w:trPr>
          <w:cantSplit/>
        </w:trPr>
        <w:tc>
          <w:tcPr>
            <w:tcW w:w="2986" w:type="dxa"/>
            <w:vAlign w:val="top"/>
          </w:tcPr>
          <w:p>
            <w:pPr>
              <w:pStyle w:val="TableText"/>
              <w:jc w:val="left"/>
            </w:pPr>
            <w:r>
              <w:t xml:space="preserve">Campaign managers find contact limits and the wording control restrictive</w:t>
            </w:r>
          </w:p>
        </w:tc>
        <w:tc>
          <w:tcPr>
            <w:tcW w:w="2187" w:type="dxa"/>
            <w:vAlign w:val="top"/>
          </w:tcPr>
          <w:p>
            <w:pPr>
              <w:pStyle w:val="TableText"/>
              <w:jc w:val="left"/>
            </w:pPr>
            <w:r>
              <w:t xml:space="preserve">Rejected drafts, escalations</w:t>
            </w:r>
          </w:p>
        </w:tc>
        <w:tc>
          <w:tcPr>
            <w:tcW w:w="3854" w:type="dxa"/>
            <w:vAlign w:val="top"/>
          </w:tcPr>
          <w:p>
            <w:pPr>
              <w:pStyle w:val="TableText"/>
              <w:jc w:val="left"/>
            </w:pPr>
            <w:r>
              <w:t xml:space="preserve">Explain the regulatory basis; write value-based copy together</w:t>
            </w:r>
          </w:p>
        </w:tc>
      </w:tr>
      <w:tr>
        <w:trPr>
          <w:cantSplit/>
        </w:trPr>
        <w:tc>
          <w:tcPr>
            <w:tcW w:w="2986" w:type="dxa"/>
            <w:shd w:val="clear" w:color="auto" w:fill="F4F7FB"/>
            <w:vAlign w:val="top"/>
          </w:tcPr>
          <w:p>
            <w:pPr>
              <w:pStyle w:val="TableText"/>
              <w:jc w:val="left"/>
            </w:pPr>
            <w:r>
              <w:t xml:space="preserve">Compliance approvers are overloaded</w:t>
            </w:r>
          </w:p>
        </w:tc>
        <w:tc>
          <w:tcPr>
            <w:tcW w:w="2187" w:type="dxa"/>
            <w:shd w:val="clear" w:color="auto" w:fill="F4F7FB"/>
            <w:vAlign w:val="top"/>
          </w:tcPr>
          <w:p>
            <w:pPr>
              <w:pStyle w:val="TableText"/>
              <w:jc w:val="left"/>
            </w:pPr>
            <w:r>
              <w:t xml:space="preserve">Rule lead time above one day</w:t>
            </w:r>
          </w:p>
        </w:tc>
        <w:tc>
          <w:tcPr>
            <w:tcW w:w="3854" w:type="dxa"/>
            <w:shd w:val="clear" w:color="auto" w:fill="F4F7FB"/>
            <w:vAlign w:val="top"/>
          </w:tcPr>
          <w:p>
            <w:pPr>
              <w:pStyle w:val="TableText"/>
              <w:jc w:val="left"/>
            </w:pPr>
            <w:r>
              <w:t xml:space="preserve">Group low-risk changes; add a second approver</w:t>
            </w:r>
          </w:p>
        </w:tc>
      </w:tr>
    </w:tbl>
    <w:p>
      <w:pPr>
        <w:pStyle w:val="BodyText"/>
        <w:spacing w:before="160"/>
      </w:pPr>
      <w:r>
        <w:t xml:space="preserve">Adoption is reinforced through a weekly review of the measures above by supervisors and the product owner, a</w:t>
      </w:r>
      <w:r>
        <w:t xml:space="preserve"> </w:t>
      </w:r>
      <w:r>
        <w:t xml:space="preserve">“</w:t>
      </w:r>
      <w:r>
        <w:t xml:space="preserve">what’s new</w:t>
      </w:r>
      <w:r>
        <w:t xml:space="preserve">”</w:t>
      </w:r>
      <w:r>
        <w:t xml:space="preserve"> </w:t>
      </w:r>
      <w:r>
        <w:t xml:space="preserve">note with each release, and an annual refresher for privileged roles. Supervisors review a sample of handoffs each week, and the quarterly access review confirms that people hold only the roles they need.</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Sign-Off</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684"/>
        <w:gridCol w:w="239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68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39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6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Key messages to staff and customers approved by TASCO compliance</w:t>
            </w:r>
          </w:p>
        </w:tc>
        <w:tc>
          <w:tcPr>
            <w:tcW w:w="23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 and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6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Super users nominated for each pilot team</w:t>
            </w:r>
          </w:p>
        </w:tc>
        <w:tc>
          <w:tcPr>
            <w:tcW w:w="23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68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Adoption targets confirmed in discovery</w:t>
            </w:r>
          </w:p>
        </w:tc>
        <w:tc>
          <w:tcPr>
            <w:tcW w:w="239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46"/>
        <w:gridCol w:w="1647"/>
        <w:gridCol w:w="2580"/>
        <w:gridCol w:w="3754"/>
      </w:tblGrid>
      <w:tr w:rsidR="002B183A" w14:paraId="731A77C7" w14:textId="77777777" w:rsidTr="002923F3">
        <w:trPr>
          <w:cantSplit/>
          <w:trHeight w:val="440"/>
          <w:tblHeader/>
        </w:trPr>
        <w:tc>
          <w:tcPr>
            <w:tcW w:w="1046"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4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580"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754"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46"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8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5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46"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8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5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and Distribution</w:t>
            </w:r>
          </w:p>
        </w:tc>
      </w:tr>
      <w:tr w:rsidR="002B183A" w:rsidRPr="00BB346A" w14:paraId="2AD1806B" w14:textId="77777777" w:rsidTr="002923F3">
        <w:trPr>
          <w:cantSplit/>
          <w:trHeight w:val="760"/>
        </w:trPr>
        <w:tc>
          <w:tcPr>
            <w:tcW w:w="1046"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80"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754"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Organisational Change and Training Plan</dc:title>
  <dc:subject>TGP-DEL-06</dc:subject>
  <dc:creator>iorta TechNXT</dc:creator>
  <cp:keywords>TGP-DEL-06; TASCO Insurance; iorta TechNXT</cp:keywords>
  <dc:description>TASCO Motor Insurance Growth Platform</dc:description>
  <cp:lastModifiedBy>iorta TechNXT</cp:lastModifiedBy>
  <cp:revision>1</cp:revision>
  <dcterms:created xsi:type="dcterms:W3CDTF">2026-10-08T03:54:47Z</dcterms:created>
  <dcterms:modified xsi:type="dcterms:W3CDTF">2026-10-08T03:54:47Z</dcterms:modified>
</cp:coreProperties>
</file>