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TGP-MAN-03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Partner API Integration Guide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2"/>
      </w:pPr>
      <w:hyperlink w:anchor="_Toc300000004" w:history="1">
        <w:r>
          <w:rPr>
            <w:noProof/>
          </w:rPr>
          <w:t>3.1.</w:t>
        </w:r>
        <w:r>
          <w:rPr>
            <w:noProof/>
          </w:rPr>
          <w:tab/>
        </w:r>
        <w:r>
          <w:rPr>
            <w:noProof/>
          </w:rPr>
          <w:t xml:space="preserve">Purpose</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3.2.</w:t>
        </w:r>
        <w:r>
          <w:rPr>
            <w:noProof/>
          </w:rPr>
          <w:tab/>
        </w:r>
        <w:r>
          <w:rPr>
            <w:noProof/>
          </w:rPr>
          <w:t xml:space="preserve">Scope</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2"/>
      </w:pPr>
      <w:hyperlink w:anchor="_Toc300000006" w:history="1">
        <w:r>
          <w:rPr>
            <w:noProof/>
          </w:rPr>
          <w:t>3.3.</w:t>
        </w:r>
        <w:r>
          <w:rPr>
            <w:noProof/>
          </w:rPr>
          <w:tab/>
        </w:r>
        <w:r>
          <w:rPr>
            <w:noProof/>
          </w:rPr>
          <w:t xml:space="preserve">Audience</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4</w:t>
        </w:r>
        <w:r>
          <w:rPr>
            <w:noProof/>
            <w:webHidden/>
          </w:rPr>
          <w:fldChar w:fldCharType="end"/>
        </w:r>
      </w:hyperlink>
    </w:p>
    <w:p>
      <w:pPr>
        <w:pStyle w:val="TOC2"/>
      </w:pPr>
      <w:hyperlink w:anchor="_Toc300000007" w:history="1">
        <w:r>
          <w:rPr>
            <w:noProof/>
          </w:rPr>
          <w:t>3.4.</w:t>
        </w:r>
        <w:r>
          <w:rPr>
            <w:noProof/>
          </w:rPr>
          <w:tab/>
        </w:r>
        <w:r>
          <w:rPr>
            <w:noProof/>
          </w:rPr>
          <w:t xml:space="preserve">Related documents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4</w:t>
        </w:r>
        <w:r>
          <w:rPr>
            <w:noProof/>
            <w:webHidden/>
          </w:rPr>
          <w:fldChar w:fldCharType="end"/>
        </w:r>
      </w:hyperlink>
    </w:p>
    <w:p>
      <w:pPr>
        <w:pStyle w:val="TOC1"/>
      </w:pPr>
      <w:hyperlink w:anchor="_Toc300000008" w:history="1">
        <w:r>
          <w:rPr>
            <w:noProof/>
          </w:rPr>
          <w:t>4.</w:t>
        </w:r>
        <w:r>
          <w:rPr>
            <w:noProof/>
          </w:rPr>
          <w:tab/>
        </w:r>
        <w:r>
          <w:rPr>
            <w:noProof/>
          </w:rPr>
          <w:t xml:space="preserve">Overview</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4</w:t>
        </w:r>
        <w:r>
          <w:rPr>
            <w:noProof/>
            <w:webHidden/>
          </w:rPr>
          <w:fldChar w:fldCharType="end"/>
        </w:r>
      </w:hyperlink>
    </w:p>
    <w:p>
      <w:pPr>
        <w:pStyle w:val="TOC1"/>
      </w:pPr>
      <w:hyperlink w:anchor="_Toc300000009" w:history="1">
        <w:r>
          <w:rPr>
            <w:noProof/>
          </w:rPr>
          <w:t>5.</w:t>
        </w:r>
        <w:r>
          <w:rPr>
            <w:noProof/>
          </w:rPr>
          <w:tab/>
        </w:r>
        <w:r>
          <w:rPr>
            <w:noProof/>
          </w:rPr>
          <w:t xml:space="preserve">Authentication</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w:t>
        </w:r>
        <w:r>
          <w:rPr>
            <w:noProof/>
            <w:webHidden/>
          </w:rPr>
          <w:fldChar w:fldCharType="end"/>
        </w:r>
      </w:hyperlink>
    </w:p>
    <w:p>
      <w:pPr>
        <w:pStyle w:val="TOC2"/>
      </w:pPr>
      <w:hyperlink w:anchor="_Toc300000010" w:history="1">
        <w:r>
          <w:rPr>
            <w:noProof/>
          </w:rPr>
          <w:t>5.1.</w:t>
        </w:r>
        <w:r>
          <w:rPr>
            <w:noProof/>
          </w:rPr>
          <w:tab/>
        </w:r>
        <w:r>
          <w:rPr>
            <w:noProof/>
          </w:rPr>
          <w:t xml:space="preserve">Scopes</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7</w:t>
        </w:r>
        <w:r>
          <w:rPr>
            <w:noProof/>
            <w:webHidden/>
          </w:rPr>
          <w:fldChar w:fldCharType="end"/>
        </w:r>
      </w:hyperlink>
    </w:p>
    <w:p>
      <w:pPr>
        <w:pStyle w:val="TOC1"/>
      </w:pPr>
      <w:hyperlink w:anchor="_Toc300000011" w:history="1">
        <w:r>
          <w:rPr>
            <w:noProof/>
          </w:rPr>
          <w:t>6.</w:t>
        </w:r>
        <w:r>
          <w:rPr>
            <w:noProof/>
          </w:rPr>
          <w:tab/>
        </w:r>
        <w:r>
          <w:rPr>
            <w:noProof/>
          </w:rPr>
          <w:t xml:space="preserve">Create a quote</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7</w:t>
        </w:r>
        <w:r>
          <w:rPr>
            <w:noProof/>
            <w:webHidden/>
          </w:rPr>
          <w:fldChar w:fldCharType="end"/>
        </w:r>
      </w:hyperlink>
    </w:p>
    <w:p>
      <w:pPr>
        <w:pStyle w:val="TOC2"/>
      </w:pPr>
      <w:hyperlink w:anchor="_Toc300000012" w:history="1">
        <w:r>
          <w:rPr>
            <w:noProof/>
          </w:rPr>
          <w:t>6.1.</w:t>
        </w:r>
        <w:r>
          <w:rPr>
            <w:noProof/>
          </w:rPr>
          <w:tab/>
        </w:r>
        <w:r>
          <w:rPr>
            <w:noProof/>
          </w:rPr>
          <w:t xml:space="preserve">Request</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2"/>
      </w:pPr>
      <w:hyperlink w:anchor="_Toc300000013" w:history="1">
        <w:r>
          <w:rPr>
            <w:noProof/>
          </w:rPr>
          <w:t>6.2.</w:t>
        </w:r>
        <w:r>
          <w:rPr>
            <w:noProof/>
          </w:rPr>
          <w:tab/>
        </w:r>
        <w:r>
          <w:rPr>
            <w:noProof/>
          </w:rPr>
          <w:t xml:space="preserve">Example</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8</w:t>
        </w:r>
        <w:r>
          <w:rPr>
            <w:noProof/>
            <w:webHidden/>
          </w:rPr>
          <w:fldChar w:fldCharType="end"/>
        </w:r>
      </w:hyperlink>
    </w:p>
    <w:p>
      <w:pPr>
        <w:pStyle w:val="TOC2"/>
      </w:pPr>
      <w:hyperlink w:anchor="_Toc300000014" w:history="1">
        <w:r>
          <w:rPr>
            <w:noProof/>
          </w:rPr>
          <w:t>6.3.</w:t>
        </w:r>
        <w:r>
          <w:rPr>
            <w:noProof/>
          </w:rPr>
          <w:tab/>
        </w:r>
        <w:r>
          <w:rPr>
            <w:noProof/>
          </w:rPr>
          <w:t xml:space="preserve">Response</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8</w:t>
        </w:r>
        <w:r>
          <w:rPr>
            <w:noProof/>
            <w:webHidden/>
          </w:rPr>
          <w:fldChar w:fldCharType="end"/>
        </w:r>
      </w:hyperlink>
    </w:p>
    <w:p>
      <w:pPr>
        <w:pStyle w:val="TOC2"/>
      </w:pPr>
      <w:hyperlink w:anchor="_Toc300000015" w:history="1">
        <w:r>
          <w:rPr>
            <w:noProof/>
          </w:rPr>
          <w:t>6.4.</w:t>
        </w:r>
        <w:r>
          <w:rPr>
            <w:noProof/>
          </w:rPr>
          <w:tab/>
        </w:r>
        <w:r>
          <w:rPr>
            <w:noProof/>
          </w:rPr>
          <w:t xml:space="preserve">Notes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9</w:t>
        </w:r>
        <w:r>
          <w:rPr>
            <w:noProof/>
            <w:webHidden/>
          </w:rPr>
          <w:fldChar w:fldCharType="end"/>
        </w:r>
      </w:hyperlink>
    </w:p>
    <w:p>
      <w:pPr>
        <w:pStyle w:val="TOC1"/>
      </w:pPr>
      <w:hyperlink w:anchor="_Toc300000016" w:history="1">
        <w:r>
          <w:rPr>
            <w:noProof/>
          </w:rPr>
          <w:t>7.</w:t>
        </w:r>
        <w:r>
          <w:rPr>
            <w:noProof/>
          </w:rPr>
          <w:tab/>
        </w:r>
        <w:r>
          <w:rPr>
            <w:noProof/>
          </w:rPr>
          <w:t xml:space="preserve">Bind a quote</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2"/>
      </w:pPr>
      <w:hyperlink w:anchor="_Toc300000017" w:history="1">
        <w:r>
          <w:rPr>
            <w:noProof/>
          </w:rPr>
          <w:t>7.1.</w:t>
        </w:r>
        <w:r>
          <w:rPr>
            <w:noProof/>
          </w:rPr>
          <w:tab/>
        </w:r>
        <w:r>
          <w:rPr>
            <w:noProof/>
          </w:rPr>
          <w:t xml:space="preserve">Request</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10</w:t>
        </w:r>
        <w:r>
          <w:rPr>
            <w:noProof/>
            <w:webHidden/>
          </w:rPr>
          <w:fldChar w:fldCharType="end"/>
        </w:r>
      </w:hyperlink>
    </w:p>
    <w:p>
      <w:pPr>
        <w:pStyle w:val="TOC2"/>
      </w:pPr>
      <w:hyperlink w:anchor="_Toc300000018" w:history="1">
        <w:r>
          <w:rPr>
            <w:noProof/>
          </w:rPr>
          <w:t>7.2.</w:t>
        </w:r>
        <w:r>
          <w:rPr>
            <w:noProof/>
          </w:rPr>
          <w:tab/>
        </w:r>
        <w:r>
          <w:rPr>
            <w:noProof/>
          </w:rPr>
          <w:t xml:space="preserve">Response</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10</w:t>
        </w:r>
        <w:r>
          <w:rPr>
            <w:noProof/>
            <w:webHidden/>
          </w:rPr>
          <w:fldChar w:fldCharType="end"/>
        </w:r>
      </w:hyperlink>
    </w:p>
    <w:p>
      <w:pPr>
        <w:pStyle w:val="TOC2"/>
      </w:pPr>
      <w:hyperlink w:anchor="_Toc300000019" w:history="1">
        <w:r>
          <w:rPr>
            <w:noProof/>
          </w:rPr>
          <w:t>7.3.</w:t>
        </w:r>
        <w:r>
          <w:rPr>
            <w:noProof/>
          </w:rPr>
          <w:tab/>
        </w:r>
        <w:r>
          <w:rPr>
            <w:noProof/>
          </w:rPr>
          <w:t xml:space="preserve">Physical damage cover</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11</w:t>
        </w:r>
        <w:r>
          <w:rPr>
            <w:noProof/>
            <w:webHidden/>
          </w:rPr>
          <w:fldChar w:fldCharType="end"/>
        </w:r>
      </w:hyperlink>
    </w:p>
    <w:p>
      <w:pPr>
        <w:pStyle w:val="TOC1"/>
      </w:pPr>
      <w:hyperlink w:anchor="_Toc300000020" w:history="1">
        <w:r>
          <w:rPr>
            <w:noProof/>
          </w:rPr>
          <w:t>8.</w:t>
        </w:r>
        <w:r>
          <w:rPr>
            <w:noProof/>
          </w:rPr>
          <w:tab/>
        </w:r>
        <w:r>
          <w:rPr>
            <w:noProof/>
          </w:rPr>
          <w:t xml:space="preserve">Idempotency</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11</w:t>
        </w:r>
        <w:r>
          <w:rPr>
            <w:noProof/>
            <w:webHidden/>
          </w:rPr>
          <w:fldChar w:fldCharType="end"/>
        </w:r>
      </w:hyperlink>
    </w:p>
    <w:p>
      <w:pPr>
        <w:pStyle w:val="TOC1"/>
      </w:pPr>
      <w:hyperlink w:anchor="_Toc300000021" w:history="1">
        <w:r>
          <w:rPr>
            <w:noProof/>
          </w:rPr>
          <w:t>9.</w:t>
        </w:r>
        <w:r>
          <w:rPr>
            <w:noProof/>
          </w:rPr>
          <w:tab/>
        </w:r>
        <w:r>
          <w:rPr>
            <w:noProof/>
          </w:rPr>
          <w:t xml:space="preserve">List your policies</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11</w:t>
        </w:r>
        <w:r>
          <w:rPr>
            <w:noProof/>
            <w:webHidden/>
          </w:rPr>
          <w:fldChar w:fldCharType="end"/>
        </w:r>
      </w:hyperlink>
    </w:p>
    <w:p>
      <w:pPr>
        <w:pStyle w:val="TOC1"/>
      </w:pPr>
      <w:hyperlink w:anchor="_Toc300000022" w:history="1">
        <w:r>
          <w:rPr>
            <w:noProof/>
          </w:rPr>
          <w:t>10.</w:t>
        </w:r>
        <w:r>
          <w:rPr>
            <w:noProof/>
          </w:rPr>
          <w:tab/>
        </w:r>
        <w:r>
          <w:rPr>
            <w:noProof/>
          </w:rPr>
          <w:t xml:space="preserve">Read your commission statement</w:t>
        </w:r>
        <w:r>
          <w:rPr>
            <w:noProof/>
            <w:webHidden/>
          </w:rPr>
          <w:tab/>
        </w:r>
        <w:r>
          <w:rPr>
            <w:noProof/>
            <w:webHidden/>
          </w:rPr>
          <w:fldChar w:fldCharType="begin"/>
        </w:r>
        <w:r>
          <w:rPr>
            <w:noProof/>
            <w:webHidden/>
          </w:rPr>
          <w:instrText xml:space="preserve"> PAGEREF _Toc300000022 \h </w:instrText>
        </w:r>
        <w:r>
          <w:rPr>
            <w:noProof/>
            <w:webHidden/>
          </w:rPr>
          <w:fldChar w:fldCharType="separate"/>
        </w:r>
        <w:r>
          <w:rPr>
            <w:noProof/>
            <w:webHidden/>
          </w:rPr>
          <w:t>12</w:t>
        </w:r>
        <w:r>
          <w:rPr>
            <w:noProof/>
            <w:webHidden/>
          </w:rPr>
          <w:fldChar w:fldCharType="end"/>
        </w:r>
      </w:hyperlink>
    </w:p>
    <w:p>
      <w:pPr>
        <w:pStyle w:val="TOC1"/>
      </w:pPr>
      <w:hyperlink w:anchor="_Toc300000023" w:history="1">
        <w:r>
          <w:rPr>
            <w:noProof/>
          </w:rPr>
          <w:t>11.</w:t>
        </w:r>
        <w:r>
          <w:rPr>
            <w:noProof/>
          </w:rPr>
          <w:tab/>
        </w:r>
        <w:r>
          <w:rPr>
            <w:noProof/>
          </w:rPr>
          <w:t xml:space="preserve">Errors</w:t>
        </w:r>
        <w:r>
          <w:rPr>
            <w:noProof/>
            <w:webHidden/>
          </w:rPr>
          <w:tab/>
        </w:r>
        <w:r>
          <w:rPr>
            <w:noProof/>
            <w:webHidden/>
          </w:rPr>
          <w:fldChar w:fldCharType="begin"/>
        </w:r>
        <w:r>
          <w:rPr>
            <w:noProof/>
            <w:webHidden/>
          </w:rPr>
          <w:instrText xml:space="preserve"> PAGEREF _Toc300000023 \h </w:instrText>
        </w:r>
        <w:r>
          <w:rPr>
            <w:noProof/>
            <w:webHidden/>
          </w:rPr>
          <w:fldChar w:fldCharType="separate"/>
        </w:r>
        <w:r>
          <w:rPr>
            <w:noProof/>
            <w:webHidden/>
          </w:rPr>
          <w:t>13</w:t>
        </w:r>
        <w:r>
          <w:rPr>
            <w:noProof/>
            <w:webHidden/>
          </w:rPr>
          <w:fldChar w:fldCharType="end"/>
        </w:r>
      </w:hyperlink>
    </w:p>
    <w:p>
      <w:pPr>
        <w:pStyle w:val="TOC2"/>
      </w:pPr>
      <w:hyperlink w:anchor="_Toc300000024" w:history="1">
        <w:r>
          <w:rPr>
            <w:noProof/>
          </w:rPr>
          <w:t>11.1.</w:t>
        </w:r>
        <w:r>
          <w:rPr>
            <w:noProof/>
          </w:rPr>
          <w:tab/>
        </w:r>
        <w:r>
          <w:rPr>
            <w:noProof/>
          </w:rPr>
          <w:t xml:space="preserve">Retry policy</w:t>
        </w:r>
        <w:r>
          <w:rPr>
            <w:noProof/>
            <w:webHidden/>
          </w:rPr>
          <w:tab/>
        </w:r>
        <w:r>
          <w:rPr>
            <w:noProof/>
            <w:webHidden/>
          </w:rPr>
          <w:fldChar w:fldCharType="begin"/>
        </w:r>
        <w:r>
          <w:rPr>
            <w:noProof/>
            <w:webHidden/>
          </w:rPr>
          <w:instrText xml:space="preserve"> PAGEREF _Toc300000024 \h </w:instrText>
        </w:r>
        <w:r>
          <w:rPr>
            <w:noProof/>
            <w:webHidden/>
          </w:rPr>
          <w:fldChar w:fldCharType="separate"/>
        </w:r>
        <w:r>
          <w:rPr>
            <w:noProof/>
            <w:webHidden/>
          </w:rPr>
          <w:t>14</w:t>
        </w:r>
        <w:r>
          <w:rPr>
            <w:noProof/>
            <w:webHidden/>
          </w:rPr>
          <w:fldChar w:fldCharType="end"/>
        </w:r>
      </w:hyperlink>
    </w:p>
    <w:p>
      <w:pPr>
        <w:pStyle w:val="TOC1"/>
      </w:pPr>
      <w:hyperlink w:anchor="_Toc300000025" w:history="1">
        <w:r>
          <w:rPr>
            <w:noProof/>
          </w:rPr>
          <w:t>12.</w:t>
        </w:r>
        <w:r>
          <w:rPr>
            <w:noProof/>
          </w:rPr>
          <w:tab/>
        </w:r>
        <w:r>
          <w:rPr>
            <w:noProof/>
          </w:rPr>
          <w:t xml:space="preserve">Rate limits</w:t>
        </w:r>
        <w:r>
          <w:rPr>
            <w:noProof/>
            <w:webHidden/>
          </w:rPr>
          <w:tab/>
        </w:r>
        <w:r>
          <w:rPr>
            <w:noProof/>
            <w:webHidden/>
          </w:rPr>
          <w:fldChar w:fldCharType="begin"/>
        </w:r>
        <w:r>
          <w:rPr>
            <w:noProof/>
            <w:webHidden/>
          </w:rPr>
          <w:instrText xml:space="preserve"> PAGEREF _Toc300000025 \h </w:instrText>
        </w:r>
        <w:r>
          <w:rPr>
            <w:noProof/>
            <w:webHidden/>
          </w:rPr>
          <w:fldChar w:fldCharType="separate"/>
        </w:r>
        <w:r>
          <w:rPr>
            <w:noProof/>
            <w:webHidden/>
          </w:rPr>
          <w:t>14</w:t>
        </w:r>
        <w:r>
          <w:rPr>
            <w:noProof/>
            <w:webHidden/>
          </w:rPr>
          <w:fldChar w:fldCharType="end"/>
        </w:r>
      </w:hyperlink>
    </w:p>
    <w:p>
      <w:pPr>
        <w:pStyle w:val="TOC1"/>
      </w:pPr>
      <w:hyperlink w:anchor="_Toc300000026" w:history="1">
        <w:r>
          <w:rPr>
            <w:noProof/>
          </w:rPr>
          <w:t>13.</w:t>
        </w:r>
        <w:r>
          <w:rPr>
            <w:noProof/>
          </w:rPr>
          <w:tab/>
        </w:r>
        <w:r>
          <w:rPr>
            <w:noProof/>
          </w:rPr>
          <w:t xml:space="preserve">Sandbox</w:t>
        </w:r>
        <w:r>
          <w:rPr>
            <w:noProof/>
            <w:webHidden/>
          </w:rPr>
          <w:tab/>
        </w:r>
        <w:r>
          <w:rPr>
            <w:noProof/>
            <w:webHidden/>
          </w:rPr>
          <w:fldChar w:fldCharType="begin"/>
        </w:r>
        <w:r>
          <w:rPr>
            <w:noProof/>
            <w:webHidden/>
          </w:rPr>
          <w:instrText xml:space="preserve"> PAGEREF _Toc300000026 \h </w:instrText>
        </w:r>
        <w:r>
          <w:rPr>
            <w:noProof/>
            <w:webHidden/>
          </w:rPr>
          <w:fldChar w:fldCharType="separate"/>
        </w:r>
        <w:r>
          <w:rPr>
            <w:noProof/>
            <w:webHidden/>
          </w:rPr>
          <w:t>15</w:t>
        </w:r>
        <w:r>
          <w:rPr>
            <w:noProof/>
            <w:webHidden/>
          </w:rPr>
          <w:fldChar w:fldCharType="end"/>
        </w:r>
      </w:hyperlink>
    </w:p>
    <w:p>
      <w:pPr>
        <w:pStyle w:val="TOC2"/>
      </w:pPr>
      <w:hyperlink w:anchor="_Toc300000027" w:history="1">
        <w:r>
          <w:rPr>
            <w:noProof/>
          </w:rPr>
          <w:t>13.1.</w:t>
        </w:r>
        <w:r>
          <w:rPr>
            <w:noProof/>
          </w:rPr>
          <w:tab/>
        </w:r>
        <w:r>
          <w:rPr>
            <w:noProof/>
          </w:rPr>
          <w:t xml:space="preserve">Certification tests</w:t>
        </w:r>
        <w:r>
          <w:rPr>
            <w:noProof/>
            <w:webHidden/>
          </w:rPr>
          <w:tab/>
        </w:r>
        <w:r>
          <w:rPr>
            <w:noProof/>
            <w:webHidden/>
          </w:rPr>
          <w:fldChar w:fldCharType="begin"/>
        </w:r>
        <w:r>
          <w:rPr>
            <w:noProof/>
            <w:webHidden/>
          </w:rPr>
          <w:instrText xml:space="preserve"> PAGEREF _Toc300000027 \h </w:instrText>
        </w:r>
        <w:r>
          <w:rPr>
            <w:noProof/>
            <w:webHidden/>
          </w:rPr>
          <w:fldChar w:fldCharType="separate"/>
        </w:r>
        <w:r>
          <w:rPr>
            <w:noProof/>
            <w:webHidden/>
          </w:rPr>
          <w:t>15</w:t>
        </w:r>
        <w:r>
          <w:rPr>
            <w:noProof/>
            <w:webHidden/>
          </w:rPr>
          <w:fldChar w:fldCharType="end"/>
        </w:r>
      </w:hyperlink>
    </w:p>
    <w:p>
      <w:pPr>
        <w:pStyle w:val="TOC1"/>
      </w:pPr>
      <w:hyperlink w:anchor="_Toc300000028" w:history="1">
        <w:r>
          <w:rPr>
            <w:noProof/>
          </w:rPr>
          <w:t>14.</w:t>
        </w:r>
        <w:r>
          <w:rPr>
            <w:noProof/>
          </w:rPr>
          <w:tab/>
        </w:r>
        <w:r>
          <w:rPr>
            <w:noProof/>
          </w:rPr>
          <w:t xml:space="preserve">Go-live checklist</w:t>
        </w:r>
        <w:r>
          <w:rPr>
            <w:noProof/>
            <w:webHidden/>
          </w:rPr>
          <w:tab/>
        </w:r>
        <w:r>
          <w:rPr>
            <w:noProof/>
            <w:webHidden/>
          </w:rPr>
          <w:fldChar w:fldCharType="begin"/>
        </w:r>
        <w:r>
          <w:rPr>
            <w:noProof/>
            <w:webHidden/>
          </w:rPr>
          <w:instrText xml:space="preserve"> PAGEREF _Toc300000028 \h </w:instrText>
        </w:r>
        <w:r>
          <w:rPr>
            <w:noProof/>
            <w:webHidden/>
          </w:rPr>
          <w:fldChar w:fldCharType="separate"/>
        </w:r>
        <w:r>
          <w:rPr>
            <w:noProof/>
            <w:webHidden/>
          </w:rPr>
          <w:t>15</w:t>
        </w:r>
        <w:r>
          <w:rPr>
            <w:noProof/>
            <w:webHidden/>
          </w:rPr>
          <w:fldChar w:fldCharType="end"/>
        </w:r>
      </w:hyperlink>
    </w:p>
    <w:p>
      <w:pPr>
        <w:pStyle w:val="TOC1"/>
      </w:pPr>
      <w:hyperlink w:anchor="_Toc300000029" w:history="1">
        <w:r>
          <w:rPr>
            <w:noProof/>
          </w:rPr>
          <w:t>15.</w:t>
        </w:r>
        <w:r>
          <w:rPr>
            <w:noProof/>
          </w:rPr>
          <w:tab/>
        </w:r>
        <w:r>
          <w:rPr>
            <w:noProof/>
          </w:rPr>
          <w:t xml:space="preserve">Data protection</w:t>
        </w:r>
        <w:r>
          <w:rPr>
            <w:noProof/>
            <w:webHidden/>
          </w:rPr>
          <w:tab/>
        </w:r>
        <w:r>
          <w:rPr>
            <w:noProof/>
            <w:webHidden/>
          </w:rPr>
          <w:fldChar w:fldCharType="begin"/>
        </w:r>
        <w:r>
          <w:rPr>
            <w:noProof/>
            <w:webHidden/>
          </w:rPr>
          <w:instrText xml:space="preserve"> PAGEREF _Toc300000029 \h </w:instrText>
        </w:r>
        <w:r>
          <w:rPr>
            <w:noProof/>
            <w:webHidden/>
          </w:rPr>
          <w:fldChar w:fldCharType="separate"/>
        </w:r>
        <w:r>
          <w:rPr>
            <w:noProof/>
            <w:webHidden/>
          </w:rPr>
          <w:t>16</w:t>
        </w:r>
        <w:r>
          <w:rPr>
            <w:noProof/>
            <w:webHidden/>
          </w:rPr>
          <w:fldChar w:fldCharType="end"/>
        </w:r>
      </w:hyperlink>
    </w:p>
    <w:p>
      <w:pPr>
        <w:pStyle w:val="TOC1"/>
      </w:pPr>
      <w:hyperlink w:anchor="_Toc300000030" w:history="1">
        <w:r>
          <w:rPr>
            <w:noProof/>
          </w:rPr>
          <w:t>16.</w:t>
        </w:r>
        <w:r>
          <w:rPr>
            <w:noProof/>
          </w:rPr>
          <w:tab/>
        </w:r>
        <w:r>
          <w:rPr>
            <w:noProof/>
          </w:rPr>
          <w:t xml:space="preserve">Appendix</w:t>
        </w:r>
        <w:r>
          <w:rPr>
            <w:noProof/>
            <w:webHidden/>
          </w:rPr>
          <w:tab/>
        </w:r>
        <w:r>
          <w:rPr>
            <w:noProof/>
            <w:webHidden/>
          </w:rPr>
          <w:fldChar w:fldCharType="begin"/>
        </w:r>
        <w:r>
          <w:rPr>
            <w:noProof/>
            <w:webHidden/>
          </w:rPr>
          <w:instrText xml:space="preserve"> PAGEREF _Toc300000030 \h </w:instrText>
        </w:r>
        <w:r>
          <w:rPr>
            <w:noProof/>
            <w:webHidden/>
          </w:rPr>
          <w:fldChar w:fldCharType="separate"/>
        </w:r>
        <w:r>
          <w:rPr>
            <w:noProof/>
            <w:webHidden/>
          </w:rPr>
          <w:t>16</w:t>
        </w:r>
        <w:r>
          <w:rPr>
            <w:noProof/>
            <w:webHidden/>
          </w:rPr>
          <w:fldChar w:fldCharType="end"/>
        </w:r>
      </w:hyperlink>
    </w:p>
    <w:p>
      <w:pPr>
        <w:pStyle w:val="TOC2"/>
      </w:pPr>
      <w:hyperlink w:anchor="_Toc300000031" w:history="1">
        <w:r>
          <w:rPr>
            <w:noProof/>
          </w:rPr>
          <w:t>16.1.</w:t>
        </w:r>
        <w:r>
          <w:rPr>
            <w:noProof/>
          </w:rPr>
          <w:tab/>
        </w:r>
        <w:r>
          <w:rPr>
            <w:noProof/>
          </w:rPr>
          <w:t xml:space="preserve">Change log</w:t>
        </w:r>
        <w:r>
          <w:rPr>
            <w:noProof/>
            <w:webHidden/>
          </w:rPr>
          <w:tab/>
        </w:r>
        <w:r>
          <w:rPr>
            <w:noProof/>
            <w:webHidden/>
          </w:rPr>
          <w:fldChar w:fldCharType="begin"/>
        </w:r>
        <w:r>
          <w:rPr>
            <w:noProof/>
            <w:webHidden/>
          </w:rPr>
          <w:instrText xml:space="preserve"> PAGEREF _Toc300000031 \h </w:instrText>
        </w:r>
        <w:r>
          <w:rPr>
            <w:noProof/>
            <w:webHidden/>
          </w:rPr>
          <w:fldChar w:fldCharType="separate"/>
        </w:r>
        <w:r>
          <w:rPr>
            <w:noProof/>
            <w:webHidden/>
          </w:rPr>
          <w:t>16</w:t>
        </w:r>
        <w:r>
          <w:rPr>
            <w:noProof/>
            <w:webHidden/>
          </w:rPr>
          <w:fldChar w:fldCharType="end"/>
        </w:r>
      </w:hyperlink>
    </w:p>
    <w:p>
      <w:pPr>
        <w:pStyle w:val="TOC2"/>
      </w:pPr>
      <w:hyperlink w:anchor="_Toc300000032" w:history="1">
        <w:r>
          <w:rPr>
            <w:noProof/>
          </w:rPr>
          <w:t>16.2.</w:t>
        </w:r>
        <w:r>
          <w:rPr>
            <w:noProof/>
          </w:rPr>
          <w:tab/>
        </w:r>
        <w:r>
          <w:rPr>
            <w:noProof/>
          </w:rPr>
          <w:t xml:space="preserve">Field reference: quote line</w:t>
        </w:r>
        <w:r>
          <w:rPr>
            <w:noProof/>
            <w:webHidden/>
          </w:rPr>
          <w:tab/>
        </w:r>
        <w:r>
          <w:rPr>
            <w:noProof/>
            <w:webHidden/>
          </w:rPr>
          <w:fldChar w:fldCharType="begin"/>
        </w:r>
        <w:r>
          <w:rPr>
            <w:noProof/>
            <w:webHidden/>
          </w:rPr>
          <w:instrText xml:space="preserve"> PAGEREF _Toc300000032 \h </w:instrText>
        </w:r>
        <w:r>
          <w:rPr>
            <w:noProof/>
            <w:webHidden/>
          </w:rPr>
          <w:fldChar w:fldCharType="separate"/>
        </w:r>
        <w:r>
          <w:rPr>
            <w:noProof/>
            <w:webHidden/>
          </w:rPr>
          <w:t>16</w:t>
        </w:r>
        <w:r>
          <w:rPr>
            <w:noProof/>
            <w:webHidden/>
          </w:rPr>
          <w:fldChar w:fldCharType="end"/>
        </w:r>
      </w:hyperlink>
    </w:p>
    <w:p>
      <w:pPr>
        <w:pStyle w:val="TOC1"/>
      </w:pPr>
      <w:hyperlink w:anchor="_Toc300000033" w:history="1">
        <w:r>
          <w:rPr>
            <w:noProof/>
          </w:rPr>
          <w:t>17.</w:t>
        </w:r>
        <w:r>
          <w:rPr>
            <w:noProof/>
          </w:rPr>
          <w:tab/>
        </w:r>
        <w:r>
          <w:rPr>
            <w:noProof/>
          </w:rPr>
          <w:t xml:space="preserve">Sign-Off</w:t>
        </w:r>
        <w:r>
          <w:rPr>
            <w:noProof/>
            <w:webHidden/>
          </w:rPr>
          <w:tab/>
        </w:r>
        <w:r>
          <w:rPr>
            <w:noProof/>
            <w:webHidden/>
          </w:rPr>
          <w:fldChar w:fldCharType="begin"/>
        </w:r>
        <w:r>
          <w:rPr>
            <w:noProof/>
            <w:webHidden/>
          </w:rPr>
          <w:instrText xml:space="preserve"> PAGEREF _Toc300000033 \h </w:instrText>
        </w:r>
        <w:r>
          <w:rPr>
            <w:noProof/>
            <w:webHidden/>
          </w:rPr>
          <w:fldChar w:fldCharType="separate"/>
        </w:r>
        <w:r>
          <w:rPr>
            <w:noProof/>
            <w:webHidden/>
          </w:rPr>
          <w:t>18</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42"/>
        <w:gridCol w:w="957"/>
        <w:gridCol w:w="2068"/>
        <w:gridCol w:w="1449"/>
        <w:gridCol w:w="2068"/>
        <w:gridCol w:w="1243"/>
      </w:tblGrid>
      <w:tr w:rsidR="002B183A" w14:paraId="4E198CD6" w14:textId="77777777" w:rsidTr="002923F3">
        <w:trPr>
          <w:cantSplit/>
          <w:trHeight w:val="440"/>
          <w:tblHeader/>
        </w:trPr>
        <w:tc>
          <w:tcPr>
            <w:tcW w:w="1242"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57"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2068"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449"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68"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43"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42"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957"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2068"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Integration Engineering</w:t>
            </w:r>
          </w:p>
        </w:tc>
        <w:tc>
          <w:tcPr>
            <w:tcW w:w="1449"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 Architecture</w:t>
            </w:r>
          </w:p>
        </w:tc>
        <w:tc>
          <w:tcPr>
            <w:tcW w:w="2068"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43"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558"/>
        <w:gridCol w:w="7469"/>
      </w:tblGrid>
      <w:tr w:rsidR="002B183A" w14:paraId="388F227F" w14:textId="77777777" w:rsidTr="002923F3">
        <w:trPr>
          <w:cantSplit/>
          <w:trHeight w:val="440"/>
          <w:tblHeader/>
        </w:trPr>
        <w:tc>
          <w:tcPr>
            <w:tcW w:w="1558"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469"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HTTPS</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 Secure</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Identifier</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JSON</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JavaScript Object Notation</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QR</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Quick response (code)</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TNDS</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Compulsory motor third-party liability insurance (Bảo hiểm TNDS bắt buộc)</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URL</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Uniform resource locator</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UUID</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Universally unique identifier</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VAT</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Value-added tax</w:t>
            </w:r>
          </w:p>
        </w:tc>
      </w:tr>
      <w:tr w:rsidR="002B183A" w:rsidRPr="00BB346A" w14:paraId="73CFB63E" w14:textId="77777777" w:rsidTr="002923F3">
        <w:trPr>
          <w:cantSplit/>
          <w:trHeight w:val="449"/>
        </w:trPr>
        <w:tc>
          <w:tcPr>
            <w:tcW w:w="155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VND</w:t>
            </w:r>
          </w:p>
        </w:tc>
        <w:tc>
          <w:tcPr>
            <w:tcW w:w="746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Vietnamese đồng</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Heading2"/>
      </w:pPr>
      <w:bookmarkStart w:id="8" w:name="_Toc300000004"/>
      <w:r>
        <w:t xml:space="preserve">Purpose</w:t>
      </w:r>
      <w:bookmarkEnd w:id="8"/>
    </w:p>
    <w:p>
      <w:pPr>
        <w:pStyle w:val="FirstParagraph"/>
      </w:pPr>
      <w:r>
        <w:t xml:space="preserve">This guide tells a developer at a TASCO partner how to connect the partner’s sales system to the TASCO Growth Platform: how to authenticate, quote, bind a quote into policies, list the policies sold and read the commission statement, and how to handle errors and retries safely.</w:t>
      </w:r>
    </w:p>
    <w:p>
      <w:pPr>
        <w:pStyle w:val="Heading2"/>
      </w:pPr>
      <w:bookmarkStart w:id="9" w:name="_Toc300000005"/>
      <w:r>
        <w:t xml:space="preserve">Scope</w:t>
      </w:r>
      <w:bookmarkEnd w:id="9"/>
    </w:p>
    <w:p>
      <w:pPr>
        <w:pStyle w:val="FirstParagraph"/>
      </w:pPr>
      <w:r>
        <w:t xml:space="preserve">Version 1 of the Partner API, under the base path</w:t>
      </w:r>
      <w:r>
        <w:t xml:space="preserve"> </w:t>
      </w:r>
      <w:r>
        <w:rPr>
          <w:rStyle w:val="CodeChar"/>
        </w:rPr>
        <w:t xml:space="preserve">/api/partner/v1</w:t>
      </w:r>
      <w:r>
        <w:t xml:space="preserve">, with four operations. The staff side (onboarding a partner, issuing keys, statements in the console) is described in TGP-MAN-01 Staff Console User Manual, chapter</w:t>
      </w:r>
      <w:r>
        <w:t xml:space="preserve"> </w:t>
      </w:r>
      <w:r>
        <w:t xml:space="preserve">“</w:t>
      </w:r>
      <w:r>
        <w:t xml:space="preserve">Partner manager</w:t>
      </w:r>
      <w:r>
        <w:t xml:space="preserve">”</w:t>
      </w:r>
      <w:r>
        <w:t xml:space="preserve">.</w:t>
      </w:r>
    </w:p>
    <w:p>
      <w:pPr>
        <w:pStyle w:val="Heading2"/>
      </w:pPr>
      <w:bookmarkStart w:id="10" w:name="_Toc300000006"/>
      <w:r>
        <w:t xml:space="preserve">Audience</w:t>
      </w:r>
      <w:bookmarkEnd w:id="10"/>
    </w:p>
    <w:p>
      <w:pPr>
        <w:pStyle w:val="FirstParagraph"/>
      </w:pPr>
      <w:r>
        <w:t xml:space="preserve">IT developers and integration engineers at banks, car showrooms, insurance agents, fleet operators and inspection centres that sell TASCO motor cover. TASCO’s own Tasco360 partner app connects in exactly the same way, as an API consumer with its own partner account and key.</w:t>
      </w:r>
    </w:p>
    <w:p>
      <w:pPr>
        <w:pStyle w:val="Heading2"/>
      </w:pPr>
      <w:bookmarkStart w:id="11" w:name="_Toc300000007"/>
      <w:r>
        <w:t xml:space="preserve">Related documents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92"/>
        <w:gridCol w:w="6235"/>
      </w:tblGrid>
      <w:tr>
        <w:trPr>
          <w:cantSplit/>
          <w:tblHeader/>
        </w:trPr>
        <w:tc>
          <w:tcPr>
            <w:tcW w:w="2792" w:type="dxa"/>
            <w:shd w:val="clear" w:color="auto" w:fill="0F4761"/>
            <w:vAlign w:val="center"/>
          </w:tcPr>
          <w:p>
            <w:pPr>
              <w:pStyle w:val="TableHeading"/>
              <w:jc w:val="left"/>
            </w:pPr>
            <w:r>
              <w:rPr>
                <w:color w:val="FFFFFF"/>
              </w:rPr>
              <w:t xml:space="preserve">ID</w:t>
            </w:r>
          </w:p>
        </w:tc>
        <w:tc>
          <w:tcPr>
            <w:tcW w:w="6235" w:type="dxa"/>
            <w:shd w:val="clear" w:color="auto" w:fill="0F4761"/>
            <w:vAlign w:val="center"/>
          </w:tcPr>
          <w:p>
            <w:pPr>
              <w:pStyle w:val="TableHeading"/>
              <w:jc w:val="left"/>
            </w:pPr>
            <w:r>
              <w:rPr>
                <w:color w:val="FFFFFF"/>
              </w:rPr>
              <w:t xml:space="preserve">Title</w:t>
            </w:r>
          </w:p>
        </w:tc>
      </w:tr>
      <w:tr>
        <w:trPr>
          <w:cantSplit/>
        </w:trPr>
        <w:tc>
          <w:tcPr>
            <w:tcW w:w="2792" w:type="dxa"/>
            <w:noWrap/>
            <w:vAlign w:val="top"/>
          </w:tcPr>
          <w:p>
            <w:pPr>
              <w:pStyle w:val="TableText"/>
              <w:jc w:val="left"/>
            </w:pPr>
            <w:r>
              <w:t xml:space="preserve">TGP-ARC-02</w:t>
            </w:r>
          </w:p>
        </w:tc>
        <w:tc>
          <w:tcPr>
            <w:tcW w:w="6235" w:type="dxa"/>
            <w:vAlign w:val="top"/>
          </w:tcPr>
          <w:p>
            <w:pPr>
              <w:pStyle w:val="TableText"/>
              <w:jc w:val="left"/>
            </w:pPr>
            <w:r>
              <w:t xml:space="preserve">Integration Architecture</w:t>
            </w:r>
          </w:p>
        </w:tc>
      </w:tr>
      <w:tr>
        <w:trPr>
          <w:cantSplit/>
        </w:trPr>
        <w:tc>
          <w:tcPr>
            <w:tcW w:w="2792" w:type="dxa"/>
            <w:shd w:val="clear" w:color="auto" w:fill="F4F7FB"/>
            <w:noWrap/>
            <w:vAlign w:val="top"/>
          </w:tcPr>
          <w:p>
            <w:pPr>
              <w:pStyle w:val="TableText"/>
              <w:jc w:val="left"/>
            </w:pPr>
            <w:r>
              <w:t xml:space="preserve">TGP-ARC-04</w:t>
            </w:r>
          </w:p>
        </w:tc>
        <w:tc>
          <w:tcPr>
            <w:tcW w:w="6235" w:type="dxa"/>
            <w:shd w:val="clear" w:color="auto" w:fill="F4F7FB"/>
            <w:vAlign w:val="top"/>
          </w:tcPr>
          <w:p>
            <w:pPr>
              <w:pStyle w:val="TableText"/>
              <w:jc w:val="left"/>
            </w:pPr>
            <w:r>
              <w:t xml:space="preserve">Security Architecture</w:t>
            </w:r>
          </w:p>
        </w:tc>
      </w:tr>
      <w:tr>
        <w:trPr>
          <w:cantSplit/>
        </w:trPr>
        <w:tc>
          <w:tcPr>
            <w:tcW w:w="2792" w:type="dxa"/>
            <w:noWrap/>
            <w:vAlign w:val="top"/>
          </w:tcPr>
          <w:p>
            <w:pPr>
              <w:pStyle w:val="TableText"/>
              <w:jc w:val="left"/>
            </w:pPr>
            <w:r>
              <w:t xml:space="preserve">TGP-MAN-01</w:t>
            </w:r>
          </w:p>
        </w:tc>
        <w:tc>
          <w:tcPr>
            <w:tcW w:w="6235" w:type="dxa"/>
            <w:vAlign w:val="top"/>
          </w:tcPr>
          <w:p>
            <w:pPr>
              <w:pStyle w:val="TableText"/>
              <w:jc w:val="left"/>
            </w:pPr>
            <w:r>
              <w:t xml:space="preserve">Staff Console User Manual</w:t>
            </w:r>
          </w:p>
        </w:tc>
      </w:tr>
      <w:tr>
        <w:trPr>
          <w:cantSplit/>
        </w:trPr>
        <w:tc>
          <w:tcPr>
            <w:tcW w:w="2792" w:type="dxa"/>
            <w:shd w:val="clear" w:color="auto" w:fill="F4F7FB"/>
            <w:noWrap/>
            <w:vAlign w:val="top"/>
          </w:tcPr>
          <w:p>
            <w:pPr>
              <w:pStyle w:val="TableText"/>
              <w:jc w:val="left"/>
            </w:pPr>
            <w:r>
              <w:t xml:space="preserve">TGP-OPS-01</w:t>
            </w:r>
          </w:p>
        </w:tc>
        <w:tc>
          <w:tcPr>
            <w:tcW w:w="6235" w:type="dxa"/>
            <w:shd w:val="clear" w:color="auto" w:fill="F4F7FB"/>
            <w:vAlign w:val="top"/>
          </w:tcPr>
          <w:p>
            <w:pPr>
              <w:pStyle w:val="TableText"/>
              <w:jc w:val="left"/>
            </w:pPr>
            <w:r>
              <w:t xml:space="preserve">Runbook and Support Guide</w:t>
            </w:r>
          </w:p>
        </w:tc>
      </w:tr>
    </w:tbl>
    <w:p>
      <w:pPr>
        <w:pStyle w:val="BodyText"/>
        <w:spacing w:before="160"/>
      </w:pPr>
      <w:r>
        <w:t xml:space="preserve">The machine-readable specification is published by the platform at</w:t>
      </w:r>
      <w:r>
        <w:t xml:space="preserve"> </w:t>
      </w:r>
      <w:r>
        <w:rPr>
          <w:rStyle w:val="CodeChar"/>
        </w:rPr>
        <w:t xml:space="preserve">GET /api/openapi.json</w:t>
      </w:r>
      <w:r>
        <w:t xml:space="preserve"> </w:t>
      </w:r>
      <w:r>
        <w:t xml:space="preserve">(OpenAPI 3.1). Partner operations carry the tag</w:t>
      </w:r>
      <w:r>
        <w:t xml:space="preserve"> </w:t>
      </w:r>
      <w:r>
        <w:t xml:space="preserve">“</w:t>
      </w:r>
      <w:r>
        <w:t xml:space="preserve">Partner API</w:t>
      </w:r>
      <w:r>
        <w:t xml:space="preserve">”</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Overview</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892"/>
        <w:gridCol w:w="7135"/>
      </w:tblGrid>
      <w:tr>
        <w:trPr>
          <w:cantSplit/>
          <w:tblHeader/>
        </w:trPr>
        <w:tc>
          <w:tcPr>
            <w:tcW w:w="1892" w:type="dxa"/>
            <w:shd w:val="clear" w:color="auto" w:fill="0F4761"/>
            <w:vAlign w:val="center"/>
          </w:tcPr>
          <w:p>
            <w:pPr>
              <w:pStyle w:val="TableHeading"/>
              <w:jc w:val="left"/>
            </w:pPr>
            <w:r>
              <w:rPr>
                <w:color w:val="FFFFFF"/>
              </w:rPr>
              <w:t xml:space="preserve">Item</w:t>
            </w:r>
          </w:p>
        </w:tc>
        <w:tc>
          <w:tcPr>
            <w:tcW w:w="7135" w:type="dxa"/>
            <w:shd w:val="clear" w:color="auto" w:fill="0F4761"/>
            <w:vAlign w:val="center"/>
          </w:tcPr>
          <w:p>
            <w:pPr>
              <w:pStyle w:val="TableHeading"/>
              <w:jc w:val="left"/>
            </w:pPr>
            <w:r>
              <w:rPr>
                <w:color w:val="FFFFFF"/>
              </w:rPr>
              <w:t xml:space="preserve">Value</w:t>
            </w:r>
          </w:p>
        </w:tc>
      </w:tr>
      <w:tr>
        <w:trPr>
          <w:cantSplit/>
        </w:trPr>
        <w:tc>
          <w:tcPr>
            <w:tcW w:w="1892" w:type="dxa"/>
            <w:vAlign w:val="top"/>
          </w:tcPr>
          <w:p>
            <w:pPr>
              <w:pStyle w:val="TableText"/>
              <w:jc w:val="left"/>
            </w:pPr>
            <w:r>
              <w:t xml:space="preserve">Base URL</w:t>
            </w:r>
          </w:p>
        </w:tc>
        <w:tc>
          <w:tcPr>
            <w:tcW w:w="7135" w:type="dxa"/>
            <w:vAlign w:val="top"/>
          </w:tcPr>
          <w:p>
            <w:pPr>
              <w:pStyle w:val="TableText"/>
              <w:jc w:val="left"/>
            </w:pPr>
            <w:r>
              <w:t xml:space="preserve">Given to you by your TASCO partner manager, one for the sandbox and one for production</w:t>
            </w:r>
          </w:p>
        </w:tc>
      </w:tr>
      <w:tr>
        <w:trPr>
          <w:cantSplit/>
        </w:trPr>
        <w:tc>
          <w:tcPr>
            <w:tcW w:w="1892" w:type="dxa"/>
            <w:shd w:val="clear" w:color="auto" w:fill="F4F7FB"/>
            <w:vAlign w:val="top"/>
          </w:tcPr>
          <w:p>
            <w:pPr>
              <w:pStyle w:val="TableText"/>
              <w:jc w:val="left"/>
            </w:pPr>
            <w:r>
              <w:t xml:space="preserve">Base path</w:t>
            </w:r>
          </w:p>
        </w:tc>
        <w:tc>
          <w:tcPr>
            <w:tcW w:w="7135" w:type="dxa"/>
            <w:shd w:val="clear" w:color="auto" w:fill="F4F7FB"/>
            <w:vAlign w:val="top"/>
          </w:tcPr>
          <w:p>
            <w:pPr>
              <w:pStyle w:val="TableText"/>
              <w:jc w:val="left"/>
            </w:pPr>
            <w:r>
              <w:rPr>
                <w:rStyle w:val="CodeChar"/>
              </w:rPr>
              <w:t xml:space="preserve">/api/partner/v1</w:t>
            </w:r>
          </w:p>
        </w:tc>
      </w:tr>
      <w:tr>
        <w:trPr>
          <w:cantSplit/>
        </w:trPr>
        <w:tc>
          <w:tcPr>
            <w:tcW w:w="1892" w:type="dxa"/>
            <w:vAlign w:val="top"/>
          </w:tcPr>
          <w:p>
            <w:pPr>
              <w:pStyle w:val="TableText"/>
              <w:jc w:val="left"/>
            </w:pPr>
            <w:r>
              <w:t xml:space="preserve">Transport</w:t>
            </w:r>
          </w:p>
        </w:tc>
        <w:tc>
          <w:tcPr>
            <w:tcW w:w="7135" w:type="dxa"/>
            <w:vAlign w:val="top"/>
          </w:tcPr>
          <w:p>
            <w:pPr>
              <w:pStyle w:val="TableText"/>
              <w:jc w:val="left"/>
            </w:pPr>
            <w:r>
              <w:t xml:space="preserve">HTTPS only; JSON request and response bodies (</w:t>
            </w:r>
            <w:r>
              <w:rPr>
                <w:rStyle w:val="CodeChar"/>
              </w:rPr>
              <w:t xml:space="preserve">Content-Type: application/json</w:t>
            </w:r>
            <w:r>
              <w:t xml:space="preserve">)</w:t>
            </w:r>
          </w:p>
        </w:tc>
      </w:tr>
      <w:tr>
        <w:trPr>
          <w:cantSplit/>
        </w:trPr>
        <w:tc>
          <w:tcPr>
            <w:tcW w:w="1892" w:type="dxa"/>
            <w:shd w:val="clear" w:color="auto" w:fill="F4F7FB"/>
            <w:vAlign w:val="top"/>
          </w:tcPr>
          <w:p>
            <w:pPr>
              <w:pStyle w:val="TableText"/>
              <w:jc w:val="left"/>
            </w:pPr>
            <w:r>
              <w:t xml:space="preserve">Authentication</w:t>
            </w:r>
          </w:p>
        </w:tc>
        <w:tc>
          <w:tcPr>
            <w:tcW w:w="7135" w:type="dxa"/>
            <w:shd w:val="clear" w:color="auto" w:fill="F4F7FB"/>
            <w:vAlign w:val="top"/>
          </w:tcPr>
          <w:p>
            <w:pPr>
              <w:pStyle w:val="TableText"/>
              <w:jc w:val="left"/>
            </w:pPr>
            <w:r>
              <w:rPr>
                <w:rStyle w:val="CodeChar"/>
              </w:rPr>
              <w:t xml:space="preserve">X-Api-Key</w:t>
            </w:r>
            <w:r>
              <w:t xml:space="preserve"> </w:t>
            </w:r>
            <w:r>
              <w:t xml:space="preserve">header; each key carries scopes</w:t>
            </w:r>
          </w:p>
        </w:tc>
      </w:tr>
      <w:tr>
        <w:trPr>
          <w:cantSplit/>
        </w:trPr>
        <w:tc>
          <w:tcPr>
            <w:tcW w:w="1892" w:type="dxa"/>
            <w:vAlign w:val="top"/>
          </w:tcPr>
          <w:p>
            <w:pPr>
              <w:pStyle w:val="TableText"/>
              <w:jc w:val="left"/>
            </w:pPr>
            <w:r>
              <w:t xml:space="preserve">Idempotency</w:t>
            </w:r>
          </w:p>
        </w:tc>
        <w:tc>
          <w:tcPr>
            <w:tcW w:w="7135" w:type="dxa"/>
            <w:vAlign w:val="top"/>
          </w:tcPr>
          <w:p>
            <w:pPr>
              <w:pStyle w:val="TableText"/>
              <w:jc w:val="left"/>
            </w:pPr>
            <w:r>
              <w:rPr>
                <w:rStyle w:val="CodeChar"/>
              </w:rPr>
              <w:t xml:space="preserve">Idempotency-Key</w:t>
            </w:r>
            <w:r>
              <w:t xml:space="preserve"> </w:t>
            </w:r>
            <w:r>
              <w:t xml:space="preserve">header, required on</w:t>
            </w:r>
            <w:r>
              <w:t xml:space="preserve"> </w:t>
            </w:r>
            <w:r>
              <w:rPr>
                <w:rStyle w:val="CodeChar"/>
              </w:rPr>
              <w:t xml:space="preserve">POST /orders</w:t>
            </w:r>
          </w:p>
        </w:tc>
      </w:tr>
      <w:tr>
        <w:trPr>
          <w:cantSplit/>
        </w:trPr>
        <w:tc>
          <w:tcPr>
            <w:tcW w:w="1892" w:type="dxa"/>
            <w:shd w:val="clear" w:color="auto" w:fill="F4F7FB"/>
            <w:vAlign w:val="top"/>
          </w:tcPr>
          <w:p>
            <w:pPr>
              <w:pStyle w:val="TableText"/>
              <w:jc w:val="left"/>
            </w:pPr>
            <w:r>
              <w:t xml:space="preserve">Amounts</w:t>
            </w:r>
          </w:p>
        </w:tc>
        <w:tc>
          <w:tcPr>
            <w:tcW w:w="7135" w:type="dxa"/>
            <w:shd w:val="clear" w:color="auto" w:fill="F4F7FB"/>
            <w:vAlign w:val="top"/>
          </w:tcPr>
          <w:p>
            <w:pPr>
              <w:pStyle w:val="TableText"/>
              <w:jc w:val="left"/>
            </w:pPr>
            <w:r>
              <w:t xml:space="preserve">Integers in VND</w:t>
            </w:r>
          </w:p>
        </w:tc>
      </w:tr>
      <w:tr>
        <w:trPr>
          <w:cantSplit/>
        </w:trPr>
        <w:tc>
          <w:tcPr>
            <w:tcW w:w="1892" w:type="dxa"/>
            <w:vAlign w:val="top"/>
          </w:tcPr>
          <w:p>
            <w:pPr>
              <w:pStyle w:val="TableText"/>
              <w:jc w:val="left"/>
            </w:pPr>
            <w:r>
              <w:t xml:space="preserve">Dates</w:t>
            </w:r>
          </w:p>
        </w:tc>
        <w:tc>
          <w:tcPr>
            <w:tcW w:w="7135" w:type="dxa"/>
            <w:vAlign w:val="top"/>
          </w:tcPr>
          <w:p>
            <w:pPr>
              <w:pStyle w:val="TableText"/>
              <w:jc w:val="left"/>
            </w:pPr>
            <w:r>
              <w:rPr>
                <w:rStyle w:val="CodeChar"/>
              </w:rPr>
              <w:t xml:space="preserve">YYYY-MM-DD</w:t>
            </w:r>
            <w:r>
              <w:t xml:space="preserve">; timestamps in ISO 8601 UTC</w:t>
            </w:r>
          </w:p>
        </w:tc>
      </w:tr>
      <w:tr>
        <w:trPr>
          <w:cantSplit/>
        </w:trPr>
        <w:tc>
          <w:tcPr>
            <w:tcW w:w="1892" w:type="dxa"/>
            <w:shd w:val="clear" w:color="auto" w:fill="F4F7FB"/>
            <w:vAlign w:val="top"/>
          </w:tcPr>
          <w:p>
            <w:pPr>
              <w:pStyle w:val="TableText"/>
              <w:jc w:val="left"/>
            </w:pPr>
            <w:r>
              <w:t xml:space="preserve">Payment</w:t>
            </w:r>
          </w:p>
        </w:tc>
        <w:tc>
          <w:tcPr>
            <w:tcW w:w="7135" w:type="dxa"/>
            <w:shd w:val="clear" w:color="auto" w:fill="F4F7FB"/>
            <w:vAlign w:val="top"/>
          </w:tcPr>
          <w:p>
            <w:pPr>
              <w:pStyle w:val="TableText"/>
              <w:jc w:val="left"/>
            </w:pPr>
            <w:r>
              <w:t xml:space="preserve">Collected by the partner; binding does not debit any customer wallet</w:t>
            </w:r>
          </w:p>
        </w:tc>
      </w:tr>
      <w:tr>
        <w:trPr>
          <w:cantSplit/>
        </w:trPr>
        <w:tc>
          <w:tcPr>
            <w:tcW w:w="1892" w:type="dxa"/>
            <w:vAlign w:val="top"/>
          </w:tcPr>
          <w:p>
            <w:pPr>
              <w:pStyle w:val="TableText"/>
              <w:jc w:val="left"/>
            </w:pPr>
            <w:r>
              <w:t xml:space="preserve">Support</w:t>
            </w:r>
          </w:p>
        </w:tc>
        <w:tc>
          <w:tcPr>
            <w:tcW w:w="7135" w:type="dxa"/>
            <w:vAlign w:val="top"/>
          </w:tcPr>
          <w:p>
            <w:pPr>
              <w:pStyle w:val="TableText"/>
              <w:jc w:val="left"/>
            </w:pPr>
            <w:r>
              <w:t xml:space="preserve">Your partner manager; quote the</w:t>
            </w:r>
            <w:r>
              <w:t xml:space="preserve"> </w:t>
            </w:r>
            <w:r>
              <w:rPr>
                <w:rStyle w:val="CodeChar"/>
              </w:rPr>
              <w:t xml:space="preserve">requestId</w:t>
            </w:r>
            <w:r>
              <w:t xml:space="preserve"> </w:t>
            </w:r>
            <w:r>
              <w:t xml:space="preserve">of any error</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501"/>
        <w:gridCol w:w="1774"/>
        <w:gridCol w:w="3752"/>
      </w:tblGrid>
      <w:tr>
        <w:trPr>
          <w:cantSplit/>
          <w:tblHeader/>
        </w:trPr>
        <w:tc>
          <w:tcPr>
            <w:tcW w:w="3501" w:type="dxa"/>
            <w:shd w:val="clear" w:color="auto" w:fill="0F4761"/>
            <w:vAlign w:val="center"/>
          </w:tcPr>
          <w:p>
            <w:pPr>
              <w:pStyle w:val="TableHeading"/>
              <w:jc w:val="left"/>
            </w:pPr>
            <w:r>
              <w:rPr>
                <w:color w:val="FFFFFF"/>
              </w:rPr>
              <w:t xml:space="preserve">Method and path</w:t>
            </w:r>
          </w:p>
        </w:tc>
        <w:tc>
          <w:tcPr>
            <w:tcW w:w="1774" w:type="dxa"/>
            <w:shd w:val="clear" w:color="auto" w:fill="0F4761"/>
            <w:vAlign w:val="center"/>
          </w:tcPr>
          <w:p>
            <w:pPr>
              <w:pStyle w:val="TableHeading"/>
              <w:jc w:val="left"/>
            </w:pPr>
            <w:r>
              <w:rPr>
                <w:color w:val="FFFFFF"/>
              </w:rPr>
              <w:t xml:space="preserve">Scope</w:t>
            </w:r>
          </w:p>
        </w:tc>
        <w:tc>
          <w:tcPr>
            <w:tcW w:w="3752" w:type="dxa"/>
            <w:shd w:val="clear" w:color="auto" w:fill="0F4761"/>
            <w:vAlign w:val="center"/>
          </w:tcPr>
          <w:p>
            <w:pPr>
              <w:pStyle w:val="TableHeading"/>
              <w:jc w:val="left"/>
            </w:pPr>
            <w:r>
              <w:rPr>
                <w:color w:val="FFFFFF"/>
              </w:rPr>
              <w:t xml:space="preserve">Purpose</w:t>
            </w:r>
          </w:p>
        </w:tc>
      </w:tr>
      <w:tr>
        <w:trPr>
          <w:cantSplit/>
        </w:trPr>
        <w:tc>
          <w:tcPr>
            <w:tcW w:w="3501" w:type="dxa"/>
            <w:vAlign w:val="top"/>
          </w:tcPr>
          <w:p>
            <w:pPr>
              <w:pStyle w:val="TableText"/>
              <w:jc w:val="left"/>
            </w:pPr>
            <w:r>
              <w:rPr>
                <w:rStyle w:val="CodeChar"/>
              </w:rPr>
              <w:t xml:space="preserve">POST /api/partner/v1/quotes</w:t>
            </w:r>
          </w:p>
        </w:tc>
        <w:tc>
          <w:tcPr>
            <w:tcW w:w="1774" w:type="dxa"/>
            <w:vAlign w:val="top"/>
          </w:tcPr>
          <w:p>
            <w:pPr>
              <w:pStyle w:val="TableText"/>
              <w:jc w:val="left"/>
            </w:pPr>
            <w:r>
              <w:rPr>
                <w:rStyle w:val="CodeChar"/>
              </w:rPr>
              <w:t xml:space="preserve">quote</w:t>
            </w:r>
          </w:p>
        </w:tc>
        <w:tc>
          <w:tcPr>
            <w:tcW w:w="3752" w:type="dxa"/>
            <w:vAlign w:val="top"/>
          </w:tcPr>
          <w:p>
            <w:pPr>
              <w:pStyle w:val="TableText"/>
              <w:jc w:val="left"/>
            </w:pPr>
            <w:r>
              <w:t xml:space="preserve">Price cover for a vehicle identified by its licence plate</w:t>
            </w:r>
          </w:p>
        </w:tc>
      </w:tr>
      <w:tr>
        <w:trPr>
          <w:cantSplit/>
        </w:trPr>
        <w:tc>
          <w:tcPr>
            <w:tcW w:w="3501" w:type="dxa"/>
            <w:shd w:val="clear" w:color="auto" w:fill="F4F7FB"/>
            <w:vAlign w:val="top"/>
          </w:tcPr>
          <w:p>
            <w:pPr>
              <w:pStyle w:val="TableText"/>
              <w:jc w:val="left"/>
            </w:pPr>
            <w:r>
              <w:rPr>
                <w:rStyle w:val="CodeChar"/>
              </w:rPr>
              <w:t xml:space="preserve">POST /api/partner/v1/orders</w:t>
            </w:r>
          </w:p>
        </w:tc>
        <w:tc>
          <w:tcPr>
            <w:tcW w:w="1774" w:type="dxa"/>
            <w:shd w:val="clear" w:color="auto" w:fill="F4F7FB"/>
            <w:vAlign w:val="top"/>
          </w:tcPr>
          <w:p>
            <w:pPr>
              <w:pStyle w:val="TableText"/>
              <w:jc w:val="left"/>
            </w:pPr>
            <w:r>
              <w:rPr>
                <w:rStyle w:val="CodeChar"/>
              </w:rPr>
              <w:t xml:space="preserve">purchase</w:t>
            </w:r>
          </w:p>
        </w:tc>
        <w:tc>
          <w:tcPr>
            <w:tcW w:w="3752" w:type="dxa"/>
            <w:shd w:val="clear" w:color="auto" w:fill="F4F7FB"/>
            <w:vAlign w:val="top"/>
          </w:tcPr>
          <w:p>
            <w:pPr>
              <w:pStyle w:val="TableText"/>
              <w:jc w:val="left"/>
            </w:pPr>
            <w:r>
              <w:t xml:space="preserve">Bind a quote and issue the policies</w:t>
            </w:r>
          </w:p>
        </w:tc>
      </w:tr>
      <w:tr>
        <w:trPr>
          <w:cantSplit/>
        </w:trPr>
        <w:tc>
          <w:tcPr>
            <w:tcW w:w="3501" w:type="dxa"/>
            <w:vAlign w:val="top"/>
          </w:tcPr>
          <w:p>
            <w:pPr>
              <w:pStyle w:val="TableText"/>
              <w:jc w:val="left"/>
            </w:pPr>
            <w:r>
              <w:rPr>
                <w:rStyle w:val="CodeChar"/>
              </w:rPr>
              <w:t xml:space="preserve">GET /api/partner/v1/policies</w:t>
            </w:r>
          </w:p>
        </w:tc>
        <w:tc>
          <w:tcPr>
            <w:tcW w:w="1774" w:type="dxa"/>
            <w:vAlign w:val="top"/>
          </w:tcPr>
          <w:p>
            <w:pPr>
              <w:pStyle w:val="TableText"/>
              <w:jc w:val="left"/>
            </w:pPr>
            <w:r>
              <w:rPr>
                <w:rStyle w:val="CodeChar"/>
              </w:rPr>
              <w:t xml:space="preserve">policies:read</w:t>
            </w:r>
          </w:p>
        </w:tc>
        <w:tc>
          <w:tcPr>
            <w:tcW w:w="3752" w:type="dxa"/>
            <w:vAlign w:val="top"/>
          </w:tcPr>
          <w:p>
            <w:pPr>
              <w:pStyle w:val="TableText"/>
              <w:jc w:val="left"/>
            </w:pPr>
            <w:r>
              <w:t xml:space="preserve">List the policies sold through your account</w:t>
            </w:r>
          </w:p>
        </w:tc>
      </w:tr>
      <w:tr>
        <w:trPr>
          <w:cantSplit/>
        </w:trPr>
        <w:tc>
          <w:tcPr>
            <w:tcW w:w="3501" w:type="dxa"/>
            <w:shd w:val="clear" w:color="auto" w:fill="F4F7FB"/>
            <w:vAlign w:val="top"/>
          </w:tcPr>
          <w:p>
            <w:pPr>
              <w:pStyle w:val="TableText"/>
              <w:jc w:val="left"/>
            </w:pPr>
            <w:r>
              <w:rPr>
                <w:rStyle w:val="CodeChar"/>
              </w:rPr>
              <w:t xml:space="preserve">GET /api/partner/v1/statement</w:t>
            </w:r>
          </w:p>
        </w:tc>
        <w:tc>
          <w:tcPr>
            <w:tcW w:w="1774" w:type="dxa"/>
            <w:shd w:val="clear" w:color="auto" w:fill="F4F7FB"/>
            <w:vAlign w:val="top"/>
          </w:tcPr>
          <w:p>
            <w:pPr>
              <w:pStyle w:val="TableText"/>
              <w:jc w:val="left"/>
            </w:pPr>
            <w:r>
              <w:rPr>
                <w:rStyle w:val="CodeChar"/>
              </w:rPr>
              <w:t xml:space="preserve">policies:read</w:t>
            </w:r>
          </w:p>
        </w:tc>
        <w:tc>
          <w:tcPr>
            <w:tcW w:w="3752" w:type="dxa"/>
            <w:shd w:val="clear" w:color="auto" w:fill="F4F7FB"/>
            <w:vAlign w:val="top"/>
          </w:tcPr>
          <w:p>
            <w:pPr>
              <w:pStyle w:val="TableText"/>
              <w:jc w:val="left"/>
            </w:pPr>
            <w:r>
              <w:t xml:space="preserve">Your commission statement for a period</w:t>
            </w:r>
          </w:p>
        </w:tc>
      </w:tr>
    </w:tbl>
    <w:p xmlns:a="http://schemas.openxmlformats.org/drawingml/2006/main" xmlns:pic="http://schemas.openxmlformats.org/drawingml/2006/picture">
      <w:pPr>
        <w:pStyle w:val="Figure"/>
        <w:spacing w:before="160"/>
      </w:pPr>
      <w:r>
        <w:drawing>
          <wp:inline>
            <wp:extent cx="4784399" cy="6479999"/>
            <wp:effectExtent b="0" l="0" r="0" t="0"/>
            <wp:docPr descr="The usual flow is quote, customer agreement, bind, then periodic reads of policies and the statement" title="" id="5002" name="Picture"/>
            <a:graphic>
              <a:graphicData uri="http://schemas.openxmlformats.org/drawingml/2006/picture">
                <pic:pic>
                  <pic:nvPicPr>
                    <pic:cNvPr descr="/home/user/TASCO/tools/docs-source/gen/.cache/mermaid/f9ad741315c4f2ab.png" id="27" name="Picture"/>
                    <pic:cNvPicPr>
                      <a:picLocks noChangeArrowheads="1" noChangeAspect="1"/>
                    </pic:cNvPicPr>
                  </pic:nvPicPr>
                  <pic:blipFill>
                    <a:blip r:embed="rIdG1"/>
                    <a:stretch>
                      <a:fillRect/>
                    </a:stretch>
                  </pic:blipFill>
                  <pic:spPr bwMode="auto">
                    <a:xfrm>
                      <a:off x="0" y="0"/>
                      <a:ext cx="4784399" cy="6479999"/>
                    </a:xfrm>
                    <a:prstGeom prst="rect">
                      <a:avLst/>
                    </a:prstGeom>
                    <a:noFill/>
                    <a:ln w="9525">
                      <a:noFill/>
                      <a:headEnd/>
                      <a:tailEnd/>
                    </a:ln>
                  </pic:spPr>
                </pic:pic>
              </a:graphicData>
            </a:graphic>
          </wp:inline>
        </w:drawing>
      </w:r>
    </w:p>
    <w:p>
      <w:pPr>
        <w:pStyle w:val="Caption"/>
      </w:pPr>
      <w:r>
        <w:t xml:space="preserve">Figure 1 – The usual flow is quote, customer agreement, bind, then periodic reads of policies and the statement</w:t>
      </w:r>
    </w:p>
    <w:p>
      <w:pPr>
        <w:pStyle w:val="BodyText"/>
      </w:pPr>
      <w:r>
        <w:t xml:space="preserve">TASCO core is the master for products and prices. Rating requests carry only the risk attributes of the vehicle; the policyholder’s identity is sent to TASCO core at issuance.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3" w:name="_Toc300000009"/>
      <w:r>
        <w:rPr>
          <w:rStyle w:val="BookTitle"/>
          <w:bCs w:val="0"/>
          <w:i w:val="0"/>
          <w:iCs w:val="0"/>
          <w:spacing w:val="0"/>
        </w:rPr>
        <w:t xml:space="preserve">Authentication</w:t>
      </w:r>
      <w:bookmarkEnd w:id="13"/>
    </w:p>
    <w:p>
      <w:pPr>
        <w:pStyle w:val="FirstParagraph"/>
      </w:pPr>
      <w:r>
        <w:t xml:space="preserve">Send your key in the</w:t>
      </w:r>
      <w:r>
        <w:t xml:space="preserve"> </w:t>
      </w:r>
      <w:r>
        <w:rPr>
          <w:rStyle w:val="CodeChar"/>
        </w:rPr>
        <w:t xml:space="preserve">X-Api-Key</w:t>
      </w:r>
      <w:r>
        <w:t xml:space="preserve"> </w:t>
      </w:r>
      <w:r>
        <w:t xml:space="preserve">header on every request:</w:t>
      </w:r>
    </w:p>
    <w:p>
      <w:pPr>
        <w:pStyle w:val="CodeBlock"/>
      </w:pPr>
      <w:r>
        <w:t xml:space="preserve">X-Api-Key: tpk_EXAMPLEonlyNOTaREALkey000000000</w:t>
      </w:r>
    </w:p>
    <w:p>
      <w:pPr>
        <w:pStyle w:val="Compact"/>
        <w:numPr>
          <w:ilvl w:val="0"/>
          <w:numId w:val="1001"/>
        </w:numPr>
      </w:pPr>
      <w:r>
        <w:t xml:space="preserve">Keys start with</w:t>
      </w:r>
      <w:r>
        <w:t xml:space="preserve"> </w:t>
      </w:r>
      <w:r>
        <w:rPr>
          <w:rStyle w:val="CodeChar"/>
        </w:rPr>
        <w:t xml:space="preserve">tpk_</w:t>
      </w:r>
      <w:r>
        <w:t xml:space="preserve"> </w:t>
      </w:r>
      <w:r>
        <w:t xml:space="preserve">and are issued by your TASCO partner manager in the staff console. The key is shown once; TASCO stores only a fingerprint and cannot recover it. If a key is lost, ask for a new one; the old one is revoked.</w:t>
      </w:r>
    </w:p>
    <w:p>
      <w:pPr>
        <w:pStyle w:val="Compact"/>
        <w:numPr>
          <w:ilvl w:val="0"/>
          <w:numId w:val="1001"/>
        </w:numPr>
      </w:pPr>
      <w:r>
        <w:t xml:space="preserve">Keys have a lifetime of 90 days, 180 days, 1 year or 2 years, chosen when the key is issued. Plan the replacement before the expiry date.</w:t>
      </w:r>
    </w:p>
    <w:p>
      <w:pPr>
        <w:pStyle w:val="Compact"/>
        <w:numPr>
          <w:ilvl w:val="0"/>
          <w:numId w:val="1001"/>
        </w:numPr>
      </w:pPr>
      <w:r>
        <w:t xml:space="preserve">Keep keys on your servers, in a secret store. Never put a key in a mobile app, a web page or source control. Calls from a browser are refused unless TASCO has allowed the origin.</w:t>
      </w:r>
    </w:p>
    <w:p>
      <w:pPr>
        <w:pStyle w:val="Compact"/>
        <w:numPr>
          <w:ilvl w:val="0"/>
          <w:numId w:val="1001"/>
        </w:numPr>
      </w:pPr>
      <w:r>
        <w:t xml:space="preserve">Use different keys for the sandbox and for production.</w:t>
      </w:r>
    </w:p>
    <w:p>
      <w:pPr>
        <w:pStyle w:val="Compact"/>
        <w:numPr>
          <w:ilvl w:val="0"/>
          <w:numId w:val="1001"/>
        </w:numPr>
      </w:pPr>
      <w:r>
        <w:t xml:space="preserve">A missing, wrong, revoked or expired key, or a suspended partner account, gives</w:t>
      </w:r>
      <w:r>
        <w:t xml:space="preserve"> </w:t>
      </w:r>
      <w:r>
        <w:rPr>
          <w:rStyle w:val="CodeChar"/>
        </w:rPr>
        <w:t xml:space="preserve">401 UNAUTHENTICATED</w:t>
      </w:r>
      <w:r>
        <w:t xml:space="preserve">.</w:t>
      </w:r>
    </w:p>
    <w:p>
      <w:pPr>
        <w:pStyle w:val="Heading2"/>
      </w:pPr>
      <w:bookmarkStart w:id="14" w:name="_Toc300000010"/>
      <w:r>
        <w:t xml:space="preserve">Scopes</w:t>
      </w:r>
      <w:bookmarkEnd w:id="14"/>
    </w:p>
    <w:p>
      <w:pPr>
        <w:pStyle w:val="FirstParagraph"/>
      </w:pPr>
      <w:r>
        <w:t xml:space="preserve">Each key carries one or more scopes. The platform checks them on every call; a call outside the key’s scopes gives</w:t>
      </w:r>
      <w:r>
        <w:t xml:space="preserve"> </w:t>
      </w:r>
      <w:r>
        <w:rPr>
          <w:rStyle w:val="CodeChar"/>
        </w:rPr>
        <w:t xml:space="preserve">403 FORBIDDEN</w:t>
      </w:r>
      <w:r>
        <w:t xml:space="preserve"> </w:t>
      </w:r>
      <w:r>
        <w:t xml:space="preserve">with the message</w:t>
      </w:r>
      <w:r>
        <w:t xml:space="preserve"> </w:t>
      </w:r>
      <w:r>
        <w:t xml:space="preserve">“</w:t>
      </w:r>
      <w:r>
        <w:t xml:space="preserve">API key lacks scope …</w:t>
      </w:r>
      <w:r>
        <w:t xml:space="preserve">”</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072"/>
        <w:gridCol w:w="3376"/>
        <w:gridCol w:w="3579"/>
      </w:tblGrid>
      <w:tr>
        <w:trPr>
          <w:cantSplit/>
          <w:tblHeader/>
        </w:trPr>
        <w:tc>
          <w:tcPr>
            <w:tcW w:w="2072" w:type="dxa"/>
            <w:shd w:val="clear" w:color="auto" w:fill="0F4761"/>
            <w:vAlign w:val="center"/>
          </w:tcPr>
          <w:p>
            <w:pPr>
              <w:pStyle w:val="TableHeading"/>
              <w:jc w:val="left"/>
            </w:pPr>
            <w:r>
              <w:rPr>
                <w:color w:val="FFFFFF"/>
              </w:rPr>
              <w:t xml:space="preserve">Scope</w:t>
            </w:r>
          </w:p>
        </w:tc>
        <w:tc>
          <w:tcPr>
            <w:tcW w:w="3376" w:type="dxa"/>
            <w:shd w:val="clear" w:color="auto" w:fill="0F4761"/>
            <w:vAlign w:val="center"/>
          </w:tcPr>
          <w:p>
            <w:pPr>
              <w:pStyle w:val="TableHeading"/>
              <w:jc w:val="left"/>
            </w:pPr>
            <w:r>
              <w:rPr>
                <w:color w:val="FFFFFF"/>
              </w:rPr>
              <w:t xml:space="preserve">In the console</w:t>
            </w:r>
          </w:p>
        </w:tc>
        <w:tc>
          <w:tcPr>
            <w:tcW w:w="3579" w:type="dxa"/>
            <w:shd w:val="clear" w:color="auto" w:fill="0F4761"/>
            <w:vAlign w:val="center"/>
          </w:tcPr>
          <w:p>
            <w:pPr>
              <w:pStyle w:val="TableHeading"/>
              <w:jc w:val="left"/>
            </w:pPr>
            <w:r>
              <w:rPr>
                <w:color w:val="FFFFFF"/>
              </w:rPr>
              <w:t xml:space="preserve">Allows</w:t>
            </w:r>
          </w:p>
        </w:tc>
      </w:tr>
      <w:tr>
        <w:trPr>
          <w:cantSplit/>
        </w:trPr>
        <w:tc>
          <w:tcPr>
            <w:tcW w:w="2072" w:type="dxa"/>
            <w:vAlign w:val="top"/>
          </w:tcPr>
          <w:p>
            <w:pPr>
              <w:pStyle w:val="TableText"/>
              <w:jc w:val="left"/>
            </w:pPr>
            <w:r>
              <w:rPr>
                <w:rStyle w:val="CodeChar"/>
              </w:rPr>
              <w:t xml:space="preserve">quote</w:t>
            </w:r>
          </w:p>
        </w:tc>
        <w:tc>
          <w:tcPr>
            <w:tcW w:w="3376" w:type="dxa"/>
            <w:vAlign w:val="top"/>
          </w:tcPr>
          <w:p>
            <w:pPr>
              <w:pStyle w:val="TableText"/>
              <w:jc w:val="left"/>
            </w:pPr>
            <w:r>
              <w:t xml:space="preserve">Quote</w:t>
            </w:r>
          </w:p>
        </w:tc>
        <w:tc>
          <w:tcPr>
            <w:tcW w:w="3579" w:type="dxa"/>
            <w:vAlign w:val="top"/>
          </w:tcPr>
          <w:p>
            <w:pPr>
              <w:pStyle w:val="TableText"/>
              <w:jc w:val="left"/>
            </w:pPr>
            <w:r>
              <w:rPr>
                <w:rStyle w:val="CodeChar"/>
              </w:rPr>
              <w:t xml:space="preserve">POST /quotes</w:t>
            </w:r>
          </w:p>
        </w:tc>
      </w:tr>
      <w:tr>
        <w:trPr>
          <w:cantSplit/>
        </w:trPr>
        <w:tc>
          <w:tcPr>
            <w:tcW w:w="2072" w:type="dxa"/>
            <w:shd w:val="clear" w:color="auto" w:fill="F4F7FB"/>
            <w:vAlign w:val="top"/>
          </w:tcPr>
          <w:p>
            <w:pPr>
              <w:pStyle w:val="TableText"/>
              <w:jc w:val="left"/>
            </w:pPr>
            <w:r>
              <w:rPr>
                <w:rStyle w:val="CodeChar"/>
              </w:rPr>
              <w:t xml:space="preserve">purchase</w:t>
            </w:r>
          </w:p>
        </w:tc>
        <w:tc>
          <w:tcPr>
            <w:tcW w:w="3376" w:type="dxa"/>
            <w:shd w:val="clear" w:color="auto" w:fill="F4F7FB"/>
            <w:vAlign w:val="top"/>
          </w:tcPr>
          <w:p>
            <w:pPr>
              <w:pStyle w:val="TableText"/>
              <w:jc w:val="left"/>
            </w:pPr>
            <w:r>
              <w:t xml:space="preserve">Purchase (create orders)</w:t>
            </w:r>
          </w:p>
        </w:tc>
        <w:tc>
          <w:tcPr>
            <w:tcW w:w="3579" w:type="dxa"/>
            <w:shd w:val="clear" w:color="auto" w:fill="F4F7FB"/>
            <w:vAlign w:val="top"/>
          </w:tcPr>
          <w:p>
            <w:pPr>
              <w:pStyle w:val="TableText"/>
              <w:jc w:val="left"/>
            </w:pPr>
            <w:r>
              <w:rPr>
                <w:rStyle w:val="CodeChar"/>
              </w:rPr>
              <w:t xml:space="preserve">POST /orders</w:t>
            </w:r>
          </w:p>
        </w:tc>
      </w:tr>
      <w:tr>
        <w:trPr>
          <w:cantSplit/>
        </w:trPr>
        <w:tc>
          <w:tcPr>
            <w:tcW w:w="2072" w:type="dxa"/>
            <w:vAlign w:val="top"/>
          </w:tcPr>
          <w:p>
            <w:pPr>
              <w:pStyle w:val="TableText"/>
              <w:jc w:val="left"/>
            </w:pPr>
            <w:r>
              <w:rPr>
                <w:rStyle w:val="CodeChar"/>
              </w:rPr>
              <w:t xml:space="preserve">policies:read</w:t>
            </w:r>
          </w:p>
        </w:tc>
        <w:tc>
          <w:tcPr>
            <w:tcW w:w="3376" w:type="dxa"/>
            <w:vAlign w:val="top"/>
          </w:tcPr>
          <w:p>
            <w:pPr>
              <w:pStyle w:val="TableText"/>
              <w:jc w:val="left"/>
            </w:pPr>
            <w:r>
              <w:t xml:space="preserve">Read policies &amp; statement</w:t>
            </w:r>
          </w:p>
        </w:tc>
        <w:tc>
          <w:tcPr>
            <w:tcW w:w="3579" w:type="dxa"/>
            <w:vAlign w:val="top"/>
          </w:tcPr>
          <w:p>
            <w:pPr>
              <w:pStyle w:val="TableText"/>
              <w:jc w:val="left"/>
            </w:pPr>
            <w:r>
              <w:rPr>
                <w:rStyle w:val="CodeChar"/>
              </w:rPr>
              <w:t xml:space="preserve">GET /policies</w:t>
            </w:r>
            <w:r>
              <w:t xml:space="preserve">,</w:t>
            </w:r>
            <w:r>
              <w:t xml:space="preserve"> </w:t>
            </w:r>
            <w:r>
              <w:rPr>
                <w:rStyle w:val="CodeChar"/>
              </w:rPr>
              <w:t xml:space="preserve">GET /statement</w:t>
            </w:r>
          </w:p>
        </w:tc>
      </w:tr>
    </w:tbl>
    <w:p>
      <w:pPr>
        <w:pStyle w:val="BodyText"/>
        <w:spacing w:before="160"/>
      </w:pPr>
      <w:r>
        <w:t xml:space="preserve">A sales system that quotes and binds normally holds all three. A reporting system needs only</w:t>
      </w:r>
      <w:r>
        <w:t xml:space="preserve"> </w:t>
      </w:r>
      <w:r>
        <w:rPr>
          <w:rStyle w:val="CodeChar"/>
        </w:rPr>
        <w:t xml:space="preserve">policies:read</w:t>
      </w:r>
      <w:r>
        <w:t xml:space="preserve">.</w:t>
      </w:r>
    </w:p>
    <w:p>
      <w:pPr>
        <w:pStyle w:val="BodyText"/>
      </w:pPr>
      <w:r>
        <w:t xml:space="preserve">In the examples below:</w:t>
      </w:r>
    </w:p>
    <w:p>
      <w:pPr>
        <w:pStyle w:val="CodeBlock"/>
      </w:pPr>
      <w:r>
        <w:t xml:space="preserve">export BASE="https://&lt;sandbox-host&gt;"     # given by TASCO</w:t>
      </w:r>
      <w:r>
        <w:br/>
      </w:r>
      <w:r>
        <w:t xml:space="preserve">export KEY="tpk_EXAMPLEonlyNOTaREALkey000000000"</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5" w:name="_Toc300000011"/>
      <w:r>
        <w:rPr>
          <w:rStyle w:val="BookTitle"/>
          <w:bCs w:val="0"/>
          <w:i w:val="0"/>
          <w:iCs w:val="0"/>
          <w:spacing w:val="0"/>
        </w:rPr>
        <w:t xml:space="preserve">Create a quote</w:t>
      </w:r>
      <w:bookmarkEnd w:id="15"/>
    </w:p>
    <w:p>
      <w:pPr>
        <w:pStyle w:val="FirstParagraph"/>
      </w:pPr>
      <w:r>
        <w:rPr>
          <w:rStyle w:val="CodeChar"/>
        </w:rPr>
        <w:t xml:space="preserve">POST /api/partner/v1/quotes</w:t>
      </w:r>
      <w:r>
        <w:t xml:space="preserve"> </w:t>
      </w:r>
      <w:r>
        <w:t xml:space="preserve">prices one to five products for a vehicle identified by its licence plate. If TASCO does not know the vehicle yet, it is added to the platform from the data you send (new business). Seats, use and current expiry you send are recorded as information declared by your organisation; they never override verified data.</w:t>
      </w:r>
    </w:p>
    <w:p>
      <w:pPr>
        <w:pStyle w:val="Heading2"/>
      </w:pPr>
      <w:bookmarkStart w:id="16" w:name="_Toc300000012"/>
      <w:r>
        <w:t xml:space="preserve">Request</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74"/>
        <w:gridCol w:w="1857"/>
        <w:gridCol w:w="1216"/>
        <w:gridCol w:w="4180"/>
      </w:tblGrid>
      <w:tr>
        <w:trPr>
          <w:cantSplit/>
          <w:tblHeader/>
        </w:trPr>
        <w:tc>
          <w:tcPr>
            <w:tcW w:w="1774" w:type="dxa"/>
            <w:shd w:val="clear" w:color="auto" w:fill="0F4761"/>
            <w:vAlign w:val="center"/>
          </w:tcPr>
          <w:p>
            <w:pPr>
              <w:pStyle w:val="TableHeading"/>
              <w:jc w:val="left"/>
            </w:pPr>
            <w:r>
              <w:rPr>
                <w:color w:val="FFFFFF"/>
              </w:rPr>
              <w:t xml:space="preserve">Field</w:t>
            </w:r>
          </w:p>
        </w:tc>
        <w:tc>
          <w:tcPr>
            <w:tcW w:w="1857" w:type="dxa"/>
            <w:shd w:val="clear" w:color="auto" w:fill="0F4761"/>
            <w:vAlign w:val="center"/>
          </w:tcPr>
          <w:p>
            <w:pPr>
              <w:pStyle w:val="TableHeading"/>
              <w:jc w:val="left"/>
            </w:pPr>
            <w:r>
              <w:rPr>
                <w:color w:val="FFFFFF"/>
              </w:rPr>
              <w:t xml:space="preserve">Type</w:t>
            </w:r>
          </w:p>
        </w:tc>
        <w:tc>
          <w:tcPr>
            <w:tcW w:w="1216" w:type="dxa"/>
            <w:shd w:val="clear" w:color="auto" w:fill="0F4761"/>
            <w:vAlign w:val="center"/>
          </w:tcPr>
          <w:p>
            <w:pPr>
              <w:pStyle w:val="TableHeading"/>
              <w:jc w:val="left"/>
            </w:pPr>
            <w:r>
              <w:rPr>
                <w:color w:val="FFFFFF"/>
              </w:rPr>
              <w:t xml:space="preserve">Required</w:t>
            </w:r>
          </w:p>
        </w:tc>
        <w:tc>
          <w:tcPr>
            <w:tcW w:w="4180" w:type="dxa"/>
            <w:shd w:val="clear" w:color="auto" w:fill="0F4761"/>
            <w:vAlign w:val="center"/>
          </w:tcPr>
          <w:p>
            <w:pPr>
              <w:pStyle w:val="TableHeading"/>
              <w:jc w:val="left"/>
            </w:pPr>
            <w:r>
              <w:rPr>
                <w:color w:val="FFFFFF"/>
              </w:rPr>
              <w:t xml:space="preserve">Notes</w:t>
            </w:r>
          </w:p>
        </w:tc>
      </w:tr>
      <w:tr>
        <w:trPr>
          <w:cantSplit/>
        </w:trPr>
        <w:tc>
          <w:tcPr>
            <w:tcW w:w="1774" w:type="dxa"/>
            <w:vAlign w:val="top"/>
          </w:tcPr>
          <w:p>
            <w:pPr>
              <w:pStyle w:val="TableText"/>
              <w:jc w:val="left"/>
            </w:pPr>
            <w:r>
              <w:rPr>
                <w:rStyle w:val="CodeChar"/>
              </w:rPr>
              <w:t xml:space="preserve">plate</w:t>
            </w:r>
          </w:p>
        </w:tc>
        <w:tc>
          <w:tcPr>
            <w:tcW w:w="1857" w:type="dxa"/>
            <w:vAlign w:val="top"/>
          </w:tcPr>
          <w:p>
            <w:pPr>
              <w:pStyle w:val="TableText"/>
              <w:jc w:val="left"/>
            </w:pPr>
            <w:r>
              <w:t xml:space="preserve">string, up to 20</w:t>
            </w:r>
          </w:p>
        </w:tc>
        <w:tc>
          <w:tcPr>
            <w:tcW w:w="1216" w:type="dxa"/>
            <w:vAlign w:val="top"/>
          </w:tcPr>
          <w:p>
            <w:pPr>
              <w:pStyle w:val="TableText"/>
              <w:jc w:val="left"/>
            </w:pPr>
            <w:r>
              <w:t xml:space="preserve">Yes</w:t>
            </w:r>
          </w:p>
        </w:tc>
        <w:tc>
          <w:tcPr>
            <w:tcW w:w="4180" w:type="dxa"/>
            <w:vAlign w:val="top"/>
          </w:tcPr>
          <w:p>
            <w:pPr>
              <w:pStyle w:val="TableText"/>
              <w:jc w:val="left"/>
            </w:pPr>
            <w:r>
              <w:t xml:space="preserve">Any common format:</w:t>
            </w:r>
            <w:r>
              <w:t xml:space="preserve"> </w:t>
            </w:r>
            <w:r>
              <w:rPr>
                <w:rStyle w:val="CodeChar"/>
              </w:rPr>
              <w:t xml:space="preserve">51K88821</w:t>
            </w:r>
            <w:r>
              <w:t xml:space="preserve">,</w:t>
            </w:r>
            <w:r>
              <w:t xml:space="preserve"> </w:t>
            </w:r>
            <w:r>
              <w:rPr>
                <w:rStyle w:val="CodeChar"/>
              </w:rPr>
              <w:t xml:space="preserve">51K-888.21</w:t>
            </w:r>
            <w:r>
              <w:t xml:space="preserve">,</w:t>
            </w:r>
            <w:r>
              <w:t xml:space="preserve"> </w:t>
            </w:r>
            <w:r>
              <w:rPr>
                <w:rStyle w:val="CodeChar"/>
              </w:rPr>
              <w:t xml:space="preserve">51k 888 21</w:t>
            </w:r>
            <w:r>
              <w:t xml:space="preserve">. Must be a valid Vietnamese plate.</w:t>
            </w:r>
          </w:p>
        </w:tc>
      </w:tr>
      <w:tr>
        <w:trPr>
          <w:cantSplit/>
        </w:trPr>
        <w:tc>
          <w:tcPr>
            <w:tcW w:w="1774" w:type="dxa"/>
            <w:shd w:val="clear" w:color="auto" w:fill="F4F7FB"/>
            <w:vAlign w:val="top"/>
          </w:tcPr>
          <w:p>
            <w:pPr>
              <w:pStyle w:val="TableText"/>
              <w:jc w:val="left"/>
            </w:pPr>
            <w:r>
              <w:rPr>
                <w:rStyle w:val="CodeChar"/>
              </w:rPr>
              <w:t xml:space="preserve">products</w:t>
            </w:r>
          </w:p>
        </w:tc>
        <w:tc>
          <w:tcPr>
            <w:tcW w:w="1857" w:type="dxa"/>
            <w:shd w:val="clear" w:color="auto" w:fill="F4F7FB"/>
            <w:vAlign w:val="top"/>
          </w:tcPr>
          <w:p>
            <w:pPr>
              <w:pStyle w:val="TableText"/>
              <w:jc w:val="left"/>
            </w:pPr>
            <w:r>
              <w:t xml:space="preserve">array, 1 to 5</w:t>
            </w:r>
          </w:p>
        </w:tc>
        <w:tc>
          <w:tcPr>
            <w:tcW w:w="1216" w:type="dxa"/>
            <w:shd w:val="clear" w:color="auto" w:fill="F4F7FB"/>
            <w:vAlign w:val="top"/>
          </w:tcPr>
          <w:p>
            <w:pPr>
              <w:pStyle w:val="TableText"/>
              <w:jc w:val="left"/>
            </w:pPr>
            <w:r>
              <w:t xml:space="preserve">Yes</w:t>
            </w:r>
          </w:p>
        </w:tc>
        <w:tc>
          <w:tcPr>
            <w:tcW w:w="4180" w:type="dxa"/>
            <w:shd w:val="clear" w:color="auto" w:fill="F4F7FB"/>
            <w:vAlign w:val="top"/>
          </w:tcPr>
          <w:p>
            <w:pPr>
              <w:pStyle w:val="TableText"/>
              <w:jc w:val="left"/>
            </w:pPr>
            <w:r>
              <w:t xml:space="preserve">Each item</w:t>
            </w:r>
            <w:r>
              <w:t xml:space="preserve"> </w:t>
            </w:r>
            <w:r>
              <w:rPr>
                <w:rStyle w:val="CodeChar"/>
              </w:rPr>
              <w:t xml:space="preserve">{ "code": "...", "options": { ... } }</w:t>
            </w:r>
          </w:p>
        </w:tc>
      </w:tr>
      <w:tr>
        <w:trPr>
          <w:cantSplit/>
        </w:trPr>
        <w:tc>
          <w:tcPr>
            <w:tcW w:w="1774" w:type="dxa"/>
            <w:vAlign w:val="top"/>
          </w:tcPr>
          <w:p>
            <w:pPr>
              <w:pStyle w:val="TableText"/>
              <w:jc w:val="left"/>
            </w:pPr>
            <w:r>
              <w:rPr>
                <w:rStyle w:val="CodeChar"/>
              </w:rPr>
              <w:t xml:space="preserve">holderName</w:t>
            </w:r>
          </w:p>
        </w:tc>
        <w:tc>
          <w:tcPr>
            <w:tcW w:w="1857" w:type="dxa"/>
            <w:vAlign w:val="top"/>
          </w:tcPr>
          <w:p>
            <w:pPr>
              <w:pStyle w:val="TableText"/>
              <w:jc w:val="left"/>
            </w:pPr>
            <w:r>
              <w:t xml:space="preserve">string, up to 120</w:t>
            </w:r>
          </w:p>
        </w:tc>
        <w:tc>
          <w:tcPr>
            <w:tcW w:w="1216" w:type="dxa"/>
            <w:vAlign w:val="top"/>
          </w:tcPr>
          <w:p>
            <w:pPr>
              <w:pStyle w:val="TableText"/>
              <w:jc w:val="left"/>
            </w:pPr>
            <w:r>
              <w:t xml:space="preserve">No</w:t>
            </w:r>
          </w:p>
        </w:tc>
        <w:tc>
          <w:tcPr>
            <w:tcW w:w="4180" w:type="dxa"/>
            <w:vAlign w:val="top"/>
          </w:tcPr>
          <w:p>
            <w:pPr>
              <w:pStyle w:val="TableText"/>
              <w:jc w:val="left"/>
            </w:pPr>
            <w:r>
              <w:t xml:space="preserve">Policyholder name</w:t>
            </w:r>
          </w:p>
        </w:tc>
      </w:tr>
      <w:tr>
        <w:trPr>
          <w:cantSplit/>
        </w:trPr>
        <w:tc>
          <w:tcPr>
            <w:tcW w:w="1774" w:type="dxa"/>
            <w:shd w:val="clear" w:color="auto" w:fill="F4F7FB"/>
            <w:vAlign w:val="top"/>
          </w:tcPr>
          <w:p>
            <w:pPr>
              <w:pStyle w:val="TableText"/>
              <w:jc w:val="left"/>
            </w:pPr>
            <w:r>
              <w:rPr>
                <w:rStyle w:val="CodeChar"/>
              </w:rPr>
              <w:t xml:space="preserve">phone</w:t>
            </w:r>
          </w:p>
        </w:tc>
        <w:tc>
          <w:tcPr>
            <w:tcW w:w="1857" w:type="dxa"/>
            <w:shd w:val="clear" w:color="auto" w:fill="F4F7FB"/>
            <w:vAlign w:val="top"/>
          </w:tcPr>
          <w:p>
            <w:pPr>
              <w:pStyle w:val="TableText"/>
              <w:jc w:val="left"/>
            </w:pPr>
            <w:r>
              <w:t xml:space="preserve">string, up to 20</w:t>
            </w:r>
          </w:p>
        </w:tc>
        <w:tc>
          <w:tcPr>
            <w:tcW w:w="1216" w:type="dxa"/>
            <w:shd w:val="clear" w:color="auto" w:fill="F4F7FB"/>
            <w:vAlign w:val="top"/>
          </w:tcPr>
          <w:p>
            <w:pPr>
              <w:pStyle w:val="TableText"/>
              <w:jc w:val="left"/>
            </w:pPr>
            <w:r>
              <w:t xml:space="preserve">No</w:t>
            </w:r>
          </w:p>
        </w:tc>
        <w:tc>
          <w:tcPr>
            <w:tcW w:w="4180" w:type="dxa"/>
            <w:shd w:val="clear" w:color="auto" w:fill="F4F7FB"/>
            <w:vAlign w:val="top"/>
          </w:tcPr>
          <w:p>
            <w:pPr>
              <w:pStyle w:val="TableText"/>
              <w:jc w:val="left"/>
            </w:pPr>
            <w:r>
              <w:t xml:space="preserve">Vietnamese mobile number, validated</w:t>
            </w:r>
          </w:p>
        </w:tc>
      </w:tr>
      <w:tr>
        <w:trPr>
          <w:cantSplit/>
        </w:trPr>
        <w:tc>
          <w:tcPr>
            <w:tcW w:w="1774" w:type="dxa"/>
            <w:vAlign w:val="top"/>
          </w:tcPr>
          <w:p>
            <w:pPr>
              <w:pStyle w:val="TableText"/>
              <w:jc w:val="left"/>
            </w:pPr>
            <w:r>
              <w:rPr>
                <w:rStyle w:val="CodeChar"/>
              </w:rPr>
              <w:t xml:space="preserve">seats</w:t>
            </w:r>
          </w:p>
        </w:tc>
        <w:tc>
          <w:tcPr>
            <w:tcW w:w="1857" w:type="dxa"/>
            <w:vAlign w:val="top"/>
          </w:tcPr>
          <w:p>
            <w:pPr>
              <w:pStyle w:val="TableText"/>
              <w:jc w:val="left"/>
            </w:pPr>
            <w:r>
              <w:t xml:space="preserve">integer, 1 to 60</w:t>
            </w:r>
          </w:p>
        </w:tc>
        <w:tc>
          <w:tcPr>
            <w:tcW w:w="1216" w:type="dxa"/>
            <w:vAlign w:val="top"/>
          </w:tcPr>
          <w:p>
            <w:pPr>
              <w:pStyle w:val="TableText"/>
              <w:jc w:val="left"/>
            </w:pPr>
            <w:r>
              <w:t xml:space="preserve">No</w:t>
            </w:r>
          </w:p>
        </w:tc>
        <w:tc>
          <w:tcPr>
            <w:tcW w:w="4180" w:type="dxa"/>
            <w:vAlign w:val="top"/>
          </w:tcPr>
          <w:p>
            <w:pPr>
              <w:pStyle w:val="TableText"/>
              <w:jc w:val="left"/>
            </w:pPr>
            <w:r>
              <w:t xml:space="preserve">Number of seats; drives the vehicle category and the seat accident premium</w:t>
            </w:r>
          </w:p>
        </w:tc>
      </w:tr>
      <w:tr>
        <w:trPr>
          <w:cantSplit/>
        </w:trPr>
        <w:tc>
          <w:tcPr>
            <w:tcW w:w="1774" w:type="dxa"/>
            <w:shd w:val="clear" w:color="auto" w:fill="F4F7FB"/>
            <w:vAlign w:val="top"/>
          </w:tcPr>
          <w:p>
            <w:pPr>
              <w:pStyle w:val="TableText"/>
              <w:jc w:val="left"/>
            </w:pPr>
            <w:r>
              <w:rPr>
                <w:rStyle w:val="CodeChar"/>
              </w:rPr>
              <w:t xml:space="preserve">usage</w:t>
            </w:r>
          </w:p>
        </w:tc>
        <w:tc>
          <w:tcPr>
            <w:tcW w:w="1857" w:type="dxa"/>
            <w:shd w:val="clear" w:color="auto" w:fill="F4F7FB"/>
            <w:vAlign w:val="top"/>
          </w:tcPr>
          <w:p>
            <w:pPr>
              <w:pStyle w:val="TableText"/>
              <w:jc w:val="left"/>
            </w:pPr>
            <w:r>
              <w:rPr>
                <w:rStyle w:val="CodeChar"/>
              </w:rPr>
              <w:t xml:space="preserve">personal</w:t>
            </w:r>
            <w:r>
              <w:t xml:space="preserve"> </w:t>
            </w:r>
            <w:r>
              <w:t xml:space="preserve">or</w:t>
            </w:r>
            <w:r>
              <w:t xml:space="preserve"> </w:t>
            </w:r>
            <w:r>
              <w:rPr>
                <w:rStyle w:val="CodeChar"/>
              </w:rPr>
              <w:t xml:space="preserve">commercial</w:t>
            </w:r>
          </w:p>
        </w:tc>
        <w:tc>
          <w:tcPr>
            <w:tcW w:w="1216" w:type="dxa"/>
            <w:shd w:val="clear" w:color="auto" w:fill="F4F7FB"/>
            <w:vAlign w:val="top"/>
          </w:tcPr>
          <w:p>
            <w:pPr>
              <w:pStyle w:val="TableText"/>
              <w:jc w:val="left"/>
            </w:pPr>
            <w:r>
              <w:t xml:space="preserve">No</w:t>
            </w:r>
          </w:p>
        </w:tc>
        <w:tc>
          <w:tcPr>
            <w:tcW w:w="4180" w:type="dxa"/>
            <w:shd w:val="clear" w:color="auto" w:fill="F4F7FB"/>
            <w:vAlign w:val="top"/>
          </w:tcPr>
          <w:p>
            <w:pPr>
              <w:pStyle w:val="TableText"/>
              <w:jc w:val="left"/>
            </w:pPr>
            <w:r>
              <w:t xml:space="preserve">Commercial transport use</w:t>
            </w:r>
          </w:p>
        </w:tc>
      </w:tr>
      <w:tr>
        <w:trPr>
          <w:cantSplit/>
        </w:trPr>
        <w:tc>
          <w:tcPr>
            <w:tcW w:w="1774" w:type="dxa"/>
            <w:vAlign w:val="top"/>
          </w:tcPr>
          <w:p>
            <w:pPr>
              <w:pStyle w:val="TableText"/>
              <w:jc w:val="left"/>
            </w:pPr>
            <w:r>
              <w:rPr>
                <w:rStyle w:val="CodeChar"/>
              </w:rPr>
              <w:t xml:space="preserve">ownerType</w:t>
            </w:r>
          </w:p>
        </w:tc>
        <w:tc>
          <w:tcPr>
            <w:tcW w:w="1857" w:type="dxa"/>
            <w:vAlign w:val="top"/>
          </w:tcPr>
          <w:p>
            <w:pPr>
              <w:pStyle w:val="TableText"/>
              <w:jc w:val="left"/>
            </w:pPr>
            <w:r>
              <w:rPr>
                <w:rStyle w:val="CodeChar"/>
              </w:rPr>
              <w:t xml:space="preserve">individual</w:t>
            </w:r>
            <w:r>
              <w:t xml:space="preserve"> </w:t>
            </w:r>
            <w:r>
              <w:t xml:space="preserve">or</w:t>
            </w:r>
            <w:r>
              <w:t xml:space="preserve"> </w:t>
            </w:r>
            <w:r>
              <w:rPr>
                <w:rStyle w:val="CodeChar"/>
              </w:rPr>
              <w:t xml:space="preserve">company</w:t>
            </w:r>
          </w:p>
        </w:tc>
        <w:tc>
          <w:tcPr>
            <w:tcW w:w="1216" w:type="dxa"/>
            <w:vAlign w:val="top"/>
          </w:tcPr>
          <w:p>
            <w:pPr>
              <w:pStyle w:val="TableText"/>
              <w:jc w:val="left"/>
            </w:pPr>
            <w:r>
              <w:t xml:space="preserve">No</w:t>
            </w:r>
          </w:p>
        </w:tc>
        <w:tc>
          <w:tcPr>
            <w:tcW w:w="4180" w:type="dxa"/>
            <w:vAlign w:val="top"/>
          </w:tcPr>
          <w:p>
            <w:pPr>
              <w:pStyle w:val="TableText"/>
              <w:jc w:val="left"/>
            </w:pPr>
            <w:r>
              <w:t xml:space="preserve">Default</w:t>
            </w:r>
            <w:r>
              <w:t xml:space="preserve"> </w:t>
            </w:r>
            <w:r>
              <w:rPr>
                <w:rStyle w:val="CodeChar"/>
              </w:rPr>
              <w:t xml:space="preserve">individual</w:t>
            </w:r>
          </w:p>
        </w:tc>
      </w:tr>
      <w:tr>
        <w:trPr>
          <w:cantSplit/>
        </w:trPr>
        <w:tc>
          <w:tcPr>
            <w:tcW w:w="1774" w:type="dxa"/>
            <w:shd w:val="clear" w:color="auto" w:fill="F4F7FB"/>
            <w:vAlign w:val="top"/>
          </w:tcPr>
          <w:p>
            <w:pPr>
              <w:pStyle w:val="TableText"/>
              <w:jc w:val="left"/>
            </w:pPr>
            <w:r>
              <w:rPr>
                <w:rStyle w:val="CodeChar"/>
              </w:rPr>
              <w:t xml:space="preserve">currentExpiry</w:t>
            </w:r>
          </w:p>
        </w:tc>
        <w:tc>
          <w:tcPr>
            <w:tcW w:w="1857" w:type="dxa"/>
            <w:shd w:val="clear" w:color="auto" w:fill="F4F7FB"/>
            <w:vAlign w:val="top"/>
          </w:tcPr>
          <w:p>
            <w:pPr>
              <w:pStyle w:val="TableText"/>
              <w:jc w:val="left"/>
            </w:pPr>
            <w:r>
              <w:t xml:space="preserve">date</w:t>
            </w:r>
          </w:p>
        </w:tc>
        <w:tc>
          <w:tcPr>
            <w:tcW w:w="1216" w:type="dxa"/>
            <w:shd w:val="clear" w:color="auto" w:fill="F4F7FB"/>
            <w:vAlign w:val="top"/>
          </w:tcPr>
          <w:p>
            <w:pPr>
              <w:pStyle w:val="TableText"/>
              <w:jc w:val="left"/>
            </w:pPr>
            <w:r>
              <w:t xml:space="preserve">No</w:t>
            </w:r>
          </w:p>
        </w:tc>
        <w:tc>
          <w:tcPr>
            <w:tcW w:w="4180" w:type="dxa"/>
            <w:shd w:val="clear" w:color="auto" w:fill="F4F7FB"/>
            <w:vAlign w:val="top"/>
          </w:tcPr>
          <w:p>
            <w:pPr>
              <w:pStyle w:val="TableText"/>
              <w:jc w:val="left"/>
            </w:pPr>
            <w:r>
              <w:t xml:space="preserve">Expiry of the customer’s current TNDS; new cover starts the next day</w:t>
            </w:r>
          </w:p>
        </w:tc>
      </w:tr>
    </w:tbl>
    <w:p>
      <w:pPr>
        <w:spacing w:before="160"/>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239"/>
        <w:gridCol w:w="2768"/>
        <w:gridCol w:w="5020"/>
      </w:tblGrid>
      <w:tr>
        <w:trPr>
          <w:cantSplit/>
          <w:tblHeader/>
        </w:trPr>
        <w:tc>
          <w:tcPr>
            <w:tcW w:w="1239" w:type="dxa"/>
            <w:shd w:val="clear" w:color="auto" w:fill="0F4761"/>
            <w:vAlign w:val="center"/>
          </w:tcPr>
          <w:p>
            <w:pPr>
              <w:pStyle w:val="TableHeading"/>
              <w:jc w:val="left"/>
            </w:pPr>
            <w:r>
              <w:rPr>
                <w:color w:val="FFFFFF"/>
              </w:rPr>
              <w:t xml:space="preserve">Product code</w:t>
            </w:r>
          </w:p>
        </w:tc>
        <w:tc>
          <w:tcPr>
            <w:tcW w:w="2768" w:type="dxa"/>
            <w:shd w:val="clear" w:color="auto" w:fill="0F4761"/>
            <w:vAlign w:val="center"/>
          </w:tcPr>
          <w:p>
            <w:pPr>
              <w:pStyle w:val="TableHeading"/>
              <w:jc w:val="left"/>
            </w:pPr>
            <w:r>
              <w:rPr>
                <w:color w:val="FFFFFF"/>
              </w:rPr>
              <w:t xml:space="preserve">Product</w:t>
            </w:r>
          </w:p>
        </w:tc>
        <w:tc>
          <w:tcPr>
            <w:tcW w:w="5020" w:type="dxa"/>
            <w:shd w:val="clear" w:color="auto" w:fill="0F4761"/>
            <w:vAlign w:val="center"/>
          </w:tcPr>
          <w:p>
            <w:pPr>
              <w:pStyle w:val="TableHeading"/>
              <w:jc w:val="left"/>
            </w:pPr>
            <w:r>
              <w:rPr>
                <w:color w:val="FFFFFF"/>
              </w:rPr>
              <w:t xml:space="preserve">Options</w:t>
            </w:r>
          </w:p>
        </w:tc>
      </w:tr>
      <w:tr>
        <w:trPr>
          <w:cantSplit/>
        </w:trPr>
        <w:tc>
          <w:tcPr>
            <w:tcW w:w="1239" w:type="dxa"/>
            <w:noWrap/>
            <w:vAlign w:val="top"/>
          </w:tcPr>
          <w:p>
            <w:pPr>
              <w:pStyle w:val="TableText"/>
              <w:jc w:val="left"/>
            </w:pPr>
            <w:r>
              <w:rPr>
                <w:rStyle w:val="CodeChar"/>
              </w:rPr>
              <w:t xml:space="preserve">TNDS_CAR</w:t>
            </w:r>
          </w:p>
        </w:tc>
        <w:tc>
          <w:tcPr>
            <w:tcW w:w="2768" w:type="dxa"/>
            <w:vAlign w:val="top"/>
          </w:tcPr>
          <w:p>
            <w:pPr>
              <w:pStyle w:val="TableText"/>
              <w:jc w:val="left"/>
            </w:pPr>
            <w:r>
              <w:t xml:space="preserve">Compulsory third-party liability for cars; regulated price</w:t>
            </w:r>
          </w:p>
        </w:tc>
        <w:tc>
          <w:tcPr>
            <w:tcW w:w="5020" w:type="dxa"/>
            <w:vAlign w:val="top"/>
          </w:tcPr>
          <w:p>
            <w:pPr>
              <w:pStyle w:val="TableText"/>
              <w:jc w:val="left"/>
            </w:pPr>
            <w:r>
              <w:rPr>
                <w:rStyle w:val="CodeChar"/>
              </w:rPr>
              <w:t xml:space="preserve">termYears</w:t>
            </w:r>
            <w:r>
              <w:t xml:space="preserve"> </w:t>
            </w:r>
            <w:r>
              <w:t xml:space="preserve">1 to 3;</w:t>
            </w:r>
            <w:r>
              <w:t xml:space="preserve"> </w:t>
            </w:r>
            <w:r>
              <w:rPr>
                <w:rStyle w:val="CodeChar"/>
              </w:rPr>
              <w:t xml:space="preserve">category</w:t>
            </w:r>
            <w:r>
              <w:t xml:space="preserve"> </w:t>
            </w:r>
            <w:r>
              <w:t xml:space="preserve">to override the vehicle category</w:t>
            </w:r>
          </w:p>
        </w:tc>
      </w:tr>
      <w:tr>
        <w:trPr>
          <w:cantSplit/>
        </w:trPr>
        <w:tc>
          <w:tcPr>
            <w:tcW w:w="1239" w:type="dxa"/>
            <w:shd w:val="clear" w:color="auto" w:fill="F4F7FB"/>
            <w:noWrap/>
            <w:vAlign w:val="top"/>
          </w:tcPr>
          <w:p>
            <w:pPr>
              <w:pStyle w:val="TableText"/>
              <w:jc w:val="left"/>
            </w:pPr>
            <w:r>
              <w:rPr>
                <w:rStyle w:val="CodeChar"/>
              </w:rPr>
              <w:t xml:space="preserve">PA_SEAT</w:t>
            </w:r>
          </w:p>
        </w:tc>
        <w:tc>
          <w:tcPr>
            <w:tcW w:w="2768" w:type="dxa"/>
            <w:shd w:val="clear" w:color="auto" w:fill="F4F7FB"/>
            <w:vAlign w:val="top"/>
          </w:tcPr>
          <w:p>
            <w:pPr>
              <w:pStyle w:val="TableText"/>
              <w:jc w:val="left"/>
            </w:pPr>
            <w:r>
              <w:t xml:space="preserve">Personal accident cover per seat (driver and passengers)</w:t>
            </w:r>
          </w:p>
        </w:tc>
        <w:tc>
          <w:tcPr>
            <w:tcW w:w="5020" w:type="dxa"/>
            <w:shd w:val="clear" w:color="auto" w:fill="F4F7FB"/>
            <w:vAlign w:val="top"/>
          </w:tcPr>
          <w:p>
            <w:pPr>
              <w:pStyle w:val="TableText"/>
              <w:jc w:val="left"/>
            </w:pPr>
            <w:r>
              <w:rPr>
                <w:rStyle w:val="CodeChar"/>
              </w:rPr>
              <w:t xml:space="preserve">sumInsuredPerSeat</w:t>
            </w:r>
            <w:r>
              <w:t xml:space="preserve">: 10000000, 20000000, 50000000 or 100000000;</w:t>
            </w:r>
            <w:r>
              <w:t xml:space="preserve"> </w:t>
            </w:r>
            <w:r>
              <w:rPr>
                <w:rStyle w:val="CodeChar"/>
              </w:rPr>
              <w:t xml:space="preserve">seats</w:t>
            </w:r>
            <w:r>
              <w:t xml:space="preserve"> </w:t>
            </w:r>
            <w:r>
              <w:t xml:space="preserve">(defaults to the vehicle’s seats)</w:t>
            </w:r>
          </w:p>
        </w:tc>
      </w:tr>
      <w:tr>
        <w:trPr>
          <w:cantSplit/>
        </w:trPr>
        <w:tc>
          <w:tcPr>
            <w:tcW w:w="1239" w:type="dxa"/>
            <w:noWrap/>
            <w:vAlign w:val="top"/>
          </w:tcPr>
          <w:p>
            <w:pPr>
              <w:pStyle w:val="TableText"/>
              <w:jc w:val="left"/>
            </w:pPr>
            <w:r>
              <w:rPr>
                <w:rStyle w:val="CodeChar"/>
              </w:rPr>
              <w:t xml:space="preserve">MOTOR_PD</w:t>
            </w:r>
          </w:p>
        </w:tc>
        <w:tc>
          <w:tcPr>
            <w:tcW w:w="2768" w:type="dxa"/>
            <w:vAlign w:val="top"/>
          </w:tcPr>
          <w:p>
            <w:pPr>
              <w:pStyle w:val="TableText"/>
              <w:jc w:val="left"/>
            </w:pPr>
            <w:r>
              <w:t xml:space="preserve">Physical damage cover</w:t>
            </w:r>
          </w:p>
        </w:tc>
        <w:tc>
          <w:tcPr>
            <w:tcW w:w="5020" w:type="dxa"/>
            <w:vAlign w:val="top"/>
          </w:tcPr>
          <w:p>
            <w:pPr>
              <w:pStyle w:val="TableText"/>
              <w:jc w:val="left"/>
            </w:pPr>
            <w:r>
              <w:rPr>
                <w:rStyle w:val="CodeChar"/>
              </w:rPr>
              <w:t xml:space="preserve">sumInsured</w:t>
            </w:r>
            <w:r>
              <w:t xml:space="preserve"> </w:t>
            </w:r>
            <w:r>
              <w:t xml:space="preserve">up to 5000000000;</w:t>
            </w:r>
            <w:r>
              <w:t xml:space="preserve"> </w:t>
            </w:r>
            <w:r>
              <w:rPr>
                <w:rStyle w:val="CodeChar"/>
              </w:rPr>
              <w:t xml:space="preserve">deductible</w:t>
            </w:r>
            <w:r>
              <w:t xml:space="preserve"> </w:t>
            </w:r>
            <w:r>
              <w:t xml:space="preserve">0, 500000 or 1000000;</w:t>
            </w:r>
            <w:r>
              <w:t xml:space="preserve"> </w:t>
            </w:r>
            <w:r>
              <w:rPr>
                <w:rStyle w:val="CodeChar"/>
              </w:rPr>
              <w:t xml:space="preserve">vehicleAge</w:t>
            </w:r>
            <w:r>
              <w:t xml:space="preserve"> </w:t>
            </w:r>
            <w:r>
              <w:t xml:space="preserve">in years. Needs an inspection before binding.</w:t>
            </w:r>
          </w:p>
        </w:tc>
      </w:tr>
    </w:tbl>
    <w:p>
      <w:pPr>
        <w:pStyle w:val="BodyText"/>
        <w:spacing w:before="160"/>
      </w:pPr>
      <w:r>
        <w:rPr>
          <w:rStyle w:val="CodeChar"/>
        </w:rPr>
        <w:t xml:space="preserve">TNDS_MOTORBIKE</w:t>
      </w:r>
      <w:r>
        <w:t xml:space="preserve"> </w:t>
      </w:r>
      <w:r>
        <w:t xml:space="preserve">is sold only in the customer app and is refused on the partner channel.</w:t>
      </w:r>
    </w:p>
    <w:p>
      <w:pPr>
        <w:pStyle w:val="Heading2"/>
      </w:pPr>
      <w:bookmarkStart w:id="17" w:name="_Toc300000013"/>
      <w:r>
        <w:t xml:space="preserve">Example</w:t>
      </w:r>
      <w:bookmarkEnd w:id="17"/>
    </w:p>
    <w:p>
      <w:pPr>
        <w:pStyle w:val="CodeBlock"/>
      </w:pPr>
      <w:r>
        <w:t xml:space="preserve">curl -sS -X POST "$BASE/api/partner/v1/quotes" \</w:t>
      </w:r>
      <w:r>
        <w:br/>
      </w:r>
      <w:r>
        <w:t xml:space="preserve">  -H "X-Api-Key: $KEY" \</w:t>
      </w:r>
      <w:r>
        <w:br/>
      </w:r>
      <w:r>
        <w:t xml:space="preserve">  -H "Content-Type: application/json" \</w:t>
      </w:r>
      <w:r>
        <w:br/>
      </w:r>
      <w:r>
        <w:t xml:space="preserve">  -H "X-Request-Id: bank01-req-000123" \</w:t>
      </w:r>
      <w:r>
        <w:br/>
      </w:r>
      <w:r>
        <w:t xml:space="preserve">  -d '{</w:t>
      </w:r>
      <w:r>
        <w:br/>
      </w:r>
      <w:r>
        <w:t xml:space="preserve">    "plate": "51K-888.21",</w:t>
      </w:r>
      <w:r>
        <w:br/>
      </w:r>
      <w:r>
        <w:t xml:space="preserve">    "holderName": "Nguyễn Văn Minh",</w:t>
      </w:r>
      <w:r>
        <w:br/>
      </w:r>
      <w:r>
        <w:t xml:space="preserve">    "phone": "0912345678",</w:t>
      </w:r>
      <w:r>
        <w:br/>
      </w:r>
      <w:r>
        <w:t xml:space="preserve">    "seats": 5,</w:t>
      </w:r>
      <w:r>
        <w:br/>
      </w:r>
      <w:r>
        <w:t xml:space="preserve">    "usage": "personal",</w:t>
      </w:r>
      <w:r>
        <w:br/>
      </w:r>
      <w:r>
        <w:t xml:space="preserve">    "ownerType": "individual",</w:t>
      </w:r>
      <w:r>
        <w:br/>
      </w:r>
      <w:r>
        <w:t xml:space="preserve">    "products": [</w:t>
      </w:r>
      <w:r>
        <w:br/>
      </w:r>
      <w:r>
        <w:t xml:space="preserve">      { "code": "TNDS_CAR", "options": { "termYears": 1 } },</w:t>
      </w:r>
      <w:r>
        <w:br/>
      </w:r>
      <w:r>
        <w:t xml:space="preserve">      { "code": "PA_SEAT",  "options": { "sumInsuredPerSeat": 20000000 } }</w:t>
      </w:r>
      <w:r>
        <w:br/>
      </w:r>
      <w:r>
        <w:t xml:space="preserve">    ]</w:t>
      </w:r>
      <w:r>
        <w:br/>
      </w:r>
      <w:r>
        <w:t xml:space="preserve">  }'</w:t>
      </w:r>
    </w:p>
    <w:p>
      <w:pPr>
        <w:pStyle w:val="Heading2"/>
      </w:pPr>
      <w:bookmarkStart w:id="18" w:name="_Toc300000014"/>
      <w:r>
        <w:t xml:space="preserve">Response</w:t>
      </w:r>
      <w:bookmarkEnd w:id="18"/>
    </w:p>
    <w:p>
      <w:pPr>
        <w:pStyle w:val="FirstParagraph"/>
      </w:pPr>
      <w:r>
        <w:rPr>
          <w:rStyle w:val="CodeChar"/>
        </w:rPr>
        <w:t xml:space="preserve">200 OK</w:t>
      </w:r>
      <w:r>
        <w:t xml:space="preserve">, abridged. The person, plate and phone number are fictional.</w:t>
      </w:r>
    </w:p>
    <w:p>
      <w:pPr>
        <w:pStyle w:val="CodeBlock"/>
      </w:pPr>
      <w:r>
        <w:t xml:space="preserve">{</w:t>
      </w:r>
      <w:r>
        <w:br/>
      </w:r>
      <w:r>
        <w:t xml:space="preserve">  "id": "Q-7cce99e6-209a-4036-8e1d-9f9c517c1c97",</w:t>
      </w:r>
      <w:r>
        <w:br/>
      </w:r>
      <w:r>
        <w:t xml:space="preserve">  "plate": "51K-888.21",</w:t>
      </w:r>
      <w:r>
        <w:br/>
      </w:r>
      <w:r>
        <w:t xml:space="preserve">  "channel": "partner_api",</w:t>
      </w:r>
      <w:r>
        <w:br/>
      </w:r>
      <w:r>
        <w:t xml:space="preserve">  "partnerId": "P-BANK-01",</w:t>
      </w:r>
      <w:r>
        <w:br/>
      </w:r>
      <w:r>
        <w:t xml:space="preserve">  "lines": [</w:t>
      </w:r>
      <w:r>
        <w:br/>
      </w:r>
      <w:r>
        <w:t xml:space="preserve">    {</w:t>
      </w:r>
      <w:r>
        <w:br/>
      </w:r>
      <w:r>
        <w:t xml:space="preserve">      "product": "TNDS_CAR",</w:t>
      </w:r>
      <w:r>
        <w:br/>
      </w:r>
      <w:r>
        <w:t xml:space="preserve">      "productName": "Compulsory motor third-party liability (car)",</w:t>
      </w:r>
      <w:r>
        <w:br/>
      </w:r>
      <w:r>
        <w:t xml:space="preserve">      "productNameVi": "Bảo hiểm TNDS bắt buộc ô tô",</w:t>
      </w:r>
      <w:r>
        <w:br/>
      </w:r>
      <w:r>
        <w:t xml:space="preserve">      "startDate": "2026-10-07",</w:t>
      </w:r>
      <w:r>
        <w:br/>
      </w:r>
      <w:r>
        <w:t xml:space="preserve">      "endDate": "2027-10-07",</w:t>
      </w:r>
      <w:r>
        <w:br/>
      </w:r>
      <w:r>
        <w:t xml:space="preserve">      "premiumNet": 437000,</w:t>
      </w:r>
      <w:r>
        <w:br/>
      </w:r>
      <w:r>
        <w:t xml:space="preserve">      "vat": 43700,</w:t>
      </w:r>
      <w:r>
        <w:br/>
      </w:r>
      <w:r>
        <w:t xml:space="preserve">      "total": 480700,</w:t>
      </w:r>
      <w:r>
        <w:br/>
      </w:r>
      <w:r>
        <w:t xml:space="preserve">      "priceRegulated": true,</w:t>
      </w:r>
      <w:r>
        <w:br/>
      </w:r>
      <w:r>
        <w:t xml:space="preserve">      "breakdown": [</w:t>
      </w:r>
      <w:r>
        <w:br/>
      </w:r>
      <w:r>
        <w:t xml:space="preserve">        { "label": "Car &lt; 6 seats (non-commercial)", "annual": 437000, "years": 1 }</w:t>
      </w:r>
      <w:r>
        <w:br/>
      </w:r>
      <w:r>
        <w:t xml:space="preserve">      ],</w:t>
      </w:r>
      <w:r>
        <w:br/>
      </w:r>
      <w:r>
        <w:t xml:space="preserve">      "note": "Premium fixed by regulation — identical at every insurer."</w:t>
      </w:r>
      <w:r>
        <w:br/>
      </w:r>
      <w:r>
        <w:t xml:space="preserve">    },</w:t>
      </w:r>
      <w:r>
        <w:br/>
      </w:r>
      <w:r>
        <w:t xml:space="preserve">    {</w:t>
      </w:r>
      <w:r>
        <w:br/>
      </w:r>
      <w:r>
        <w:t xml:space="preserve">      "product": "PA_SEAT",</w:t>
      </w:r>
      <w:r>
        <w:br/>
      </w:r>
      <w:r>
        <w:t xml:space="preserve">      "productNameVi": "Bảo hiểm tai nạn lái phụ xe và người ngồi trên xe",</w:t>
      </w:r>
      <w:r>
        <w:br/>
      </w:r>
      <w:r>
        <w:t xml:space="preserve">      "startDate": "2026-10-07",</w:t>
      </w:r>
      <w:r>
        <w:br/>
      </w:r>
      <w:r>
        <w:t xml:space="preserve">      "endDate": "2027-10-07",</w:t>
      </w:r>
      <w:r>
        <w:br/>
      </w:r>
      <w:r>
        <w:t xml:space="preserve">      "premiumNet": 100000,</w:t>
      </w:r>
      <w:r>
        <w:br/>
      </w:r>
      <w:r>
        <w:t xml:space="preserve">      "vat": 0,</w:t>
      </w:r>
      <w:r>
        <w:br/>
      </w:r>
      <w:r>
        <w:t xml:space="preserve">      "total": 100000,</w:t>
      </w:r>
      <w:r>
        <w:br/>
      </w:r>
      <w:r>
        <w:t xml:space="preserve">      "priceRegulated": false,</w:t>
      </w:r>
      <w:r>
        <w:br/>
      </w:r>
      <w:r>
        <w:t xml:space="preserve">      "breakdown": [</w:t>
      </w:r>
      <w:r>
        <w:br/>
      </w:r>
      <w:r>
        <w:t xml:space="preserve">        { "label": "Personal accident", "seats": 5, "sumInsuredPerSeat": 20000000, "ratePerSeat": 0.001 }</w:t>
      </w:r>
      <w:r>
        <w:br/>
      </w:r>
      <w:r>
        <w:t xml:space="preserve">      ]</w:t>
      </w:r>
      <w:r>
        <w:br/>
      </w:r>
      <w:r>
        <w:t xml:space="preserve">    }</w:t>
      </w:r>
      <w:r>
        <w:br/>
      </w:r>
      <w:r>
        <w:t xml:space="preserve">  ],</w:t>
      </w:r>
      <w:r>
        <w:br/>
      </w:r>
      <w:r>
        <w:t xml:space="preserve">  "total": 580700,</w:t>
      </w:r>
      <w:r>
        <w:br/>
      </w:r>
      <w:r>
        <w:t xml:space="preserve">  "bundle": "SAFE_DRIVE",</w:t>
      </w:r>
      <w:r>
        <w:br/>
      </w:r>
      <w:r>
        <w:t xml:space="preserve">  "benefits": [</w:t>
      </w:r>
      <w:r>
        <w:br/>
      </w:r>
      <w:r>
        <w:t xml:space="preserve">    { "id": "e_certificate", "titleVi": "Giấy chứng nhận điện tử + mã QR" }</w:t>
      </w:r>
      <w:r>
        <w:br/>
      </w:r>
      <w:r>
        <w:t xml:space="preserve">  ],</w:t>
      </w:r>
      <w:r>
        <w:br/>
      </w:r>
      <w:r>
        <w:t xml:space="preserve">  "status": "open",</w:t>
      </w:r>
      <w:r>
        <w:br/>
      </w:r>
      <w:r>
        <w:t xml:space="preserve">  "ratingSource": "core",</w:t>
      </w:r>
      <w:r>
        <w:br/>
      </w:r>
      <w:r>
        <w:t xml:space="preserve">  "indicative": false,</w:t>
      </w:r>
      <w:r>
        <w:br/>
      </w:r>
      <w:r>
        <w:t xml:space="preserve">  "createdAt": "2026-10-07T03:12:44.120Z",</w:t>
      </w:r>
      <w:r>
        <w:br/>
      </w:r>
      <w:r>
        <w:t xml:space="preserve">  "expiresAt": "2026-10-08T03:12:44.120Z"</w:t>
      </w:r>
      <w:r>
        <w:br/>
      </w:r>
      <w:r>
        <w:t xml:space="preserve">}</w:t>
      </w:r>
    </w:p>
    <w:p>
      <w:pPr>
        <w:pStyle w:val="Heading2"/>
      </w:pPr>
      <w:bookmarkStart w:id="19" w:name="_Toc300000015"/>
      <w:r>
        <w:t xml:space="preserve">Notes</w:t>
      </w:r>
      <w:bookmarkEnd w:id="19"/>
    </w:p>
    <w:p>
      <w:pPr>
        <w:pStyle w:val="Compact"/>
        <w:numPr>
          <w:ilvl w:val="0"/>
          <w:numId w:val="1002"/>
        </w:numPr>
      </w:pPr>
      <w:r>
        <w:rPr>
          <w:rStyle w:val="CodeChar"/>
        </w:rPr>
        <w:t xml:space="preserve">total</w:t>
      </w:r>
      <w:r>
        <w:t xml:space="preserve"> </w:t>
      </w:r>
      <w:r>
        <w:t xml:space="preserve">of a line is</w:t>
      </w:r>
      <w:r>
        <w:t xml:space="preserve"> </w:t>
      </w:r>
      <w:r>
        <w:rPr>
          <w:rStyle w:val="CodeChar"/>
        </w:rPr>
        <w:t xml:space="preserve">premiumNet</w:t>
      </w:r>
      <w:r>
        <w:t xml:space="preserve"> </w:t>
      </w:r>
      <w:r>
        <w:t xml:space="preserve">plus</w:t>
      </w:r>
      <w:r>
        <w:t xml:space="preserve"> </w:t>
      </w:r>
      <w:r>
        <w:rPr>
          <w:rStyle w:val="CodeChar"/>
        </w:rPr>
        <w:t xml:space="preserve">vat</w:t>
      </w:r>
      <w:r>
        <w:t xml:space="preserve">. Personal accident cover is VAT-exempt.</w:t>
      </w:r>
    </w:p>
    <w:p>
      <w:pPr>
        <w:pStyle w:val="Compact"/>
        <w:numPr>
          <w:ilvl w:val="0"/>
          <w:numId w:val="1002"/>
        </w:numPr>
      </w:pPr>
      <w:r>
        <w:t xml:space="preserve">TNDS premiums are regulated and identical at every insurer. Never present a discount on them.</w:t>
      </w:r>
    </w:p>
    <w:p>
      <w:pPr>
        <w:pStyle w:val="Compact"/>
        <w:numPr>
          <w:ilvl w:val="0"/>
          <w:numId w:val="1002"/>
        </w:numPr>
      </w:pPr>
      <w:r>
        <w:t xml:space="preserve">A quote is valid for 24 hours (</w:t>
      </w:r>
      <w:r>
        <w:rPr>
          <w:rStyle w:val="CodeChar"/>
        </w:rPr>
        <w:t xml:space="preserve">expiresAt</w:t>
      </w:r>
      <w:r>
        <w:t xml:space="preserve">).</w:t>
      </w:r>
    </w:p>
    <w:p>
      <w:pPr>
        <w:pStyle w:val="Compact"/>
        <w:numPr>
          <w:ilvl w:val="0"/>
          <w:numId w:val="1002"/>
        </w:numPr>
      </w:pPr>
      <w:r>
        <w:rPr>
          <w:rStyle w:val="CodeChar"/>
        </w:rPr>
        <w:t xml:space="preserve">bundle</w:t>
      </w:r>
      <w:r>
        <w:t xml:space="preserve"> </w:t>
      </w:r>
      <w:r>
        <w:t xml:space="preserve">is set when the products form a published bundle:</w:t>
      </w:r>
      <w:r>
        <w:t xml:space="preserve"> </w:t>
      </w:r>
      <w:r>
        <w:rPr>
          <w:rStyle w:val="CodeChar"/>
        </w:rPr>
        <w:t xml:space="preserve">SAFE_DRIVE</w:t>
      </w:r>
      <w:r>
        <w:t xml:space="preserve"> </w:t>
      </w:r>
      <w:r>
        <w:t xml:space="preserve">(TNDS and seat accident) or</w:t>
      </w:r>
      <w:r>
        <w:t xml:space="preserve"> </w:t>
      </w:r>
      <w:r>
        <w:rPr>
          <w:rStyle w:val="CodeChar"/>
        </w:rPr>
        <w:t xml:space="preserve">FULL_MOTOR</w:t>
      </w:r>
      <w:r>
        <w:t xml:space="preserve"> </w:t>
      </w:r>
      <w:r>
        <w:t xml:space="preserve">(TNDS, physical damage and seat accident). The bundle price is the sum of its parts.</w:t>
      </w:r>
    </w:p>
    <w:p>
      <w:pPr>
        <w:pStyle w:val="Compact"/>
        <w:numPr>
          <w:ilvl w:val="0"/>
          <w:numId w:val="1002"/>
        </w:numPr>
      </w:pPr>
      <w:r>
        <w:rPr>
          <w:rStyle w:val="CodeChar"/>
        </w:rPr>
        <w:t xml:space="preserve">ratingSource</w:t>
      </w:r>
      <w:r>
        <w:t xml:space="preserve"> </w:t>
      </w:r>
      <w:r>
        <w:t xml:space="preserve">shows who priced the quote:</w:t>
      </w:r>
      <w:r>
        <w:t xml:space="preserve"> </w:t>
      </w:r>
      <w:r>
        <w:rPr>
          <w:rStyle w:val="CodeChar"/>
        </w:rPr>
        <w:t xml:space="preserve">core</w:t>
      </w:r>
      <w:r>
        <w:t xml:space="preserve"> </w:t>
      </w:r>
      <w:r>
        <w:t xml:space="preserve">(TASCO core) or</w:t>
      </w:r>
      <w:r>
        <w:t xml:space="preserve"> </w:t>
      </w:r>
      <w:r>
        <w:rPr>
          <w:rStyle w:val="CodeChar"/>
        </w:rPr>
        <w:t xml:space="preserve">rules</w:t>
      </w:r>
      <w:r>
        <w:t xml:space="preserve"> </w:t>
      </w:r>
      <w:r>
        <w:t xml:space="preserve">(TASCO’s filed rates held on the platform, used in the sandbox).</w:t>
      </w:r>
    </w:p>
    <w:p>
      <w:pPr>
        <w:pStyle w:val="Compact"/>
        <w:numPr>
          <w:ilvl w:val="0"/>
          <w:numId w:val="1002"/>
        </w:numPr>
      </w:pPr>
      <w:r>
        <w:t xml:space="preserve">If</w:t>
      </w:r>
      <w:r>
        <w:t xml:space="preserve"> </w:t>
      </w:r>
      <w:r>
        <w:rPr>
          <w:rStyle w:val="CodeChar"/>
        </w:rPr>
        <w:t xml:space="preserve">indicative</w:t>
      </w:r>
      <w:r>
        <w:t xml:space="preserve"> </w:t>
      </w:r>
      <w:r>
        <w:t xml:space="preserve">is</w:t>
      </w:r>
      <w:r>
        <w:t xml:space="preserve"> </w:t>
      </w:r>
      <w:r>
        <w:rPr>
          <w:rStyle w:val="CodeChar"/>
        </w:rPr>
        <w:t xml:space="preserve">true</w:t>
      </w:r>
      <w:r>
        <w:t xml:space="preserve">, TASCO core was unavailable and the price is provisional. An indicative quote cannot be bound; request a new quote once TASCO core is available.</w:t>
      </w:r>
    </w:p>
    <w:p>
      <w:pPr>
        <w:pStyle w:val="Compact"/>
        <w:numPr>
          <w:ilvl w:val="0"/>
          <w:numId w:val="1002"/>
        </w:numPr>
      </w:pPr>
      <w:r>
        <w:t xml:space="preserve">Keep</w:t>
      </w:r>
      <w:r>
        <w:t xml:space="preserve"> </w:t>
      </w:r>
      <w:r>
        <w:rPr>
          <w:rStyle w:val="CodeChar"/>
        </w:rPr>
        <w:t xml:space="preserve">id</w:t>
      </w:r>
      <w:r>
        <w:t xml:space="preserve">; you need it to bind.</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0" w:name="_Toc300000016"/>
      <w:r>
        <w:rPr>
          <w:rStyle w:val="BookTitle"/>
          <w:bCs w:val="0"/>
          <w:i w:val="0"/>
          <w:iCs w:val="0"/>
          <w:spacing w:val="0"/>
        </w:rPr>
        <w:t xml:space="preserve">Bind a quote</w:t>
      </w:r>
      <w:bookmarkEnd w:id="20"/>
    </w:p>
    <w:p>
      <w:pPr>
        <w:pStyle w:val="FirstParagraph"/>
      </w:pPr>
      <w:r>
        <w:rPr>
          <w:rStyle w:val="CodeChar"/>
        </w:rPr>
        <w:t xml:space="preserve">POST /api/partner/v1/orders</w:t>
      </w:r>
      <w:r>
        <w:t xml:space="preserve"> </w:t>
      </w:r>
      <w:r>
        <w:t xml:space="preserve">binds a quote and issues one policy per line. It needs the</w:t>
      </w:r>
      <w:r>
        <w:t xml:space="preserve"> </w:t>
      </w:r>
      <w:r>
        <w:rPr>
          <w:rStyle w:val="CodeChar"/>
        </w:rPr>
        <w:t xml:space="preserve">purchase</w:t>
      </w:r>
      <w:r>
        <w:t xml:space="preserve"> </w:t>
      </w:r>
      <w:r>
        <w:t xml:space="preserve">scope and an</w:t>
      </w:r>
      <w:r>
        <w:t xml:space="preserve"> </w:t>
      </w:r>
      <w:r>
        <w:rPr>
          <w:rStyle w:val="CodeChar"/>
        </w:rPr>
        <w:t xml:space="preserve">Idempotency-Key</w:t>
      </w:r>
      <w:r>
        <w:t xml:space="preserve"> </w:t>
      </w:r>
      <w:r>
        <w:t xml:space="preserve">header.</w:t>
      </w:r>
    </w:p>
    <w:p>
      <w:pPr>
        <w:pStyle w:val="Heading2"/>
      </w:pPr>
      <w:bookmarkStart w:id="21" w:name="_Toc300000017"/>
      <w:r>
        <w:t xml:space="preserve">Request</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97"/>
        <w:gridCol w:w="1216"/>
        <w:gridCol w:w="5614"/>
      </w:tblGrid>
      <w:tr>
        <w:trPr>
          <w:cantSplit/>
          <w:tblHeader/>
        </w:trPr>
        <w:tc>
          <w:tcPr>
            <w:tcW w:w="2197" w:type="dxa"/>
            <w:shd w:val="clear" w:color="auto" w:fill="0F4761"/>
            <w:vAlign w:val="center"/>
          </w:tcPr>
          <w:p>
            <w:pPr>
              <w:pStyle w:val="TableHeading"/>
              <w:jc w:val="left"/>
            </w:pPr>
            <w:r>
              <w:rPr>
                <w:color w:val="FFFFFF"/>
              </w:rPr>
              <w:t xml:space="preserve">Header or field</w:t>
            </w:r>
          </w:p>
        </w:tc>
        <w:tc>
          <w:tcPr>
            <w:tcW w:w="1216" w:type="dxa"/>
            <w:shd w:val="clear" w:color="auto" w:fill="0F4761"/>
            <w:vAlign w:val="center"/>
          </w:tcPr>
          <w:p>
            <w:pPr>
              <w:pStyle w:val="TableHeading"/>
              <w:jc w:val="left"/>
            </w:pPr>
            <w:r>
              <w:rPr>
                <w:color w:val="FFFFFF"/>
              </w:rPr>
              <w:t xml:space="preserve">Required</w:t>
            </w:r>
          </w:p>
        </w:tc>
        <w:tc>
          <w:tcPr>
            <w:tcW w:w="5614" w:type="dxa"/>
            <w:shd w:val="clear" w:color="auto" w:fill="0F4761"/>
            <w:vAlign w:val="center"/>
          </w:tcPr>
          <w:p>
            <w:pPr>
              <w:pStyle w:val="TableHeading"/>
              <w:jc w:val="left"/>
            </w:pPr>
            <w:r>
              <w:rPr>
                <w:color w:val="FFFFFF"/>
              </w:rPr>
              <w:t xml:space="preserve">Notes</w:t>
            </w:r>
          </w:p>
        </w:tc>
      </w:tr>
      <w:tr>
        <w:trPr>
          <w:cantSplit/>
        </w:trPr>
        <w:tc>
          <w:tcPr>
            <w:tcW w:w="2197" w:type="dxa"/>
            <w:vAlign w:val="top"/>
          </w:tcPr>
          <w:p>
            <w:pPr>
              <w:pStyle w:val="TableText"/>
              <w:jc w:val="left"/>
            </w:pPr>
            <w:r>
              <w:rPr>
                <w:rStyle w:val="CodeChar"/>
              </w:rPr>
              <w:t xml:space="preserve">Idempotency-Key</w:t>
            </w:r>
            <w:r>
              <w:t xml:space="preserve"> </w:t>
            </w:r>
            <w:r>
              <w:t xml:space="preserve">header</w:t>
            </w:r>
          </w:p>
        </w:tc>
        <w:tc>
          <w:tcPr>
            <w:tcW w:w="1216" w:type="dxa"/>
            <w:vAlign w:val="top"/>
          </w:tcPr>
          <w:p>
            <w:pPr>
              <w:pStyle w:val="TableText"/>
              <w:jc w:val="left"/>
            </w:pPr>
            <w:r>
              <w:t xml:space="preserve">Yes</w:t>
            </w:r>
          </w:p>
        </w:tc>
        <w:tc>
          <w:tcPr>
            <w:tcW w:w="5614" w:type="dxa"/>
            <w:vAlign w:val="top"/>
          </w:tcPr>
          <w:p>
            <w:pPr>
              <w:pStyle w:val="TableText"/>
              <w:jc w:val="left"/>
            </w:pPr>
            <w:r>
              <w:t xml:space="preserve">8 to 100 characters: letters, digits,</w:t>
            </w:r>
            <w:r>
              <w:t xml:space="preserve"> </w:t>
            </w:r>
            <w:r>
              <w:rPr>
                <w:rStyle w:val="CodeChar"/>
              </w:rPr>
              <w:t xml:space="preserve">_</w:t>
            </w:r>
            <w:r>
              <w:t xml:space="preserve"> </w:t>
            </w:r>
            <w:r>
              <w:t xml:space="preserve">or</w:t>
            </w:r>
            <w:r>
              <w:t xml:space="preserve"> </w:t>
            </w:r>
            <w:r>
              <w:rPr>
                <w:rStyle w:val="CodeChar"/>
              </w:rPr>
              <w:t xml:space="preserve">-</w:t>
            </w:r>
            <w:r>
              <w:t xml:space="preserve">. A UUID or your own order reference.</w:t>
            </w:r>
          </w:p>
        </w:tc>
      </w:tr>
      <w:tr>
        <w:trPr>
          <w:cantSplit/>
        </w:trPr>
        <w:tc>
          <w:tcPr>
            <w:tcW w:w="2197" w:type="dxa"/>
            <w:shd w:val="clear" w:color="auto" w:fill="F4F7FB"/>
            <w:vAlign w:val="top"/>
          </w:tcPr>
          <w:p>
            <w:pPr>
              <w:pStyle w:val="TableText"/>
              <w:jc w:val="left"/>
            </w:pPr>
            <w:r>
              <w:rPr>
                <w:rStyle w:val="CodeChar"/>
              </w:rPr>
              <w:t xml:space="preserve">quoteId</w:t>
            </w:r>
          </w:p>
        </w:tc>
        <w:tc>
          <w:tcPr>
            <w:tcW w:w="1216" w:type="dxa"/>
            <w:shd w:val="clear" w:color="auto" w:fill="F4F7FB"/>
            <w:vAlign w:val="top"/>
          </w:tcPr>
          <w:p>
            <w:pPr>
              <w:pStyle w:val="TableText"/>
              <w:jc w:val="left"/>
            </w:pPr>
            <w:r>
              <w:t xml:space="preserve">Yes</w:t>
            </w:r>
          </w:p>
        </w:tc>
        <w:tc>
          <w:tcPr>
            <w:tcW w:w="5614" w:type="dxa"/>
            <w:shd w:val="clear" w:color="auto" w:fill="F4F7FB"/>
            <w:vAlign w:val="top"/>
          </w:tcPr>
          <w:p>
            <w:pPr>
              <w:pStyle w:val="TableText"/>
              <w:jc w:val="left"/>
            </w:pPr>
            <w:r>
              <w:t xml:space="preserve">A quote created with your own key</w:t>
            </w:r>
          </w:p>
        </w:tc>
      </w:tr>
      <w:tr>
        <w:trPr>
          <w:cantSplit/>
        </w:trPr>
        <w:tc>
          <w:tcPr>
            <w:tcW w:w="2197" w:type="dxa"/>
            <w:vAlign w:val="top"/>
          </w:tcPr>
          <w:p>
            <w:pPr>
              <w:pStyle w:val="TableText"/>
              <w:jc w:val="left"/>
            </w:pPr>
            <w:r>
              <w:rPr>
                <w:rStyle w:val="CodeChar"/>
              </w:rPr>
              <w:t xml:space="preserve">holderName</w:t>
            </w:r>
          </w:p>
        </w:tc>
        <w:tc>
          <w:tcPr>
            <w:tcW w:w="1216" w:type="dxa"/>
            <w:vAlign w:val="top"/>
          </w:tcPr>
          <w:p>
            <w:pPr>
              <w:pStyle w:val="TableText"/>
              <w:jc w:val="left"/>
            </w:pPr>
            <w:r>
              <w:t xml:space="preserve">No</w:t>
            </w:r>
          </w:p>
        </w:tc>
        <w:tc>
          <w:tcPr>
            <w:tcW w:w="5614" w:type="dxa"/>
            <w:vAlign w:val="top"/>
          </w:tcPr>
          <w:p>
            <w:pPr>
              <w:pStyle w:val="TableText"/>
              <w:jc w:val="left"/>
            </w:pPr>
            <w:r>
              <w:t xml:space="preserve">Replaces the policyholder name given at quote time</w:t>
            </w:r>
          </w:p>
        </w:tc>
      </w:tr>
    </w:tbl>
    <w:p>
      <w:pPr>
        <w:pStyle w:val="CodeBlock"/>
        <w:spacing w:before="160"/>
      </w:pPr>
      <w:r>
        <w:t xml:space="preserve">curl -sS -X POST "$BASE/api/partner/v1/orders" \</w:t>
      </w:r>
      <w:r>
        <w:br/>
      </w:r>
      <w:r>
        <w:t xml:space="preserve">  -H "X-Api-Key: $KEY" \</w:t>
      </w:r>
      <w:r>
        <w:br/>
      </w:r>
      <w:r>
        <w:t xml:space="preserve">  -H "Content-Type: application/json" \</w:t>
      </w:r>
      <w:r>
        <w:br/>
      </w:r>
      <w:r>
        <w:t xml:space="preserve">  -H "Idempotency-Key: bank01-order-2026-000457" \</w:t>
      </w:r>
      <w:r>
        <w:br/>
      </w:r>
      <w:r>
        <w:t xml:space="preserve">  -d '{ "quoteId": "Q-7cce99e6-209a-4036-8e1d-9f9c517c1c97", "holderName": "Nguyễn Văn Minh" }'</w:t>
      </w:r>
    </w:p>
    <w:p>
      <w:pPr>
        <w:pStyle w:val="Heading2"/>
      </w:pPr>
      <w:bookmarkStart w:id="22" w:name="_Toc300000018"/>
      <w:r>
        <w:t xml:space="preserve">Response</w:t>
      </w:r>
      <w:bookmarkEnd w:id="22"/>
    </w:p>
    <w:p>
      <w:pPr>
        <w:pStyle w:val="FirstParagraph"/>
      </w:pPr>
      <w:r>
        <w:rPr>
          <w:rStyle w:val="CodeChar"/>
        </w:rPr>
        <w:t xml:space="preserve">200 OK</w:t>
      </w:r>
      <w:r>
        <w:t xml:space="preserve">, abridged.</w:t>
      </w:r>
    </w:p>
    <w:p>
      <w:pPr>
        <w:pStyle w:val="CodeBlock"/>
      </w:pPr>
      <w:r>
        <w:t xml:space="preserve">{</w:t>
      </w:r>
      <w:r>
        <w:br/>
      </w:r>
      <w:r>
        <w:t xml:space="preserve">  "order": {</w:t>
      </w:r>
      <w:r>
        <w:br/>
      </w:r>
      <w:r>
        <w:t xml:space="preserve">    "id": "O-e740b421fc4bf21e5f02",</w:t>
      </w:r>
      <w:r>
        <w:br/>
      </w:r>
      <w:r>
        <w:t xml:space="preserve">    "quoteId": "Q-7cce99e6-209a-4036-8e1d-9f9c517c1c97",</w:t>
      </w:r>
      <w:r>
        <w:br/>
      </w:r>
      <w:r>
        <w:t xml:space="preserve">    "channel": "partner_api",</w:t>
      </w:r>
      <w:r>
        <w:br/>
      </w:r>
      <w:r>
        <w:t xml:space="preserve">    "partnerId": "P-BANK-01",</w:t>
      </w:r>
      <w:r>
        <w:br/>
      </w:r>
      <w:r>
        <w:t xml:space="preserve">    "amount": 580700,</w:t>
      </w:r>
      <w:r>
        <w:br/>
      </w:r>
      <w:r>
        <w:t xml:space="preserve">    "status": "completed",</w:t>
      </w:r>
      <w:r>
        <w:br/>
      </w:r>
      <w:r>
        <w:t xml:space="preserve">    "paymentRef": "PARTNER-P-BANK-01-O-e740b421fc4bf21e5f02",</w:t>
      </w:r>
      <w:r>
        <w:br/>
      </w:r>
      <w:r>
        <w:t xml:space="preserve">    "policies": ["TAS-TNDSCA-2026-100001", "TAS-PASEAT-2026-100002"],</w:t>
      </w:r>
      <w:r>
        <w:br/>
      </w:r>
      <w:r>
        <w:t xml:space="preserve">    "commission": [</w:t>
      </w:r>
      <w:r>
        <w:br/>
      </w:r>
      <w:r>
        <w:t xml:space="preserve">      { "product": "TNDS_CAR", "rate": 0.05, "amount": 21850, "capped": false },</w:t>
      </w:r>
      <w:r>
        <w:br/>
      </w:r>
      <w:r>
        <w:t xml:space="preserve">      { "product": "PA_SEAT", "rate": 0.15, "amount": 15000, "capped": false }</w:t>
      </w:r>
      <w:r>
        <w:br/>
      </w:r>
      <w:r>
        <w:t xml:space="preserve">    ],</w:t>
      </w:r>
      <w:r>
        <w:br/>
      </w:r>
      <w:r>
        <w:t xml:space="preserve">    "completedAt": "2026-10-07T03:13:02.511Z"</w:t>
      </w:r>
      <w:r>
        <w:br/>
      </w:r>
      <w:r>
        <w:t xml:space="preserve">  },</w:t>
      </w:r>
      <w:r>
        <w:br/>
      </w:r>
      <w:r>
        <w:t xml:space="preserve">  "policies": [</w:t>
      </w:r>
      <w:r>
        <w:br/>
      </w:r>
      <w:r>
        <w:t xml:space="preserve">    {</w:t>
      </w:r>
      <w:r>
        <w:br/>
      </w:r>
      <w:r>
        <w:t xml:space="preserve">      "certNo": "TAS-TNDSCA-2026-100001",</w:t>
      </w:r>
      <w:r>
        <w:br/>
      </w:r>
      <w:r>
        <w:t xml:space="preserve">      "policyNo": "POL-100001",</w:t>
      </w:r>
      <w:r>
        <w:br/>
      </w:r>
      <w:r>
        <w:t xml:space="preserve">      "product": "TNDS_CAR",</w:t>
      </w:r>
      <w:r>
        <w:br/>
      </w:r>
      <w:r>
        <w:t xml:space="preserve">      "plate": "51K-888.21",</w:t>
      </w:r>
      <w:r>
        <w:br/>
      </w:r>
      <w:r>
        <w:t xml:space="preserve">      "startDate": "2026-10-07",</w:t>
      </w:r>
      <w:r>
        <w:br/>
      </w:r>
      <w:r>
        <w:t xml:space="preserve">      "endDate": "2027-10-07",</w:t>
      </w:r>
      <w:r>
        <w:br/>
      </w:r>
      <w:r>
        <w:t xml:space="preserve">      "total": 480700,</w:t>
      </w:r>
      <w:r>
        <w:br/>
      </w:r>
      <w:r>
        <w:t xml:space="preserve">      "status": "active",</w:t>
      </w:r>
      <w:r>
        <w:br/>
      </w:r>
      <w:r>
        <w:t xml:space="preserve">      "certificateUrl": "https://&lt;platform-host&gt;/verify/TAS-TNDSCA-2026-100001"</w:t>
      </w:r>
      <w:r>
        <w:br/>
      </w:r>
      <w:r>
        <w:t xml:space="preserve">    }</w:t>
      </w:r>
      <w:r>
        <w:br/>
      </w:r>
      <w:r>
        <w:t xml:space="preserve">  ],</w:t>
      </w:r>
      <w:r>
        <w:br/>
      </w:r>
      <w:r>
        <w:t xml:space="preserve">  "idempotentReplay": false</w:t>
      </w:r>
      <w:r>
        <w:br/>
      </w:r>
      <w:r>
        <w:t xml:space="preserve">}</w:t>
      </w:r>
    </w:p>
    <w:p>
      <w:pPr>
        <w:pStyle w:val="Compact"/>
        <w:numPr>
          <w:ilvl w:val="0"/>
          <w:numId w:val="1003"/>
        </w:numPr>
      </w:pPr>
      <w:r>
        <w:t xml:space="preserve">Only</w:t>
      </w:r>
      <w:r>
        <w:t xml:space="preserve"> </w:t>
      </w:r>
      <w:r>
        <w:rPr>
          <w:rStyle w:val="CodeChar"/>
        </w:rPr>
        <w:t xml:space="preserve">order.status</w:t>
      </w:r>
      <w:r>
        <w:t xml:space="preserve"> </w:t>
      </w:r>
      <w:r>
        <w:rPr>
          <w:rStyle w:val="CodeChar"/>
        </w:rPr>
        <w:t xml:space="preserve">completed</w:t>
      </w:r>
      <w:r>
        <w:t xml:space="preserve"> </w:t>
      </w:r>
      <w:r>
        <w:t xml:space="preserve">means the policies were issued.</w:t>
      </w:r>
    </w:p>
    <w:p>
      <w:pPr>
        <w:pStyle w:val="Compact"/>
        <w:numPr>
          <w:ilvl w:val="0"/>
          <w:numId w:val="1003"/>
        </w:numPr>
      </w:pPr>
      <w:r>
        <w:rPr>
          <w:rStyle w:val="CodeChar"/>
        </w:rPr>
        <w:t xml:space="preserve">certificateUrl</w:t>
      </w:r>
      <w:r>
        <w:t xml:space="preserve"> </w:t>
      </w:r>
      <w:r>
        <w:t xml:space="preserve">is the public verification page. Print it as a QR code on your documents. Anyone can scan it to see validity, product, period and a masked plate; it shows no personal data.</w:t>
      </w:r>
    </w:p>
    <w:p>
      <w:pPr>
        <w:pStyle w:val="Compact"/>
        <w:numPr>
          <w:ilvl w:val="0"/>
          <w:numId w:val="1003"/>
        </w:numPr>
      </w:pPr>
      <w:r>
        <w:t xml:space="preserve">Commission is calculated on the net premium within the statutory caps and recorded on the order. The rates in the example are those configured in the sandbox; yours are set in your partner agreement.</w:t>
      </w:r>
    </w:p>
    <w:p>
      <w:pPr>
        <w:pStyle w:val="Compact"/>
        <w:numPr>
          <w:ilvl w:val="0"/>
          <w:numId w:val="1003"/>
        </w:numPr>
      </w:pPr>
      <w:r>
        <w:t xml:space="preserve">Partner sales are collected by the partner.</w:t>
      </w:r>
      <w:r>
        <w:t xml:space="preserve"> </w:t>
      </w:r>
      <w:r>
        <w:rPr>
          <w:rStyle w:val="CodeChar"/>
        </w:rPr>
        <w:t xml:space="preserve">paymentRef</w:t>
      </w:r>
      <w:r>
        <w:t xml:space="preserve"> </w:t>
      </w:r>
      <w:r>
        <w:t xml:space="preserve">starts with</w:t>
      </w:r>
      <w:r>
        <w:t xml:space="preserve"> </w:t>
      </w:r>
      <w:r>
        <w:rPr>
          <w:rStyle w:val="CodeChar"/>
        </w:rPr>
        <w:t xml:space="preserve">PARTNER-</w:t>
      </w:r>
      <w:r>
        <w:t xml:space="preserve">, no customer wallet is debited, and the premium is remitted to TASCO under your partner agreement and reconciled against the statement.</w:t>
      </w:r>
    </w:p>
    <w:p>
      <w:pPr>
        <w:pStyle w:val="Heading2"/>
      </w:pPr>
      <w:bookmarkStart w:id="23" w:name="_Toc300000019"/>
      <w:r>
        <w:t xml:space="preserve">Physical damage cover</w:t>
      </w:r>
      <w:bookmarkEnd w:id="23"/>
    </w:p>
    <w:p>
      <w:pPr>
        <w:pStyle w:val="FirstParagraph"/>
      </w:pPr>
      <w:r>
        <w:t xml:space="preserve">A quote that contains</w:t>
      </w:r>
      <w:r>
        <w:t xml:space="preserve"> </w:t>
      </w:r>
      <w:r>
        <w:rPr>
          <w:rStyle w:val="CodeChar"/>
        </w:rPr>
        <w:t xml:space="preserve">MOTOR_PD</w:t>
      </w:r>
      <w:r>
        <w:t xml:space="preserve"> </w:t>
      </w:r>
      <w:r>
        <w:t xml:space="preserve">can be bound only after a TASCO assessor has recorded a passed inspection of the vehicle. Until then the order fails with</w:t>
      </w:r>
      <w:r>
        <w:t xml:space="preserve"> </w:t>
      </w:r>
      <w:r>
        <w:rPr>
          <w:rStyle w:val="CodeChar"/>
        </w:rPr>
        <w:t xml:space="preserve">422 BUSINESS_RULE_VIOLATION</w:t>
      </w:r>
      <w:r>
        <w:t xml:space="preserve"> </w:t>
      </w:r>
      <w:r>
        <w:t xml:space="preserve">and the message</w:t>
      </w:r>
      <w:r>
        <w:t xml:space="preserve"> </w:t>
      </w:r>
      <w:r>
        <w:t xml:space="preserve">“</w:t>
      </w:r>
      <w:r>
        <w:t xml:space="preserve">Physical damage cover needs a vehicle inspection first — a TASCO assessor will contact you</w:t>
      </w:r>
      <w:r>
        <w:t xml:space="preserve">”</w:t>
      </w:r>
      <w:r>
        <w:t xml:space="preserve">. Arrange the inspection through your partner manager, or quote</w:t>
      </w:r>
      <w:r>
        <w:t xml:space="preserve"> </w:t>
      </w:r>
      <w:r>
        <w:rPr>
          <w:rStyle w:val="CodeChar"/>
        </w:rPr>
        <w:t xml:space="preserve">TNDS_CAR</w:t>
      </w:r>
      <w:r>
        <w:t xml:space="preserve"> </w:t>
      </w:r>
      <w:r>
        <w:t xml:space="preserve">and</w:t>
      </w:r>
      <w:r>
        <w:t xml:space="preserve"> </w:t>
      </w:r>
      <w:r>
        <w:rPr>
          <w:rStyle w:val="CodeChar"/>
        </w:rPr>
        <w:t xml:space="preserve">PA_SEAT</w:t>
      </w:r>
      <w:r>
        <w:t xml:space="preserve"> </w:t>
      </w:r>
      <w:r>
        <w:t xml:space="preserve">without</w:t>
      </w:r>
      <w:r>
        <w:t xml:space="preserve"> </w:t>
      </w:r>
      <w:r>
        <w:rPr>
          <w:rStyle w:val="CodeChar"/>
        </w:rPr>
        <w:t xml:space="preserve">MOTOR_PD</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Idempotency</w:t>
      </w:r>
      <w:bookmarkEnd w:id="24"/>
    </w:p>
    <w:p>
      <w:pPr>
        <w:pStyle w:val="FirstParagraph"/>
      </w:pPr>
      <w:r>
        <w:rPr>
          <w:rStyle w:val="CodeChar"/>
        </w:rPr>
        <w:t xml:space="preserve">POST /orders</w:t>
      </w:r>
      <w:r>
        <w:t xml:space="preserve"> </w:t>
      </w:r>
      <w:r>
        <w:t xml:space="preserve">must never issue a policy twice, even when your system retries after a timeout. The</w:t>
      </w:r>
      <w:r>
        <w:t xml:space="preserve"> </w:t>
      </w:r>
      <w:r>
        <w:rPr>
          <w:rStyle w:val="CodeChar"/>
        </w:rPr>
        <w:t xml:space="preserve">Idempotency-Key</w:t>
      </w:r>
      <w:r>
        <w:t xml:space="preserve"> </w:t>
      </w:r>
      <w:r>
        <w:t xml:space="preserve">makes that safe.</w:t>
      </w:r>
    </w:p>
    <w:p>
      <w:pPr>
        <w:pStyle w:val="Compact"/>
        <w:numPr>
          <w:ilvl w:val="0"/>
          <w:numId w:val="1004"/>
        </w:numPr>
      </w:pPr>
      <w:r>
        <w:t xml:space="preserve">Create one key per purchase attempt and store it with your order before you call.</w:t>
      </w:r>
    </w:p>
    <w:p>
      <w:pPr>
        <w:pStyle w:val="Compact"/>
        <w:numPr>
          <w:ilvl w:val="0"/>
          <w:numId w:val="1004"/>
        </w:numPr>
      </w:pPr>
      <w:r>
        <w:t xml:space="preserve">If you get no answer (timeout, dropped connection), send the same request with the same key. You get either the completed order with</w:t>
      </w:r>
      <w:r>
        <w:t xml:space="preserve"> </w:t>
      </w:r>
      <w:r>
        <w:rPr>
          <w:rStyle w:val="CodeChar"/>
        </w:rPr>
        <w:t xml:space="preserve">"idempotentReplay": true</w:t>
      </w:r>
      <w:r>
        <w:t xml:space="preserve"> </w:t>
      </w:r>
      <w:r>
        <w:t xml:space="preserve">(the</w:t>
      </w:r>
      <w:r>
        <w:t xml:space="preserve"> </w:t>
      </w:r>
      <w:r>
        <w:rPr>
          <w:rStyle w:val="CodeChar"/>
        </w:rPr>
        <w:t xml:space="preserve">policies</w:t>
      </w:r>
      <w:r>
        <w:t xml:space="preserve"> </w:t>
      </w:r>
      <w:r>
        <w:t xml:space="preserve">array is not repeated; read it with</w:t>
      </w:r>
      <w:r>
        <w:t xml:space="preserve"> </w:t>
      </w:r>
      <w:r>
        <w:rPr>
          <w:rStyle w:val="CodeChar"/>
        </w:rPr>
        <w:t xml:space="preserve">GET /policies</w:t>
      </w:r>
      <w:r>
        <w:t xml:space="preserve">), or</w:t>
      </w:r>
      <w:r>
        <w:t xml:space="preserve"> </w:t>
      </w:r>
      <w:r>
        <w:rPr>
          <w:rStyle w:val="CodeChar"/>
        </w:rPr>
        <w:t xml:space="preserve">409</w:t>
      </w:r>
      <w:r>
        <w:t xml:space="preserve"> </w:t>
      </w:r>
      <w:r>
        <w:t xml:space="preserve">if that attempt failed.</w:t>
      </w:r>
    </w:p>
    <w:p>
      <w:pPr>
        <w:pStyle w:val="Compact"/>
        <w:numPr>
          <w:ilvl w:val="0"/>
          <w:numId w:val="1004"/>
        </w:numPr>
      </w:pPr>
      <w:r>
        <w:t xml:space="preserve">After a definite failure, such as</w:t>
      </w:r>
      <w:r>
        <w:t xml:space="preserve"> </w:t>
      </w:r>
      <w:r>
        <w:rPr>
          <w:rStyle w:val="CodeChar"/>
        </w:rPr>
        <w:t xml:space="preserve">503</w:t>
      </w:r>
      <w:r>
        <w:t xml:space="preserve">, or</w:t>
      </w:r>
      <w:r>
        <w:t xml:space="preserve"> </w:t>
      </w:r>
      <w:r>
        <w:rPr>
          <w:rStyle w:val="CodeChar"/>
        </w:rPr>
        <w:t xml:space="preserve">409</w:t>
      </w:r>
      <w:r>
        <w:t xml:space="preserve"> </w:t>
      </w:r>
      <w:r>
        <w:t xml:space="preserve">“</w:t>
      </w:r>
      <w:r>
        <w:t xml:space="preserve">A previous attempt with this Idempotency-Key ended as … — retry with a new key</w:t>
      </w:r>
      <w:r>
        <w:t xml:space="preserve">”</w:t>
      </w:r>
      <w:r>
        <w:t xml:space="preserve">, retry with a new key. The quote is released after a failure, as long as it has not expired.</w:t>
      </w:r>
    </w:p>
    <w:p>
      <w:pPr>
        <w:pStyle w:val="Compact"/>
        <w:numPr>
          <w:ilvl w:val="0"/>
          <w:numId w:val="1004"/>
        </w:numPr>
      </w:pPr>
      <w:r>
        <w:t xml:space="preserve">A second bind of a quote that is already bought gives</w:t>
      </w:r>
      <w:r>
        <w:t xml:space="preserve"> </w:t>
      </w:r>
      <w:r>
        <w:rPr>
          <w:rStyle w:val="CodeChar"/>
        </w:rPr>
        <w:t xml:space="preserve">422</w:t>
      </w:r>
      <w:r>
        <w:t xml:space="preserve"> </w:t>
      </w:r>
      <w:r>
        <w:t xml:space="preserve">“</w:t>
      </w:r>
      <w:r>
        <w:t xml:space="preserve">Quote is converted</w:t>
      </w:r>
      <w:r>
        <w:t xml:space="preserve">”</w:t>
      </w:r>
      <w:r>
        <w:t xml:space="preserve">.</w:t>
      </w:r>
    </w:p>
    <w:p>
      <w:pPr>
        <w:pStyle w:val="Compact"/>
        <w:numPr>
          <w:ilvl w:val="0"/>
          <w:numId w:val="1004"/>
        </w:numPr>
      </w:pPr>
      <w:r>
        <w:rPr>
          <w:rStyle w:val="CodeChar"/>
        </w:rPr>
        <w:t xml:space="preserve">409</w:t>
      </w:r>
      <w:r>
        <w:t xml:space="preserve"> </w:t>
      </w:r>
      <w:r>
        <w:t xml:space="preserve">“</w:t>
      </w:r>
      <w:r>
        <w:t xml:space="preserve">This quote is already being paid</w:t>
      </w:r>
      <w:r>
        <w:t xml:space="preserve">”</w:t>
      </w:r>
      <w:r>
        <w:t xml:space="preserve"> </w:t>
      </w:r>
      <w:r>
        <w:t xml:space="preserve">means another request is binding the same quote at that moment. Wait, then check</w:t>
      </w:r>
      <w:r>
        <w:t xml:space="preserve"> </w:t>
      </w:r>
      <w:r>
        <w:rPr>
          <w:rStyle w:val="CodeChar"/>
        </w:rPr>
        <w:t xml:space="preserve">GET /policies</w:t>
      </w:r>
      <w:r>
        <w:t xml:space="preserve"> </w:t>
      </w:r>
      <w:r>
        <w:t xml:space="preserve">before retrying.</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List your policies</w:t>
      </w:r>
      <w:bookmarkEnd w:id="25"/>
    </w:p>
    <w:p>
      <w:pPr>
        <w:pStyle w:val="FirstParagraph"/>
      </w:pPr>
      <w:r>
        <w:rPr>
          <w:rStyle w:val="CodeChar"/>
        </w:rPr>
        <w:t xml:space="preserve">GET /api/partner/v1/policies</w:t>
      </w:r>
      <w:r>
        <w:t xml:space="preserve"> </w:t>
      </w:r>
      <w:r>
        <w:t xml:space="preserve">returns the policies sold through your partner account, newest expiry first. It needs the</w:t>
      </w:r>
      <w:r>
        <w:t xml:space="preserve"> </w:t>
      </w:r>
      <w:r>
        <w:rPr>
          <w:rStyle w:val="CodeChar"/>
        </w:rPr>
        <w:t xml:space="preserve">policies:read</w:t>
      </w:r>
      <w:r>
        <w:t xml:space="preserve"> </w:t>
      </w:r>
      <w:r>
        <w:t xml:space="preserve">scope.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518"/>
        <w:gridCol w:w="4528"/>
        <w:gridCol w:w="1981"/>
      </w:tblGrid>
      <w:tr>
        <w:trPr>
          <w:cantSplit/>
          <w:tblHeader/>
        </w:trPr>
        <w:tc>
          <w:tcPr>
            <w:tcW w:w="2518" w:type="dxa"/>
            <w:shd w:val="clear" w:color="auto" w:fill="0F4761"/>
            <w:vAlign w:val="center"/>
          </w:tcPr>
          <w:p>
            <w:pPr>
              <w:pStyle w:val="TableHeading"/>
              <w:jc w:val="left"/>
            </w:pPr>
            <w:r>
              <w:rPr>
                <w:color w:val="FFFFFF"/>
              </w:rPr>
              <w:t xml:space="preserve">Query parameter</w:t>
            </w:r>
          </w:p>
        </w:tc>
        <w:tc>
          <w:tcPr>
            <w:tcW w:w="4528" w:type="dxa"/>
            <w:shd w:val="clear" w:color="auto" w:fill="0F4761"/>
            <w:vAlign w:val="center"/>
          </w:tcPr>
          <w:p>
            <w:pPr>
              <w:pStyle w:val="TableHeading"/>
              <w:jc w:val="left"/>
            </w:pPr>
            <w:r>
              <w:rPr>
                <w:color w:val="FFFFFF"/>
              </w:rPr>
              <w:t xml:space="preserve">Type</w:t>
            </w:r>
          </w:p>
        </w:tc>
        <w:tc>
          <w:tcPr>
            <w:tcW w:w="1981" w:type="dxa"/>
            <w:shd w:val="clear" w:color="auto" w:fill="0F4761"/>
            <w:vAlign w:val="center"/>
          </w:tcPr>
          <w:p>
            <w:pPr>
              <w:pStyle w:val="TableHeading"/>
              <w:jc w:val="left"/>
            </w:pPr>
            <w:r>
              <w:rPr>
                <w:color w:val="FFFFFF"/>
              </w:rPr>
              <w:t xml:space="preserve">Default</w:t>
            </w:r>
          </w:p>
        </w:tc>
      </w:tr>
      <w:tr>
        <w:trPr>
          <w:cantSplit/>
        </w:trPr>
        <w:tc>
          <w:tcPr>
            <w:tcW w:w="2518" w:type="dxa"/>
            <w:vAlign w:val="top"/>
          </w:tcPr>
          <w:p>
            <w:pPr>
              <w:pStyle w:val="TableText"/>
              <w:jc w:val="left"/>
            </w:pPr>
            <w:r>
              <w:rPr>
                <w:rStyle w:val="CodeChar"/>
              </w:rPr>
              <w:t xml:space="preserve">limit</w:t>
            </w:r>
          </w:p>
        </w:tc>
        <w:tc>
          <w:tcPr>
            <w:tcW w:w="4528" w:type="dxa"/>
            <w:vAlign w:val="top"/>
          </w:tcPr>
          <w:p>
            <w:pPr>
              <w:pStyle w:val="TableText"/>
              <w:jc w:val="left"/>
            </w:pPr>
            <w:r>
              <w:t xml:space="preserve">integer, 1 to 500</w:t>
            </w:r>
          </w:p>
        </w:tc>
        <w:tc>
          <w:tcPr>
            <w:tcW w:w="1981" w:type="dxa"/>
            <w:vAlign w:val="top"/>
          </w:tcPr>
          <w:p>
            <w:pPr>
              <w:pStyle w:val="TableText"/>
              <w:jc w:val="left"/>
            </w:pPr>
            <w:r>
              <w:t xml:space="preserve">50</w:t>
            </w:r>
          </w:p>
        </w:tc>
      </w:tr>
      <w:tr>
        <w:trPr>
          <w:cantSplit/>
        </w:trPr>
        <w:tc>
          <w:tcPr>
            <w:tcW w:w="2518" w:type="dxa"/>
            <w:shd w:val="clear" w:color="auto" w:fill="F4F7FB"/>
            <w:vAlign w:val="top"/>
          </w:tcPr>
          <w:p>
            <w:pPr>
              <w:pStyle w:val="TableText"/>
              <w:jc w:val="left"/>
            </w:pPr>
            <w:r>
              <w:rPr>
                <w:rStyle w:val="CodeChar"/>
              </w:rPr>
              <w:t xml:space="preserve">offset</w:t>
            </w:r>
          </w:p>
        </w:tc>
        <w:tc>
          <w:tcPr>
            <w:tcW w:w="4528" w:type="dxa"/>
            <w:shd w:val="clear" w:color="auto" w:fill="F4F7FB"/>
            <w:vAlign w:val="top"/>
          </w:tcPr>
          <w:p>
            <w:pPr>
              <w:pStyle w:val="TableText"/>
              <w:jc w:val="left"/>
            </w:pPr>
            <w:r>
              <w:t xml:space="preserve">integer, 0 or more</w:t>
            </w:r>
          </w:p>
        </w:tc>
        <w:tc>
          <w:tcPr>
            <w:tcW w:w="1981" w:type="dxa"/>
            <w:shd w:val="clear" w:color="auto" w:fill="F4F7FB"/>
            <w:vAlign w:val="top"/>
          </w:tcPr>
          <w:p>
            <w:pPr>
              <w:pStyle w:val="TableText"/>
              <w:jc w:val="left"/>
            </w:pPr>
            <w:r>
              <w:t xml:space="preserve">0</w:t>
            </w:r>
          </w:p>
        </w:tc>
      </w:tr>
    </w:tbl>
    <w:p>
      <w:pPr>
        <w:pStyle w:val="CodeBlock"/>
        <w:spacing w:before="160"/>
      </w:pPr>
      <w:r>
        <w:t xml:space="preserve">curl -sS "$BASE/api/partner/v1/policies?limit=100&amp;offset=0" -H "X-Api-Key: $KEY"</w:t>
      </w:r>
    </w:p>
    <w:p>
      <w:pPr>
        <w:pStyle w:val="BodyText"/>
      </w:pPr>
      <w:r>
        <w:t xml:space="preserve">The response is a JSON array of policies, with the fields shown in the bind response plus</w:t>
      </w:r>
      <w:r>
        <w:t xml:space="preserve"> </w:t>
      </w:r>
      <w:r>
        <w:rPr>
          <w:rStyle w:val="CodeChar"/>
        </w:rPr>
        <w:t xml:space="preserve">premiumNet</w:t>
      </w:r>
      <w:r>
        <w:t xml:space="preserve">,</w:t>
      </w:r>
      <w:r>
        <w:t xml:space="preserve"> </w:t>
      </w:r>
      <w:r>
        <w:rPr>
          <w:rStyle w:val="CodeChar"/>
        </w:rPr>
        <w:t xml:space="preserve">vat</w:t>
      </w:r>
      <w:r>
        <w:t xml:space="preserve">,</w:t>
      </w:r>
      <w:r>
        <w:t xml:space="preserve"> </w:t>
      </w:r>
      <w:r>
        <w:rPr>
          <w:rStyle w:val="CodeChar"/>
        </w:rPr>
        <w:t xml:space="preserve">channel</w:t>
      </w:r>
      <w:r>
        <w:t xml:space="preserve">,</w:t>
      </w:r>
      <w:r>
        <w:t xml:space="preserve"> </w:t>
      </w:r>
      <w:r>
        <w:rPr>
          <w:rStyle w:val="CodeChar"/>
        </w:rPr>
        <w:t xml:space="preserve">orderId</w:t>
      </w:r>
      <w:r>
        <w:t xml:space="preserve">,</w:t>
      </w:r>
      <w:r>
        <w:t xml:space="preserve"> </w:t>
      </w:r>
      <w:r>
        <w:rPr>
          <w:rStyle w:val="CodeChar"/>
        </w:rPr>
        <w:t xml:space="preserve">issuedAt</w:t>
      </w:r>
      <w:r>
        <w:t xml:space="preserve"> </w:t>
      </w:r>
      <w:r>
        <w:t xml:space="preserve">and</w:t>
      </w:r>
      <w:r>
        <w:t xml:space="preserve"> </w:t>
      </w:r>
      <w:r>
        <w:rPr>
          <w:rStyle w:val="CodeChar"/>
        </w:rPr>
        <w:t xml:space="preserve">insurer</w:t>
      </w:r>
      <w:r>
        <w:t xml:space="preserve">:</w:t>
      </w:r>
    </w:p>
    <w:p>
      <w:pPr>
        <w:pStyle w:val="CodeBlock"/>
      </w:pPr>
      <w:r>
        <w:t xml:space="preserve">[</w:t>
      </w:r>
      <w:r>
        <w:br/>
      </w:r>
      <w:r>
        <w:t xml:space="preserve">  {</w:t>
      </w:r>
      <w:r>
        <w:br/>
      </w:r>
      <w:r>
        <w:t xml:space="preserve">    "certNo": "TAS-PASEAT-2026-100002",</w:t>
      </w:r>
      <w:r>
        <w:br/>
      </w:r>
      <w:r>
        <w:t xml:space="preserve">    "policyNo": "POL-100002",</w:t>
      </w:r>
      <w:r>
        <w:br/>
      </w:r>
      <w:r>
        <w:t xml:space="preserve">    "plate": "51K-888.21",</w:t>
      </w:r>
      <w:r>
        <w:br/>
      </w:r>
      <w:r>
        <w:t xml:space="preserve">    "product": "PA_SEAT",</w:t>
      </w:r>
      <w:r>
        <w:br/>
      </w:r>
      <w:r>
        <w:t xml:space="preserve">    "startDate": "2026-10-07",</w:t>
      </w:r>
      <w:r>
        <w:br/>
      </w:r>
      <w:r>
        <w:t xml:space="preserve">    "endDate": "2027-10-07",</w:t>
      </w:r>
      <w:r>
        <w:br/>
      </w:r>
      <w:r>
        <w:t xml:space="preserve">    "premiumNet": 100000,</w:t>
      </w:r>
      <w:r>
        <w:br/>
      </w:r>
      <w:r>
        <w:t xml:space="preserve">    "vat": 0,</w:t>
      </w:r>
      <w:r>
        <w:br/>
      </w:r>
      <w:r>
        <w:t xml:space="preserve">    "total": 100000,</w:t>
      </w:r>
      <w:r>
        <w:br/>
      </w:r>
      <w:r>
        <w:t xml:space="preserve">    "status": "active",</w:t>
      </w:r>
      <w:r>
        <w:br/>
      </w:r>
      <w:r>
        <w:t xml:space="preserve">    "orderId": "O-e740b421fc4bf21e5f02",</w:t>
      </w:r>
      <w:r>
        <w:br/>
      </w:r>
      <w:r>
        <w:t xml:space="preserve">    "certificateUrl": "https://&lt;platform-host&gt;/verify/TAS-PASEAT-2026-100002",</w:t>
      </w:r>
      <w:r>
        <w:br/>
      </w:r>
      <w:r>
        <w:t xml:space="preserve">    "issuedAt": "2026-10-07T03:13:02.511Z",</w:t>
      </w:r>
      <w:r>
        <w:br/>
      </w:r>
      <w:r>
        <w:t xml:space="preserve">    "insurer": "TASCO"</w:t>
      </w:r>
      <w:r>
        <w:br/>
      </w:r>
      <w:r>
        <w:t xml:space="preserve">  }</w:t>
      </w:r>
      <w:r>
        <w:br/>
      </w:r>
      <w:r>
        <w:t xml:space="preserve">]</w:t>
      </w:r>
    </w:p>
    <w:p>
      <w:pPr>
        <w:pStyle w:val="BodyText"/>
      </w:pPr>
      <w:r>
        <w:t xml:space="preserve">Page through with</w:t>
      </w:r>
      <w:r>
        <w:t xml:space="preserve"> </w:t>
      </w:r>
      <w:r>
        <w:rPr>
          <w:rStyle w:val="CodeChar"/>
        </w:rPr>
        <w:t xml:space="preserve">offset</w:t>
      </w:r>
      <w:r>
        <w:t xml:space="preserve"> </w:t>
      </w:r>
      <w:r>
        <w:t xml:space="preserve">until the array is shorter than</w:t>
      </w:r>
      <w:r>
        <w:t xml:space="preserve"> </w:t>
      </w:r>
      <w:r>
        <w:rPr>
          <w:rStyle w:val="CodeChar"/>
        </w:rPr>
        <w:t xml:space="preserve">limit</w:t>
      </w:r>
      <w:r>
        <w:t xml:space="preserv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6" w:name="_Toc300000022"/>
      <w:r>
        <w:rPr>
          <w:rStyle w:val="BookTitle"/>
          <w:bCs w:val="0"/>
          <w:i w:val="0"/>
          <w:iCs w:val="0"/>
          <w:spacing w:val="0"/>
        </w:rPr>
        <w:t xml:space="preserve">Read your commission statement</w:t>
      </w:r>
      <w:bookmarkEnd w:id="26"/>
    </w:p>
    <w:p>
      <w:pPr>
        <w:pStyle w:val="FirstParagraph"/>
      </w:pPr>
      <w:r>
        <w:rPr>
          <w:rStyle w:val="CodeChar"/>
        </w:rPr>
        <w:t xml:space="preserve">GET /api/partner/v1/statement</w:t>
      </w:r>
      <w:r>
        <w:t xml:space="preserve"> </w:t>
      </w:r>
      <w:r>
        <w:t xml:space="preserve">returns the commission on your completed orders for a period. It needs the</w:t>
      </w:r>
      <w:r>
        <w:t xml:space="preserve"> </w:t>
      </w:r>
      <w:r>
        <w:rPr>
          <w:rStyle w:val="CodeChar"/>
        </w:rPr>
        <w:t xml:space="preserve">policies:read</w:t>
      </w:r>
      <w:r>
        <w:t xml:space="preserve"> </w:t>
      </w:r>
      <w:r>
        <w:t xml:space="preserve">scope.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968"/>
        <w:gridCol w:w="1071"/>
        <w:gridCol w:w="5988"/>
      </w:tblGrid>
      <w:tr>
        <w:trPr>
          <w:cantSplit/>
          <w:tblHeader/>
        </w:trPr>
        <w:tc>
          <w:tcPr>
            <w:tcW w:w="1968" w:type="dxa"/>
            <w:shd w:val="clear" w:color="auto" w:fill="0F4761"/>
            <w:vAlign w:val="center"/>
          </w:tcPr>
          <w:p>
            <w:pPr>
              <w:pStyle w:val="TableHeading"/>
              <w:jc w:val="left"/>
            </w:pPr>
            <w:r>
              <w:rPr>
                <w:color w:val="FFFFFF"/>
              </w:rPr>
              <w:t xml:space="preserve">Query parameter</w:t>
            </w:r>
          </w:p>
        </w:tc>
        <w:tc>
          <w:tcPr>
            <w:tcW w:w="1071" w:type="dxa"/>
            <w:shd w:val="clear" w:color="auto" w:fill="0F4761"/>
            <w:vAlign w:val="center"/>
          </w:tcPr>
          <w:p>
            <w:pPr>
              <w:pStyle w:val="TableHeading"/>
              <w:jc w:val="left"/>
            </w:pPr>
            <w:r>
              <w:rPr>
                <w:color w:val="FFFFFF"/>
              </w:rPr>
              <w:t xml:space="preserve">Type</w:t>
            </w:r>
          </w:p>
        </w:tc>
        <w:tc>
          <w:tcPr>
            <w:tcW w:w="5988" w:type="dxa"/>
            <w:shd w:val="clear" w:color="auto" w:fill="0F4761"/>
            <w:vAlign w:val="center"/>
          </w:tcPr>
          <w:p>
            <w:pPr>
              <w:pStyle w:val="TableHeading"/>
              <w:jc w:val="left"/>
            </w:pPr>
            <w:r>
              <w:rPr>
                <w:color w:val="FFFFFF"/>
              </w:rPr>
              <w:t xml:space="preserve">Notes</w:t>
            </w:r>
          </w:p>
        </w:tc>
      </w:tr>
      <w:tr>
        <w:trPr>
          <w:cantSplit/>
        </w:trPr>
        <w:tc>
          <w:tcPr>
            <w:tcW w:w="1968" w:type="dxa"/>
            <w:vAlign w:val="top"/>
          </w:tcPr>
          <w:p>
            <w:pPr>
              <w:pStyle w:val="TableText"/>
              <w:jc w:val="left"/>
            </w:pPr>
            <w:r>
              <w:rPr>
                <w:rStyle w:val="CodeChar"/>
              </w:rPr>
              <w:t xml:space="preserve">from</w:t>
            </w:r>
          </w:p>
        </w:tc>
        <w:tc>
          <w:tcPr>
            <w:tcW w:w="1071" w:type="dxa"/>
            <w:vAlign w:val="top"/>
          </w:tcPr>
          <w:p>
            <w:pPr>
              <w:pStyle w:val="TableText"/>
              <w:jc w:val="left"/>
            </w:pPr>
            <w:r>
              <w:t xml:space="preserve">date</w:t>
            </w:r>
          </w:p>
        </w:tc>
        <w:tc>
          <w:tcPr>
            <w:tcW w:w="5988" w:type="dxa"/>
            <w:vAlign w:val="top"/>
          </w:tcPr>
          <w:p>
            <w:pPr>
              <w:pStyle w:val="TableText"/>
              <w:jc w:val="left"/>
            </w:pPr>
            <w:r>
              <w:t xml:space="preserve">Inclusive; compared with the order date</w:t>
            </w:r>
          </w:p>
        </w:tc>
      </w:tr>
      <w:tr>
        <w:trPr>
          <w:cantSplit/>
        </w:trPr>
        <w:tc>
          <w:tcPr>
            <w:tcW w:w="1968" w:type="dxa"/>
            <w:shd w:val="clear" w:color="auto" w:fill="F4F7FB"/>
            <w:vAlign w:val="top"/>
          </w:tcPr>
          <w:p>
            <w:pPr>
              <w:pStyle w:val="TableText"/>
              <w:jc w:val="left"/>
            </w:pPr>
            <w:r>
              <w:rPr>
                <w:rStyle w:val="CodeChar"/>
              </w:rPr>
              <w:t xml:space="preserve">to</w:t>
            </w:r>
          </w:p>
        </w:tc>
        <w:tc>
          <w:tcPr>
            <w:tcW w:w="1071" w:type="dxa"/>
            <w:shd w:val="clear" w:color="auto" w:fill="F4F7FB"/>
            <w:vAlign w:val="top"/>
          </w:tcPr>
          <w:p>
            <w:pPr>
              <w:pStyle w:val="TableText"/>
              <w:jc w:val="left"/>
            </w:pPr>
            <w:r>
              <w:t xml:space="preserve">date</w:t>
            </w:r>
          </w:p>
        </w:tc>
        <w:tc>
          <w:tcPr>
            <w:tcW w:w="5988" w:type="dxa"/>
            <w:shd w:val="clear" w:color="auto" w:fill="F4F7FB"/>
            <w:vAlign w:val="top"/>
          </w:tcPr>
          <w:p>
            <w:pPr>
              <w:pStyle w:val="TableText"/>
              <w:jc w:val="left"/>
            </w:pPr>
            <w:r>
              <w:t xml:space="preserve">Inclusive</w:t>
            </w:r>
          </w:p>
        </w:tc>
      </w:tr>
    </w:tbl>
    <w:p>
      <w:pPr>
        <w:pStyle w:val="CodeBlock"/>
        <w:spacing w:before="160"/>
      </w:pPr>
      <w:r>
        <w:t xml:space="preserve">curl -sS "$BASE/api/partner/v1/statement?from=2026-10-01&amp;to=2026-10-31" -H "X-Api-Key: $KEY"</w:t>
      </w:r>
    </w:p>
    <w:p>
      <w:pPr>
        <w:pStyle w:val="CodeBlock"/>
      </w:pPr>
      <w:r>
        <w:t xml:space="preserve">{</w:t>
      </w:r>
      <w:r>
        <w:br/>
      </w:r>
      <w:r>
        <w:t xml:space="preserve">  "partnerId": "P-BANK-01",</w:t>
      </w:r>
      <w:r>
        <w:br/>
      </w:r>
      <w:r>
        <w:t xml:space="preserve">  "from": "2026-10-01",</w:t>
      </w:r>
      <w:r>
        <w:br/>
      </w:r>
      <w:r>
        <w:t xml:space="preserve">  "to": "2026-10-31",</w:t>
      </w:r>
      <w:r>
        <w:br/>
      </w:r>
      <w:r>
        <w:t xml:space="preserve">  "orders": 1,</w:t>
      </w:r>
      <w:r>
        <w:br/>
      </w:r>
      <w:r>
        <w:t xml:space="preserve">  "totalCommission": 36850,</w:t>
      </w:r>
      <w:r>
        <w:br/>
      </w:r>
      <w:r>
        <w:t xml:space="preserve">  "lines": [</w:t>
      </w:r>
      <w:r>
        <w:br/>
      </w:r>
      <w:r>
        <w:t xml:space="preserve">    { "orderId": "O-e740b421fc4bf21e5f02", "date": "2026-10-07", "product": "TNDS_CAR", "rate": 0.05, "amount": 21850, "capped": false },</w:t>
      </w:r>
      <w:r>
        <w:br/>
      </w:r>
      <w:r>
        <w:t xml:space="preserve">    { "orderId": "O-e740b421fc4bf21e5f02", "date": "2026-10-07", "product": "PA_SEAT", "rate": 0.15, "amount": 15000, "capped": false }</w:t>
      </w:r>
      <w:r>
        <w:br/>
      </w:r>
      <w:r>
        <w:t xml:space="preserve">  ],</w:t>
      </w:r>
      <w:r>
        <w:br/>
      </w:r>
      <w:r>
        <w:t xml:space="preserve">  "byOrder": [</w:t>
      </w:r>
      <w:r>
        <w:br/>
      </w:r>
      <w:r>
        <w:t xml:space="preserve">    {</w:t>
      </w:r>
      <w:r>
        <w:br/>
      </w:r>
      <w:r>
        <w:t xml:space="preserve">      "orderId": "O-e740b421fc4bf21e5f02",</w:t>
      </w:r>
      <w:r>
        <w:br/>
      </w:r>
      <w:r>
        <w:t xml:space="preserve">      "date": "2026-10-07",</w:t>
      </w:r>
      <w:r>
        <w:br/>
      </w:r>
      <w:r>
        <w:t xml:space="preserve">      "products": ["TNDS_CAR", "PA_SEAT"],</w:t>
      </w:r>
      <w:r>
        <w:br/>
      </w:r>
      <w:r>
        <w:t xml:space="preserve">      "subtotal": 36850,</w:t>
      </w:r>
      <w:r>
        <w:br/>
      </w:r>
      <w:r>
        <w:t xml:space="preserve">      "certificates": ["TAS-TNDSCA-2026-100001", "TAS-PASEAT-2026-100002"],</w:t>
      </w:r>
      <w:r>
        <w:br/>
      </w:r>
      <w:r>
        <w:t xml:space="preserve">      "premium": 580700</w:t>
      </w:r>
      <w:r>
        <w:br/>
      </w:r>
      <w:r>
        <w:t xml:space="preserve">    }</w:t>
      </w:r>
      <w:r>
        <w:br/>
      </w:r>
      <w:r>
        <w:t xml:space="preserve">  ]</w:t>
      </w:r>
      <w:r>
        <w:br/>
      </w:r>
      <w:r>
        <w:t xml:space="preserve">}</w:t>
      </w:r>
    </w:p>
    <w:p>
      <w:pPr>
        <w:pStyle w:val="BodyText"/>
      </w:pPr>
      <w:r>
        <w:rPr>
          <w:rStyle w:val="CodeChar"/>
        </w:rPr>
        <w:t xml:space="preserve">lines</w:t>
      </w:r>
      <w:r>
        <w:t xml:space="preserve"> </w:t>
      </w:r>
      <w:r>
        <w:t xml:space="preserve">has one row per product;</w:t>
      </w:r>
      <w:r>
        <w:t xml:space="preserve"> </w:t>
      </w:r>
      <w:r>
        <w:rPr>
          <w:rStyle w:val="CodeChar"/>
        </w:rPr>
        <w:t xml:space="preserve">byOrder</w:t>
      </w:r>
      <w:r>
        <w:t xml:space="preserve"> </w:t>
      </w:r>
      <w:r>
        <w:t xml:space="preserve">groups them per order with the certificates and the premium collected. Only completed orders appear. This is the same statement your partner manager sees in the console.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7" w:name="_Toc300000023"/>
      <w:r>
        <w:rPr>
          <w:rStyle w:val="BookTitle"/>
          <w:bCs w:val="0"/>
          <w:i w:val="0"/>
          <w:iCs w:val="0"/>
          <w:spacing w:val="0"/>
        </w:rPr>
        <w:t xml:space="preserve">Errors</w:t>
      </w:r>
      <w:bookmarkEnd w:id="27"/>
    </w:p>
    <w:p>
      <w:pPr>
        <w:pStyle w:val="FirstParagraph"/>
      </w:pPr>
      <w:r>
        <w:t xml:space="preserve">Every error has the same shape:</w:t>
      </w:r>
    </w:p>
    <w:p>
      <w:pPr>
        <w:pStyle w:val="CodeBlock"/>
      </w:pPr>
      <w:r>
        <w:t xml:space="preserve">{</w:t>
      </w:r>
      <w:r>
        <w:br/>
      </w:r>
      <w:r>
        <w:t xml:space="preserve">  "error": {</w:t>
      </w:r>
      <w:r>
        <w:br/>
      </w:r>
      <w:r>
        <w:t xml:space="preserve">    "code": "VALIDATION_FAILED",</w:t>
      </w:r>
      <w:r>
        <w:br/>
      </w:r>
      <w:r>
        <w:t xml:space="preserve">    "message": "Request validation failed",</w:t>
      </w:r>
      <w:r>
        <w:br/>
      </w:r>
      <w:r>
        <w:t xml:space="preserve">    "details": ["products is required"],</w:t>
      </w:r>
      <w:r>
        <w:br/>
      </w:r>
      <w:r>
        <w:t xml:space="preserve">    "requestId": "bank01-req-000123"</w:t>
      </w:r>
      <w:r>
        <w:br/>
      </w:r>
      <w:r>
        <w:t xml:space="preserve">  }</w:t>
      </w:r>
      <w:r>
        <w:br/>
      </w:r>
      <w:r>
        <w:t xml:space="preserve">}</w:t>
      </w:r>
    </w:p>
    <w:p>
      <w:pPr>
        <w:pStyle w:val="Compact"/>
        <w:numPr>
          <w:ilvl w:val="0"/>
          <w:numId w:val="1005"/>
        </w:numPr>
      </w:pPr>
      <w:r>
        <w:rPr>
          <w:rStyle w:val="CodeChar"/>
        </w:rPr>
        <w:t xml:space="preserve">requestId</w:t>
      </w:r>
      <w:r>
        <w:t xml:space="preserve"> </w:t>
      </w:r>
      <w:r>
        <w:t xml:space="preserve">repeats your</w:t>
      </w:r>
      <w:r>
        <w:t xml:space="preserve"> </w:t>
      </w:r>
      <w:r>
        <w:rPr>
          <w:rStyle w:val="CodeChar"/>
        </w:rPr>
        <w:t xml:space="preserve">X-Request-Id</w:t>
      </w:r>
      <w:r>
        <w:t xml:space="preserve"> </w:t>
      </w:r>
      <w:r>
        <w:t xml:space="preserve">header (8 to 64 letters, digits,</w:t>
      </w:r>
      <w:r>
        <w:t xml:space="preserve"> </w:t>
      </w:r>
      <w:r>
        <w:rPr>
          <w:rStyle w:val="CodeChar"/>
        </w:rPr>
        <w:t xml:space="preserve">_</w:t>
      </w:r>
      <w:r>
        <w:t xml:space="preserve"> </w:t>
      </w:r>
      <w:r>
        <w:t xml:space="preserve">or</w:t>
      </w:r>
      <w:r>
        <w:t xml:space="preserve"> </w:t>
      </w:r>
      <w:r>
        <w:rPr>
          <w:rStyle w:val="CodeChar"/>
        </w:rPr>
        <w:t xml:space="preserve">-</w:t>
      </w:r>
      <w:r>
        <w:t xml:space="preserve">), or is generated when you send none. It is also returned in the</w:t>
      </w:r>
      <w:r>
        <w:t xml:space="preserve"> </w:t>
      </w:r>
      <w:r>
        <w:rPr>
          <w:rStyle w:val="CodeChar"/>
        </w:rPr>
        <w:t xml:space="preserve">X-Request-Id</w:t>
      </w:r>
      <w:r>
        <w:t xml:space="preserve"> </w:t>
      </w:r>
      <w:r>
        <w:t xml:space="preserve">response header. Log it and quote it to support.</w:t>
      </w:r>
    </w:p>
    <w:p>
      <w:pPr>
        <w:pStyle w:val="Compact"/>
        <w:numPr>
          <w:ilvl w:val="0"/>
          <w:numId w:val="1005"/>
        </w:numPr>
      </w:pPr>
      <w:r>
        <w:rPr>
          <w:rStyle w:val="CodeChar"/>
        </w:rPr>
        <w:t xml:space="preserve">details</w:t>
      </w:r>
      <w:r>
        <w:t xml:space="preserve"> </w:t>
      </w:r>
      <w:r>
        <w:t xml:space="preserve">lists field-level problems for validation errors.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728"/>
        <w:gridCol w:w="2954"/>
        <w:gridCol w:w="3212"/>
        <w:gridCol w:w="2133"/>
      </w:tblGrid>
      <w:tr>
        <w:trPr>
          <w:cantSplit/>
          <w:tblHeader/>
        </w:trPr>
        <w:tc>
          <w:tcPr>
            <w:tcW w:w="728" w:type="dxa"/>
            <w:shd w:val="clear" w:color="auto" w:fill="0F4761"/>
            <w:vAlign w:val="center"/>
          </w:tcPr>
          <w:p>
            <w:pPr>
              <w:pStyle w:val="TableHeading"/>
              <w:jc w:val="left"/>
            </w:pPr>
            <w:r>
              <w:rPr>
                <w:color w:val="FFFFFF"/>
              </w:rPr>
              <w:t xml:space="preserve">HTTP</w:t>
            </w:r>
          </w:p>
        </w:tc>
        <w:tc>
          <w:tcPr>
            <w:tcW w:w="2954" w:type="dxa"/>
            <w:shd w:val="clear" w:color="auto" w:fill="0F4761"/>
            <w:vAlign w:val="center"/>
          </w:tcPr>
          <w:p>
            <w:pPr>
              <w:pStyle w:val="TableHeading"/>
              <w:jc w:val="left"/>
            </w:pPr>
            <w:r>
              <w:rPr>
                <w:color w:val="FFFFFF"/>
              </w:rPr>
              <w:t xml:space="preserve">Code</w:t>
            </w:r>
          </w:p>
        </w:tc>
        <w:tc>
          <w:tcPr>
            <w:tcW w:w="3212" w:type="dxa"/>
            <w:shd w:val="clear" w:color="auto" w:fill="0F4761"/>
            <w:vAlign w:val="center"/>
          </w:tcPr>
          <w:p>
            <w:pPr>
              <w:pStyle w:val="TableHeading"/>
              <w:jc w:val="left"/>
            </w:pPr>
            <w:r>
              <w:rPr>
                <w:color w:val="FFFFFF"/>
              </w:rPr>
              <w:t xml:space="preserve">Typical cause</w:t>
            </w:r>
          </w:p>
        </w:tc>
        <w:tc>
          <w:tcPr>
            <w:tcW w:w="2133" w:type="dxa"/>
            <w:shd w:val="clear" w:color="auto" w:fill="0F4761"/>
            <w:vAlign w:val="center"/>
          </w:tcPr>
          <w:p>
            <w:pPr>
              <w:pStyle w:val="TableHeading"/>
              <w:jc w:val="left"/>
            </w:pPr>
            <w:r>
              <w:rPr>
                <w:color w:val="FFFFFF"/>
              </w:rPr>
              <w:t xml:space="preserve">What to do</w:t>
            </w:r>
          </w:p>
        </w:tc>
      </w:tr>
      <w:tr>
        <w:trPr>
          <w:cantSplit/>
        </w:trPr>
        <w:tc>
          <w:tcPr>
            <w:tcW w:w="728" w:type="dxa"/>
            <w:vAlign w:val="top"/>
          </w:tcPr>
          <w:p>
            <w:pPr>
              <w:pStyle w:val="TableText"/>
              <w:jc w:val="left"/>
            </w:pPr>
            <w:r>
              <w:t xml:space="preserve">400</w:t>
            </w:r>
          </w:p>
        </w:tc>
        <w:tc>
          <w:tcPr>
            <w:tcW w:w="2954" w:type="dxa"/>
            <w:vAlign w:val="top"/>
          </w:tcPr>
          <w:p>
            <w:pPr>
              <w:pStyle w:val="TableText"/>
              <w:jc w:val="left"/>
            </w:pPr>
            <w:r>
              <w:rPr>
                <w:rStyle w:val="CodeChar"/>
              </w:rPr>
              <w:t xml:space="preserve">VALIDATION_FAILED</w:t>
            </w:r>
          </w:p>
        </w:tc>
        <w:tc>
          <w:tcPr>
            <w:tcW w:w="3212" w:type="dxa"/>
            <w:vAlign w:val="top"/>
          </w:tcPr>
          <w:p>
            <w:pPr>
              <w:pStyle w:val="TableText"/>
              <w:jc w:val="left"/>
            </w:pPr>
            <w:r>
              <w:t xml:space="preserve">Missing or invalid field; invalid plate or phone; missing or malformed</w:t>
            </w:r>
            <w:r>
              <w:t xml:space="preserve"> </w:t>
            </w:r>
            <w:r>
              <w:rPr>
                <w:rStyle w:val="CodeChar"/>
              </w:rPr>
              <w:t xml:space="preserve">Idempotency-Key</w:t>
            </w:r>
            <w:r>
              <w:t xml:space="preserve">; unknown product; unsupported sum insured or deductible; malformed JSON</w:t>
            </w:r>
          </w:p>
        </w:tc>
        <w:tc>
          <w:tcPr>
            <w:tcW w:w="2133" w:type="dxa"/>
            <w:vAlign w:val="top"/>
          </w:tcPr>
          <w:p>
            <w:pPr>
              <w:pStyle w:val="TableText"/>
              <w:jc w:val="left"/>
            </w:pPr>
            <w:r>
              <w:t xml:space="preserve">Fix the request; do not retry it unchanged</w:t>
            </w:r>
          </w:p>
        </w:tc>
      </w:tr>
      <w:tr>
        <w:trPr>
          <w:cantSplit/>
        </w:trPr>
        <w:tc>
          <w:tcPr>
            <w:tcW w:w="728" w:type="dxa"/>
            <w:shd w:val="clear" w:color="auto" w:fill="F4F7FB"/>
            <w:vAlign w:val="top"/>
          </w:tcPr>
          <w:p>
            <w:pPr>
              <w:pStyle w:val="TableText"/>
              <w:jc w:val="left"/>
            </w:pPr>
            <w:r>
              <w:t xml:space="preserve">401</w:t>
            </w:r>
          </w:p>
        </w:tc>
        <w:tc>
          <w:tcPr>
            <w:tcW w:w="2954" w:type="dxa"/>
            <w:shd w:val="clear" w:color="auto" w:fill="F4F7FB"/>
            <w:vAlign w:val="top"/>
          </w:tcPr>
          <w:p>
            <w:pPr>
              <w:pStyle w:val="TableText"/>
              <w:jc w:val="left"/>
            </w:pPr>
            <w:r>
              <w:rPr>
                <w:rStyle w:val="CodeChar"/>
              </w:rPr>
              <w:t xml:space="preserve">UNAUTHENTICATED</w:t>
            </w:r>
          </w:p>
        </w:tc>
        <w:tc>
          <w:tcPr>
            <w:tcW w:w="3212" w:type="dxa"/>
            <w:shd w:val="clear" w:color="auto" w:fill="F4F7FB"/>
            <w:vAlign w:val="top"/>
          </w:tcPr>
          <w:p>
            <w:pPr>
              <w:pStyle w:val="TableText"/>
              <w:jc w:val="left"/>
            </w:pPr>
            <w:r>
              <w:t xml:space="preserve">Missing, wrong, revoked or expired key; suspended partner</w:t>
            </w:r>
          </w:p>
        </w:tc>
        <w:tc>
          <w:tcPr>
            <w:tcW w:w="2133" w:type="dxa"/>
            <w:shd w:val="clear" w:color="auto" w:fill="F4F7FB"/>
            <w:vAlign w:val="top"/>
          </w:tcPr>
          <w:p>
            <w:pPr>
              <w:pStyle w:val="TableText"/>
              <w:jc w:val="left"/>
            </w:pPr>
            <w:r>
              <w:t xml:space="preserve">Check the key; contact your partner manager</w:t>
            </w:r>
          </w:p>
        </w:tc>
      </w:tr>
      <w:tr>
        <w:trPr>
          <w:cantSplit/>
        </w:trPr>
        <w:tc>
          <w:tcPr>
            <w:tcW w:w="728" w:type="dxa"/>
            <w:vAlign w:val="top"/>
          </w:tcPr>
          <w:p>
            <w:pPr>
              <w:pStyle w:val="TableText"/>
              <w:jc w:val="left"/>
            </w:pPr>
            <w:r>
              <w:t xml:space="preserve">403</w:t>
            </w:r>
          </w:p>
        </w:tc>
        <w:tc>
          <w:tcPr>
            <w:tcW w:w="2954" w:type="dxa"/>
            <w:vAlign w:val="top"/>
          </w:tcPr>
          <w:p>
            <w:pPr>
              <w:pStyle w:val="TableText"/>
              <w:jc w:val="left"/>
            </w:pPr>
            <w:r>
              <w:rPr>
                <w:rStyle w:val="CodeChar"/>
              </w:rPr>
              <w:t xml:space="preserve">FORBIDDEN</w:t>
            </w:r>
          </w:p>
        </w:tc>
        <w:tc>
          <w:tcPr>
            <w:tcW w:w="3212" w:type="dxa"/>
            <w:vAlign w:val="top"/>
          </w:tcPr>
          <w:p>
            <w:pPr>
              <w:pStyle w:val="TableText"/>
              <w:jc w:val="left"/>
            </w:pPr>
            <w:r>
              <w:t xml:space="preserve">Key lacks the scope; browser origin not allowed</w:t>
            </w:r>
          </w:p>
        </w:tc>
        <w:tc>
          <w:tcPr>
            <w:tcW w:w="2133" w:type="dxa"/>
            <w:vAlign w:val="top"/>
          </w:tcPr>
          <w:p>
            <w:pPr>
              <w:pStyle w:val="TableText"/>
              <w:jc w:val="left"/>
            </w:pPr>
            <w:r>
              <w:t xml:space="preserve">Ask for the right scope; call from your server</w:t>
            </w:r>
          </w:p>
        </w:tc>
      </w:tr>
      <w:tr>
        <w:trPr>
          <w:cantSplit/>
        </w:trPr>
        <w:tc>
          <w:tcPr>
            <w:tcW w:w="728" w:type="dxa"/>
            <w:shd w:val="clear" w:color="auto" w:fill="F4F7FB"/>
            <w:vAlign w:val="top"/>
          </w:tcPr>
          <w:p>
            <w:pPr>
              <w:pStyle w:val="TableText"/>
              <w:jc w:val="left"/>
            </w:pPr>
            <w:r>
              <w:t xml:space="preserve">404</w:t>
            </w:r>
          </w:p>
        </w:tc>
        <w:tc>
          <w:tcPr>
            <w:tcW w:w="2954" w:type="dxa"/>
            <w:shd w:val="clear" w:color="auto" w:fill="F4F7FB"/>
            <w:noWrap/>
            <w:vAlign w:val="top"/>
          </w:tcPr>
          <w:p>
            <w:pPr>
              <w:pStyle w:val="TableText"/>
              <w:jc w:val="left"/>
            </w:pPr>
            <w:r>
              <w:rPr>
                <w:rStyle w:val="CodeChar"/>
              </w:rPr>
              <w:t xml:space="preserve">NOT_FOUND</w:t>
            </w:r>
          </w:p>
        </w:tc>
        <w:tc>
          <w:tcPr>
            <w:tcW w:w="3212" w:type="dxa"/>
            <w:shd w:val="clear" w:color="auto" w:fill="F4F7FB"/>
            <w:vAlign w:val="top"/>
          </w:tcPr>
          <w:p>
            <w:pPr>
              <w:pStyle w:val="TableText"/>
              <w:jc w:val="left"/>
            </w:pPr>
            <w:r>
              <w:t xml:space="preserve">Quote not found or created by another partner; wrong path</w:t>
            </w:r>
          </w:p>
        </w:tc>
        <w:tc>
          <w:tcPr>
            <w:tcW w:w="2133" w:type="dxa"/>
            <w:shd w:val="clear" w:color="auto" w:fill="F4F7FB"/>
            <w:vAlign w:val="top"/>
          </w:tcPr>
          <w:p>
            <w:pPr>
              <w:pStyle w:val="TableText"/>
              <w:jc w:val="left"/>
            </w:pPr>
            <w:r>
              <w:t xml:space="preserve">Check the ID and the path</w:t>
            </w:r>
          </w:p>
        </w:tc>
      </w:tr>
      <w:tr>
        <w:trPr>
          <w:cantSplit/>
        </w:trPr>
        <w:tc>
          <w:tcPr>
            <w:tcW w:w="728" w:type="dxa"/>
            <w:vAlign w:val="top"/>
          </w:tcPr>
          <w:p>
            <w:pPr>
              <w:pStyle w:val="TableText"/>
              <w:jc w:val="left"/>
            </w:pPr>
            <w:r>
              <w:t xml:space="preserve">405</w:t>
            </w:r>
          </w:p>
        </w:tc>
        <w:tc>
          <w:tcPr>
            <w:tcW w:w="2954" w:type="dxa"/>
            <w:vAlign w:val="top"/>
          </w:tcPr>
          <w:p>
            <w:pPr>
              <w:pStyle w:val="TableText"/>
              <w:jc w:val="left"/>
            </w:pPr>
            <w:r>
              <w:rPr>
                <w:rStyle w:val="CodeChar"/>
              </w:rPr>
              <w:t xml:space="preserve">METHOD_NOT_ALLOWED</w:t>
            </w:r>
          </w:p>
        </w:tc>
        <w:tc>
          <w:tcPr>
            <w:tcW w:w="3212" w:type="dxa"/>
            <w:vAlign w:val="top"/>
          </w:tcPr>
          <w:p>
            <w:pPr>
              <w:pStyle w:val="TableText"/>
              <w:jc w:val="left"/>
            </w:pPr>
            <w:r>
              <w:t xml:space="preserve">Wrong HTTP method</w:t>
            </w:r>
          </w:p>
        </w:tc>
        <w:tc>
          <w:tcPr>
            <w:tcW w:w="2133" w:type="dxa"/>
            <w:vAlign w:val="top"/>
          </w:tcPr>
          <w:p>
            <w:pPr>
              <w:pStyle w:val="TableText"/>
              <w:jc w:val="left"/>
            </w:pPr>
            <w:r>
              <w:t xml:space="preserve">Fix the method</w:t>
            </w:r>
          </w:p>
        </w:tc>
      </w:tr>
      <w:tr>
        <w:trPr>
          <w:cantSplit/>
        </w:trPr>
        <w:tc>
          <w:tcPr>
            <w:tcW w:w="728" w:type="dxa"/>
            <w:shd w:val="clear" w:color="auto" w:fill="F4F7FB"/>
            <w:vAlign w:val="top"/>
          </w:tcPr>
          <w:p>
            <w:pPr>
              <w:pStyle w:val="TableText"/>
              <w:jc w:val="left"/>
            </w:pPr>
            <w:r>
              <w:t xml:space="preserve">409</w:t>
            </w:r>
          </w:p>
        </w:tc>
        <w:tc>
          <w:tcPr>
            <w:tcW w:w="2954" w:type="dxa"/>
            <w:shd w:val="clear" w:color="auto" w:fill="F4F7FB"/>
            <w:vAlign w:val="top"/>
          </w:tcPr>
          <w:p>
            <w:pPr>
              <w:pStyle w:val="TableText"/>
              <w:jc w:val="left"/>
            </w:pPr>
            <w:r>
              <w:rPr>
                <w:rStyle w:val="CodeChar"/>
              </w:rPr>
              <w:t xml:space="preserve">CONFLICT</w:t>
            </w:r>
          </w:p>
        </w:tc>
        <w:tc>
          <w:tcPr>
            <w:tcW w:w="3212" w:type="dxa"/>
            <w:shd w:val="clear" w:color="auto" w:fill="F4F7FB"/>
            <w:vAlign w:val="top"/>
          </w:tcPr>
          <w:p>
            <w:pPr>
              <w:pStyle w:val="TableText"/>
              <w:jc w:val="left"/>
            </w:pPr>
            <w:r>
              <w:t xml:space="preserve">Key of a failed attempt re-sent; quote being paid by another request</w:t>
            </w:r>
          </w:p>
        </w:tc>
        <w:tc>
          <w:tcPr>
            <w:tcW w:w="2133" w:type="dxa"/>
            <w:shd w:val="clear" w:color="auto" w:fill="F4F7FB"/>
            <w:vAlign w:val="top"/>
          </w:tcPr>
          <w:p>
            <w:pPr>
              <w:pStyle w:val="TableText"/>
              <w:jc w:val="left"/>
            </w:pPr>
            <w:r>
              <w:t xml:space="preserve">See</w:t>
            </w:r>
            <w:r>
              <w:t xml:space="preserve"> </w:t>
            </w:r>
            <w:r>
              <w:t xml:space="preserve">“</w:t>
            </w:r>
            <w:r>
              <w:t xml:space="preserve">Idempotency</w:t>
            </w:r>
            <w:r>
              <w:t xml:space="preserve">”</w:t>
            </w:r>
          </w:p>
        </w:tc>
      </w:tr>
      <w:tr>
        <w:trPr>
          <w:cantSplit/>
        </w:trPr>
        <w:tc>
          <w:tcPr>
            <w:tcW w:w="728" w:type="dxa"/>
            <w:vAlign w:val="top"/>
          </w:tcPr>
          <w:p>
            <w:pPr>
              <w:pStyle w:val="TableText"/>
              <w:jc w:val="left"/>
            </w:pPr>
            <w:r>
              <w:t xml:space="preserve">415</w:t>
            </w:r>
          </w:p>
        </w:tc>
        <w:tc>
          <w:tcPr>
            <w:tcW w:w="2954" w:type="dxa"/>
            <w:vAlign w:val="top"/>
          </w:tcPr>
          <w:p>
            <w:pPr>
              <w:pStyle w:val="TableText"/>
              <w:jc w:val="left"/>
            </w:pPr>
            <w:r>
              <w:rPr>
                <w:rStyle w:val="CodeChar"/>
              </w:rPr>
              <w:t xml:space="preserve">UNSUPPORTED_MEDIA_TYPE</w:t>
            </w:r>
          </w:p>
        </w:tc>
        <w:tc>
          <w:tcPr>
            <w:tcW w:w="3212" w:type="dxa"/>
            <w:vAlign w:val="top"/>
          </w:tcPr>
          <w:p>
            <w:pPr>
              <w:pStyle w:val="TableText"/>
              <w:jc w:val="left"/>
            </w:pPr>
            <w:r>
              <w:t xml:space="preserve">Body sent without</w:t>
            </w:r>
            <w:r>
              <w:t xml:space="preserve"> </w:t>
            </w:r>
            <w:r>
              <w:rPr>
                <w:rStyle w:val="CodeChar"/>
              </w:rPr>
              <w:t xml:space="preserve">Content-Type: application/json</w:t>
            </w:r>
          </w:p>
        </w:tc>
        <w:tc>
          <w:tcPr>
            <w:tcW w:w="2133" w:type="dxa"/>
            <w:vAlign w:val="top"/>
          </w:tcPr>
          <w:p>
            <w:pPr>
              <w:pStyle w:val="TableText"/>
              <w:jc w:val="left"/>
            </w:pPr>
            <w:r>
              <w:t xml:space="preserve">Set the header</w:t>
            </w:r>
          </w:p>
        </w:tc>
      </w:tr>
      <w:tr>
        <w:trPr>
          <w:cantSplit/>
        </w:trPr>
        <w:tc>
          <w:tcPr>
            <w:tcW w:w="728" w:type="dxa"/>
            <w:shd w:val="clear" w:color="auto" w:fill="F4F7FB"/>
            <w:vAlign w:val="top"/>
          </w:tcPr>
          <w:p>
            <w:pPr>
              <w:pStyle w:val="TableText"/>
              <w:jc w:val="left"/>
            </w:pPr>
            <w:r>
              <w:t xml:space="preserve">422</w:t>
            </w:r>
          </w:p>
        </w:tc>
        <w:tc>
          <w:tcPr>
            <w:tcW w:w="2954" w:type="dxa"/>
            <w:shd w:val="clear" w:color="auto" w:fill="F4F7FB"/>
            <w:vAlign w:val="top"/>
          </w:tcPr>
          <w:p>
            <w:pPr>
              <w:pStyle w:val="TableText"/>
              <w:jc w:val="left"/>
            </w:pPr>
            <w:r>
              <w:rPr>
                <w:rStyle w:val="CodeChar"/>
              </w:rPr>
              <w:t xml:space="preserve">BUSINESS_RULE_VIOLATION</w:t>
            </w:r>
          </w:p>
        </w:tc>
        <w:tc>
          <w:tcPr>
            <w:tcW w:w="3212" w:type="dxa"/>
            <w:shd w:val="clear" w:color="auto" w:fill="F4F7FB"/>
            <w:vAlign w:val="top"/>
          </w:tcPr>
          <w:p>
            <w:pPr>
              <w:pStyle w:val="TableText"/>
              <w:jc w:val="left"/>
            </w:pPr>
            <w:r>
              <w:t xml:space="preserve">Product not sold on the partner channel; quote expired, already bought or indicative; sum insured above the online limit; physical damage without an inspection</w:t>
            </w:r>
          </w:p>
        </w:tc>
        <w:tc>
          <w:tcPr>
            <w:tcW w:w="2133" w:type="dxa"/>
            <w:shd w:val="clear" w:color="auto" w:fill="F4F7FB"/>
            <w:vAlign w:val="top"/>
          </w:tcPr>
          <w:p>
            <w:pPr>
              <w:pStyle w:val="TableText"/>
              <w:jc w:val="left"/>
            </w:pPr>
            <w:r>
              <w:t xml:space="preserve">Re-quote or change the request</w:t>
            </w:r>
          </w:p>
        </w:tc>
      </w:tr>
      <w:tr>
        <w:trPr>
          <w:cantSplit/>
        </w:trPr>
        <w:tc>
          <w:tcPr>
            <w:tcW w:w="728" w:type="dxa"/>
            <w:vAlign w:val="top"/>
          </w:tcPr>
          <w:p>
            <w:pPr>
              <w:pStyle w:val="TableText"/>
              <w:jc w:val="left"/>
            </w:pPr>
            <w:r>
              <w:t xml:space="preserve">429</w:t>
            </w:r>
          </w:p>
        </w:tc>
        <w:tc>
          <w:tcPr>
            <w:tcW w:w="2954" w:type="dxa"/>
            <w:vAlign w:val="top"/>
          </w:tcPr>
          <w:p>
            <w:pPr>
              <w:pStyle w:val="TableText"/>
              <w:jc w:val="left"/>
            </w:pPr>
            <w:r>
              <w:rPr>
                <w:rStyle w:val="CodeChar"/>
              </w:rPr>
              <w:t xml:space="preserve">RATE_LIMITED</w:t>
            </w:r>
          </w:p>
        </w:tc>
        <w:tc>
          <w:tcPr>
            <w:tcW w:w="3212" w:type="dxa"/>
            <w:vAlign w:val="top"/>
          </w:tcPr>
          <w:p>
            <w:pPr>
              <w:pStyle w:val="TableText"/>
              <w:jc w:val="left"/>
            </w:pPr>
            <w:r>
              <w:t xml:space="preserve">Too many requests</w:t>
            </w:r>
          </w:p>
        </w:tc>
        <w:tc>
          <w:tcPr>
            <w:tcW w:w="2133" w:type="dxa"/>
            <w:vAlign w:val="top"/>
          </w:tcPr>
          <w:p>
            <w:pPr>
              <w:pStyle w:val="TableText"/>
              <w:jc w:val="left"/>
            </w:pPr>
            <w:r>
              <w:t xml:space="preserve">Wait for</w:t>
            </w:r>
            <w:r>
              <w:t xml:space="preserve"> </w:t>
            </w:r>
            <w:r>
              <w:rPr>
                <w:rStyle w:val="CodeChar"/>
              </w:rPr>
              <w:t xml:space="preserve">Retry-After</w:t>
            </w:r>
            <w:r>
              <w:t xml:space="preserve"> </w:t>
            </w:r>
            <w:r>
              <w:t xml:space="preserve">seconds, then back off</w:t>
            </w:r>
          </w:p>
        </w:tc>
      </w:tr>
      <w:tr>
        <w:trPr>
          <w:cantSplit/>
        </w:trPr>
        <w:tc>
          <w:tcPr>
            <w:tcW w:w="728" w:type="dxa"/>
            <w:shd w:val="clear" w:color="auto" w:fill="F4F7FB"/>
            <w:vAlign w:val="top"/>
          </w:tcPr>
          <w:p>
            <w:pPr>
              <w:pStyle w:val="TableText"/>
              <w:jc w:val="left"/>
            </w:pPr>
            <w:r>
              <w:t xml:space="preserve">503</w:t>
            </w:r>
          </w:p>
        </w:tc>
        <w:tc>
          <w:tcPr>
            <w:tcW w:w="2954" w:type="dxa"/>
            <w:shd w:val="clear" w:color="auto" w:fill="F4F7FB"/>
            <w:vAlign w:val="top"/>
          </w:tcPr>
          <w:p>
            <w:pPr>
              <w:pStyle w:val="TableText"/>
              <w:jc w:val="left"/>
            </w:pPr>
            <w:r>
              <w:rPr>
                <w:rStyle w:val="CodeChar"/>
              </w:rPr>
              <w:t xml:space="preserve">UPSTREAM_UNAVAILABLE</w:t>
            </w:r>
          </w:p>
        </w:tc>
        <w:tc>
          <w:tcPr>
            <w:tcW w:w="3212" w:type="dxa"/>
            <w:shd w:val="clear" w:color="auto" w:fill="F4F7FB"/>
            <w:vAlign w:val="top"/>
          </w:tcPr>
          <w:p>
            <w:pPr>
              <w:pStyle w:val="TableText"/>
              <w:jc w:val="left"/>
            </w:pPr>
            <w:r>
              <w:t xml:space="preserve">TASCO core temporarily unavailable; nothing was issued</w:t>
            </w:r>
          </w:p>
        </w:tc>
        <w:tc>
          <w:tcPr>
            <w:tcW w:w="2133" w:type="dxa"/>
            <w:shd w:val="clear" w:color="auto" w:fill="F4F7FB"/>
            <w:vAlign w:val="top"/>
          </w:tcPr>
          <w:p>
            <w:pPr>
              <w:pStyle w:val="TableText"/>
              <w:jc w:val="left"/>
            </w:pPr>
            <w:r>
              <w:t xml:space="preserve">Retry with back-off; for orders, use a new key</w:t>
            </w:r>
          </w:p>
        </w:tc>
      </w:tr>
      <w:tr>
        <w:trPr>
          <w:cantSplit/>
        </w:trPr>
        <w:tc>
          <w:tcPr>
            <w:tcW w:w="728" w:type="dxa"/>
            <w:vAlign w:val="top"/>
          </w:tcPr>
          <w:p>
            <w:pPr>
              <w:pStyle w:val="TableText"/>
              <w:jc w:val="left"/>
            </w:pPr>
            <w:r>
              <w:t xml:space="preserve">500</w:t>
            </w:r>
          </w:p>
        </w:tc>
        <w:tc>
          <w:tcPr>
            <w:tcW w:w="2954" w:type="dxa"/>
            <w:vAlign w:val="top"/>
          </w:tcPr>
          <w:p>
            <w:pPr>
              <w:pStyle w:val="TableText"/>
              <w:jc w:val="left"/>
            </w:pPr>
            <w:r>
              <w:rPr>
                <w:rStyle w:val="CodeChar"/>
              </w:rPr>
              <w:t xml:space="preserve">INTERNAL_ERROR</w:t>
            </w:r>
          </w:p>
        </w:tc>
        <w:tc>
          <w:tcPr>
            <w:tcW w:w="3212" w:type="dxa"/>
            <w:vAlign w:val="top"/>
          </w:tcPr>
          <w:p>
            <w:pPr>
              <w:pStyle w:val="TableText"/>
              <w:jc w:val="left"/>
            </w:pPr>
            <w:r>
              <w:t xml:space="preserve">Unexpected error</w:t>
            </w:r>
          </w:p>
        </w:tc>
        <w:tc>
          <w:tcPr>
            <w:tcW w:w="2133" w:type="dxa"/>
            <w:vAlign w:val="top"/>
          </w:tcPr>
          <w:p>
            <w:pPr>
              <w:pStyle w:val="TableText"/>
              <w:jc w:val="left"/>
            </w:pPr>
            <w:r>
              <w:t xml:space="preserve">Retry once; then contact support with the</w:t>
            </w:r>
            <w:r>
              <w:t xml:space="preserve"> </w:t>
            </w:r>
            <w:r>
              <w:rPr>
                <w:rStyle w:val="CodeChar"/>
              </w:rPr>
              <w:t xml:space="preserve">requestId</w:t>
            </w:r>
          </w:p>
        </w:tc>
      </w:tr>
    </w:tbl>
    <w:p>
      <w:pPr>
        <w:pStyle w:val="BodyText"/>
        <w:spacing w:before="160"/>
      </w:pPr>
      <w:r>
        <w:t xml:space="preserve">Examples of messages you will see: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289"/>
        <w:gridCol w:w="5738"/>
      </w:tblGrid>
      <w:tr>
        <w:trPr>
          <w:cantSplit/>
          <w:tblHeader/>
        </w:trPr>
        <w:tc>
          <w:tcPr>
            <w:tcW w:w="3289" w:type="dxa"/>
            <w:shd w:val="clear" w:color="auto" w:fill="0F4761"/>
            <w:vAlign w:val="center"/>
          </w:tcPr>
          <w:p>
            <w:pPr>
              <w:pStyle w:val="TableHeading"/>
              <w:jc w:val="left"/>
            </w:pPr>
            <w:r>
              <w:rPr>
                <w:color w:val="FFFFFF"/>
              </w:rPr>
              <w:t xml:space="preserve">Situation</w:t>
            </w:r>
          </w:p>
        </w:tc>
        <w:tc>
          <w:tcPr>
            <w:tcW w:w="5738" w:type="dxa"/>
            <w:shd w:val="clear" w:color="auto" w:fill="0F4761"/>
            <w:vAlign w:val="center"/>
          </w:tcPr>
          <w:p>
            <w:pPr>
              <w:pStyle w:val="TableHeading"/>
              <w:jc w:val="left"/>
            </w:pPr>
            <w:r>
              <w:rPr>
                <w:color w:val="FFFFFF"/>
              </w:rPr>
              <w:t xml:space="preserve">Message</w:t>
            </w:r>
          </w:p>
        </w:tc>
      </w:tr>
      <w:tr>
        <w:trPr>
          <w:cantSplit/>
        </w:trPr>
        <w:tc>
          <w:tcPr>
            <w:tcW w:w="3289" w:type="dxa"/>
            <w:vAlign w:val="top"/>
          </w:tcPr>
          <w:p>
            <w:pPr>
              <w:pStyle w:val="TableText"/>
              <w:jc w:val="left"/>
            </w:pPr>
            <w:r>
              <w:t xml:space="preserve">Plate not recognised</w:t>
            </w:r>
          </w:p>
        </w:tc>
        <w:tc>
          <w:tcPr>
            <w:tcW w:w="5738" w:type="dxa"/>
            <w:vAlign w:val="top"/>
          </w:tcPr>
          <w:p>
            <w:pPr>
              <w:pStyle w:val="TableText"/>
              <w:jc w:val="left"/>
            </w:pPr>
            <w:r>
              <w:t xml:space="preserve">“</w:t>
            </w:r>
            <w:r>
              <w:t xml:space="preserve">Invalid licence plate</w:t>
            </w:r>
            <w:r>
              <w:t xml:space="preserve">”</w:t>
            </w:r>
          </w:p>
        </w:tc>
      </w:tr>
      <w:tr>
        <w:trPr>
          <w:cantSplit/>
        </w:trPr>
        <w:tc>
          <w:tcPr>
            <w:tcW w:w="3289" w:type="dxa"/>
            <w:shd w:val="clear" w:color="auto" w:fill="F4F7FB"/>
            <w:vAlign w:val="top"/>
          </w:tcPr>
          <w:p>
            <w:pPr>
              <w:pStyle w:val="TableText"/>
              <w:jc w:val="left"/>
            </w:pPr>
            <w:r>
              <w:t xml:space="preserve">Motorbike TNDS requested</w:t>
            </w:r>
          </w:p>
        </w:tc>
        <w:tc>
          <w:tcPr>
            <w:tcW w:w="5738" w:type="dxa"/>
            <w:shd w:val="clear" w:color="auto" w:fill="F4F7FB"/>
            <w:vAlign w:val="top"/>
          </w:tcPr>
          <w:p>
            <w:pPr>
              <w:pStyle w:val="TableText"/>
              <w:jc w:val="left"/>
            </w:pPr>
            <w:r>
              <w:t xml:space="preserve">“</w:t>
            </w:r>
            <w:r>
              <w:t xml:space="preserve">TNDS_MOTORBIKE is not sold on channel partner_api</w:t>
            </w:r>
            <w:r>
              <w:t xml:space="preserve">”</w:t>
            </w:r>
          </w:p>
        </w:tc>
      </w:tr>
      <w:tr>
        <w:trPr>
          <w:cantSplit/>
        </w:trPr>
        <w:tc>
          <w:tcPr>
            <w:tcW w:w="3289" w:type="dxa"/>
            <w:vAlign w:val="top"/>
          </w:tcPr>
          <w:p>
            <w:pPr>
              <w:pStyle w:val="TableText"/>
              <w:jc w:val="left"/>
            </w:pPr>
            <w:r>
              <w:t xml:space="preserve">Quote older than 24 hours</w:t>
            </w:r>
          </w:p>
        </w:tc>
        <w:tc>
          <w:tcPr>
            <w:tcW w:w="5738" w:type="dxa"/>
            <w:vAlign w:val="top"/>
          </w:tcPr>
          <w:p>
            <w:pPr>
              <w:pStyle w:val="TableText"/>
              <w:jc w:val="left"/>
            </w:pPr>
            <w:r>
              <w:t xml:space="preserve">“</w:t>
            </w:r>
            <w:r>
              <w:t xml:space="preserve">Quote expired — please re-quote</w:t>
            </w:r>
            <w:r>
              <w:t xml:space="preserve">”</w:t>
            </w:r>
          </w:p>
        </w:tc>
      </w:tr>
      <w:tr>
        <w:trPr>
          <w:cantSplit/>
        </w:trPr>
        <w:tc>
          <w:tcPr>
            <w:tcW w:w="3289" w:type="dxa"/>
            <w:shd w:val="clear" w:color="auto" w:fill="F4F7FB"/>
            <w:vAlign w:val="top"/>
          </w:tcPr>
          <w:p>
            <w:pPr>
              <w:pStyle w:val="TableText"/>
              <w:jc w:val="left"/>
            </w:pPr>
            <w:r>
              <w:t xml:space="preserve">Quote already bound</w:t>
            </w:r>
          </w:p>
        </w:tc>
        <w:tc>
          <w:tcPr>
            <w:tcW w:w="5738" w:type="dxa"/>
            <w:shd w:val="clear" w:color="auto" w:fill="F4F7FB"/>
            <w:vAlign w:val="top"/>
          </w:tcPr>
          <w:p>
            <w:pPr>
              <w:pStyle w:val="TableText"/>
              <w:jc w:val="left"/>
            </w:pPr>
            <w:r>
              <w:t xml:space="preserve">“</w:t>
            </w:r>
            <w:r>
              <w:t xml:space="preserve">Quote is converted</w:t>
            </w:r>
            <w:r>
              <w:t xml:space="preserve">”</w:t>
            </w:r>
          </w:p>
        </w:tc>
      </w:tr>
      <w:tr>
        <w:trPr>
          <w:cantSplit/>
        </w:trPr>
        <w:tc>
          <w:tcPr>
            <w:tcW w:w="3289" w:type="dxa"/>
            <w:vAlign w:val="top"/>
          </w:tcPr>
          <w:p>
            <w:pPr>
              <w:pStyle w:val="TableText"/>
              <w:jc w:val="left"/>
            </w:pPr>
            <w:r>
              <w:t xml:space="preserve">No</w:t>
            </w:r>
            <w:r>
              <w:t xml:space="preserve"> </w:t>
            </w:r>
            <w:r>
              <w:rPr>
                <w:rStyle w:val="CodeChar"/>
              </w:rPr>
              <w:t xml:space="preserve">Idempotency-Key</w:t>
            </w:r>
          </w:p>
        </w:tc>
        <w:tc>
          <w:tcPr>
            <w:tcW w:w="5738" w:type="dxa"/>
            <w:vAlign w:val="top"/>
          </w:tcPr>
          <w:p>
            <w:pPr>
              <w:pStyle w:val="TableText"/>
              <w:jc w:val="left"/>
            </w:pPr>
            <w:r>
              <w:t xml:space="preserve">“</w:t>
            </w:r>
            <w:r>
              <w:t xml:space="preserve">Idempotency-Key header (8–100 chars) is required</w:t>
            </w:r>
            <w:r>
              <w:t xml:space="preserve">”</w:t>
            </w:r>
          </w:p>
        </w:tc>
      </w:tr>
      <w:tr>
        <w:trPr>
          <w:cantSplit/>
        </w:trPr>
        <w:tc>
          <w:tcPr>
            <w:tcW w:w="3289" w:type="dxa"/>
            <w:shd w:val="clear" w:color="auto" w:fill="F4F7FB"/>
            <w:vAlign w:val="top"/>
          </w:tcPr>
          <w:p>
            <w:pPr>
              <w:pStyle w:val="TableText"/>
              <w:jc w:val="left"/>
            </w:pPr>
            <w:r>
              <w:t xml:space="preserve">Key without</w:t>
            </w:r>
            <w:r>
              <w:t xml:space="preserve"> </w:t>
            </w:r>
            <w:r>
              <w:rPr>
                <w:rStyle w:val="CodeChar"/>
              </w:rPr>
              <w:t xml:space="preserve">policies:read</w:t>
            </w:r>
          </w:p>
        </w:tc>
        <w:tc>
          <w:tcPr>
            <w:tcW w:w="5738" w:type="dxa"/>
            <w:shd w:val="clear" w:color="auto" w:fill="F4F7FB"/>
            <w:vAlign w:val="top"/>
          </w:tcPr>
          <w:p>
            <w:pPr>
              <w:pStyle w:val="TableText"/>
              <w:jc w:val="left"/>
            </w:pPr>
            <w:r>
              <w:t xml:space="preserve">“</w:t>
            </w:r>
            <w:r>
              <w:t xml:space="preserve">API key lacks scope policies:read</w:t>
            </w:r>
            <w:r>
              <w:t xml:space="preserve">”</w:t>
            </w:r>
          </w:p>
        </w:tc>
      </w:tr>
    </w:tbl>
    <w:p>
      <w:pPr>
        <w:pStyle w:val="Heading2"/>
      </w:pPr>
      <w:bookmarkStart w:id="28" w:name="_Toc300000024"/>
      <w:r>
        <w:t xml:space="preserve">Retry policy</w:t>
      </w:r>
      <w:bookmarkEnd w:id="28"/>
    </w:p>
    <w:p>
      <w:pPr>
        <w:pStyle w:val="Compact"/>
        <w:numPr>
          <w:ilvl w:val="0"/>
          <w:numId w:val="1006"/>
        </w:numPr>
      </w:pPr>
      <w:r>
        <w:t xml:space="preserve">Retry only</w:t>
      </w:r>
      <w:r>
        <w:t xml:space="preserve"> </w:t>
      </w:r>
      <w:r>
        <w:rPr>
          <w:rStyle w:val="CodeChar"/>
        </w:rPr>
        <w:t xml:space="preserve">429</w:t>
      </w:r>
      <w:r>
        <w:t xml:space="preserve">,</w:t>
      </w:r>
      <w:r>
        <w:t xml:space="preserve"> </w:t>
      </w:r>
      <w:r>
        <w:rPr>
          <w:rStyle w:val="CodeChar"/>
        </w:rPr>
        <w:t xml:space="preserve">503</w:t>
      </w:r>
      <w:r>
        <w:t xml:space="preserve">, network timeouts and the</w:t>
      </w:r>
      <w:r>
        <w:t xml:space="preserve"> </w:t>
      </w:r>
      <w:r>
        <w:rPr>
          <w:rStyle w:val="CodeChar"/>
        </w:rPr>
        <w:t xml:space="preserve">409</w:t>
      </w:r>
      <w:r>
        <w:t xml:space="preserve"> </w:t>
      </w:r>
      <w:r>
        <w:t xml:space="preserve">cases in</w:t>
      </w:r>
      <w:r>
        <w:t xml:space="preserve"> </w:t>
      </w:r>
      <w:r>
        <w:t xml:space="preserve">“</w:t>
      </w:r>
      <w:r>
        <w:t xml:space="preserve">Idempotency</w:t>
      </w:r>
      <w:r>
        <w:t xml:space="preserve">”</w:t>
      </w:r>
      <w:r>
        <w:t xml:space="preserve">. Use exponential back-off with jitter: 1, 2, 4 and 8 seconds, at most five attempts.</w:t>
      </w:r>
    </w:p>
    <w:p>
      <w:pPr>
        <w:pStyle w:val="Compact"/>
        <w:numPr>
          <w:ilvl w:val="0"/>
          <w:numId w:val="1006"/>
        </w:numPr>
      </w:pPr>
      <w:r>
        <w:t xml:space="preserve">On</w:t>
      </w:r>
      <w:r>
        <w:t xml:space="preserve"> </w:t>
      </w:r>
      <w:r>
        <w:rPr>
          <w:rStyle w:val="CodeChar"/>
        </w:rPr>
        <w:t xml:space="preserve">POST /orders</w:t>
      </w:r>
      <w:r>
        <w:t xml:space="preserve">, reuse the same</w:t>
      </w:r>
      <w:r>
        <w:t xml:space="preserve"> </w:t>
      </w:r>
      <w:r>
        <w:rPr>
          <w:rStyle w:val="CodeChar"/>
        </w:rPr>
        <w:t xml:space="preserve">Idempotency-Key</w:t>
      </w:r>
      <w:r>
        <w:t xml:space="preserve"> </w:t>
      </w:r>
      <w:r>
        <w:t xml:space="preserve">only when the outcome is unknown. After a definite failure, use a new key.</w:t>
      </w:r>
    </w:p>
    <w:p>
      <w:pPr>
        <w:pStyle w:val="Compact"/>
        <w:numPr>
          <w:ilvl w:val="0"/>
          <w:numId w:val="1006"/>
        </w:numPr>
      </w:pPr>
      <w:r>
        <w:t xml:space="preserve">Never retry</w:t>
      </w:r>
      <w:r>
        <w:t xml:space="preserve"> </w:t>
      </w:r>
      <w:r>
        <w:rPr>
          <w:rStyle w:val="CodeChar"/>
        </w:rPr>
        <w:t xml:space="preserve">400</w:t>
      </w:r>
      <w:r>
        <w:t xml:space="preserve">,</w:t>
      </w:r>
      <w:r>
        <w:t xml:space="preserve"> </w:t>
      </w:r>
      <w:r>
        <w:rPr>
          <w:rStyle w:val="CodeChar"/>
        </w:rPr>
        <w:t xml:space="preserve">401</w:t>
      </w:r>
      <w:r>
        <w:t xml:space="preserve">,</w:t>
      </w:r>
      <w:r>
        <w:t xml:space="preserve"> </w:t>
      </w:r>
      <w:r>
        <w:rPr>
          <w:rStyle w:val="CodeChar"/>
        </w:rPr>
        <w:t xml:space="preserve">403</w:t>
      </w:r>
      <w:r>
        <w:t xml:space="preserve">,</w:t>
      </w:r>
      <w:r>
        <w:t xml:space="preserve"> </w:t>
      </w:r>
      <w:r>
        <w:rPr>
          <w:rStyle w:val="CodeChar"/>
        </w:rPr>
        <w:t xml:space="preserve">404</w:t>
      </w:r>
      <w:r>
        <w:t xml:space="preserve"> </w:t>
      </w:r>
      <w:r>
        <w:t xml:space="preserve">or</w:t>
      </w:r>
      <w:r>
        <w:t xml:space="preserve"> </w:t>
      </w:r>
      <w:r>
        <w:rPr>
          <w:rStyle w:val="CodeChar"/>
        </w:rPr>
        <w:t xml:space="preserve">422</w:t>
      </w:r>
      <w:r>
        <w:t xml:space="preserve"> </w:t>
      </w:r>
      <w:r>
        <w:t xml:space="preserve">without changing something.</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9" w:name="_Toc300000025"/>
      <w:r>
        <w:rPr>
          <w:rStyle w:val="BookTitle"/>
          <w:bCs w:val="0"/>
          <w:i w:val="0"/>
          <w:iCs w:val="0"/>
          <w:spacing w:val="0"/>
        </w:rPr>
        <w:t xml:space="preserve">Rate limits</w:t>
      </w:r>
      <w:bookmarkEnd w:id="29"/>
    </w:p>
    <w:p>
      <w:pPr>
        <w:pStyle w:val="FirstParagraph"/>
      </w:pPr>
      <w:r>
        <w:t xml:space="preserve">The platform allows 300 requests per minute from one client address by default. Above that it answers</w:t>
      </w:r>
      <w:r>
        <w:t xml:space="preserve"> </w:t>
      </w:r>
      <w:r>
        <w:rPr>
          <w:rStyle w:val="CodeChar"/>
        </w:rPr>
        <w:t xml:space="preserve">429 RATE_LIMITED</w:t>
      </w:r>
      <w:r>
        <w:t xml:space="preserve"> </w:t>
      </w:r>
      <w:r>
        <w:t xml:space="preserve">with a</w:t>
      </w:r>
      <w:r>
        <w:t xml:space="preserve"> </w:t>
      </w:r>
      <w:r>
        <w:rPr>
          <w:rStyle w:val="CodeChar"/>
        </w:rPr>
        <w:t xml:space="preserve">Retry-After</w:t>
      </w:r>
      <w:r>
        <w:t xml:space="preserve"> </w:t>
      </w:r>
      <w:r>
        <w:t xml:space="preserve">header in seconds. TASCO can agree a different limit for high-volume partners; ask your partner manager. Spread batch jobs (such as nightly policy reads) over time rather than sending them in bursts.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0" w:name="_Toc300000026"/>
      <w:r>
        <w:rPr>
          <w:rStyle w:val="BookTitle"/>
          <w:bCs w:val="0"/>
          <w:i w:val="0"/>
          <w:iCs w:val="0"/>
          <w:spacing w:val="0"/>
        </w:rPr>
        <w:t xml:space="preserve">Sandbox</w:t>
      </w:r>
      <w:bookmarkEnd w:id="30"/>
    </w:p>
    <w:p>
      <w:pPr>
        <w:pStyle w:val="FirstParagraph"/>
      </w:pPr>
      <w:r>
        <w:t xml:space="preserve">The sandbox is a separate environment with its own base URL and keys. It behaves like production, with these differences:</w:t>
      </w:r>
    </w:p>
    <w:p>
      <w:pPr>
        <w:pStyle w:val="Compact"/>
        <w:numPr>
          <w:ilvl w:val="0"/>
          <w:numId w:val="1007"/>
        </w:numPr>
      </w:pPr>
      <w:r>
        <w:t xml:space="preserve">Policy issuance uses a sandbox adapter: certificates and policy numbers are test values and are not valid cover.</w:t>
      </w:r>
    </w:p>
    <w:p>
      <w:pPr>
        <w:pStyle w:val="Compact"/>
        <w:numPr>
          <w:ilvl w:val="0"/>
          <w:numId w:val="1007"/>
        </w:numPr>
      </w:pPr>
      <w:r>
        <w:t xml:space="preserve">Seat accident and physical damage prices use illustrative rates; TNDS uses the regulated tariff.</w:t>
      </w:r>
    </w:p>
    <w:p>
      <w:pPr>
        <w:pStyle w:val="Compact"/>
        <w:numPr>
          <w:ilvl w:val="0"/>
          <w:numId w:val="1007"/>
        </w:numPr>
      </w:pPr>
      <w:r>
        <w:t xml:space="preserve">Data is synthetic. Never send real customer data to the sandbox.</w:t>
      </w:r>
    </w:p>
    <w:p>
      <w:pPr>
        <w:pStyle w:val="Compact"/>
        <w:numPr>
          <w:ilvl w:val="0"/>
          <w:numId w:val="1007"/>
        </w:numPr>
      </w:pPr>
      <w:r>
        <w:t xml:space="preserve">Your partner manager can simulate an inspection or an issuance outage for the certification tests.</w:t>
      </w:r>
    </w:p>
    <w:p>
      <w:pPr>
        <w:pStyle w:val="Heading2"/>
      </w:pPr>
      <w:bookmarkStart w:id="31" w:name="_Toc300000027"/>
      <w:r>
        <w:t xml:space="preserve">Certification tests</w:t>
      </w:r>
      <w:bookmarkEnd w:id="31"/>
    </w:p>
    <w:p>
      <w:pPr>
        <w:pStyle w:val="FirstParagraph"/>
      </w:pPr>
      <w:r>
        <w:t xml:space="preserve">Run these tests in the sandbox. Your partner manager signs off the results before a production key is issued.</w:t>
      </w:r>
    </w:p>
    <w:p>
      <w:pPr>
        <w:pStyle w:val="Compact"/>
        <w:numPr>
          <w:ilvl w:val="0"/>
          <w:numId w:val="1008"/>
        </w:numPr>
      </w:pPr>
      <w:r>
        <w:t xml:space="preserve">Quote TNDS for a plate TASCO knows, and for a new plate with</w:t>
      </w:r>
      <w:r>
        <w:t xml:space="preserve"> </w:t>
      </w:r>
      <w:r>
        <w:rPr>
          <w:rStyle w:val="CodeChar"/>
        </w:rPr>
        <w:t xml:space="preserve">currentExpiry</w:t>
      </w:r>
      <w:r>
        <w:t xml:space="preserve"> </w:t>
      </w:r>
      <w:r>
        <w:t xml:space="preserve">and</w:t>
      </w:r>
      <w:r>
        <w:t xml:space="preserve"> </w:t>
      </w:r>
      <w:r>
        <w:rPr>
          <w:rStyle w:val="CodeChar"/>
        </w:rPr>
        <w:t xml:space="preserve">seats</w:t>
      </w:r>
      <w:r>
        <w:t xml:space="preserve">.</w:t>
      </w:r>
    </w:p>
    <w:p>
      <w:pPr>
        <w:pStyle w:val="Compact"/>
        <w:numPr>
          <w:ilvl w:val="0"/>
          <w:numId w:val="1008"/>
        </w:numPr>
      </w:pPr>
      <w:r>
        <w:t xml:space="preserve">Quote TNDS with seat accident cover and check that</w:t>
      </w:r>
      <w:r>
        <w:t xml:space="preserve"> </w:t>
      </w:r>
      <w:r>
        <w:rPr>
          <w:rStyle w:val="CodeChar"/>
        </w:rPr>
        <w:t xml:space="preserve">bundle</w:t>
      </w:r>
      <w:r>
        <w:t xml:space="preserve"> </w:t>
      </w:r>
      <w:r>
        <w:t xml:space="preserve">is</w:t>
      </w:r>
      <w:r>
        <w:t xml:space="preserve"> </w:t>
      </w:r>
      <w:r>
        <w:rPr>
          <w:rStyle w:val="CodeChar"/>
        </w:rPr>
        <w:t xml:space="preserve">SAFE_DRIVE</w:t>
      </w:r>
      <w:r>
        <w:t xml:space="preserve">.</w:t>
      </w:r>
    </w:p>
    <w:p>
      <w:pPr>
        <w:pStyle w:val="Compact"/>
        <w:numPr>
          <w:ilvl w:val="0"/>
          <w:numId w:val="1008"/>
        </w:numPr>
      </w:pPr>
      <w:r>
        <w:t xml:space="preserve">Bind with an</w:t>
      </w:r>
      <w:r>
        <w:t xml:space="preserve"> </w:t>
      </w:r>
      <w:r>
        <w:rPr>
          <w:rStyle w:val="CodeChar"/>
        </w:rPr>
        <w:t xml:space="preserve">Idempotency-Key</w:t>
      </w:r>
      <w:r>
        <w:t xml:space="preserve">. Repeat the same call and check</w:t>
      </w:r>
      <w:r>
        <w:t xml:space="preserve"> </w:t>
      </w:r>
      <w:r>
        <w:rPr>
          <w:rStyle w:val="CodeChar"/>
        </w:rPr>
        <w:t xml:space="preserve">idempotentReplay: true</w:t>
      </w:r>
      <w:r>
        <w:t xml:space="preserve">,</w:t>
      </w:r>
      <w:r>
        <w:t xml:space="preserve"> </w:t>
      </w:r>
      <w:r>
        <w:rPr>
          <w:rStyle w:val="CodeChar"/>
        </w:rPr>
        <w:t xml:space="preserve">status: "completed"</w:t>
      </w:r>
      <w:r>
        <w:t xml:space="preserve"> </w:t>
      </w:r>
      <w:r>
        <w:t xml:space="preserve">and that no second policy appears.</w:t>
      </w:r>
    </w:p>
    <w:p>
      <w:pPr>
        <w:pStyle w:val="Compact"/>
        <w:numPr>
          <w:ilvl w:val="0"/>
          <w:numId w:val="1008"/>
        </w:numPr>
      </w:pPr>
      <w:r>
        <w:t xml:space="preserve">Bind an expired quote: expect</w:t>
      </w:r>
      <w:r>
        <w:t xml:space="preserve"> </w:t>
      </w:r>
      <w:r>
        <w:rPr>
          <w:rStyle w:val="CodeChar"/>
        </w:rPr>
        <w:t xml:space="preserve">422</w:t>
      </w:r>
      <w:r>
        <w:t xml:space="preserve">.</w:t>
      </w:r>
    </w:p>
    <w:p>
      <w:pPr>
        <w:pStyle w:val="Compact"/>
        <w:numPr>
          <w:ilvl w:val="0"/>
          <w:numId w:val="1008"/>
        </w:numPr>
      </w:pPr>
      <w:r>
        <w:t xml:space="preserve">Bind a quote created by another partner’s key: expect</w:t>
      </w:r>
      <w:r>
        <w:t xml:space="preserve"> </w:t>
      </w:r>
      <w:r>
        <w:rPr>
          <w:rStyle w:val="CodeChar"/>
        </w:rPr>
        <w:t xml:space="preserve">404</w:t>
      </w:r>
      <w:r>
        <w:t xml:space="preserve">.</w:t>
      </w:r>
    </w:p>
    <w:p>
      <w:pPr>
        <w:pStyle w:val="Compact"/>
        <w:numPr>
          <w:ilvl w:val="0"/>
          <w:numId w:val="1008"/>
        </w:numPr>
      </w:pPr>
      <w:r>
        <w:t xml:space="preserve">Omit</w:t>
      </w:r>
      <w:r>
        <w:t xml:space="preserve"> </w:t>
      </w:r>
      <w:r>
        <w:rPr>
          <w:rStyle w:val="CodeChar"/>
        </w:rPr>
        <w:t xml:space="preserve">Idempotency-Key</w:t>
      </w:r>
      <w:r>
        <w:t xml:space="preserve">: expect</w:t>
      </w:r>
      <w:r>
        <w:t xml:space="preserve"> </w:t>
      </w:r>
      <w:r>
        <w:rPr>
          <w:rStyle w:val="CodeChar"/>
        </w:rPr>
        <w:t xml:space="preserve">400</w:t>
      </w:r>
      <w:r>
        <w:t xml:space="preserve">. Omit or alter the key: expect</w:t>
      </w:r>
      <w:r>
        <w:t xml:space="preserve"> </w:t>
      </w:r>
      <w:r>
        <w:rPr>
          <w:rStyle w:val="CodeChar"/>
        </w:rPr>
        <w:t xml:space="preserve">401</w:t>
      </w:r>
      <w:r>
        <w:t xml:space="preserve">. Use a key without</w:t>
      </w:r>
      <w:r>
        <w:t xml:space="preserve"> </w:t>
      </w:r>
      <w:r>
        <w:rPr>
          <w:rStyle w:val="CodeChar"/>
        </w:rPr>
        <w:t xml:space="preserve">purchase</w:t>
      </w:r>
      <w:r>
        <w:t xml:space="preserve"> </w:t>
      </w:r>
      <w:r>
        <w:t xml:space="preserve">on</w:t>
      </w:r>
      <w:r>
        <w:t xml:space="preserve"> </w:t>
      </w:r>
      <w:r>
        <w:rPr>
          <w:rStyle w:val="CodeChar"/>
        </w:rPr>
        <w:t xml:space="preserve">POST /orders</w:t>
      </w:r>
      <w:r>
        <w:t xml:space="preserve">: expect</w:t>
      </w:r>
      <w:r>
        <w:t xml:space="preserve"> </w:t>
      </w:r>
      <w:r>
        <w:rPr>
          <w:rStyle w:val="CodeChar"/>
        </w:rPr>
        <w:t xml:space="preserve">403</w:t>
      </w:r>
      <w:r>
        <w:t xml:space="preserve">.</w:t>
      </w:r>
    </w:p>
    <w:p>
      <w:pPr>
        <w:pStyle w:val="Compact"/>
        <w:numPr>
          <w:ilvl w:val="0"/>
          <w:numId w:val="1008"/>
        </w:numPr>
      </w:pPr>
      <w:r>
        <w:t xml:space="preserve">With a simulated issuance outage, bind and expect</w:t>
      </w:r>
      <w:r>
        <w:t xml:space="preserve"> </w:t>
      </w:r>
      <w:r>
        <w:rPr>
          <w:rStyle w:val="CodeChar"/>
        </w:rPr>
        <w:t xml:space="preserve">503</w:t>
      </w:r>
      <w:r>
        <w:t xml:space="preserve">; re-send the same key and expect</w:t>
      </w:r>
      <w:r>
        <w:t xml:space="preserve"> </w:t>
      </w:r>
      <w:r>
        <w:rPr>
          <w:rStyle w:val="CodeChar"/>
        </w:rPr>
        <w:t xml:space="preserve">409</w:t>
      </w:r>
      <w:r>
        <w:t xml:space="preserve">; retry with a new key and expect success.</w:t>
      </w:r>
    </w:p>
    <w:p>
      <w:pPr>
        <w:pStyle w:val="Compact"/>
        <w:numPr>
          <w:ilvl w:val="0"/>
          <w:numId w:val="1008"/>
        </w:numPr>
      </w:pPr>
      <w:r>
        <w:t xml:space="preserve">Quote</w:t>
      </w:r>
      <w:r>
        <w:t xml:space="preserve"> </w:t>
      </w:r>
      <w:r>
        <w:rPr>
          <w:rStyle w:val="CodeChar"/>
        </w:rPr>
        <w:t xml:space="preserve">MOTOR_PD</w:t>
      </w:r>
      <w:r>
        <w:t xml:space="preserve"> </w:t>
      </w:r>
      <w:r>
        <w:t xml:space="preserve">and bind before an inspection: expect</w:t>
      </w:r>
      <w:r>
        <w:t xml:space="preserve"> </w:t>
      </w:r>
      <w:r>
        <w:rPr>
          <w:rStyle w:val="CodeChar"/>
        </w:rPr>
        <w:t xml:space="preserve">422</w:t>
      </w:r>
      <w:r>
        <w:t xml:space="preserve">.</w:t>
      </w:r>
    </w:p>
    <w:p>
      <w:pPr>
        <w:pStyle w:val="Compact"/>
        <w:numPr>
          <w:ilvl w:val="0"/>
          <w:numId w:val="1008"/>
        </w:numPr>
      </w:pPr>
      <w:r>
        <w:t xml:space="preserve">Read policies and the statement for the test period and check the commission against the agreed rates.</w:t>
      </w:r>
    </w:p>
    <w:p>
      <w:pPr>
        <w:pStyle w:val="Compact"/>
        <w:numPr>
          <w:ilvl w:val="0"/>
          <w:numId w:val="1008"/>
        </w:numPr>
      </w:pPr>
      <w:r>
        <w:t xml:space="preserve">Scan a</w:t>
      </w:r>
      <w:r>
        <w:t xml:space="preserve"> </w:t>
      </w:r>
      <w:r>
        <w:rPr>
          <w:rStyle w:val="CodeChar"/>
        </w:rPr>
        <w:t xml:space="preserve">certificateUrl</w:t>
      </w:r>
      <w:r>
        <w:t xml:space="preserve"> </w:t>
      </w:r>
      <w:r>
        <w:t xml:space="preserve">QR code and check that the page shows a valid certificate and a masked plate.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2" w:name="_Toc300000028"/>
      <w:r>
        <w:rPr>
          <w:rStyle w:val="BookTitle"/>
          <w:bCs w:val="0"/>
          <w:i w:val="0"/>
          <w:iCs w:val="0"/>
          <w:spacing w:val="0"/>
        </w:rPr>
        <w:t xml:space="preserve">Go-live checklist</w:t>
      </w:r>
      <w:bookmarkEnd w:id="3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582"/>
        <w:gridCol w:w="2445"/>
      </w:tblGrid>
      <w:tr>
        <w:trPr>
          <w:cantSplit/>
          <w:tblHeader/>
        </w:trPr>
        <w:tc>
          <w:tcPr>
            <w:tcW w:w="6582" w:type="dxa"/>
            <w:shd w:val="clear" w:color="auto" w:fill="0F4761"/>
            <w:vAlign w:val="center"/>
          </w:tcPr>
          <w:p>
            <w:pPr>
              <w:pStyle w:val="TableHeading"/>
              <w:jc w:val="left"/>
            </w:pPr>
            <w:r>
              <w:rPr>
                <w:color w:val="FFFFFF"/>
              </w:rPr>
              <w:t xml:space="preserve">Item</w:t>
            </w:r>
          </w:p>
        </w:tc>
        <w:tc>
          <w:tcPr>
            <w:tcW w:w="2445" w:type="dxa"/>
            <w:shd w:val="clear" w:color="auto" w:fill="0F4761"/>
            <w:vAlign w:val="center"/>
          </w:tcPr>
          <w:p>
            <w:pPr>
              <w:pStyle w:val="TableHeading"/>
              <w:jc w:val="left"/>
            </w:pPr>
            <w:r>
              <w:rPr>
                <w:color w:val="FFFFFF"/>
              </w:rPr>
              <w:t xml:space="preserve">Owner</w:t>
            </w:r>
          </w:p>
        </w:tc>
      </w:tr>
      <w:tr>
        <w:trPr>
          <w:cantSplit/>
        </w:trPr>
        <w:tc>
          <w:tcPr>
            <w:tcW w:w="6582" w:type="dxa"/>
            <w:vAlign w:val="top"/>
          </w:tcPr>
          <w:p>
            <w:pPr>
              <w:pStyle w:val="TableText"/>
              <w:jc w:val="left"/>
            </w:pPr>
            <w:r>
              <w:t xml:space="preserve">Sandbox certification tests passed and signed off</w:t>
            </w:r>
          </w:p>
        </w:tc>
        <w:tc>
          <w:tcPr>
            <w:tcW w:w="2445" w:type="dxa"/>
            <w:vAlign w:val="top"/>
          </w:tcPr>
          <w:p>
            <w:pPr>
              <w:pStyle w:val="TableText"/>
              <w:jc w:val="left"/>
            </w:pPr>
            <w:r>
              <w:t xml:space="preserve">Partner, TASCO partner manager</w:t>
            </w:r>
          </w:p>
        </w:tc>
      </w:tr>
      <w:tr>
        <w:trPr>
          <w:cantSplit/>
        </w:trPr>
        <w:tc>
          <w:tcPr>
            <w:tcW w:w="6582" w:type="dxa"/>
            <w:shd w:val="clear" w:color="auto" w:fill="F4F7FB"/>
            <w:vAlign w:val="top"/>
          </w:tcPr>
          <w:p>
            <w:pPr>
              <w:pStyle w:val="TableText"/>
              <w:jc w:val="left"/>
            </w:pPr>
            <w:r>
              <w:t xml:space="preserve">Partner agreement signed, including commission rates and premium settlement</w:t>
            </w:r>
          </w:p>
        </w:tc>
        <w:tc>
          <w:tcPr>
            <w:tcW w:w="2445" w:type="dxa"/>
            <w:shd w:val="clear" w:color="auto" w:fill="F4F7FB"/>
            <w:vAlign w:val="top"/>
          </w:tcPr>
          <w:p>
            <w:pPr>
              <w:pStyle w:val="TableText"/>
              <w:jc w:val="left"/>
            </w:pPr>
            <w:r>
              <w:t xml:space="preserve">Partner, TASCO Partnerships</w:t>
            </w:r>
          </w:p>
        </w:tc>
      </w:tr>
      <w:tr>
        <w:trPr>
          <w:cantSplit/>
        </w:trPr>
        <w:tc>
          <w:tcPr>
            <w:tcW w:w="6582" w:type="dxa"/>
            <w:vAlign w:val="top"/>
          </w:tcPr>
          <w:p>
            <w:pPr>
              <w:pStyle w:val="TableText"/>
              <w:jc w:val="left"/>
            </w:pPr>
            <w:r>
              <w:t xml:space="preserve">Production base URL received; partner server addresses allow-listed if required</w:t>
            </w:r>
          </w:p>
        </w:tc>
        <w:tc>
          <w:tcPr>
            <w:tcW w:w="2445" w:type="dxa"/>
            <w:vAlign w:val="top"/>
          </w:tcPr>
          <w:p>
            <w:pPr>
              <w:pStyle w:val="TableText"/>
              <w:jc w:val="left"/>
            </w:pPr>
            <w:r>
              <w:t xml:space="preserve">TASCO IT</w:t>
            </w:r>
          </w:p>
        </w:tc>
      </w:tr>
      <w:tr>
        <w:trPr>
          <w:cantSplit/>
        </w:trPr>
        <w:tc>
          <w:tcPr>
            <w:tcW w:w="6582" w:type="dxa"/>
            <w:shd w:val="clear" w:color="auto" w:fill="F4F7FB"/>
            <w:vAlign w:val="top"/>
          </w:tcPr>
          <w:p>
            <w:pPr>
              <w:pStyle w:val="TableText"/>
              <w:jc w:val="left"/>
            </w:pPr>
            <w:r>
              <w:t xml:space="preserve">Production key issued with the needed scopes, stored in a secret store, never in client apps</w:t>
            </w:r>
          </w:p>
        </w:tc>
        <w:tc>
          <w:tcPr>
            <w:tcW w:w="2445" w:type="dxa"/>
            <w:shd w:val="clear" w:color="auto" w:fill="F4F7FB"/>
            <w:vAlign w:val="top"/>
          </w:tcPr>
          <w:p>
            <w:pPr>
              <w:pStyle w:val="TableText"/>
              <w:jc w:val="left"/>
            </w:pPr>
            <w:r>
              <w:t xml:space="preserve">TASCO partner manager, partner IT</w:t>
            </w:r>
          </w:p>
        </w:tc>
      </w:tr>
      <w:tr>
        <w:trPr>
          <w:cantSplit/>
        </w:trPr>
        <w:tc>
          <w:tcPr>
            <w:tcW w:w="6582" w:type="dxa"/>
            <w:vAlign w:val="top"/>
          </w:tcPr>
          <w:p>
            <w:pPr>
              <w:pStyle w:val="TableText"/>
              <w:jc w:val="left"/>
            </w:pPr>
            <w:r>
              <w:t xml:space="preserve">Key expiry date recorded and a replacement planned</w:t>
            </w:r>
          </w:p>
        </w:tc>
        <w:tc>
          <w:tcPr>
            <w:tcW w:w="2445" w:type="dxa"/>
            <w:vAlign w:val="top"/>
          </w:tcPr>
          <w:p>
            <w:pPr>
              <w:pStyle w:val="TableText"/>
              <w:jc w:val="left"/>
            </w:pPr>
            <w:r>
              <w:t xml:space="preserve">Partner IT</w:t>
            </w:r>
          </w:p>
        </w:tc>
      </w:tr>
      <w:tr>
        <w:trPr>
          <w:cantSplit/>
        </w:trPr>
        <w:tc>
          <w:tcPr>
            <w:tcW w:w="6582" w:type="dxa"/>
            <w:shd w:val="clear" w:color="auto" w:fill="F4F7FB"/>
            <w:vAlign w:val="top"/>
          </w:tcPr>
          <w:p>
            <w:pPr>
              <w:pStyle w:val="TableText"/>
              <w:jc w:val="left"/>
            </w:pPr>
            <w:r>
              <w:rPr>
                <w:rStyle w:val="CodeChar"/>
              </w:rPr>
              <w:t xml:space="preserve">X-Request-Id</w:t>
            </w:r>
            <w:r>
              <w:t xml:space="preserve"> </w:t>
            </w:r>
            <w:r>
              <w:t xml:space="preserve">and</w:t>
            </w:r>
            <w:r>
              <w:t xml:space="preserve"> </w:t>
            </w:r>
            <w:r>
              <w:rPr>
                <w:rStyle w:val="CodeChar"/>
              </w:rPr>
              <w:t xml:space="preserve">requestId</w:t>
            </w:r>
            <w:r>
              <w:t xml:space="preserve"> </w:t>
            </w:r>
            <w:r>
              <w:t xml:space="preserve">logged for every call</w:t>
            </w:r>
          </w:p>
        </w:tc>
        <w:tc>
          <w:tcPr>
            <w:tcW w:w="2445" w:type="dxa"/>
            <w:shd w:val="clear" w:color="auto" w:fill="F4F7FB"/>
            <w:vAlign w:val="top"/>
          </w:tcPr>
          <w:p>
            <w:pPr>
              <w:pStyle w:val="TableText"/>
              <w:jc w:val="left"/>
            </w:pPr>
            <w:r>
              <w:t xml:space="preserve">Partner IT</w:t>
            </w:r>
          </w:p>
        </w:tc>
      </w:tr>
      <w:tr>
        <w:trPr>
          <w:cantSplit/>
        </w:trPr>
        <w:tc>
          <w:tcPr>
            <w:tcW w:w="6582" w:type="dxa"/>
            <w:vAlign w:val="top"/>
          </w:tcPr>
          <w:p>
            <w:pPr>
              <w:pStyle w:val="TableText"/>
              <w:jc w:val="left"/>
            </w:pPr>
            <w:r>
              <w:t xml:space="preserve">Retry and idempotency logic reviewed against this guide</w:t>
            </w:r>
          </w:p>
        </w:tc>
        <w:tc>
          <w:tcPr>
            <w:tcW w:w="2445" w:type="dxa"/>
            <w:vAlign w:val="top"/>
          </w:tcPr>
          <w:p>
            <w:pPr>
              <w:pStyle w:val="TableText"/>
              <w:jc w:val="left"/>
            </w:pPr>
            <w:r>
              <w:t xml:space="preserve">Partner IT</w:t>
            </w:r>
          </w:p>
        </w:tc>
      </w:tr>
      <w:tr>
        <w:trPr>
          <w:cantSplit/>
        </w:trPr>
        <w:tc>
          <w:tcPr>
            <w:tcW w:w="6582" w:type="dxa"/>
            <w:shd w:val="clear" w:color="auto" w:fill="F4F7FB"/>
            <w:vAlign w:val="top"/>
          </w:tcPr>
          <w:p>
            <w:pPr>
              <w:pStyle w:val="TableText"/>
              <w:jc w:val="left"/>
            </w:pPr>
            <w:r>
              <w:t xml:space="preserve">Sales staff briefed: TNDS price is regulated, no discount wording, no OTP or card details by phone</w:t>
            </w:r>
          </w:p>
        </w:tc>
        <w:tc>
          <w:tcPr>
            <w:tcW w:w="2445" w:type="dxa"/>
            <w:shd w:val="clear" w:color="auto" w:fill="F4F7FB"/>
            <w:vAlign w:val="top"/>
          </w:tcPr>
          <w:p>
            <w:pPr>
              <w:pStyle w:val="TableText"/>
              <w:jc w:val="left"/>
            </w:pPr>
            <w:r>
              <w:t xml:space="preserve">Partner sales</w:t>
            </w:r>
          </w:p>
        </w:tc>
      </w:tr>
      <w:tr>
        <w:trPr>
          <w:cantSplit/>
        </w:trPr>
        <w:tc>
          <w:tcPr>
            <w:tcW w:w="6582" w:type="dxa"/>
            <w:vAlign w:val="top"/>
          </w:tcPr>
          <w:p>
            <w:pPr>
              <w:pStyle w:val="TableText"/>
              <w:jc w:val="left"/>
            </w:pPr>
            <w:r>
              <w:t xml:space="preserve">Customer data handled under Decree 13/2023/ND-CP; only the data the policy needs is sent</w:t>
            </w:r>
          </w:p>
        </w:tc>
        <w:tc>
          <w:tcPr>
            <w:tcW w:w="2445" w:type="dxa"/>
            <w:vAlign w:val="top"/>
          </w:tcPr>
          <w:p>
            <w:pPr>
              <w:pStyle w:val="TableText"/>
              <w:jc w:val="left"/>
            </w:pPr>
            <w:r>
              <w:t xml:space="preserve">Partner compliance</w:t>
            </w:r>
          </w:p>
        </w:tc>
      </w:tr>
      <w:tr>
        <w:trPr>
          <w:cantSplit/>
        </w:trPr>
        <w:tc>
          <w:tcPr>
            <w:tcW w:w="6582" w:type="dxa"/>
            <w:shd w:val="clear" w:color="auto" w:fill="F4F7FB"/>
            <w:vAlign w:val="top"/>
          </w:tcPr>
          <w:p>
            <w:pPr>
              <w:pStyle w:val="TableText"/>
              <w:jc w:val="left"/>
            </w:pPr>
            <w:r>
              <w:t xml:space="preserve">Certificate QR printed on customer documents</w:t>
            </w:r>
          </w:p>
        </w:tc>
        <w:tc>
          <w:tcPr>
            <w:tcW w:w="2445" w:type="dxa"/>
            <w:shd w:val="clear" w:color="auto" w:fill="F4F7FB"/>
            <w:vAlign w:val="top"/>
          </w:tcPr>
          <w:p>
            <w:pPr>
              <w:pStyle w:val="TableText"/>
              <w:jc w:val="left"/>
            </w:pPr>
            <w:r>
              <w:t xml:space="preserve">Partner</w:t>
            </w:r>
          </w:p>
        </w:tc>
      </w:tr>
      <w:tr>
        <w:trPr>
          <w:cantSplit/>
        </w:trPr>
        <w:tc>
          <w:tcPr>
            <w:tcW w:w="6582" w:type="dxa"/>
            <w:vAlign w:val="top"/>
          </w:tcPr>
          <w:p>
            <w:pPr>
              <w:pStyle w:val="TableText"/>
              <w:jc w:val="left"/>
            </w:pPr>
            <w:r>
              <w:t xml:space="preserve">Support contacts exchanged; escalation path agreed</w:t>
            </w:r>
          </w:p>
        </w:tc>
        <w:tc>
          <w:tcPr>
            <w:tcW w:w="2445" w:type="dxa"/>
            <w:vAlign w:val="top"/>
          </w:tcPr>
          <w:p>
            <w:pPr>
              <w:pStyle w:val="TableText"/>
              <w:jc w:val="left"/>
            </w:pPr>
            <w:r>
              <w:t xml:space="preserve">Both</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3" w:name="_Toc300000029"/>
      <w:r>
        <w:rPr>
          <w:rStyle w:val="BookTitle"/>
          <w:bCs w:val="0"/>
          <w:i w:val="0"/>
          <w:iCs w:val="0"/>
          <w:spacing w:val="0"/>
        </w:rPr>
        <w:t xml:space="preserve">Data protection</w:t>
      </w:r>
      <w:bookmarkEnd w:id="33"/>
    </w:p>
    <w:p>
      <w:pPr>
        <w:pStyle w:val="Compact"/>
        <w:numPr>
          <w:ilvl w:val="0"/>
          <w:numId w:val="1009"/>
        </w:numPr>
      </w:pPr>
      <w:r>
        <w:t xml:space="preserve">Send personal data (name, phone) only when the policy needs it and you have a lawful basis under Vietnam’s personal data protection rules (Decree 13/2023/ND-CP), to be confirmed by TASCO legal for your agreement.</w:t>
      </w:r>
    </w:p>
    <w:p>
      <w:pPr>
        <w:pStyle w:val="Compact"/>
        <w:numPr>
          <w:ilvl w:val="0"/>
          <w:numId w:val="1009"/>
        </w:numPr>
      </w:pPr>
      <w:r>
        <w:t xml:space="preserve">The API does not collect marketing consent for TASCO or VETC. Do not tell customers they will receive TASCO or VETC marketing.</w:t>
      </w:r>
    </w:p>
    <w:p>
      <w:pPr>
        <w:pStyle w:val="Compact"/>
        <w:numPr>
          <w:ilvl w:val="0"/>
          <w:numId w:val="1009"/>
        </w:numPr>
      </w:pPr>
      <w:r>
        <w:t xml:space="preserve">Keep certificate data no longer than your agreement allows. Do not scrape the public verification page.</w:t>
      </w:r>
    </w:p>
    <w:p>
      <w:pPr>
        <w:pStyle w:val="Compact"/>
        <w:numPr>
          <w:ilvl w:val="0"/>
          <w:numId w:val="1009"/>
        </w:numPr>
      </w:pPr>
      <w:r>
        <w:t xml:space="preserve">Pass any request from a customer to see or erase the data TASCO holds to your partner manager, with the date you received it. TASCO compliance logs it and answers within the response time set by TASCO.</w:t>
      </w:r>
    </w:p>
    <w:p>
      <w:pPr>
        <w:pStyle w:val="Compact"/>
        <w:numPr>
          <w:ilvl w:val="0"/>
          <w:numId w:val="1009"/>
        </w:numPr>
      </w:pPr>
      <w:r>
        <w:t xml:space="preserve">Never present TNDS with discount, rebate or cashback wording.</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34" w:name="_Toc300000030"/>
      <w:r>
        <w:rPr>
          <w:rStyle w:val="BookTitle"/>
          <w:bCs w:val="0"/>
          <w:i w:val="0"/>
          <w:iCs w:val="0"/>
          <w:spacing w:val="0"/>
        </w:rPr>
        <w:t xml:space="preserve">Appendix</w:t>
      </w:r>
      <w:bookmarkEnd w:id="34"/>
    </w:p>
    <w:p>
      <w:pPr>
        <w:pStyle w:val="Heading2"/>
      </w:pPr>
      <w:bookmarkStart w:id="35" w:name="_Toc300000031"/>
      <w:r>
        <w:t xml:space="preserve">Change log</w:t>
      </w:r>
      <w:bookmarkEnd w:id="3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094"/>
        <w:gridCol w:w="1451"/>
        <w:gridCol w:w="6482"/>
      </w:tblGrid>
      <w:tr>
        <w:trPr>
          <w:cantSplit/>
          <w:tblHeader/>
        </w:trPr>
        <w:tc>
          <w:tcPr>
            <w:tcW w:w="1094" w:type="dxa"/>
            <w:shd w:val="clear" w:color="auto" w:fill="0F4761"/>
            <w:vAlign w:val="center"/>
          </w:tcPr>
          <w:p>
            <w:pPr>
              <w:pStyle w:val="TableHeading"/>
              <w:jc w:val="left"/>
            </w:pPr>
            <w:r>
              <w:rPr>
                <w:color w:val="FFFFFF"/>
              </w:rPr>
              <w:t xml:space="preserve">Version</w:t>
            </w:r>
          </w:p>
        </w:tc>
        <w:tc>
          <w:tcPr>
            <w:tcW w:w="1451" w:type="dxa"/>
            <w:shd w:val="clear" w:color="auto" w:fill="0F4761"/>
            <w:vAlign w:val="center"/>
          </w:tcPr>
          <w:p>
            <w:pPr>
              <w:pStyle w:val="TableHeading"/>
              <w:jc w:val="left"/>
            </w:pPr>
            <w:r>
              <w:rPr>
                <w:color w:val="FFFFFF"/>
              </w:rPr>
              <w:t xml:space="preserve">Date</w:t>
            </w:r>
          </w:p>
        </w:tc>
        <w:tc>
          <w:tcPr>
            <w:tcW w:w="6482" w:type="dxa"/>
            <w:shd w:val="clear" w:color="auto" w:fill="0F4761"/>
            <w:vAlign w:val="center"/>
          </w:tcPr>
          <w:p>
            <w:pPr>
              <w:pStyle w:val="TableHeading"/>
              <w:jc w:val="left"/>
            </w:pPr>
            <w:r>
              <w:rPr>
                <w:color w:val="FFFFFF"/>
              </w:rPr>
              <w:t xml:space="preserve">Change</w:t>
            </w:r>
          </w:p>
        </w:tc>
      </w:tr>
      <w:tr>
        <w:trPr>
          <w:cantSplit/>
        </w:trPr>
        <w:tc>
          <w:tcPr>
            <w:tcW w:w="1094" w:type="dxa"/>
            <w:vAlign w:val="top"/>
          </w:tcPr>
          <w:p>
            <w:pPr>
              <w:pStyle w:val="TableText"/>
              <w:jc w:val="left"/>
            </w:pPr>
            <w:r>
              <w:t xml:space="preserve">v1</w:t>
            </w:r>
          </w:p>
        </w:tc>
        <w:tc>
          <w:tcPr>
            <w:tcW w:w="1451" w:type="dxa"/>
            <w:vAlign w:val="top"/>
          </w:tcPr>
          <w:p>
            <w:pPr>
              <w:pStyle w:val="TableText"/>
              <w:jc w:val="left"/>
            </w:pPr>
            <w:r>
              <w:t xml:space="preserve">08/10/2026</w:t>
            </w:r>
          </w:p>
        </w:tc>
        <w:tc>
          <w:tcPr>
            <w:tcW w:w="6482" w:type="dxa"/>
            <w:vAlign w:val="top"/>
          </w:tcPr>
          <w:p>
            <w:pPr>
              <w:pStyle w:val="TableText"/>
              <w:jc w:val="left"/>
            </w:pPr>
            <w:r>
              <w:t xml:space="preserve">First release: quotes, idempotent orders collected by the partner, policies, commission statement, scoped keys</w:t>
            </w:r>
          </w:p>
        </w:tc>
      </w:tr>
    </w:tbl>
    <w:p>
      <w:pPr>
        <w:pStyle w:val="Heading2"/>
      </w:pPr>
      <w:bookmarkStart w:id="36" w:name="_Toc300000032"/>
      <w:r>
        <w:t xml:space="preserve">Field reference: quote line</w:t>
      </w:r>
      <w:bookmarkEnd w:id="3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514"/>
        <w:gridCol w:w="5513"/>
      </w:tblGrid>
      <w:tr>
        <w:trPr>
          <w:cantSplit/>
          <w:tblHeader/>
        </w:trPr>
        <w:tc>
          <w:tcPr>
            <w:tcW w:w="3514" w:type="dxa"/>
            <w:shd w:val="clear" w:color="auto" w:fill="0F4761"/>
            <w:vAlign w:val="center"/>
          </w:tcPr>
          <w:p>
            <w:pPr>
              <w:pStyle w:val="TableHeading"/>
              <w:jc w:val="left"/>
            </w:pPr>
            <w:r>
              <w:rPr>
                <w:color w:val="FFFFFF"/>
              </w:rPr>
              <w:t xml:space="preserve">Field</w:t>
            </w:r>
          </w:p>
        </w:tc>
        <w:tc>
          <w:tcPr>
            <w:tcW w:w="5513" w:type="dxa"/>
            <w:shd w:val="clear" w:color="auto" w:fill="0F4761"/>
            <w:vAlign w:val="center"/>
          </w:tcPr>
          <w:p>
            <w:pPr>
              <w:pStyle w:val="TableHeading"/>
              <w:jc w:val="left"/>
            </w:pPr>
            <w:r>
              <w:rPr>
                <w:color w:val="FFFFFF"/>
              </w:rPr>
              <w:t xml:space="preserve">Meaning</w:t>
            </w:r>
          </w:p>
        </w:tc>
      </w:tr>
      <w:tr>
        <w:trPr>
          <w:cantSplit/>
        </w:trPr>
        <w:tc>
          <w:tcPr>
            <w:tcW w:w="3514" w:type="dxa"/>
            <w:vAlign w:val="top"/>
          </w:tcPr>
          <w:p>
            <w:pPr>
              <w:pStyle w:val="TableText"/>
              <w:jc w:val="left"/>
            </w:pPr>
            <w:r>
              <w:rPr>
                <w:rStyle w:val="CodeChar"/>
              </w:rPr>
              <w:t xml:space="preserve">product</w:t>
            </w:r>
          </w:p>
        </w:tc>
        <w:tc>
          <w:tcPr>
            <w:tcW w:w="5513" w:type="dxa"/>
            <w:vAlign w:val="top"/>
          </w:tcPr>
          <w:p>
            <w:pPr>
              <w:pStyle w:val="TableText"/>
              <w:jc w:val="left"/>
            </w:pPr>
            <w:r>
              <w:t xml:space="preserve">Product code</w:t>
            </w:r>
          </w:p>
        </w:tc>
      </w:tr>
      <w:tr>
        <w:trPr>
          <w:cantSplit/>
        </w:trPr>
        <w:tc>
          <w:tcPr>
            <w:tcW w:w="3514" w:type="dxa"/>
            <w:shd w:val="clear" w:color="auto" w:fill="F4F7FB"/>
            <w:vAlign w:val="top"/>
          </w:tcPr>
          <w:p>
            <w:pPr>
              <w:pStyle w:val="TableText"/>
              <w:jc w:val="left"/>
            </w:pPr>
            <w:r>
              <w:rPr>
                <w:rStyle w:val="CodeChar"/>
              </w:rPr>
              <w:t xml:space="preserve">productName</w:t>
            </w:r>
            <w:r>
              <w:t xml:space="preserve">,</w:t>
            </w:r>
            <w:r>
              <w:t xml:space="preserve"> </w:t>
            </w:r>
            <w:r>
              <w:rPr>
                <w:rStyle w:val="CodeChar"/>
              </w:rPr>
              <w:t xml:space="preserve">productNameVi</w:t>
            </w:r>
          </w:p>
        </w:tc>
        <w:tc>
          <w:tcPr>
            <w:tcW w:w="5513" w:type="dxa"/>
            <w:shd w:val="clear" w:color="auto" w:fill="F4F7FB"/>
            <w:vAlign w:val="top"/>
          </w:tcPr>
          <w:p>
            <w:pPr>
              <w:pStyle w:val="TableText"/>
              <w:jc w:val="left"/>
            </w:pPr>
            <w:r>
              <w:t xml:space="preserve">Product name in English and Vietnamese</w:t>
            </w:r>
          </w:p>
        </w:tc>
      </w:tr>
      <w:tr>
        <w:trPr>
          <w:cantSplit/>
        </w:trPr>
        <w:tc>
          <w:tcPr>
            <w:tcW w:w="3514" w:type="dxa"/>
            <w:vAlign w:val="top"/>
          </w:tcPr>
          <w:p>
            <w:pPr>
              <w:pStyle w:val="TableText"/>
              <w:jc w:val="left"/>
            </w:pPr>
            <w:r>
              <w:rPr>
                <w:rStyle w:val="CodeChar"/>
              </w:rPr>
              <w:t xml:space="preserve">startDate</w:t>
            </w:r>
            <w:r>
              <w:t xml:space="preserve">,</w:t>
            </w:r>
            <w:r>
              <w:t xml:space="preserve"> </w:t>
            </w:r>
            <w:r>
              <w:rPr>
                <w:rStyle w:val="CodeChar"/>
              </w:rPr>
              <w:t xml:space="preserve">endDate</w:t>
            </w:r>
          </w:p>
        </w:tc>
        <w:tc>
          <w:tcPr>
            <w:tcW w:w="5513" w:type="dxa"/>
            <w:vAlign w:val="top"/>
          </w:tcPr>
          <w:p>
            <w:pPr>
              <w:pStyle w:val="TableText"/>
              <w:jc w:val="left"/>
            </w:pPr>
            <w:r>
              <w:t xml:space="preserve">Cover period</w:t>
            </w:r>
          </w:p>
        </w:tc>
      </w:tr>
      <w:tr>
        <w:trPr>
          <w:cantSplit/>
        </w:trPr>
        <w:tc>
          <w:tcPr>
            <w:tcW w:w="3514" w:type="dxa"/>
            <w:shd w:val="clear" w:color="auto" w:fill="F4F7FB"/>
            <w:vAlign w:val="top"/>
          </w:tcPr>
          <w:p>
            <w:pPr>
              <w:pStyle w:val="TableText"/>
              <w:jc w:val="left"/>
            </w:pPr>
            <w:r>
              <w:rPr>
                <w:rStyle w:val="CodeChar"/>
              </w:rPr>
              <w:t xml:space="preserve">premiumNet</w:t>
            </w:r>
            <w:r>
              <w:t xml:space="preserve">,</w:t>
            </w:r>
            <w:r>
              <w:t xml:space="preserve"> </w:t>
            </w:r>
            <w:r>
              <w:rPr>
                <w:rStyle w:val="CodeChar"/>
              </w:rPr>
              <w:t xml:space="preserve">vat</w:t>
            </w:r>
            <w:r>
              <w:t xml:space="preserve">,</w:t>
            </w:r>
            <w:r>
              <w:t xml:space="preserve"> </w:t>
            </w:r>
            <w:r>
              <w:rPr>
                <w:rStyle w:val="CodeChar"/>
              </w:rPr>
              <w:t xml:space="preserve">total</w:t>
            </w:r>
          </w:p>
        </w:tc>
        <w:tc>
          <w:tcPr>
            <w:tcW w:w="5513" w:type="dxa"/>
            <w:shd w:val="clear" w:color="auto" w:fill="F4F7FB"/>
            <w:vAlign w:val="top"/>
          </w:tcPr>
          <w:p>
            <w:pPr>
              <w:pStyle w:val="TableText"/>
              <w:jc w:val="left"/>
            </w:pPr>
            <w:r>
              <w:t xml:space="preserve">Premium before VAT, VAT and total, in VND</w:t>
            </w:r>
          </w:p>
        </w:tc>
      </w:tr>
      <w:tr>
        <w:trPr>
          <w:cantSplit/>
        </w:trPr>
        <w:tc>
          <w:tcPr>
            <w:tcW w:w="3514" w:type="dxa"/>
            <w:vAlign w:val="top"/>
          </w:tcPr>
          <w:p>
            <w:pPr>
              <w:pStyle w:val="TableText"/>
              <w:jc w:val="left"/>
            </w:pPr>
            <w:r>
              <w:rPr>
                <w:rStyle w:val="CodeChar"/>
              </w:rPr>
              <w:t xml:space="preserve">priceRegulated</w:t>
            </w:r>
          </w:p>
        </w:tc>
        <w:tc>
          <w:tcPr>
            <w:tcW w:w="5513" w:type="dxa"/>
            <w:vAlign w:val="top"/>
          </w:tcPr>
          <w:p>
            <w:pPr>
              <w:pStyle w:val="TableText"/>
              <w:jc w:val="left"/>
            </w:pPr>
            <w:r>
              <w:rPr>
                <w:rStyle w:val="CodeChar"/>
              </w:rPr>
              <w:t xml:space="preserve">true</w:t>
            </w:r>
            <w:r>
              <w:t xml:space="preserve"> </w:t>
            </w:r>
            <w:r>
              <w:t xml:space="preserve">for TNDS</w:t>
            </w:r>
          </w:p>
        </w:tc>
      </w:tr>
      <w:tr>
        <w:trPr>
          <w:cantSplit/>
        </w:trPr>
        <w:tc>
          <w:tcPr>
            <w:tcW w:w="3514" w:type="dxa"/>
            <w:shd w:val="clear" w:color="auto" w:fill="F4F7FB"/>
            <w:vAlign w:val="top"/>
          </w:tcPr>
          <w:p>
            <w:pPr>
              <w:pStyle w:val="TableText"/>
              <w:jc w:val="left"/>
            </w:pPr>
            <w:r>
              <w:rPr>
                <w:rStyle w:val="CodeChar"/>
              </w:rPr>
              <w:t xml:space="preserve">breakdown</w:t>
            </w:r>
          </w:p>
        </w:tc>
        <w:tc>
          <w:tcPr>
            <w:tcW w:w="5513" w:type="dxa"/>
            <w:shd w:val="clear" w:color="auto" w:fill="F4F7FB"/>
            <w:vAlign w:val="top"/>
          </w:tcPr>
          <w:p>
            <w:pPr>
              <w:pStyle w:val="TableText"/>
              <w:jc w:val="left"/>
            </w:pPr>
            <w:r>
              <w:t xml:space="preserve">How the premium was calculated</w:t>
            </w:r>
          </w:p>
        </w:tc>
      </w:tr>
      <w:tr>
        <w:trPr>
          <w:cantSplit/>
        </w:trPr>
        <w:tc>
          <w:tcPr>
            <w:tcW w:w="3514" w:type="dxa"/>
            <w:vAlign w:val="top"/>
          </w:tcPr>
          <w:p>
            <w:pPr>
              <w:pStyle w:val="TableText"/>
              <w:jc w:val="left"/>
            </w:pPr>
            <w:r>
              <w:rPr>
                <w:rStyle w:val="CodeChar"/>
              </w:rPr>
              <w:t xml:space="preserve">note</w:t>
            </w:r>
          </w:p>
        </w:tc>
        <w:tc>
          <w:tcPr>
            <w:tcW w:w="5513" w:type="dxa"/>
            <w:vAlign w:val="top"/>
          </w:tcPr>
          <w:p>
            <w:pPr>
              <w:pStyle w:val="TableText"/>
              <w:jc w:val="left"/>
            </w:pPr>
            <w:r>
              <w:t xml:space="preserve">A short pricing note</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37" w:name="_Toc300000033"/>
      <w:r>
        <w:rPr>
          <w:rStyle w:val="BookTitle"/>
          <w:bCs w:val="0"/>
          <w:i w:val="0"/>
          <w:iCs w:val="0"/>
          <w:spacing w:val="0"/>
        </w:rPr>
        <w:t xml:space="preserve">Sign-Off</w:t>
      </w:r>
      <w:bookmarkEnd w:id="3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5017"/>
        <w:gridCol w:w="2066"/>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5017"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066"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501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Sandbox and production base URLs, and the network allow-list for partner servers, issued by TASCO IT</w:t>
            </w:r>
          </w:p>
        </w:tc>
        <w:tc>
          <w:tcPr>
            <w:tcW w:w="206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501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Seat accident and physical damage rates replaced by TASCO filed rates in production</w:t>
            </w:r>
          </w:p>
        </w:tc>
        <w:tc>
          <w:tcPr>
            <w:tcW w:w="206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Product Owner</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3</w:t>
            </w:r>
          </w:p>
        </w:tc>
        <w:tc>
          <w:tcPr>
            <w:tcW w:w="501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Premium settlement and commission reconciliation terms set in each partner agreement</w:t>
            </w:r>
          </w:p>
        </w:tc>
        <w:tc>
          <w:tcPr>
            <w:tcW w:w="206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Partnerships and Finance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4</w:t>
            </w:r>
          </w:p>
        </w:tc>
        <w:tc>
          <w:tcPr>
            <w:tcW w:w="501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Partner obligations under Decree 13/2023/ND-CP on personal data protection to be confirmed by TASCO legal</w:t>
            </w:r>
          </w:p>
        </w:tc>
        <w:tc>
          <w:tcPr>
            <w:tcW w:w="206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Compliance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5</w:t>
            </w:r>
          </w:p>
        </w:tc>
        <w:tc>
          <w:tcPr>
            <w:tcW w:w="5017"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Policy issuance through TASCO core (a sandbox adapter in this release) confirmed before production keys are issued</w:t>
            </w:r>
          </w:p>
        </w:tc>
        <w:tc>
          <w:tcPr>
            <w:tcW w:w="2066"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 Architecture</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65"/>
        <w:gridCol w:w="1677"/>
        <w:gridCol w:w="2628"/>
        <w:gridCol w:w="3657"/>
      </w:tblGrid>
      <w:tr w:rsidR="002B183A" w14:paraId="731A77C7" w14:textId="77777777" w:rsidTr="002923F3">
        <w:trPr>
          <w:cantSplit/>
          <w:trHeight w:val="440"/>
          <w:tblHeader/>
        </w:trPr>
        <w:tc>
          <w:tcPr>
            <w:tcW w:w="1065"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77"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28"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57"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6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2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57"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6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2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57"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 Architecture</w:t>
            </w:r>
          </w:p>
        </w:tc>
      </w:tr>
      <w:tr w:rsidR="002B183A" w:rsidRPr="00BB346A" w14:paraId="2AD1806B" w14:textId="77777777" w:rsidTr="002923F3">
        <w:trPr>
          <w:cantSplit/>
          <w:trHeight w:val="760"/>
        </w:trPr>
        <w:tc>
          <w:tcPr>
            <w:tcW w:w="1065"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7"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28"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57"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Integration Engineering</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16cid:durableId="1413504409">
    <w:abstractNumId w:val="0"/>
  </w:num>
  <w:num w:numId="2" w16cid:durableId="1722510407">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 API Integration Guide</dc:title>
  <dc:subject>TGP-MAN-03</dc:subject>
  <dc:creator>iorta TechNXT</dc:creator>
  <cp:keywords>TGP-MAN-03; TASCO Insurance; iorta TechNXT</cp:keywords>
  <dc:description>TASCO Motor Insurance Growth Platform</dc:description>
  <cp:lastModifiedBy>iorta TechNXT</cp:lastModifiedBy>
  <cp:revision>1</cp:revision>
  <dcterms:created xsi:type="dcterms:W3CDTF">2026-10-08T03:54:55Z</dcterms:created>
  <dcterms:modified xsi:type="dcterms:W3CDTF">2026-10-08T03:54:55Z</dcterms:modified>
</cp:coreProperties>
</file>