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2CD8" w14:textId="0D544CAB" w:rsidR="00DD7430" w:rsidRDefault="004E4690" w:rsidP="3B384731">
      <w:r>
        <w:rPr>
          <w:noProof/>
        </w:rPr>
        <w:drawing>
          <wp:anchor distT="0" distB="0" distL="114300" distR="114300" simplePos="0" relativeHeight="251658241" behindDoc="1" locked="0" layoutInCell="1" allowOverlap="1" wp14:anchorId="7FDD2D24" wp14:editId="42CB1C55">
            <wp:simplePos x="0" y="0"/>
            <wp:positionH relativeFrom="margin">
              <wp:posOffset>-914400</wp:posOffset>
            </wp:positionH>
            <wp:positionV relativeFrom="margin">
              <wp:posOffset>-914426</wp:posOffset>
            </wp:positionV>
            <wp:extent cx="7553960" cy="10685198"/>
            <wp:effectExtent l="0" t="0" r="8890" b="1905"/>
            <wp:wrapNone/>
            <wp:docPr id="205315688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3E1FE75-9233-4911-9AF8-8DA8FB5453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56881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960" cy="10685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47A1">
        <w:rPr>
          <w:noProof/>
        </w:rPr>
        <w:drawing>
          <wp:anchor distT="0" distB="0" distL="114300" distR="114300" simplePos="0" relativeHeight="251658247" behindDoc="1" locked="0" layoutInCell="1" allowOverlap="1" wp14:anchorId="68FBBCEA" wp14:editId="760DF883">
            <wp:simplePos x="0" y="0"/>
            <wp:positionH relativeFrom="margin">
              <wp:align>center</wp:align>
            </wp:positionH>
            <wp:positionV relativeFrom="margin">
              <wp:posOffset>244432</wp:posOffset>
            </wp:positionV>
            <wp:extent cx="2000250" cy="568367"/>
            <wp:effectExtent l="0" t="0" r="0" b="3175"/>
            <wp:wrapNone/>
            <wp:docPr id="94063927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E3627AEF-EF2A-408D-AEDD-9163B59054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39279" name="Picture 9406392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568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BFD2E5" w14:textId="7C6911E0" w:rsidR="00DD7430" w:rsidRDefault="003F0D95">
      <w:r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204C02CC" wp14:editId="65DFA600">
                <wp:simplePos x="0" y="0"/>
                <wp:positionH relativeFrom="margin">
                  <wp:align>center</wp:align>
                </wp:positionH>
                <wp:positionV relativeFrom="paragraph">
                  <wp:posOffset>1979157</wp:posOffset>
                </wp:positionV>
                <wp:extent cx="5760000" cy="337820"/>
                <wp:effectExtent l="0" t="0" r="0" b="5080"/>
                <wp:wrapSquare wrapText="bothSides"/>
                <wp:docPr id="1294513242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523173A-31B4-4C1A-9AA6-993E5CA1A44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337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FA1EBF" w14:textId="6A6CA9D8" w:rsidR="00913938" w:rsidRPr="00851AA2" w:rsidRDefault="002D24EB" w:rsidP="00913938">
                            <w:pPr>
                              <w:jc w:val="center"/>
                              <w:rPr>
                                <w:b/>
                                <w:bCs/>
                                <w:color w:val="071B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71B2C"/>
                                <w:sz w:val="28"/>
                                <w:szCs w:val="28"/>
                              </w:rPr>
                              <w:t xml:space="preserve">TASCO Motor Insurance Growth Platform · TGP-OPS-05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01DE2BF4" wp14:editId="07BA52AE">
                <wp:simplePos x="0" y="0"/>
                <wp:positionH relativeFrom="margin">
                  <wp:align>center</wp:align>
                </wp:positionH>
                <wp:positionV relativeFrom="paragraph">
                  <wp:posOffset>1291590</wp:posOffset>
                </wp:positionV>
                <wp:extent cx="5760000" cy="476885"/>
                <wp:effectExtent l="0" t="0" r="0" b="0"/>
                <wp:wrapSquare wrapText="bothSides"/>
                <wp:docPr id="578771272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667603B8-5035-4623-849E-672EC358E0B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476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9063F1" w14:textId="4B04DDEF" w:rsidR="003F0D95" w:rsidRPr="00E75E19" w:rsidRDefault="003F0D95" w:rsidP="003F0D95">
                            <w:pPr>
                              <w:jc w:val="center"/>
                              <w:rPr>
                                <w:b/>
                                <w:bCs/>
                                <w:color w:val="1D74BA"/>
                                <w:sz w:val="44"/>
                                <w:szCs w:val="44"/>
                                <w:lang w:val="en-MY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D74BA"/>
                                <w:sz w:val="44"/>
                                <w:szCs w:val="44"/>
                                <w:lang w:val="en-MY"/>
                              </w:rPr>
                              <w:t xml:space="preserve">Go-Live and Hypercare Plan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3C3BF4"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1BF25123" wp14:editId="646212E8">
                <wp:simplePos x="0" y="0"/>
                <wp:positionH relativeFrom="page">
                  <wp:posOffset>4791400</wp:posOffset>
                </wp:positionH>
                <wp:positionV relativeFrom="paragraph">
                  <wp:posOffset>4124960</wp:posOffset>
                </wp:positionV>
                <wp:extent cx="2600000" cy="266700"/>
                <wp:effectExtent l="0" t="0" r="0" b="0"/>
                <wp:wrapSquare wrapText="bothSides"/>
                <wp:docPr id="2121288187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CA37AE-CBDC-4F83-9202-1C48F3B8FDC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00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4779C" w14:textId="169D6E01" w:rsidR="003C3BF4" w:rsidRPr="002F15FD" w:rsidRDefault="0064254C" w:rsidP="003C3BF4">
                            <w:pPr>
                              <w:jc w:val="right"/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Date –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 xml:space="preserve">08 October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3C3BF4"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58C23128" wp14:editId="498091B1">
                <wp:simplePos x="0" y="0"/>
                <wp:positionH relativeFrom="page">
                  <wp:posOffset>2930472</wp:posOffset>
                </wp:positionH>
                <wp:positionV relativeFrom="paragraph">
                  <wp:posOffset>4124960</wp:posOffset>
                </wp:positionV>
                <wp:extent cx="1700000" cy="266700"/>
                <wp:effectExtent l="0" t="0" r="0" b="0"/>
                <wp:wrapSquare wrapText="bothSides"/>
                <wp:docPr id="728187958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24D743-A85E-4208-9BF2-3E490CC7E55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00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3BCAB9" w14:textId="1233059B" w:rsidR="003C3BF4" w:rsidRPr="002F15FD" w:rsidRDefault="003C3BF4" w:rsidP="003C3BF4">
                            <w:pPr>
                              <w:jc w:val="center"/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Version –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 xml:space="preserve"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EC0DBF"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D43415C" wp14:editId="2B893344">
                <wp:simplePos x="0" y="0"/>
                <wp:positionH relativeFrom="page">
                  <wp:posOffset>194310</wp:posOffset>
                </wp:positionH>
                <wp:positionV relativeFrom="paragraph">
                  <wp:posOffset>4124960</wp:posOffset>
                </wp:positionV>
                <wp:extent cx="3000000" cy="266700"/>
                <wp:effectExtent l="0" t="0" r="0" b="0"/>
                <wp:wrapSquare wrapText="bothSides"/>
                <wp:docPr id="5001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4E5FFD-7012-4F5C-89A4-E2F28B264C9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00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F8422" w14:textId="69B19D89" w:rsidR="00EC0DBF" w:rsidRPr="002F15FD" w:rsidRDefault="00EC0DBF" w:rsidP="00EC0DBF">
                            <w:pPr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Prepared by –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 xml:space="preserve">iorta TechNXT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DD7430">
        <w:br w:type="page"/>
      </w:r>
    </w:p>
    <w:p w14:paraId="11016166" w14:textId="77777777" w:rsidR="002B183A" w:rsidRPr="00F52543" w:rsidRDefault="002B183A" w:rsidP="002B183A">
      <w:pPr>
        <w:pStyle w:val="TOCHeading"/>
        <w:tabs>
          <w:tab w:val="left" w:pos="1991"/>
          <w:tab w:val="center" w:pos="4725"/>
          <w:tab w:val="right" w:pos="9450"/>
        </w:tabs>
        <w:rPr>
          <w:rFonts w:ascii="Segoe UI" w:hAnsi="Segoe UI" w:cs="Segoe UI"/>
          <w:b/>
          <w:color w:val="003399"/>
        </w:rPr>
      </w:pPr>
      <w:r w:rsidRPr="00F52543">
        <w:rPr>
          <w:rFonts w:ascii="Segoe UI" w:eastAsia="Arial" w:hAnsi="Segoe UI" w:cs="Segoe UI"/>
          <w:b/>
          <w:color w:val="003399"/>
        </w:rPr>
        <w:lastRenderedPageBreak/>
        <w:t>TABLE OF CONTENTS</w:t>
      </w:r>
    </w:p>
    <w:p>
      <w:pPr>
        <w:pStyle w:val="TOC1"/>
      </w:pPr>
      <w:r>
        <w:rPr>
          <w:noProof/>
        </w:rPr>
        <w:fldChar w:fldCharType="begin"/>
      </w:r>
      <w:r>
        <w:rPr>
          <w:noProof/>
        </w:rPr>
        <w:instrText xml:space="preserve"> TOC \o "1-3" \h \z \u </w:instrText>
      </w:r>
      <w:r>
        <w:rPr>
          <w:noProof/>
        </w:rPr>
        <w:fldChar w:fldCharType="separate"/>
      </w:r>
      <w:hyperlink w:anchor="_Toc300000001" w:history="1">
        <w:r>
          <w:rPr>
            <w:noProof/>
          </w:rPr>
          <w:t>1.</w:t>
        </w:r>
        <w:r>
          <w:rPr>
            <w:noProof/>
          </w:rPr>
          <w:tab/>
        </w:r>
        <w:r>
          <w:rPr>
            <w:noProof/>
          </w:rPr>
          <w:t xml:space="preserve">Document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2" w:history="1">
        <w:r>
          <w:rPr>
            <w:noProof/>
          </w:rPr>
          <w:t>2.</w:t>
        </w:r>
        <w:r>
          <w:rPr>
            <w:noProof/>
          </w:rPr>
          <w:tab/>
        </w:r>
        <w:r>
          <w:rPr>
            <w:noProof/>
          </w:rPr>
          <w:t xml:space="preserve">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3" w:history="1">
        <w:r>
          <w:rPr>
            <w:noProof/>
          </w:rPr>
          <w:t>3.</w:t>
        </w:r>
        <w:r>
          <w:rPr>
            <w:noProof/>
          </w:rPr>
          <w:tab/>
        </w:r>
        <w:r>
          <w:rPr>
            <w:noProof/>
          </w:rPr>
          <w:t xml:space="preserve"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4" w:history="1">
        <w:r>
          <w:rPr>
            <w:noProof/>
          </w:rPr>
          <w:t>4.</w:t>
        </w:r>
        <w:r>
          <w:rPr>
            <w:noProof/>
          </w:rPr>
          <w:tab/>
        </w:r>
        <w:r>
          <w:rPr>
            <w:noProof/>
          </w:rPr>
          <w:t xml:space="preserve">Go-live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5" w:history="1">
        <w:r>
          <w:rPr>
            <w:noProof/>
          </w:rPr>
          <w:t>5.</w:t>
        </w:r>
        <w:r>
          <w:rPr>
            <w:noProof/>
          </w:rPr>
          <w:tab/>
        </w:r>
        <w:r>
          <w:rPr>
            <w:noProof/>
          </w:rPr>
          <w:t xml:space="preserve">Go or no-go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6" w:history="1">
        <w:r>
          <w:rPr>
            <w:noProof/>
          </w:rPr>
          <w:t>6.</w:t>
        </w:r>
        <w:r>
          <w:rPr>
            <w:noProof/>
          </w:rPr>
          <w:tab/>
        </w:r>
        <w:r>
          <w:rPr>
            <w:noProof/>
          </w:rPr>
          <w:t xml:space="preserve">Cutover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07" w:history="1">
        <w:r>
          <w:rPr>
            <w:noProof/>
          </w:rPr>
          <w:t>6.1.</w:t>
        </w:r>
        <w:r>
          <w:rPr>
            <w:noProof/>
          </w:rPr>
          <w:tab/>
        </w:r>
        <w:r>
          <w:rPr>
            <w:noProof/>
          </w:rPr>
          <w:t xml:space="preserve">Smoke tests after any production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8" w:history="1">
        <w:r>
          <w:rPr>
            <w:noProof/>
          </w:rPr>
          <w:t>7.</w:t>
        </w:r>
        <w:r>
          <w:rPr>
            <w:noProof/>
          </w:rPr>
          <w:tab/>
        </w:r>
        <w:r>
          <w:rPr>
            <w:noProof/>
          </w:rPr>
          <w:t xml:space="preserve">Pilot ramp-up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9" w:history="1">
        <w:r>
          <w:rPr>
            <w:noProof/>
          </w:rPr>
          <w:t>8.</w:t>
        </w:r>
        <w:r>
          <w:rPr>
            <w:noProof/>
          </w:rPr>
          <w:tab/>
        </w:r>
        <w:r>
          <w:rPr>
            <w:noProof/>
          </w:rPr>
          <w:t xml:space="preserve">Rollback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10" w:history="1">
        <w:r>
          <w:rPr>
            <w:noProof/>
          </w:rPr>
          <w:t>8.1.</w:t>
        </w:r>
        <w:r>
          <w:rPr>
            <w:noProof/>
          </w:rPr>
          <w:tab/>
        </w:r>
        <w:r>
          <w:rPr>
            <w:noProof/>
          </w:rPr>
          <w:t xml:space="preserve">Triggers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11" w:history="1">
        <w:r>
          <w:rPr>
            <w:noProof/>
          </w:rPr>
          <w:t>8.2.</w:t>
        </w:r>
        <w:r>
          <w:rPr>
            <w:noProof/>
          </w:rPr>
          <w:tab/>
        </w:r>
        <w:r>
          <w:rPr>
            <w:noProof/>
          </w:rPr>
          <w:t xml:space="preserve">Levels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12" w:history="1">
        <w:r>
          <w:rPr>
            <w:noProof/>
          </w:rPr>
          <w:t>9.</w:t>
        </w:r>
        <w:r>
          <w:rPr>
            <w:noProof/>
          </w:rPr>
          <w:tab/>
        </w:r>
        <w:r>
          <w:rPr>
            <w:noProof/>
          </w:rPr>
          <w:t xml:space="preserve">Hypercare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13" w:history="1">
        <w:r>
          <w:rPr>
            <w:noProof/>
          </w:rPr>
          <w:t>9.1.</w:t>
        </w:r>
        <w:r>
          <w:rPr>
            <w:noProof/>
          </w:rPr>
          <w:tab/>
        </w:r>
        <w:r>
          <w:rPr>
            <w:noProof/>
          </w:rPr>
          <w:t xml:space="preserve">Organisation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14" w:history="1">
        <w:r>
          <w:rPr>
            <w:noProof/>
          </w:rPr>
          <w:t>9.2.</w:t>
        </w:r>
        <w:r>
          <w:rPr>
            <w:noProof/>
          </w:rPr>
          <w:tab/>
        </w:r>
        <w:r>
          <w:rPr>
            <w:noProof/>
          </w:rPr>
          <w:t xml:space="preserve">Escalation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15" w:history="1">
        <w:r>
          <w:rPr>
            <w:noProof/>
          </w:rPr>
          <w:t>9.3.</w:t>
        </w:r>
        <w:r>
          <w:rPr>
            <w:noProof/>
          </w:rPr>
          <w:tab/>
        </w:r>
        <w:r>
          <w:rPr>
            <w:noProof/>
          </w:rPr>
          <w:t xml:space="preserve">Daily KPI pack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16" w:history="1">
        <w:r>
          <w:rPr>
            <w:noProof/>
          </w:rPr>
          <w:t>9.4.</w:t>
        </w:r>
        <w:r>
          <w:rPr>
            <w:noProof/>
          </w:rPr>
          <w:tab/>
        </w:r>
        <w:r>
          <w:rPr>
            <w:noProof/>
          </w:rPr>
          <w:t xml:space="preserve">Exit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17" w:history="1">
        <w:r>
          <w:rPr>
            <w:noProof/>
          </w:rPr>
          <w:t>10.</w:t>
        </w:r>
        <w:r>
          <w:rPr>
            <w:noProof/>
          </w:rPr>
          <w:tab/>
        </w:r>
        <w:r>
          <w:rPr>
            <w:noProof/>
          </w:rPr>
          <w:t xml:space="preserve">Transition to business as usual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18" w:history="1">
        <w:r>
          <w:rPr>
            <w:noProof/>
          </w:rPr>
          <w:t>11.</w:t>
        </w:r>
        <w:r>
          <w:rPr>
            <w:noProof/>
          </w:rPr>
          <w:tab/>
        </w:r>
        <w:r>
          <w:rPr>
            <w:noProof/>
          </w:rPr>
          <w:t xml:space="preserve">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  <w:r>
        <w:rPr>
          <w:noProof/>
        </w:rPr>
        <w:fldChar w:fldCharType="end"/>
      </w:r>
    </w:p>
    <w:p w14:paraId="375D9C08" w14:textId="77777777" w:rsidR="002B183A" w:rsidRPr="00465CAB" w:rsidRDefault="002B183A" w:rsidP="002B183A">
      <w:pPr>
        <w:pStyle w:val="Heading1"/>
        <w:pageBreakBefore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" w:name="_Toc11824118"/>
      <w:bookmarkStart w:id="2" w:name="_Toc48319687"/>
      <w:bookmarkStart w:id="3" w:name="_Toc300000001"/>
      <w:r w:rsidRPr="00212D69">
        <w:rPr>
          <w:rStyle w:val="BookTitle"/>
          <w:b w:val="0"/>
        </w:rPr>
        <w:t xml:space="preserve"> </w:t>
      </w:r>
      <w:bookmarkStart w:id="4" w:name="_Toc233203387"/>
      <w:r w:rsidRPr="00465CAB">
        <w:rPr>
          <w:rStyle w:val="BookTitle"/>
          <w:bCs w:val="0"/>
          <w:i w:val="0"/>
          <w:iCs w:val="0"/>
          <w:spacing w:val="0"/>
        </w:rPr>
        <w:t>Document Control</w:t>
      </w:r>
      <w:bookmarkEnd w:id="1"/>
      <w:bookmarkEnd w:id="2"/>
      <w:bookmarkEnd w:id="4"/>
      <w:bookmarkEnd w:id="3"/>
    </w:p>
    <w:p w14:paraId="1D37A198" w14:textId="77777777" w:rsidR="002B183A" w:rsidRPr="00CF07C4" w:rsidRDefault="002B183A" w:rsidP="002B183A">
      <w:pPr>
        <w:ind w:right="-180"/>
        <w:rPr>
          <w:rFonts w:ascii="Segoe UI" w:eastAsia="Arial" w:hAnsi="Segoe UI" w:cs="Segoe UI"/>
          <w:color w:val="FF5100"/>
          <w:sz w:val="18"/>
          <w:szCs w:val="18"/>
        </w:rPr>
      </w:pPr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242"/>
        <w:gridCol w:w="957"/>
        <w:gridCol w:w="1655"/>
        <w:gridCol w:w="1862"/>
        <w:gridCol w:w="2068"/>
        <w:gridCol w:w="1243"/>
      </w:tblGrid>
      <w:tr w:rsidR="002B183A" w14:paraId="4E198CD6" w14:textId="77777777" w:rsidTr="002923F3">
        <w:trPr>
          <w:cantSplit/>
          <w:trHeight w:val="440"/>
          <w:tblHeader/>
        </w:trPr>
        <w:tc>
          <w:tcPr>
            <w:tcW w:w="1242" w:type="dxa"/>
            <w:shd w:val="clear" w:color="auto" w:fill="0F4761"/>
            <w:vAlign w:val="center"/>
          </w:tcPr>
          <w:p w14:paraId="7A3F1104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957" w:type="dxa"/>
            <w:shd w:val="clear" w:color="auto" w:fill="0F4761"/>
            <w:vAlign w:val="center"/>
          </w:tcPr>
          <w:p w14:paraId="607CCD9F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Version</w:t>
            </w:r>
          </w:p>
        </w:tc>
        <w:tc>
          <w:tcPr>
            <w:tcW w:w="1655" w:type="dxa"/>
            <w:shd w:val="clear" w:color="auto" w:fill="0F4761"/>
            <w:vAlign w:val="center"/>
          </w:tcPr>
          <w:p w14:paraId="2EE940AD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Author &amp; Business Unit Info</w:t>
            </w:r>
          </w:p>
        </w:tc>
        <w:tc>
          <w:tcPr>
            <w:tcW w:w="1862" w:type="dxa"/>
            <w:shd w:val="clear" w:color="auto" w:fill="0F4761"/>
            <w:vAlign w:val="center"/>
          </w:tcPr>
          <w:p w14:paraId="4563069D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Reviewed By &amp; Business Unit Info</w:t>
            </w:r>
          </w:p>
        </w:tc>
        <w:tc>
          <w:tcPr>
            <w:tcW w:w="2068" w:type="dxa"/>
            <w:shd w:val="clear" w:color="auto" w:fill="0F4761"/>
            <w:vAlign w:val="center"/>
          </w:tcPr>
          <w:p w14:paraId="03017FBE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Approved By &amp; Business Unit Info</w:t>
            </w:r>
          </w:p>
        </w:tc>
        <w:tc>
          <w:tcPr>
            <w:tcW w:w="1243" w:type="dxa"/>
            <w:shd w:val="clear" w:color="auto" w:fill="0F4761"/>
            <w:vAlign w:val="center"/>
          </w:tcPr>
          <w:p w14:paraId="6B8E532B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Change History</w:t>
            </w:r>
          </w:p>
        </w:tc>
      </w:tr>
      <w:tr w:rsidR="002B183A" w:rsidRPr="00BB346A" w14:paraId="0CC92F71" w14:textId="77777777" w:rsidTr="002923F3">
        <w:trPr>
          <w:cantSplit/>
          <w:trHeight w:val="449"/>
        </w:trPr>
        <w:tc>
          <w:tcPr>
            <w:tcW w:w="1242" w:type="dxa"/>
            <w:vAlign w:val="top"/>
          </w:tcPr>
          <w:p w14:paraId="453CD405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08/10/2026</w:t>
            </w:r>
          </w:p>
        </w:tc>
        <w:tc>
          <w:tcPr>
            <w:tcW w:w="957" w:type="dxa"/>
            <w:vAlign w:val="top"/>
          </w:tcPr>
          <w:p w14:paraId="499E9B55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1.0</w:t>
            </w:r>
          </w:p>
        </w:tc>
        <w:tc>
          <w:tcPr>
            <w:tcW w:w="1655" w:type="dxa"/>
            <w:vAlign w:val="top"/>
          </w:tcPr>
          <w:p w14:paraId="64B9EBB6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iorta TechNXT</w:t>
            </w: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br/>
              <w:t xml:space="preserve">Service Operations</w:t>
            </w:r>
          </w:p>
        </w:tc>
        <w:tc>
          <w:tcPr>
            <w:tcW w:w="1862" w:type="dxa"/>
            <w:vAlign w:val="top"/>
          </w:tcPr>
          <w:p w14:paraId="4B948B2B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Insurance</w:t>
            </w: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br/>
              <w:t xml:space="preserve">Product Owner and Head of IT</w:t>
            </w:r>
          </w:p>
        </w:tc>
        <w:tc>
          <w:tcPr>
            <w:tcW w:w="2068" w:type="dxa"/>
            <w:vAlign w:val="top"/>
          </w:tcPr>
          <w:p w14:paraId="1CABD999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Insurance</w:t>
            </w: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br/>
              <w:t xml:space="preserve">Programme Sponsor</w:t>
            </w:r>
          </w:p>
        </w:tc>
        <w:tc>
          <w:tcPr>
            <w:tcW w:w="1243" w:type="dxa"/>
            <w:vAlign w:val="top"/>
          </w:tcPr>
          <w:p w14:paraId="07C7886B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Initial issue for submission</w:t>
            </w:r>
          </w:p>
        </w:tc>
      </w:tr>
    </w:tbl>
    <w:p w14:paraId="1D2DA8DE" w14:textId="77777777" w:rsidR="002B183A" w:rsidRDefault="002B183A" w:rsidP="002B183A">
      <w:pPr>
        <w:rPr>
          <w:rFonts w:ascii="Segoe UI" w:hAnsi="Segoe UI" w:cs="Segoe UI"/>
          <w:sz w:val="18"/>
          <w:szCs w:val="16"/>
          <w:lang w:bidi="en-US"/>
        </w:rPr>
      </w:pP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5" w:name="_Toc233203388"/>
      <w:bookmarkStart w:id="6" w:name="_Toc300000002"/>
      <w:r>
        <w:rPr>
          <w:rStyle w:val="BookTitle"/>
          <w:bCs w:val="0"/>
          <w:i w:val="0"/>
          <w:iCs w:val="0"/>
          <w:spacing w:val="0"/>
        </w:rPr>
        <w:t>Acronyms</w:t>
      </w:r>
      <w:bookmarkEnd w:id="5"/>
      <w:bookmarkEnd w:id="6"/>
    </w:p>
    <w:p w14:paraId="4F3BFBCC" w14:textId="77777777" w:rsidR="002B183A" w:rsidRPr="00CF07C4" w:rsidRDefault="002B183A" w:rsidP="002B183A">
      <w:pPr>
        <w:ind w:right="-180"/>
        <w:rPr>
          <w:rFonts w:ascii="Segoe UI" w:eastAsia="Arial" w:hAnsi="Segoe UI" w:cs="Segoe UI"/>
          <w:color w:val="FF5100"/>
          <w:sz w:val="18"/>
          <w:szCs w:val="18"/>
        </w:rPr>
      </w:pPr>
    </w:p>
    <w:tbl>
      <w:tblPr>
        <w:tblStyle w:val="TableGrid"/>
        <w:tblW w:w="348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604"/>
        <w:gridCol w:w="7423"/>
      </w:tblGrid>
      <w:tr w:rsidR="002B183A" w14:paraId="388F227F" w14:textId="77777777" w:rsidTr="002923F3">
        <w:trPr>
          <w:cantSplit/>
          <w:trHeight w:val="440"/>
          <w:tblHeader/>
        </w:trPr>
        <w:tc>
          <w:tcPr>
            <w:tcW w:w="1604" w:type="dxa"/>
            <w:shd w:val="clear" w:color="auto" w:fill="0F4761"/>
            <w:vAlign w:val="center"/>
          </w:tcPr>
          <w:p w14:paraId="4B379853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Acronym / Symbol</w:t>
            </w:r>
          </w:p>
        </w:tc>
        <w:tc>
          <w:tcPr>
            <w:tcW w:w="7423" w:type="dxa"/>
            <w:shd w:val="clear" w:color="auto" w:fill="0F4761"/>
            <w:vAlign w:val="center"/>
          </w:tcPr>
          <w:p w14:paraId="2EDB927A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Definition / Meaning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4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ALR</w:t>
            </w:r>
          </w:p>
        </w:tc>
        <w:tc>
          <w:tcPr>
            <w:tcW w:w="7423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Alert Rule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4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CAB</w:t>
            </w:r>
          </w:p>
        </w:tc>
        <w:tc>
          <w:tcPr>
            <w:tcW w:w="7423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Change Advisory Board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4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CISO</w:t>
            </w:r>
          </w:p>
        </w:tc>
        <w:tc>
          <w:tcPr>
            <w:tcW w:w="7423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Chief Information Security Officer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4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DBA</w:t>
            </w:r>
          </w:p>
        </w:tc>
        <w:tc>
          <w:tcPr>
            <w:tcW w:w="7423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Database Administrator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4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DNC</w:t>
            </w:r>
          </w:p>
        </w:tc>
        <w:tc>
          <w:tcPr>
            <w:tcW w:w="7423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Do Not Contact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4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DPIA</w:t>
            </w:r>
          </w:p>
        </w:tc>
        <w:tc>
          <w:tcPr>
            <w:tcW w:w="7423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Data Protection Impact Assessment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4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DPO</w:t>
            </w:r>
          </w:p>
        </w:tc>
        <w:tc>
          <w:tcPr>
            <w:tcW w:w="7423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Data Protection Officer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4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DR</w:t>
            </w:r>
          </w:p>
        </w:tc>
        <w:tc>
          <w:tcPr>
            <w:tcW w:w="7423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Disaster Recovery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4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IT</w:t>
            </w:r>
          </w:p>
        </w:tc>
        <w:tc>
          <w:tcPr>
            <w:tcW w:w="7423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Information Technology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4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ITSM</w:t>
            </w:r>
          </w:p>
        </w:tc>
        <w:tc>
          <w:tcPr>
            <w:tcW w:w="7423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IT Service Management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4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KI</w:t>
            </w:r>
          </w:p>
        </w:tc>
        <w:tc>
          <w:tcPr>
            <w:tcW w:w="7423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Known Issue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4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KPI</w:t>
            </w:r>
          </w:p>
        </w:tc>
        <w:tc>
          <w:tcPr>
            <w:tcW w:w="7423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Key Performance Indicator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4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MFA</w:t>
            </w:r>
          </w:p>
        </w:tc>
        <w:tc>
          <w:tcPr>
            <w:tcW w:w="7423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Multi-Factor Authentication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4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PRC</w:t>
            </w:r>
          </w:p>
        </w:tc>
        <w:tc>
          <w:tcPr>
            <w:tcW w:w="7423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Production Readiness Check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4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PREPROD</w:t>
            </w:r>
          </w:p>
        </w:tc>
        <w:tc>
          <w:tcPr>
            <w:tcW w:w="7423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Pre-production environment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4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QA</w:t>
            </w:r>
          </w:p>
        </w:tc>
        <w:tc>
          <w:tcPr>
            <w:tcW w:w="7423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Quality Assurance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4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QR</w:t>
            </w:r>
          </w:p>
        </w:tc>
        <w:tc>
          <w:tcPr>
            <w:tcW w:w="7423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Quick Response (code)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4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RB</w:t>
            </w:r>
          </w:p>
        </w:tc>
        <w:tc>
          <w:tcPr>
            <w:tcW w:w="7423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Runbook procedure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4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SIT</w:t>
            </w:r>
          </w:p>
        </w:tc>
        <w:tc>
          <w:tcPr>
            <w:tcW w:w="7423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System Integration Testing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4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SLO</w:t>
            </w:r>
          </w:p>
        </w:tc>
        <w:tc>
          <w:tcPr>
            <w:tcW w:w="7423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Service Level Objective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4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SMS</w:t>
            </w:r>
          </w:p>
        </w:tc>
        <w:tc>
          <w:tcPr>
            <w:tcW w:w="7423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Short Message Service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4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SOP</w:t>
            </w:r>
          </w:p>
        </w:tc>
        <w:tc>
          <w:tcPr>
            <w:tcW w:w="7423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Standard Operating Procedure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4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SRE</w:t>
            </w:r>
          </w:p>
        </w:tc>
        <w:tc>
          <w:tcPr>
            <w:tcW w:w="7423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Site Reliability Engineering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4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TC</w:t>
            </w:r>
          </w:p>
        </w:tc>
        <w:tc>
          <w:tcPr>
            <w:tcW w:w="7423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Test Case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4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TNDS</w:t>
            </w:r>
          </w:p>
        </w:tc>
        <w:tc>
          <w:tcPr>
            <w:tcW w:w="7423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Compulsory motor third-party liability insurance (Bảo hiểm TNDS bắt buộc)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4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UAT</w:t>
            </w:r>
          </w:p>
        </w:tc>
        <w:tc>
          <w:tcPr>
            <w:tcW w:w="7423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User Acceptance Testing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4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USD</w:t>
            </w:r>
          </w:p>
        </w:tc>
        <w:tc>
          <w:tcPr>
            <w:tcW w:w="7423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United States dollar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4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UTC</w:t>
            </w:r>
          </w:p>
        </w:tc>
        <w:tc>
          <w:tcPr>
            <w:tcW w:w="7423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Coordinated Universal Time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4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ZNS</w:t>
            </w:r>
          </w:p>
        </w:tc>
        <w:tc>
          <w:tcPr>
            <w:tcW w:w="7423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Zalo Notification Service</w:t>
            </w:r>
          </w:p>
        </w:tc>
      </w:tr>
    </w:tbl>
    <w:p w14:paraId="12E0A58E" w14:textId="77777777" w:rsidR="002B183A" w:rsidRPr="00465CAB" w:rsidRDefault="002B183A" w:rsidP="002B183A">
      <w:pPr>
        <w:pStyle w:val="Heading1"/>
        <w:pageBreakBefore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7" w:name="_Toc300000003"/>
      <w:r>
        <w:rPr>
          <w:rStyle w:val="BookTitle"/>
          <w:bCs w:val="0"/>
          <w:i w:val="0"/>
          <w:iCs w:val="0"/>
          <w:spacing w:val="0"/>
        </w:rPr>
        <w:t xml:space="preserve">Introduction</w:t>
      </w:r>
      <w:bookmarkEnd w:id="7"/>
    </w:p>
    <w:p>
      <w:pPr>
        <w:pStyle w:val="FirstParagraph"/>
      </w:pPr>
      <w:r>
        <w:t xml:space="preserve">This plan describes how the TASCO Growth Platform goes live for the pilot and how the delivery team supports it in the first weeks. It covers the go or no-go criteria, the cutover schedule, the ramp-up around Tết, the rollback options, hypercare and the hand-over to business as usual.</w:t>
      </w:r>
    </w:p>
    <w:p>
      <w:pPr>
        <w:pStyle w:val="BodyText"/>
      </w:pPr>
      <w:r>
        <w:t xml:space="preserve">The plan follows the proposal timeline: work starts on 2 November 2026, the pilot soft-launches in week 13, just before Tết, and four weeks of hypercare end on 26 February 2027 (milestone M4). Dates are indicative until discovery confirms them.</w:t>
      </w:r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5404"/>
        <w:gridCol w:w="3623"/>
      </w:tblGrid>
      <w:tr>
        <w:trPr>
          <w:cantSplit/>
          <w:tblHeader/>
        </w:trPr>
        <w:tc>
          <w:tcPr>
            <w:tcW w:w="5404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Milestone</w:t>
            </w:r>
          </w:p>
        </w:tc>
        <w:tc>
          <w:tcPr>
            <w:tcW w:w="3623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Date</w:t>
            </w:r>
          </w:p>
        </w:tc>
      </w:tr>
      <w:tr>
        <w:trPr>
          <w:cantSplit/>
        </w:trPr>
        <w:tc>
          <w:tcPr>
            <w:tcW w:w="5404" w:type="dxa"/>
            <w:vAlign w:val="top"/>
          </w:tcPr>
          <w:p>
            <w:pPr>
              <w:pStyle w:val="TableText"/>
              <w:jc w:val="left"/>
            </w:pPr>
            <w:r>
              <w:t xml:space="preserve">G2 build complete (M2 integrated build)</w:t>
            </w:r>
          </w:p>
        </w:tc>
        <w:tc>
          <w:tcPr>
            <w:tcW w:w="3623" w:type="dxa"/>
            <w:vAlign w:val="top"/>
          </w:tcPr>
          <w:p>
            <w:pPr>
              <w:pStyle w:val="TableText"/>
              <w:jc w:val="left"/>
            </w:pPr>
            <w:r>
              <w:t xml:space="preserve">8 January 2027</w:t>
            </w:r>
          </w:p>
        </w:tc>
      </w:tr>
      <w:tr>
        <w:trPr>
          <w:cantSplit/>
        </w:trPr>
        <w:tc>
          <w:tcPr>
            <w:tcW w:w="5404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SIT, UAT and security testing</w:t>
            </w:r>
          </w:p>
        </w:tc>
        <w:tc>
          <w:tcPr>
            <w:tcW w:w="362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11 to 26 January 2027</w:t>
            </w:r>
          </w:p>
        </w:tc>
      </w:tr>
      <w:tr>
        <w:trPr>
          <w:cantSplit/>
        </w:trPr>
        <w:tc>
          <w:tcPr>
            <w:tcW w:w="5404" w:type="dxa"/>
            <w:vAlign w:val="top"/>
          </w:tcPr>
          <w:p>
            <w:pPr>
              <w:pStyle w:val="TableText"/>
              <w:jc w:val="left"/>
            </w:pPr>
            <w:r>
              <w:t xml:space="preserve">G3 go or no-go</w:t>
            </w:r>
          </w:p>
        </w:tc>
        <w:tc>
          <w:tcPr>
            <w:tcW w:w="3623" w:type="dxa"/>
            <w:vAlign w:val="top"/>
          </w:tcPr>
          <w:p>
            <w:pPr>
              <w:pStyle w:val="TableText"/>
              <w:jc w:val="left"/>
            </w:pPr>
            <w:r>
              <w:t xml:space="preserve">Tuesday 26 January 2027</w:t>
            </w:r>
          </w:p>
        </w:tc>
      </w:tr>
      <w:tr>
        <w:trPr>
          <w:cantSplit/>
        </w:trPr>
        <w:tc>
          <w:tcPr>
            <w:tcW w:w="5404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Soft launch (T0)</w:t>
            </w:r>
          </w:p>
        </w:tc>
        <w:tc>
          <w:tcPr>
            <w:tcW w:w="362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Wednesday 27 January 2027</w:t>
            </w:r>
          </w:p>
        </w:tc>
      </w:tr>
      <w:tr>
        <w:trPr>
          <w:cantSplit/>
        </w:trPr>
        <w:tc>
          <w:tcPr>
            <w:tcW w:w="5404" w:type="dxa"/>
            <w:vAlign w:val="top"/>
          </w:tcPr>
          <w:p>
            <w:pPr>
              <w:pStyle w:val="TableText"/>
              <w:jc w:val="left"/>
            </w:pPr>
            <w:r>
              <w:t xml:space="preserve">M3 acceptance (UAT signed off at G3)</w:t>
            </w:r>
          </w:p>
        </w:tc>
        <w:tc>
          <w:tcPr>
            <w:tcW w:w="3623" w:type="dxa"/>
            <w:vAlign w:val="top"/>
          </w:tcPr>
          <w:p>
            <w:pPr>
              <w:pStyle w:val="TableText"/>
              <w:jc w:val="left"/>
            </w:pPr>
            <w:r>
              <w:t xml:space="preserve">26 January 2027</w:t>
            </w:r>
          </w:p>
        </w:tc>
      </w:tr>
      <w:tr>
        <w:trPr>
          <w:cantSplit/>
        </w:trPr>
        <w:tc>
          <w:tcPr>
            <w:tcW w:w="5404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Tết change freeze</w:t>
            </w:r>
          </w:p>
        </w:tc>
        <w:tc>
          <w:tcPr>
            <w:tcW w:w="362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1 to 14 February 2027</w:t>
            </w:r>
          </w:p>
        </w:tc>
      </w:tr>
      <w:tr>
        <w:trPr>
          <w:cantSplit/>
        </w:trPr>
        <w:tc>
          <w:tcPr>
            <w:tcW w:w="5404" w:type="dxa"/>
            <w:vAlign w:val="top"/>
          </w:tcPr>
          <w:p>
            <w:pPr>
              <w:pStyle w:val="TableText"/>
              <w:jc w:val="left"/>
            </w:pPr>
            <w:r>
              <w:t xml:space="preserve">Ramp-up to the full pilot cohort</w:t>
            </w:r>
          </w:p>
        </w:tc>
        <w:tc>
          <w:tcPr>
            <w:tcW w:w="3623" w:type="dxa"/>
            <w:vAlign w:val="top"/>
          </w:tcPr>
          <w:p>
            <w:pPr>
              <w:pStyle w:val="TableText"/>
              <w:jc w:val="left"/>
            </w:pPr>
            <w:r>
              <w:t xml:space="preserve">From 15 February 2027</w:t>
            </w:r>
          </w:p>
        </w:tc>
      </w:tr>
      <w:tr>
        <w:trPr>
          <w:cantSplit/>
        </w:trPr>
        <w:tc>
          <w:tcPr>
            <w:tcW w:w="5404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M4 pilot live and hypercare complete</w:t>
            </w:r>
          </w:p>
        </w:tc>
        <w:tc>
          <w:tcPr>
            <w:tcW w:w="362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26 February 2027</w:t>
            </w:r>
          </w:p>
        </w:tc>
      </w:tr>
      <w:tr>
        <w:trPr>
          <w:cantSplit/>
        </w:trPr>
        <w:tc>
          <w:tcPr>
            <w:tcW w:w="5404" w:type="dxa"/>
            <w:vAlign w:val="top"/>
          </w:tcPr>
          <w:p>
            <w:pPr>
              <w:pStyle w:val="TableText"/>
              <w:jc w:val="left"/>
            </w:pPr>
            <w:r>
              <w:t xml:space="preserve">Pilot read-out and G4 scale decision</w:t>
            </w:r>
          </w:p>
        </w:tc>
        <w:tc>
          <w:tcPr>
            <w:tcW w:w="3623" w:type="dxa"/>
            <w:vAlign w:val="top"/>
          </w:tcPr>
          <w:p>
            <w:pPr>
              <w:pStyle w:val="TableText"/>
              <w:jc w:val="left"/>
            </w:pPr>
            <w:r>
              <w:t xml:space="preserve">Early May 2027</w:t>
            </w:r>
          </w:p>
        </w:tc>
      </w:tr>
    </w:tbl>
    <w:p>
      <w:pPr>
        <w:pStyle w:val="BodyText"/>
        <w:spacing w:before="160"/>
      </w:pPr>
      <w:r>
        <w:t xml:space="preserve">The audience is the cutover manager (iorta TechNXT Delivery Lead), the TASCO Product Owner as business go-live owner, the Steering Committee, the CAB and the war room team.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TGP-OPS-04 Production Readiness Checklist.</w:t>
      </w:r>
    </w:p>
    <w:p>
      <w:pPr>
        <w:pStyle w:val="Compact"/>
        <w:numPr>
          <w:ilvl w:val="0"/>
          <w:numId w:val="1001"/>
        </w:numPr>
      </w:pPr>
      <w:r>
        <w:t xml:space="preserve">TGP-OPS-01 Runbook and Support Guide and TGP-OPS-06 Release and Change Management.</w:t>
      </w:r>
    </w:p>
    <w:p>
      <w:pPr>
        <w:pStyle w:val="Compact"/>
        <w:numPr>
          <w:ilvl w:val="0"/>
          <w:numId w:val="1001"/>
        </w:numPr>
      </w:pPr>
      <w:r>
        <w:t xml:space="preserve">TGP-OPS-03 Disaster Recovery and Business Continuity Plan.</w:t>
      </w:r>
    </w:p>
    <w:p>
      <w:pPr>
        <w:pStyle w:val="Compact"/>
        <w:numPr>
          <w:ilvl w:val="0"/>
          <w:numId w:val="1001"/>
        </w:numPr>
      </w:pPr>
      <w:r>
        <w:t xml:space="preserve">TGP-DEL-01 Project Plan and TGP-DEL-05 Knowledge Transfer Plan.</w:t>
      </w: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8" w:name="_Toc300000004"/>
      <w:r>
        <w:rPr>
          <w:rStyle w:val="BookTitle"/>
          <w:bCs w:val="0"/>
          <w:i w:val="0"/>
          <w:iCs w:val="0"/>
          <w:spacing w:val="0"/>
        </w:rPr>
        <w:t xml:space="preserve">Go-live approach</w:t>
      </w:r>
      <w:bookmarkEnd w:id="8"/>
    </w:p>
    <w:p>
      <w:pPr>
        <w:pStyle w:val="FirstParagraph"/>
      </w:pPr>
      <w:r>
        <w:t xml:space="preserve">This is a new service: no existing system is replaced, and current renewal reminders continue for the control group. Exposure grows in controlled steps using levers that already exist in the platform.</w:t>
      </w:r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769"/>
        <w:gridCol w:w="5625"/>
        <w:gridCol w:w="1633"/>
      </w:tblGrid>
      <w:tr>
        <w:trPr>
          <w:cantSplit/>
          <w:tblHeader/>
        </w:trPr>
        <w:tc>
          <w:tcPr>
            <w:tcW w:w="1769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Lever</w:t>
            </w:r>
          </w:p>
        </w:tc>
        <w:tc>
          <w:tcPr>
            <w:tcW w:w="5625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How</w:t>
            </w:r>
          </w:p>
        </w:tc>
        <w:tc>
          <w:tcPr>
            <w:tcW w:w="1633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Granularity</w:t>
            </w:r>
          </w:p>
        </w:tc>
      </w:tr>
      <w:tr>
        <w:trPr>
          <w:cantSplit/>
        </w:trPr>
        <w:tc>
          <w:tcPr>
            <w:tcW w:w="1769" w:type="dxa"/>
            <w:vAlign w:val="top"/>
          </w:tcPr>
          <w:p>
            <w:pPr>
              <w:pStyle w:val="TableText"/>
              <w:jc w:val="left"/>
            </w:pPr>
            <w:r>
              <w:t xml:space="preserve">Vehicles in the platform</w:t>
            </w:r>
          </w:p>
        </w:tc>
        <w:tc>
          <w:tcPr>
            <w:tcW w:w="5625" w:type="dxa"/>
            <w:vAlign w:val="top"/>
          </w:tcPr>
          <w:p>
            <w:pPr>
              <w:pStyle w:val="TableText"/>
              <w:jc w:val="left"/>
            </w:pPr>
            <w:r>
              <w:t xml:space="preserve">Only the pilot cohort is loaded</w:t>
            </w:r>
          </w:p>
        </w:tc>
        <w:tc>
          <w:tcPr>
            <w:tcW w:w="1633" w:type="dxa"/>
            <w:vAlign w:val="top"/>
          </w:tcPr>
          <w:p>
            <w:pPr>
              <w:pStyle w:val="TableText"/>
              <w:jc w:val="left"/>
            </w:pPr>
            <w:r>
              <w:t xml:space="preserve">Cohort</w:t>
            </w:r>
          </w:p>
        </w:tc>
      </w:tr>
      <w:tr>
        <w:trPr>
          <w:cantSplit/>
        </w:trPr>
        <w:tc>
          <w:tcPr>
            <w:tcW w:w="176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Who journeys target</w:t>
            </w:r>
          </w:p>
        </w:tc>
        <w:tc>
          <w:tcPr>
            <w:tcW w:w="562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Journey audience rules (region, category, days to expiry, confidence, tier), changed through maker-checker</w:t>
            </w:r>
          </w:p>
        </w:tc>
        <w:tc>
          <w:tcPr>
            <w:tcW w:w="163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Segment</w:t>
            </w:r>
          </w:p>
        </w:tc>
      </w:tr>
      <w:tr>
        <w:trPr>
          <w:cantSplit/>
        </w:trPr>
        <w:tc>
          <w:tcPr>
            <w:tcW w:w="1769" w:type="dxa"/>
            <w:vAlign w:val="top"/>
          </w:tcPr>
          <w:p>
            <w:pPr>
              <w:pStyle w:val="TableText"/>
              <w:jc w:val="left"/>
            </w:pPr>
            <w:r>
              <w:t xml:space="preserve">Products and channels on sale</w:t>
            </w:r>
          </w:p>
        </w:tc>
        <w:tc>
          <w:tcPr>
            <w:tcW w:w="5625" w:type="dxa"/>
            <w:vAlign w:val="top"/>
          </w:tcPr>
          <w:p>
            <w:pPr>
              <w:pStyle w:val="TableText"/>
              <w:jc w:val="left"/>
            </w:pPr>
            <w:r>
              <w:t xml:space="preserve">Product status and channels in the products rule set; new TASCO core products stay off sale until channels are set</w:t>
            </w:r>
          </w:p>
        </w:tc>
        <w:tc>
          <w:tcPr>
            <w:tcW w:w="1633" w:type="dxa"/>
            <w:vAlign w:val="top"/>
          </w:tcPr>
          <w:p>
            <w:pPr>
              <w:pStyle w:val="TableText"/>
              <w:jc w:val="left"/>
            </w:pPr>
            <w:r>
              <w:t xml:space="preserve">Product and channel</w:t>
            </w:r>
          </w:p>
        </w:tc>
      </w:tr>
      <w:tr>
        <w:trPr>
          <w:cantSplit/>
        </w:trPr>
        <w:tc>
          <w:tcPr>
            <w:tcW w:w="176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Benefits shown</w:t>
            </w:r>
          </w:p>
        </w:tc>
        <w:tc>
          <w:tcPr>
            <w:tcW w:w="562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Only approved benefits reach customers; roadmap items stay staff-only; loyalty points stay pending legal review and are never promised</w:t>
            </w:r>
          </w:p>
        </w:tc>
        <w:tc>
          <w:tcPr>
            <w:tcW w:w="163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Item</w:t>
            </w:r>
          </w:p>
        </w:tc>
      </w:tr>
      <w:tr>
        <w:trPr>
          <w:cantSplit/>
        </w:trPr>
        <w:tc>
          <w:tcPr>
            <w:tcW w:w="1769" w:type="dxa"/>
            <w:vAlign w:val="top"/>
          </w:tcPr>
          <w:p>
            <w:pPr>
              <w:pStyle w:val="TableText"/>
              <w:jc w:val="left"/>
            </w:pPr>
            <w:r>
              <w:t xml:space="preserve">Contact intensity</w:t>
            </w:r>
          </w:p>
        </w:tc>
        <w:tc>
          <w:tcPr>
            <w:tcW w:w="5625" w:type="dxa"/>
            <w:vAlign w:val="top"/>
          </w:tcPr>
          <w:p>
            <w:pPr>
              <w:pStyle w:val="TableText"/>
              <w:jc w:val="left"/>
            </w:pPr>
            <w:r>
              <w:t xml:space="preserve">Contact policy caps; voice campaign size</w:t>
            </w:r>
          </w:p>
        </w:tc>
        <w:tc>
          <w:tcPr>
            <w:tcW w:w="1633" w:type="dxa"/>
            <w:vAlign w:val="top"/>
          </w:tcPr>
          <w:p>
            <w:pPr>
              <w:pStyle w:val="TableText"/>
              <w:jc w:val="left"/>
            </w:pPr>
            <w:r>
              <w:t xml:space="preserve">Global</w:t>
            </w:r>
          </w:p>
        </w:tc>
      </w:tr>
      <w:tr>
        <w:trPr>
          <w:cantSplit/>
        </w:trPr>
        <w:tc>
          <w:tcPr>
            <w:tcW w:w="176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Entry points</w:t>
            </w:r>
          </w:p>
        </w:tc>
        <w:tc>
          <w:tcPr>
            <w:tcW w:w="562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VETC app banner (VETC side); Zalo menu; assisted sales by telesales (quote sent to the customer’s app, never paid by staff); partner keys issued only when the partner is ready</w:t>
            </w:r>
          </w:p>
        </w:tc>
        <w:tc>
          <w:tcPr>
            <w:tcW w:w="163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Channel</w:t>
            </w:r>
          </w:p>
        </w:tc>
      </w:tr>
      <w:tr>
        <w:trPr>
          <w:cantSplit/>
        </w:trPr>
        <w:tc>
          <w:tcPr>
            <w:tcW w:w="1769" w:type="dxa"/>
            <w:vAlign w:val="top"/>
          </w:tcPr>
          <w:p>
            <w:pPr>
              <w:pStyle w:val="TableText"/>
              <w:jc w:val="left"/>
            </w:pPr>
            <w:r>
              <w:t xml:space="preserve">Kill switch</w:t>
            </w:r>
          </w:p>
        </w:tc>
        <w:tc>
          <w:tcPr>
            <w:tcW w:w="5625" w:type="dxa"/>
            <w:vAlign w:val="top"/>
          </w:tcPr>
          <w:p>
            <w:pPr>
              <w:pStyle w:val="TableText"/>
              <w:jc w:val="left"/>
            </w:pPr>
            <w:r>
              <w:t xml:space="preserve">SOP-07: suspend the journeys job; marketing cap 0 through rules</w:t>
            </w:r>
          </w:p>
        </w:tc>
        <w:tc>
          <w:tcPr>
            <w:tcW w:w="1633" w:type="dxa"/>
            <w:vAlign w:val="top"/>
          </w:tcPr>
          <w:p>
            <w:pPr>
              <w:pStyle w:val="TableText"/>
              <w:jc w:val="left"/>
            </w:pPr>
            <w:r>
              <w:t xml:space="preserve">Global</w:t>
            </w:r>
          </w:p>
        </w:tc>
      </w:tr>
    </w:tbl>
    <w:p>
      <w:pPr>
        <w:pStyle w:val="BodyText"/>
        <w:spacing w:before="160"/>
      </w:pPr>
      <w:r>
        <w:t xml:space="preserve">A percentage roll-out (</w:t>
      </w:r>
      <w:r>
        <w:t xml:space="preserve">“</w:t>
      </w:r>
      <w:r>
        <w:t xml:space="preserve">10 % of the base</w:t>
      </w:r>
      <w:r>
        <w:t xml:space="preserve">”</w:t>
      </w:r>
      <w:r>
        <w:t xml:space="preserve">) is not possible today because no stable random bucket exists (KI-24). The control group of about 10 % is therefore held out as a list at load time unless KI-24 is fixed first.</w:t>
      </w:r>
    </w:p>
    <w:p>
      <w:pPr>
        <w:pStyle w:val="BodyText"/>
      </w:pPr>
      <w:r>
        <w:t xml:space="preserve">The pilot moves from a small soft launch through the Tết freeze to the full cohort, with hypercare across the whole period.</w:t>
      </w:r>
    </w:p>
    <w:p xmlns:a="http://schemas.openxmlformats.org/drawingml/2006/main" xmlns:pic="http://schemas.openxmlformats.org/drawingml/2006/picture">
      <w:pPr>
        <w:pStyle w:val="Figure"/>
      </w:pPr>
      <w:r>
        <w:drawing>
          <wp:inline>
            <wp:extent cx="2833199" cy="6479999"/>
            <wp:effectExtent b="0" l="0" r="0" t="0"/>
            <wp:docPr descr="Pilot timeline from the G3 decision to the G4 scale decision" title="" id="5002" name="Picture"/>
            <a:graphic>
              <a:graphicData uri="http://schemas.openxmlformats.org/drawingml/2006/picture">
                <pic:pic>
                  <pic:nvPicPr>
                    <pic:cNvPr descr="/home/user/TASCO/tools/docs-source/gen/.cache/mermaid/7c420021a8e8fe2f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G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199" cy="64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1 – Pilot timeline from the G3 decision to the G4 scale decision</w:t>
      </w: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9" w:name="_Toc300000005"/>
      <w:r>
        <w:rPr>
          <w:rStyle w:val="BookTitle"/>
          <w:bCs w:val="0"/>
          <w:i w:val="0"/>
          <w:iCs w:val="0"/>
          <w:spacing w:val="0"/>
        </w:rPr>
        <w:t xml:space="preserve">Go or no-go criteria</w:t>
      </w:r>
      <w:bookmarkEnd w:id="9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712"/>
        <w:gridCol w:w="4735"/>
        <w:gridCol w:w="1931"/>
        <w:gridCol w:w="1649"/>
      </w:tblGrid>
      <w:tr>
        <w:trPr>
          <w:cantSplit/>
          <w:tblHeader/>
        </w:trPr>
        <w:tc>
          <w:tcPr>
            <w:tcW w:w="712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#</w:t>
            </w:r>
          </w:p>
        </w:tc>
        <w:tc>
          <w:tcPr>
            <w:tcW w:w="4735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Criterion</w:t>
            </w:r>
          </w:p>
        </w:tc>
        <w:tc>
          <w:tcPr>
            <w:tcW w:w="1931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Evidence</w:t>
            </w:r>
          </w:p>
        </w:tc>
        <w:tc>
          <w:tcPr>
            <w:tcW w:w="1649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Owner</w:t>
            </w:r>
          </w:p>
        </w:tc>
      </w:tr>
      <w:tr>
        <w:trPr>
          <w:cantSplit/>
        </w:trPr>
        <w:tc>
          <w:tcPr>
            <w:tcW w:w="71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G-1</w:t>
            </w:r>
          </w:p>
        </w:tc>
        <w:tc>
          <w:tcPr>
            <w:tcW w:w="4735" w:type="dxa"/>
            <w:vAlign w:val="top"/>
          </w:tcPr>
          <w:p>
            <w:pPr>
              <w:pStyle w:val="TableText"/>
              <w:jc w:val="left"/>
            </w:pPr>
            <w:r>
              <w:t xml:space="preserve">Every P1 item of TGP-OPS-04 is Done or Waived by the Steering Committee</w:t>
            </w:r>
          </w:p>
        </w:tc>
        <w:tc>
          <w:tcPr>
            <w:tcW w:w="1931" w:type="dxa"/>
            <w:vAlign w:val="top"/>
          </w:tcPr>
          <w:p>
            <w:pPr>
              <w:pStyle w:val="TableText"/>
              <w:jc w:val="left"/>
            </w:pPr>
            <w:r>
              <w:t xml:space="preserve">Checklist</w:t>
            </w:r>
          </w:p>
        </w:tc>
        <w:tc>
          <w:tcPr>
            <w:tcW w:w="1649" w:type="dxa"/>
            <w:vAlign w:val="top"/>
          </w:tcPr>
          <w:p>
            <w:pPr>
              <w:pStyle w:val="TableText"/>
              <w:jc w:val="left"/>
            </w:pPr>
            <w:r>
              <w:t xml:space="preserve">Delivery Lead</w:t>
            </w:r>
          </w:p>
        </w:tc>
      </w:tr>
      <w:tr>
        <w:trPr>
          <w:cantSplit/>
        </w:trPr>
        <w:tc>
          <w:tcPr>
            <w:tcW w:w="71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G-2</w:t>
            </w:r>
          </w:p>
        </w:tc>
        <w:tc>
          <w:tcPr>
            <w:tcW w:w="473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UAT accepted overall and by every persona; compliance scenarios passed without waiver</w:t>
            </w:r>
          </w:p>
        </w:tc>
        <w:tc>
          <w:tcPr>
            <w:tcW w:w="193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UAT sign-off sheet</w:t>
            </w:r>
          </w:p>
        </w:tc>
        <w:tc>
          <w:tcPr>
            <w:tcW w:w="164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TASCO Business Owner</w:t>
            </w:r>
          </w:p>
        </w:tc>
      </w:tr>
      <w:tr>
        <w:trPr>
          <w:cantSplit/>
        </w:trPr>
        <w:tc>
          <w:tcPr>
            <w:tcW w:w="71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G-3</w:t>
            </w:r>
          </w:p>
        </w:tc>
        <w:tc>
          <w:tcPr>
            <w:tcW w:w="4735" w:type="dxa"/>
            <w:vAlign w:val="top"/>
          </w:tcPr>
          <w:p>
            <w:pPr>
              <w:pStyle w:val="TableText"/>
              <w:jc w:val="left"/>
            </w:pPr>
            <w:r>
              <w:t xml:space="preserve">Security sign-off: no open critical or high penetration test findings</w:t>
            </w:r>
          </w:p>
        </w:tc>
        <w:tc>
          <w:tcPr>
            <w:tcW w:w="1931" w:type="dxa"/>
            <w:vAlign w:val="top"/>
          </w:tcPr>
          <w:p>
            <w:pPr>
              <w:pStyle w:val="TableText"/>
              <w:jc w:val="left"/>
            </w:pPr>
            <w:r>
              <w:t xml:space="preserve">CISO memo</w:t>
            </w:r>
          </w:p>
        </w:tc>
        <w:tc>
          <w:tcPr>
            <w:tcW w:w="1649" w:type="dxa"/>
            <w:vAlign w:val="top"/>
          </w:tcPr>
          <w:p>
            <w:pPr>
              <w:pStyle w:val="TableText"/>
              <w:jc w:val="left"/>
            </w:pPr>
            <w:r>
              <w:t xml:space="preserve">TASCO CISO</w:t>
            </w:r>
          </w:p>
        </w:tc>
      </w:tr>
      <w:tr>
        <w:trPr>
          <w:cantSplit/>
        </w:trPr>
        <w:tc>
          <w:tcPr>
            <w:tcW w:w="71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G-4</w:t>
            </w:r>
          </w:p>
        </w:tc>
        <w:tc>
          <w:tcPr>
            <w:tcW w:w="473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Compliance and legal sign-offs: content inventory, contact policy, tariffs, Zalo templates, privacy notice and DPIA, data-request response time (PRC-COMP-14), quick renewal eligibility rule (PRC-FUNC-09)</w:t>
            </w:r>
          </w:p>
        </w:tc>
        <w:tc>
          <w:tcPr>
            <w:tcW w:w="193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Memos</w:t>
            </w:r>
          </w:p>
        </w:tc>
        <w:tc>
          <w:tcPr>
            <w:tcW w:w="164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Compliance, Legal, DPO</w:t>
            </w:r>
          </w:p>
        </w:tc>
      </w:tr>
      <w:tr>
        <w:trPr>
          <w:cantSplit/>
        </w:trPr>
        <w:tc>
          <w:tcPr>
            <w:tcW w:w="71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G-5</w:t>
            </w:r>
          </w:p>
        </w:tc>
        <w:tc>
          <w:tcPr>
            <w:tcW w:w="4735" w:type="dxa"/>
            <w:vAlign w:val="top"/>
          </w:tcPr>
          <w:p>
            <w:pPr>
              <w:pStyle w:val="TableText"/>
              <w:jc w:val="left"/>
            </w:pPr>
            <w:r>
              <w:t xml:space="preserve">Sev 1 and compliance known issues fixed with regression tests passing on the release tag: KI-01, KI-02, KI-09, KI-28, KI-33 (TC-080, TC-134, TC-135, TC-159, TC-162); open Sev 2 issues KI-04, KI-13 and KI-18 fixed or waived with a date</w:t>
            </w:r>
          </w:p>
        </w:tc>
        <w:tc>
          <w:tcPr>
            <w:tcW w:w="1931" w:type="dxa"/>
            <w:vAlign w:val="top"/>
          </w:tcPr>
          <w:p>
            <w:pPr>
              <w:pStyle w:val="TableText"/>
              <w:jc w:val="left"/>
            </w:pPr>
            <w:r>
              <w:t xml:space="preserve">Results workbook; known issues</w:t>
            </w:r>
          </w:p>
        </w:tc>
        <w:tc>
          <w:tcPr>
            <w:tcW w:w="1649" w:type="dxa"/>
            <w:vAlign w:val="top"/>
          </w:tcPr>
          <w:p>
            <w:pPr>
              <w:pStyle w:val="TableText"/>
              <w:jc w:val="left"/>
            </w:pPr>
            <w:r>
              <w:t xml:space="preserve">Dev lead</w:t>
            </w:r>
          </w:p>
        </w:tc>
      </w:tr>
      <w:tr>
        <w:trPr>
          <w:cantSplit/>
        </w:trPr>
        <w:tc>
          <w:tcPr>
            <w:tcW w:w="71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G-6</w:t>
            </w:r>
          </w:p>
        </w:tc>
        <w:tc>
          <w:tcPr>
            <w:tcW w:w="473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Partners ready in production: VETC wallet, sign-on, app deep link and push; TASCO core rating, catalogue and issuance on the confirmed specification with production credentials (PRC-CORE-01 to 04); Zalo; SMS; voice vendor; DR egress allow-listed</w:t>
            </w:r>
          </w:p>
        </w:tc>
        <w:tc>
          <w:tcPr>
            <w:tcW w:w="193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Partner confirmations</w:t>
            </w:r>
          </w:p>
        </w:tc>
        <w:tc>
          <w:tcPr>
            <w:tcW w:w="164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Integration lead</w:t>
            </w:r>
          </w:p>
        </w:tc>
      </w:tr>
      <w:tr>
        <w:trPr>
          <w:cantSplit/>
        </w:trPr>
        <w:tc>
          <w:tcPr>
            <w:tcW w:w="71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G-7</w:t>
            </w:r>
          </w:p>
        </w:tc>
        <w:tc>
          <w:tcPr>
            <w:tcW w:w="4735" w:type="dxa"/>
            <w:vAlign w:val="top"/>
          </w:tcPr>
          <w:p>
            <w:pPr>
              <w:pStyle w:val="TableText"/>
              <w:jc w:val="left"/>
            </w:pPr>
            <w:r>
              <w:t xml:space="preserve">Operations ready: on-call live, procedures walked through, dashboards and alerts live, synthetics green for 48 hours in production</w:t>
            </w:r>
          </w:p>
        </w:tc>
        <w:tc>
          <w:tcPr>
            <w:tcW w:w="1931" w:type="dxa"/>
            <w:vAlign w:val="top"/>
          </w:tcPr>
          <w:p>
            <w:pPr>
              <w:pStyle w:val="TableText"/>
              <w:jc w:val="left"/>
            </w:pPr>
            <w:r>
              <w:t xml:space="preserve">Operations sign-off</w:t>
            </w:r>
          </w:p>
        </w:tc>
        <w:tc>
          <w:tcPr>
            <w:tcW w:w="1649" w:type="dxa"/>
            <w:vAlign w:val="top"/>
          </w:tcPr>
          <w:p>
            <w:pPr>
              <w:pStyle w:val="TableText"/>
              <w:jc w:val="left"/>
            </w:pPr>
            <w:r>
              <w:t xml:space="preserve">L2 lead</w:t>
            </w:r>
          </w:p>
        </w:tc>
      </w:tr>
      <w:tr>
        <w:trPr>
          <w:cantSplit/>
        </w:trPr>
        <w:tc>
          <w:tcPr>
            <w:tcW w:w="71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G-8</w:t>
            </w:r>
          </w:p>
        </w:tc>
        <w:tc>
          <w:tcPr>
            <w:tcW w:w="473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Cutover and rollback rehearsed in PREPROD within the planned times</w:t>
            </w:r>
          </w:p>
        </w:tc>
        <w:tc>
          <w:tcPr>
            <w:tcW w:w="193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Rehearsal report</w:t>
            </w:r>
          </w:p>
        </w:tc>
        <w:tc>
          <w:tcPr>
            <w:tcW w:w="164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Cutover manager</w:t>
            </w:r>
          </w:p>
        </w:tc>
      </w:tr>
      <w:tr>
        <w:trPr>
          <w:cantSplit/>
        </w:trPr>
        <w:tc>
          <w:tcPr>
            <w:tcW w:w="71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G-9</w:t>
            </w:r>
          </w:p>
        </w:tc>
        <w:tc>
          <w:tcPr>
            <w:tcW w:w="4735" w:type="dxa"/>
            <w:vAlign w:val="top"/>
          </w:tcPr>
          <w:p>
            <w:pPr>
              <w:pStyle w:val="TableText"/>
              <w:jc w:val="left"/>
            </w:pPr>
            <w:r>
              <w:t xml:space="preserve">Pilot cohort loaded in PREPROD from real extracts; counts reconcile</w:t>
            </w:r>
          </w:p>
        </w:tc>
        <w:tc>
          <w:tcPr>
            <w:tcW w:w="1931" w:type="dxa"/>
            <w:vAlign w:val="top"/>
          </w:tcPr>
          <w:p>
            <w:pPr>
              <w:pStyle w:val="TableText"/>
              <w:jc w:val="left"/>
            </w:pPr>
            <w:r>
              <w:t xml:space="preserve">Load report</w:t>
            </w:r>
          </w:p>
        </w:tc>
        <w:tc>
          <w:tcPr>
            <w:tcW w:w="1649" w:type="dxa"/>
            <w:vAlign w:val="top"/>
          </w:tcPr>
          <w:p>
            <w:pPr>
              <w:pStyle w:val="TableText"/>
              <w:jc w:val="left"/>
            </w:pPr>
            <w:r>
              <w:t xml:space="preserve">Data steward</w:t>
            </w:r>
          </w:p>
        </w:tc>
      </w:tr>
      <w:tr>
        <w:trPr>
          <w:cantSplit/>
        </w:trPr>
        <w:tc>
          <w:tcPr>
            <w:tcW w:w="71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G-10</w:t>
            </w:r>
          </w:p>
        </w:tc>
        <w:tc>
          <w:tcPr>
            <w:tcW w:w="473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No open Sev 1 or 2 defects, or Sev 2 waived with a fix date before 15 February</w:t>
            </w:r>
          </w:p>
        </w:tc>
        <w:tc>
          <w:tcPr>
            <w:tcW w:w="193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Defect report</w:t>
            </w:r>
          </w:p>
        </w:tc>
        <w:tc>
          <w:tcPr>
            <w:tcW w:w="164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QA Lead</w:t>
            </w:r>
          </w:p>
        </w:tc>
      </w:tr>
    </w:tbl>
    <w:p>
      <w:pPr>
        <w:pStyle w:val="BodyText"/>
        <w:spacing w:before="160"/>
      </w:pPr>
      <w:r>
        <w:t xml:space="preserve">All criteria met: go. One or more unmet with a credible fix within 48 hours: go with conditions, with the soft launch moved to the fix date if it still falls before 1 February. Otherwise no-go; because of the Tết freeze, the next possible soft launch is 15 February.</w:t>
      </w: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0" w:name="_Toc300000006"/>
      <w:r>
        <w:rPr>
          <w:rStyle w:val="BookTitle"/>
          <w:bCs w:val="0"/>
          <w:i w:val="0"/>
          <w:iCs w:val="0"/>
          <w:spacing w:val="0"/>
        </w:rPr>
        <w:t xml:space="preserve">Cutover</w:t>
      </w:r>
      <w:bookmarkEnd w:id="10"/>
    </w:p>
    <w:p>
      <w:pPr>
        <w:pStyle w:val="FirstParagraph"/>
      </w:pPr>
      <w:r>
        <w:t xml:space="preserve">T0 is Wednesday 27 January 2027 at 08:15, the first scheduled journey run (job</w:t>
      </w:r>
      <w:r>
        <w:t xml:space="preserve"> </w:t>
      </w:r>
      <w:r>
        <w:rPr>
          <w:rStyle w:val="CodeChar"/>
        </w:rPr>
        <w:t xml:space="preserve">tasco-growth-journeys</w:t>
      </w:r>
      <w:r>
        <w:t xml:space="preserve"> </w:t>
      </w:r>
      <w:r>
        <w:t xml:space="preserve">at 01:15 UTC).</w:t>
      </w:r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376"/>
        <w:gridCol w:w="3489"/>
        <w:gridCol w:w="1964"/>
        <w:gridCol w:w="2198"/>
      </w:tblGrid>
      <w:tr>
        <w:trPr>
          <w:cantSplit/>
          <w:tblHeader/>
        </w:trPr>
        <w:tc>
          <w:tcPr>
            <w:tcW w:w="1376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When</w:t>
            </w:r>
          </w:p>
        </w:tc>
        <w:tc>
          <w:tcPr>
            <w:tcW w:w="3489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Activity</w:t>
            </w:r>
          </w:p>
        </w:tc>
        <w:tc>
          <w:tcPr>
            <w:tcW w:w="1964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Owner</w:t>
            </w:r>
          </w:p>
        </w:tc>
        <w:tc>
          <w:tcPr>
            <w:tcW w:w="2198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Exit check</w:t>
            </w:r>
          </w:p>
        </w:tc>
      </w:tr>
      <w:tr>
        <w:trPr>
          <w:cantSplit/>
        </w:trPr>
        <w:tc>
          <w:tcPr>
            <w:tcW w:w="1376" w:type="dxa"/>
            <w:vAlign w:val="top"/>
          </w:tcPr>
          <w:p>
            <w:pPr>
              <w:pStyle w:val="TableText"/>
              <w:jc w:val="left"/>
            </w:pPr>
            <w:r>
              <w:t xml:space="preserve">T−23 days, Monday 4 January</w:t>
            </w:r>
          </w:p>
        </w:tc>
        <w:tc>
          <w:tcPr>
            <w:tcW w:w="3489" w:type="dxa"/>
            <w:vAlign w:val="top"/>
          </w:tcPr>
          <w:p>
            <w:pPr>
              <w:pStyle w:val="TableText"/>
              <w:jc w:val="left"/>
            </w:pPr>
            <w:r>
              <w:t xml:space="preserve">Production and DR infrastructure built from code; PostgreSQL with high availability, point-in-time recovery and cross-region replica; vault keys; monitoring, dashboards and alerts</w:t>
            </w:r>
          </w:p>
        </w:tc>
        <w:tc>
          <w:tcPr>
            <w:tcW w:w="1964" w:type="dxa"/>
            <w:vAlign w:val="top"/>
          </w:tcPr>
          <w:p>
            <w:pPr>
              <w:pStyle w:val="TableText"/>
              <w:jc w:val="left"/>
            </w:pPr>
            <w:r>
              <w:t xml:space="preserve">SRE, DBA</w:t>
            </w:r>
          </w:p>
        </w:tc>
        <w:tc>
          <w:tcPr>
            <w:tcW w:w="2198" w:type="dxa"/>
            <w:vAlign w:val="top"/>
          </w:tcPr>
          <w:p>
            <w:pPr>
              <w:pStyle w:val="TableText"/>
              <w:jc w:val="left"/>
            </w:pPr>
            <w:r>
              <w:t xml:space="preserve">PRC-DR-01, PRC-OPS-01</w:t>
            </w:r>
          </w:p>
        </w:tc>
      </w:tr>
      <w:tr>
        <w:trPr>
          <w:cantSplit/>
        </w:trPr>
        <w:tc>
          <w:tcPr>
            <w:tcW w:w="13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T−16 days, Monday 11 January</w:t>
            </w:r>
          </w:p>
        </w:tc>
        <w:tc>
          <w:tcPr>
            <w:tcW w:w="348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Release candidate tagged for SIT and UAT; feature freeze (fixes only); provisional CAB approval</w:t>
            </w:r>
          </w:p>
        </w:tc>
        <w:tc>
          <w:tcPr>
            <w:tcW w:w="1964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Release manager</w:t>
            </w:r>
          </w:p>
        </w:tc>
        <w:tc>
          <w:tcPr>
            <w:tcW w:w="219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CAB minutes</w:t>
            </w:r>
          </w:p>
        </w:tc>
      </w:tr>
      <w:tr>
        <w:trPr>
          <w:cantSplit/>
        </w:trPr>
        <w:tc>
          <w:tcPr>
            <w:tcW w:w="1376" w:type="dxa"/>
            <w:vAlign w:val="top"/>
          </w:tcPr>
          <w:p>
            <w:pPr>
              <w:pStyle w:val="TableText"/>
              <w:jc w:val="left"/>
            </w:pPr>
            <w:r>
              <w:t xml:space="preserve">T−12 days, Friday 15 January</w:t>
            </w:r>
          </w:p>
        </w:tc>
        <w:tc>
          <w:tcPr>
            <w:tcW w:w="3489" w:type="dxa"/>
            <w:vAlign w:val="top"/>
          </w:tcPr>
          <w:p>
            <w:pPr>
              <w:pStyle w:val="TableText"/>
              <w:jc w:val="left"/>
            </w:pPr>
            <w:r>
              <w:t xml:space="preserve">Partner production connectivity: allow-lists for production and DR, credentials in the vault (including TASCO core), Zalo template IDs mapped, SMS brandname live, voice numbers</w:t>
            </w:r>
          </w:p>
        </w:tc>
        <w:tc>
          <w:tcPr>
            <w:tcW w:w="1964" w:type="dxa"/>
            <w:vAlign w:val="top"/>
          </w:tcPr>
          <w:p>
            <w:pPr>
              <w:pStyle w:val="TableText"/>
              <w:jc w:val="left"/>
            </w:pPr>
            <w:r>
              <w:t xml:space="preserve">Integration lead</w:t>
            </w:r>
          </w:p>
        </w:tc>
        <w:tc>
          <w:tcPr>
            <w:tcW w:w="2198" w:type="dxa"/>
            <w:vAlign w:val="top"/>
          </w:tcPr>
          <w:p>
            <w:pPr>
              <w:pStyle w:val="TableText"/>
              <w:jc w:val="left"/>
            </w:pPr>
            <w:r>
              <w:t xml:space="preserve">Connectivity test per partner, no customer traffic</w:t>
            </w:r>
          </w:p>
        </w:tc>
      </w:tr>
      <w:tr>
        <w:trPr>
          <w:cantSplit/>
        </w:trPr>
        <w:tc>
          <w:tcPr>
            <w:tcW w:w="13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T−9 days, Monday 18 January</w:t>
            </w:r>
          </w:p>
        </w:tc>
        <w:tc>
          <w:tcPr>
            <w:tcW w:w="348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Production secrets loaded; migration job; rule sets seeded; first catalogue sync from TASCO core reviewed and approved; no demo users or demo settings; named users created with first-sign-in password change and MFA set-up for privileged users</w:t>
            </w:r>
          </w:p>
        </w:tc>
        <w:tc>
          <w:tcPr>
            <w:tcW w:w="1964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SRE, administrator, rule approver</w:t>
            </w:r>
          </w:p>
        </w:tc>
        <w:tc>
          <w:tcPr>
            <w:tcW w:w="219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Readiness shows store</w:t>
            </w:r>
            <w:r>
              <w:t xml:space="preserve"> </w:t>
            </w:r>
            <w:r>
              <w:rPr>
                <w:rStyle w:val="CodeChar"/>
              </w:rPr>
              <w:t xml:space="preserve">postgres</w:t>
            </w:r>
            <w:r>
              <w:t xml:space="preserve">; integration status shows mode</w:t>
            </w:r>
            <w:r>
              <w:t xml:space="preserve"> </w:t>
            </w:r>
            <w:r>
              <w:rPr>
                <w:rStyle w:val="CodeChar"/>
              </w:rPr>
              <w:t xml:space="preserve">http</w:t>
            </w:r>
            <w:r>
              <w:t xml:space="preserve">; rule checksums recorded</w:t>
            </w:r>
          </w:p>
        </w:tc>
      </w:tr>
      <w:tr>
        <w:trPr>
          <w:cantSplit/>
        </w:trPr>
        <w:tc>
          <w:tcPr>
            <w:tcW w:w="1376" w:type="dxa"/>
            <w:vAlign w:val="top"/>
          </w:tcPr>
          <w:p>
            <w:pPr>
              <w:pStyle w:val="TableText"/>
              <w:jc w:val="left"/>
            </w:pPr>
            <w:r>
              <w:t xml:space="preserve">T−6 days, Thursday 21 January</w:t>
            </w:r>
          </w:p>
        </w:tc>
        <w:tc>
          <w:tcPr>
            <w:tcW w:w="3489" w:type="dxa"/>
            <w:vAlign w:val="top"/>
          </w:tcPr>
          <w:p>
            <w:pPr>
              <w:pStyle w:val="TableText"/>
              <w:jc w:val="left"/>
            </w:pPr>
            <w:r>
              <w:t xml:space="preserve">Dress rehearsal in PREPROD: full cutover and rollback, timed; DR-T1, DR-T2 and DR-T7</w:t>
            </w:r>
          </w:p>
        </w:tc>
        <w:tc>
          <w:tcPr>
            <w:tcW w:w="1964" w:type="dxa"/>
            <w:vAlign w:val="top"/>
          </w:tcPr>
          <w:p>
            <w:pPr>
              <w:pStyle w:val="TableText"/>
              <w:jc w:val="left"/>
            </w:pPr>
            <w:r>
              <w:t xml:space="preserve">Cutover manager</w:t>
            </w:r>
          </w:p>
        </w:tc>
        <w:tc>
          <w:tcPr>
            <w:tcW w:w="2198" w:type="dxa"/>
            <w:vAlign w:val="top"/>
          </w:tcPr>
          <w:p>
            <w:pPr>
              <w:pStyle w:val="TableText"/>
              <w:jc w:val="left"/>
            </w:pPr>
            <w:r>
              <w:t xml:space="preserve">Rehearsal report (G-8)</w:t>
            </w:r>
          </w:p>
        </w:tc>
      </w:tr>
      <w:tr>
        <w:trPr>
          <w:cantSplit/>
        </w:trPr>
        <w:tc>
          <w:tcPr>
            <w:tcW w:w="13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T−4 days, Saturday 23 January, 09:00 to 17:00</w:t>
            </w:r>
          </w:p>
        </w:tc>
        <w:tc>
          <w:tcPr>
            <w:tcW w:w="348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Deploy the release candidate to production through the migration job and rollout; smoke tests; journeys job deployed suspended; soft-launch cohort (about 20,000 vehicles in the pilot provinces, car TNDS, expiry in 15 to 60 days) loaded in batches of 2,000 or fewer</w:t>
            </w:r>
          </w:p>
        </w:tc>
        <w:tc>
          <w:tcPr>
            <w:tcW w:w="1964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SRE, data steward</w:t>
            </w:r>
          </w:p>
        </w:tc>
        <w:tc>
          <w:tcPr>
            <w:tcW w:w="219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Counts reconcile (TC-112); reconciliation clean</w:t>
            </w:r>
          </w:p>
        </w:tc>
      </w:tr>
      <w:tr>
        <w:trPr>
          <w:cantSplit/>
        </w:trPr>
        <w:tc>
          <w:tcPr>
            <w:tcW w:w="1376" w:type="dxa"/>
            <w:vAlign w:val="top"/>
          </w:tcPr>
          <w:p>
            <w:pPr>
              <w:pStyle w:val="TableText"/>
              <w:jc w:val="left"/>
            </w:pPr>
            <w:r>
              <w:t xml:space="preserve">T−2 days, Monday 25 January, 21:00</w:t>
            </w:r>
          </w:p>
        </w:tc>
        <w:tc>
          <w:tcPr>
            <w:tcW w:w="3489" w:type="dxa"/>
            <w:vAlign w:val="top"/>
          </w:tcPr>
          <w:p>
            <w:pPr>
              <w:pStyle w:val="TableText"/>
              <w:jc w:val="left"/>
            </w:pPr>
            <w:r>
              <w:t xml:space="preserve">Deploy final UAT fixes as</w:t>
            </w:r>
            <w:r>
              <w:t xml:space="preserve"> </w:t>
            </w:r>
            <w:r>
              <w:rPr>
                <w:rStyle w:val="CodeChar"/>
              </w:rPr>
              <w:t xml:space="preserve">v1.0.0</w:t>
            </w:r>
            <w:r>
              <w:t xml:space="preserve"> </w:t>
            </w:r>
            <w:r>
              <w:t xml:space="preserve">(CAB) and repeat the smoke tests</w:t>
            </w:r>
          </w:p>
        </w:tc>
        <w:tc>
          <w:tcPr>
            <w:tcW w:w="1964" w:type="dxa"/>
            <w:vAlign w:val="top"/>
          </w:tcPr>
          <w:p>
            <w:pPr>
              <w:pStyle w:val="TableText"/>
              <w:jc w:val="left"/>
            </w:pPr>
            <w:r>
              <w:t xml:space="preserve">Release manager</w:t>
            </w:r>
          </w:p>
        </w:tc>
        <w:tc>
          <w:tcPr>
            <w:tcW w:w="2198" w:type="dxa"/>
            <w:vAlign w:val="top"/>
          </w:tcPr>
          <w:p>
            <w:pPr>
              <w:pStyle w:val="TableText"/>
              <w:jc w:val="left"/>
            </w:pPr>
            <w:r>
              <w:t xml:space="preserve">Smoke tests pass</w:t>
            </w:r>
          </w:p>
        </w:tc>
      </w:tr>
      <w:tr>
        <w:trPr>
          <w:cantSplit/>
        </w:trPr>
        <w:tc>
          <w:tcPr>
            <w:tcW w:w="13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T−1 day, Tuesday 26 January, 10:00</w:t>
            </w:r>
          </w:p>
        </w:tc>
        <w:tc>
          <w:tcPr>
            <w:tcW w:w="348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Lead recompute; journey audience restricted to the pilot provinces (maker-checker); next day’s due touchpoints reviewed per journey and channel; voice campaign limit agreed (200 calls a day or fewer)</w:t>
            </w:r>
          </w:p>
        </w:tc>
        <w:tc>
          <w:tcPr>
            <w:tcW w:w="1964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Campaign manager, Compliance</w:t>
            </w:r>
          </w:p>
        </w:tc>
        <w:tc>
          <w:tcPr>
            <w:tcW w:w="219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Volume sign-off</w:t>
            </w:r>
          </w:p>
        </w:tc>
      </w:tr>
      <w:tr>
        <w:trPr>
          <w:cantSplit/>
        </w:trPr>
        <w:tc>
          <w:tcPr>
            <w:tcW w:w="1376" w:type="dxa"/>
            <w:vAlign w:val="top"/>
          </w:tcPr>
          <w:p>
            <w:pPr>
              <w:pStyle w:val="TableText"/>
              <w:jc w:val="left"/>
            </w:pPr>
            <w:r>
              <w:t xml:space="preserve">T−1 day, 15:00</w:t>
            </w:r>
          </w:p>
        </w:tc>
        <w:tc>
          <w:tcPr>
            <w:tcW w:w="3489" w:type="dxa"/>
            <w:vAlign w:val="top"/>
          </w:tcPr>
          <w:p>
            <w:pPr>
              <w:pStyle w:val="TableText"/>
              <w:jc w:val="left"/>
            </w:pPr>
            <w:r>
              <w:t xml:space="preserve">G3 go or no-go at the Steering Committee; final CAB approval</w:t>
            </w:r>
          </w:p>
        </w:tc>
        <w:tc>
          <w:tcPr>
            <w:tcW w:w="1964" w:type="dxa"/>
            <w:vAlign w:val="top"/>
          </w:tcPr>
          <w:p>
            <w:pPr>
              <w:pStyle w:val="TableText"/>
              <w:jc w:val="left"/>
            </w:pPr>
            <w:r>
              <w:t xml:space="preserve">Steering Committee, CAB</w:t>
            </w:r>
          </w:p>
        </w:tc>
        <w:tc>
          <w:tcPr>
            <w:tcW w:w="2198" w:type="dxa"/>
            <w:vAlign w:val="top"/>
          </w:tcPr>
          <w:p>
            <w:pPr>
              <w:pStyle w:val="TableText"/>
              <w:jc w:val="left"/>
            </w:pPr>
            <w:r>
              <w:t xml:space="preserve">Signed decision</w:t>
            </w:r>
          </w:p>
        </w:tc>
      </w:tr>
      <w:tr>
        <w:trPr>
          <w:cantSplit/>
        </w:trPr>
        <w:tc>
          <w:tcPr>
            <w:tcW w:w="13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T−1 day, 18:00</w:t>
            </w:r>
          </w:p>
        </w:tc>
        <w:tc>
          <w:tcPr>
            <w:tcW w:w="348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Final checkpoint: synthetics green 24 hours, no open Sev 1 or 2, on-call staffed, war room booked</w:t>
            </w:r>
          </w:p>
        </w:tc>
        <w:tc>
          <w:tcPr>
            <w:tcW w:w="1964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Cutover manager</w:t>
            </w:r>
          </w:p>
        </w:tc>
        <w:tc>
          <w:tcPr>
            <w:tcW w:w="219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Recorded go or hold</w:t>
            </w:r>
          </w:p>
        </w:tc>
      </w:tr>
      <w:tr>
        <w:trPr>
          <w:cantSplit/>
        </w:trPr>
        <w:tc>
          <w:tcPr>
            <w:tcW w:w="1376" w:type="dxa"/>
            <w:vAlign w:val="top"/>
          </w:tcPr>
          <w:p>
            <w:pPr>
              <w:pStyle w:val="TableText"/>
              <w:jc w:val="left"/>
            </w:pPr>
            <w:r>
              <w:t xml:space="preserve">T0, 08:00</w:t>
            </w:r>
          </w:p>
        </w:tc>
        <w:tc>
          <w:tcPr>
            <w:tcW w:w="3489" w:type="dxa"/>
            <w:vAlign w:val="top"/>
          </w:tcPr>
          <w:p>
            <w:pPr>
              <w:pStyle w:val="TableText"/>
              <w:jc w:val="left"/>
            </w:pPr>
            <w:r>
              <w:t xml:space="preserve">War room open; dashboards D1 to D5 on screen; VETC enables the app entry point</w:t>
            </w:r>
          </w:p>
        </w:tc>
        <w:tc>
          <w:tcPr>
            <w:tcW w:w="1964" w:type="dxa"/>
            <w:vAlign w:val="top"/>
          </w:tcPr>
          <w:p>
            <w:pPr>
              <w:pStyle w:val="TableText"/>
              <w:jc w:val="left"/>
            </w:pPr>
            <w:r>
              <w:t xml:space="preserve">All</w:t>
            </w:r>
          </w:p>
        </w:tc>
        <w:tc>
          <w:tcPr>
            <w:tcW w:w="2198" w:type="dxa"/>
            <w:vAlign w:val="top"/>
          </w:tcPr>
          <w:p>
            <w:pPr>
              <w:pStyle w:val="TableText"/>
              <w:jc w:val="left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3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T0, 08:05</w:t>
            </w:r>
          </w:p>
        </w:tc>
        <w:tc>
          <w:tcPr>
            <w:tcW w:w="348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Resume the journeys job before its 08:15 run (or run it manually within contact hours on day 1); confirm the relay job is active</w:t>
            </w:r>
          </w:p>
        </w:tc>
        <w:tc>
          <w:tcPr>
            <w:tcW w:w="1964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L2</w:t>
            </w:r>
          </w:p>
        </w:tc>
        <w:tc>
          <w:tcPr>
            <w:tcW w:w="219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rPr>
                <w:rStyle w:val="CodeChar"/>
              </w:rPr>
              <w:t xml:space="preserve">journey run complete</w:t>
            </w:r>
            <w:r>
              <w:t xml:space="preserve"> </w:t>
            </w:r>
            <w:r>
              <w:t xml:space="preserve">reviewed</w:t>
            </w:r>
          </w:p>
        </w:tc>
      </w:tr>
      <w:tr>
        <w:trPr>
          <w:cantSplit/>
        </w:trPr>
        <w:tc>
          <w:tcPr>
            <w:tcW w:w="1376" w:type="dxa"/>
            <w:vAlign w:val="top"/>
          </w:tcPr>
          <w:p>
            <w:pPr>
              <w:pStyle w:val="TableText"/>
              <w:jc w:val="left"/>
            </w:pPr>
            <w:r>
              <w:t xml:space="preserve">T0, 09:00 to 12:00</w:t>
            </w:r>
          </w:p>
        </w:tc>
        <w:tc>
          <w:tcPr>
            <w:tcW w:w="3489" w:type="dxa"/>
            <w:vAlign w:val="top"/>
          </w:tcPr>
          <w:p>
            <w:pPr>
              <w:pStyle w:val="TableText"/>
              <w:jc w:val="left"/>
            </w:pPr>
            <w:r>
              <w:t xml:space="preserve">Watch the first messages, sessions and orders end to end (TASCO core quote, wallet, issuance, certificate check); first assisted sale; first voice campaign of 50 calls at 10:00</w:t>
            </w:r>
          </w:p>
        </w:tc>
        <w:tc>
          <w:tcPr>
            <w:tcW w:w="1964" w:type="dxa"/>
            <w:vAlign w:val="top"/>
          </w:tcPr>
          <w:p>
            <w:pPr>
              <w:pStyle w:val="TableText"/>
              <w:jc w:val="left"/>
            </w:pPr>
            <w:r>
              <w:t xml:space="preserve">War room</w:t>
            </w:r>
          </w:p>
        </w:tc>
        <w:tc>
          <w:tcPr>
            <w:tcW w:w="2198" w:type="dxa"/>
            <w:vAlign w:val="top"/>
          </w:tcPr>
          <w:p>
            <w:pPr>
              <w:pStyle w:val="TableText"/>
              <w:jc w:val="left"/>
            </w:pPr>
            <w:r>
              <w:t xml:space="preserve">First order verified by QR</w:t>
            </w:r>
          </w:p>
        </w:tc>
      </w:tr>
      <w:tr>
        <w:trPr>
          <w:cantSplit/>
        </w:trPr>
        <w:tc>
          <w:tcPr>
            <w:tcW w:w="13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T0, 17:00</w:t>
            </w:r>
          </w:p>
        </w:tc>
        <w:tc>
          <w:tcPr>
            <w:tcW w:w="348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Day-1 review of the KPI pack; decide day-2 volume</w:t>
            </w:r>
          </w:p>
        </w:tc>
        <w:tc>
          <w:tcPr>
            <w:tcW w:w="1964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Product Owner</w:t>
            </w:r>
          </w:p>
        </w:tc>
        <w:tc>
          <w:tcPr>
            <w:tcW w:w="219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Minutes</w:t>
            </w:r>
          </w:p>
        </w:tc>
      </w:tr>
    </w:tbl>
    <w:p>
      <w:pPr>
        <w:pStyle w:val="Heading2"/>
      </w:pPr>
      <w:bookmarkStart w:id="11" w:name="_Toc300000007"/>
      <w:r>
        <w:t xml:space="preserve">Smoke tests after any production deployment</w:t>
      </w:r>
      <w:bookmarkEnd w:id="11"/>
    </w:p>
    <w:p>
      <w:pPr>
        <w:pStyle w:val="Compact"/>
        <w:numPr>
          <w:ilvl w:val="0"/>
          <w:numId w:val="1002"/>
        </w:numPr>
      </w:pPr>
      <w:r>
        <w:t xml:space="preserve">Readiness 200 on every pod with store</w:t>
      </w:r>
      <w:r>
        <w:t xml:space="preserve"> </w:t>
      </w:r>
      <w:r>
        <w:rPr>
          <w:rStyle w:val="CodeChar"/>
        </w:rPr>
        <w:t xml:space="preserve">postgres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CodeChar"/>
        </w:rPr>
        <w:t xml:space="preserve">db</w:t>
      </w:r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2"/>
        </w:numPr>
      </w:pPr>
      <w:r>
        <w:t xml:space="preserve">Metadata shows demo mode off and the right version.</w:t>
      </w:r>
    </w:p>
    <w:p>
      <w:pPr>
        <w:pStyle w:val="Compact"/>
        <w:numPr>
          <w:ilvl w:val="0"/>
          <w:numId w:val="1002"/>
        </w:numPr>
      </w:pPr>
      <w:r>
        <w:t xml:space="preserve">Demo code helper returns 404.</w:t>
      </w:r>
    </w:p>
    <w:p>
      <w:pPr>
        <w:pStyle w:val="Compact"/>
        <w:numPr>
          <w:ilvl w:val="0"/>
          <w:numId w:val="1002"/>
        </w:numPr>
      </w:pPr>
      <w:r>
        <w:t xml:space="preserve">Staff sign-in with MFA using a named smoke account.</w:t>
      </w:r>
    </w:p>
    <w:p>
      <w:pPr>
        <w:pStyle w:val="Compact"/>
        <w:numPr>
          <w:ilvl w:val="0"/>
          <w:numId w:val="1002"/>
        </w:numPr>
      </w:pPr>
      <w:r>
        <w:rPr>
          <w:rStyle w:val="CodeChar"/>
        </w:rPr>
        <w:t xml:space="preserve">/metrics</w:t>
      </w:r>
      <w:r>
        <w:t xml:space="preserve"> </w:t>
      </w:r>
      <w:r>
        <w:t xml:space="preserve">without a token returns 401.</w:t>
      </w:r>
    </w:p>
    <w:p>
      <w:pPr>
        <w:pStyle w:val="Compact"/>
        <w:numPr>
          <w:ilvl w:val="0"/>
          <w:numId w:val="1002"/>
        </w:numPr>
      </w:pPr>
      <w:r>
        <w:t xml:space="preserve">Operations status: all circuits closed; rule checksums match the change log; dead letters unchanged.</w:t>
      </w:r>
    </w:p>
    <w:p>
      <w:pPr>
        <w:pStyle w:val="Compact"/>
        <w:numPr>
          <w:ilvl w:val="0"/>
          <w:numId w:val="1002"/>
        </w:numPr>
      </w:pPr>
      <w:r>
        <w:t xml:space="preserve">Integration status: rating source as decided, mode</w:t>
      </w:r>
      <w:r>
        <w:t xml:space="preserve"> </w:t>
      </w:r>
      <w:r>
        <w:rPr>
          <w:rStyle w:val="CodeChar"/>
        </w:rPr>
        <w:t xml:space="preserve">http</w:t>
      </w:r>
      <w:r>
        <w:t xml:space="preserve">, rating and catalogue circuits closed, last catalogue sync succeeded.</w:t>
      </w:r>
    </w:p>
    <w:p>
      <w:pPr>
        <w:pStyle w:val="Compact"/>
        <w:numPr>
          <w:ilvl w:val="0"/>
          <w:numId w:val="1002"/>
        </w:numPr>
      </w:pPr>
      <w:r>
        <w:t xml:space="preserve">Audit verification returns</w:t>
      </w:r>
      <w:r>
        <w:t xml:space="preserve"> </w:t>
      </w:r>
      <w:r>
        <w:rPr>
          <w:rStyle w:val="CodeChar"/>
        </w:rPr>
        <w:t xml:space="preserve">ok:true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Certificate check for the synthetic test certificate (SYN-02).</w:t>
      </w:r>
    </w:p>
    <w:p>
      <w:pPr>
        <w:pStyle w:val="Compact"/>
        <w:numPr>
          <w:ilvl w:val="0"/>
          <w:numId w:val="1002"/>
        </w:numPr>
      </w:pPr>
      <w:r>
        <w:t xml:space="preserve">A compliance officer opens the data-request register; it loads with the 72-hour response time shown.</w:t>
      </w:r>
    </w:p>
    <w:p>
      <w:pPr>
        <w:pStyle w:val="Compact"/>
        <w:numPr>
          <w:ilvl w:val="0"/>
          <w:numId w:val="1002"/>
        </w:numPr>
      </w:pPr>
      <w:r>
        <w:t xml:space="preserve">Go-live day only: one real purchase for an internal staff vehicle, paid by its owner in the VETC app, with a core quote reference on the policy and a QR check. TASCO decides whether to keep or cancel it.</w:t>
      </w: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2" w:name="_Toc300000008"/>
      <w:r>
        <w:rPr>
          <w:rStyle w:val="BookTitle"/>
          <w:bCs w:val="0"/>
          <w:i w:val="0"/>
          <w:iCs w:val="0"/>
          <w:spacing w:val="0"/>
        </w:rPr>
        <w:t xml:space="preserve">Pilot ramp-up</w:t>
      </w:r>
      <w:bookmarkEnd w:id="12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403"/>
        <w:gridCol w:w="3776"/>
        <w:gridCol w:w="2167"/>
        <w:gridCol w:w="1681"/>
      </w:tblGrid>
      <w:tr>
        <w:trPr>
          <w:cantSplit/>
          <w:tblHeader/>
        </w:trPr>
        <w:tc>
          <w:tcPr>
            <w:tcW w:w="1403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Period</w:t>
            </w:r>
          </w:p>
        </w:tc>
        <w:tc>
          <w:tcPr>
            <w:tcW w:w="3776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Scope</w:t>
            </w:r>
          </w:p>
        </w:tc>
        <w:tc>
          <w:tcPr>
            <w:tcW w:w="2167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Volume control</w:t>
            </w:r>
          </w:p>
        </w:tc>
        <w:tc>
          <w:tcPr>
            <w:tcW w:w="1681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Gate to the next step</w:t>
            </w:r>
          </w:p>
        </w:tc>
      </w:tr>
      <w:tr>
        <w:trPr>
          <w:cantSplit/>
        </w:trPr>
        <w:tc>
          <w:tcPr>
            <w:tcW w:w="1403" w:type="dxa"/>
            <w:vAlign w:val="top"/>
          </w:tcPr>
          <w:p>
            <w:pPr>
              <w:pStyle w:val="TableText"/>
              <w:jc w:val="left"/>
            </w:pPr>
            <w:r>
              <w:t xml:space="preserve">27 to 29 January</w:t>
            </w:r>
          </w:p>
        </w:tc>
        <w:tc>
          <w:tcPr>
            <w:tcW w:w="3776" w:type="dxa"/>
            <w:vAlign w:val="top"/>
          </w:tcPr>
          <w:p>
            <w:pPr>
              <w:pStyle w:val="TableText"/>
              <w:jc w:val="left"/>
            </w:pPr>
            <w:r>
              <w:t xml:space="preserve">Car TNDS renewal journey only; app push and ZNS; voice bot up to 200 calls a day; telesales teams in the pilot provinces</w:t>
            </w:r>
          </w:p>
        </w:tc>
        <w:tc>
          <w:tcPr>
            <w:tcW w:w="2167" w:type="dxa"/>
            <w:vAlign w:val="top"/>
          </w:tcPr>
          <w:p>
            <w:pPr>
              <w:pStyle w:val="TableText"/>
              <w:jc w:val="left"/>
            </w:pPr>
            <w:r>
              <w:t xml:space="preserve">About 20,000 vehicles; expiry in 15 to 60 days</w:t>
            </w:r>
          </w:p>
        </w:tc>
        <w:tc>
          <w:tcPr>
            <w:tcW w:w="1681" w:type="dxa"/>
            <w:vAlign w:val="top"/>
          </w:tcPr>
          <w:p>
            <w:pPr>
              <w:pStyle w:val="TableText"/>
              <w:jc w:val="left"/>
            </w:pPr>
            <w:r>
              <w:t xml:space="preserve">Daily KPIs green; no compliance incident</w:t>
            </w:r>
          </w:p>
        </w:tc>
      </w:tr>
      <w:tr>
        <w:trPr>
          <w:cantSplit/>
        </w:trPr>
        <w:tc>
          <w:tcPr>
            <w:tcW w:w="140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1 to 14 February (Tết freeze)</w:t>
            </w:r>
          </w:p>
        </w:tc>
        <w:tc>
          <w:tcPr>
            <w:tcW w:w="37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Run only: no deployments; no rule changes except emergency rollback (RB-10) or the kill switch (SOP-07). Journeys continue at low volume; voice campaigns paused from 5 to 14 February</w:t>
            </w:r>
          </w:p>
        </w:tc>
        <w:tc>
          <w:tcPr>
            <w:tcW w:w="2167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Same cohort</w:t>
            </w:r>
          </w:p>
        </w:tc>
        <w:tc>
          <w:tcPr>
            <w:tcW w:w="168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403" w:type="dxa"/>
            <w:vAlign w:val="top"/>
          </w:tcPr>
          <w:p>
            <w:pPr>
              <w:pStyle w:val="TableText"/>
              <w:jc w:val="left"/>
            </w:pPr>
            <w:r>
              <w:t xml:space="preserve">From 15 February</w:t>
            </w:r>
          </w:p>
        </w:tc>
        <w:tc>
          <w:tcPr>
            <w:tcW w:w="3776" w:type="dxa"/>
            <w:vAlign w:val="top"/>
          </w:tcPr>
          <w:p>
            <w:pPr>
              <w:pStyle w:val="TableText"/>
              <w:jc w:val="left"/>
            </w:pPr>
            <w:r>
              <w:t xml:space="preserve">Renewal, conquest and lapsed-recovery journeys; SMS fallback on</w:t>
            </w:r>
          </w:p>
        </w:tc>
        <w:tc>
          <w:tcPr>
            <w:tcW w:w="2167" w:type="dxa"/>
            <w:vAlign w:val="top"/>
          </w:tcPr>
          <w:p>
            <w:pPr>
              <w:pStyle w:val="TableText"/>
              <w:jc w:val="left"/>
            </w:pPr>
            <w:r>
              <w:t xml:space="preserve">Rest of the cohort loaded in steps up to 50,000 to 100,000 vehicles by 12 March; voice up to 2,000 calls a day</w:t>
            </w:r>
          </w:p>
        </w:tc>
        <w:tc>
          <w:tcPr>
            <w:tcW w:w="1681" w:type="dxa"/>
            <w:vAlign w:val="top"/>
          </w:tcPr>
          <w:p>
            <w:pPr>
              <w:pStyle w:val="TableText"/>
              <w:jc w:val="left"/>
            </w:pPr>
            <w:r>
              <w:t xml:space="preserve">Weekly pilot review</w:t>
            </w:r>
          </w:p>
        </w:tc>
      </w:tr>
      <w:tr>
        <w:trPr>
          <w:cantSplit/>
        </w:trPr>
        <w:tc>
          <w:tcPr>
            <w:tcW w:w="140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Early May 2027</w:t>
            </w:r>
          </w:p>
        </w:tc>
        <w:tc>
          <w:tcPr>
            <w:tcW w:w="37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Pilot read-out against the control group and G4 scale decision</w:t>
            </w:r>
          </w:p>
        </w:tc>
        <w:tc>
          <w:tcPr>
            <w:tcW w:w="2167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—</w:t>
            </w:r>
          </w:p>
        </w:tc>
        <w:tc>
          <w:tcPr>
            <w:tcW w:w="168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Steering Committee</w:t>
            </w:r>
          </w:p>
        </w:tc>
      </w:tr>
    </w:tbl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3" w:name="_Toc300000009"/>
      <w:r>
        <w:rPr>
          <w:rStyle w:val="BookTitle"/>
          <w:bCs w:val="0"/>
          <w:i w:val="0"/>
          <w:iCs w:val="0"/>
          <w:spacing w:val="0"/>
        </w:rPr>
        <w:t xml:space="preserve">Rollback</w:t>
      </w:r>
      <w:bookmarkEnd w:id="13"/>
    </w:p>
    <w:p>
      <w:pPr>
        <w:pStyle w:val="Heading2"/>
      </w:pPr>
      <w:bookmarkStart w:id="14" w:name="_Toc300000010"/>
      <w:r>
        <w:t xml:space="preserve">Triggers</w:t>
      </w:r>
      <w:bookmarkEnd w:id="14"/>
    </w:p>
    <w:p>
      <w:pPr>
        <w:pStyle w:val="FirstParagraph"/>
      </w:pPr>
      <w:r>
        <w:t xml:space="preserve">Any one trigger leads the Incident Commander to propose rollback; the Product Owner and the TASCO Head of IT decide within 30 minutes.</w:t>
      </w:r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2008"/>
        <w:gridCol w:w="7019"/>
      </w:tblGrid>
      <w:tr>
        <w:trPr>
          <w:cantSplit/>
          <w:tblHeader/>
        </w:trPr>
        <w:tc>
          <w:tcPr>
            <w:tcW w:w="2008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Trigger</w:t>
            </w:r>
          </w:p>
        </w:tc>
        <w:tc>
          <w:tcPr>
            <w:tcW w:w="7019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Threshold</w:t>
            </w:r>
          </w:p>
        </w:tc>
      </w:tr>
      <w:tr>
        <w:trPr>
          <w:cantSplit/>
        </w:trPr>
        <w:tc>
          <w:tcPr>
            <w:tcW w:w="2008" w:type="dxa"/>
            <w:vAlign w:val="top"/>
          </w:tcPr>
          <w:p>
            <w:pPr>
              <w:pStyle w:val="TableText"/>
              <w:jc w:val="left"/>
            </w:pPr>
            <w:r>
              <w:t xml:space="preserve">Compliance breach</w:t>
            </w:r>
          </w:p>
        </w:tc>
        <w:tc>
          <w:tcPr>
            <w:tcW w:w="7019" w:type="dxa"/>
            <w:vAlign w:val="top"/>
          </w:tcPr>
          <w:p>
            <w:pPr>
              <w:pStyle w:val="TableText"/>
              <w:jc w:val="left"/>
            </w:pPr>
            <w:r>
              <w:t xml:space="preserve">Any marketing outside 08:00 to 20:00, any contact with a DNC customer, any message with banned wording, any call without consent</w:t>
            </w:r>
          </w:p>
        </w:tc>
      </w:tr>
      <w:tr>
        <w:trPr>
          <w:cantSplit/>
        </w:trPr>
        <w:tc>
          <w:tcPr>
            <w:tcW w:w="200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Money without cover</w:t>
            </w:r>
          </w:p>
        </w:tc>
        <w:tc>
          <w:tcPr>
            <w:tcW w:w="701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More than 3 orders in a day paid with no policy and not refunded within 24 hours; any confirmed double charge</w:t>
            </w:r>
          </w:p>
        </w:tc>
      </w:tr>
      <w:tr>
        <w:trPr>
          <w:cantSplit/>
        </w:trPr>
        <w:tc>
          <w:tcPr>
            <w:tcW w:w="2008" w:type="dxa"/>
            <w:vAlign w:val="top"/>
          </w:tcPr>
          <w:p>
            <w:pPr>
              <w:pStyle w:val="TableText"/>
              <w:jc w:val="left"/>
            </w:pPr>
            <w:r>
              <w:t xml:space="preserve">Availability</w:t>
            </w:r>
          </w:p>
        </w:tc>
        <w:tc>
          <w:tcPr>
            <w:tcW w:w="7019" w:type="dxa"/>
            <w:vAlign w:val="top"/>
          </w:tcPr>
          <w:p>
            <w:pPr>
              <w:pStyle w:val="TableText"/>
              <w:jc w:val="left"/>
            </w:pPr>
            <w:r>
              <w:t xml:space="preserve">Purchase path (SLO-01) breached for more than 2 hours, or a Sev 1 open for more than 4 hours</w:t>
            </w:r>
          </w:p>
        </w:tc>
      </w:tr>
      <w:tr>
        <w:trPr>
          <w:cantSplit/>
        </w:trPr>
        <w:tc>
          <w:tcPr>
            <w:tcW w:w="200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Data integrity</w:t>
            </w:r>
          </w:p>
        </w:tc>
        <w:tc>
          <w:tcPr>
            <w:tcW w:w="701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Audit chain fails verification; one customer’s data shown to another</w:t>
            </w:r>
          </w:p>
        </w:tc>
      </w:tr>
      <w:tr>
        <w:trPr>
          <w:cantSplit/>
        </w:trPr>
        <w:tc>
          <w:tcPr>
            <w:tcW w:w="2008" w:type="dxa"/>
            <w:vAlign w:val="top"/>
          </w:tcPr>
          <w:p>
            <w:pPr>
              <w:pStyle w:val="TableText"/>
              <w:jc w:val="left"/>
            </w:pPr>
            <w:r>
              <w:t xml:space="preserve">Partner instruction</w:t>
            </w:r>
          </w:p>
        </w:tc>
        <w:tc>
          <w:tcPr>
            <w:tcW w:w="7019" w:type="dxa"/>
            <w:vAlign w:val="top"/>
          </w:tcPr>
          <w:p>
            <w:pPr>
              <w:pStyle w:val="TableText"/>
              <w:jc w:val="left"/>
            </w:pPr>
            <w:r>
              <w:t xml:space="preserve">VETC or TASCO core asks for suspension</w:t>
            </w:r>
          </w:p>
        </w:tc>
      </w:tr>
    </w:tbl>
    <w:p>
      <w:pPr>
        <w:pStyle w:val="Heading2"/>
      </w:pPr>
      <w:bookmarkStart w:id="15" w:name="_Toc300000011"/>
      <w:r>
        <w:t xml:space="preserve">Levels</w:t>
      </w:r>
      <w:bookmarkEnd w:id="15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689"/>
        <w:gridCol w:w="3949"/>
        <w:gridCol w:w="1248"/>
        <w:gridCol w:w="2141"/>
      </w:tblGrid>
      <w:tr>
        <w:trPr>
          <w:cantSplit/>
          <w:tblHeader/>
        </w:trPr>
        <w:tc>
          <w:tcPr>
            <w:tcW w:w="1689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Level</w:t>
            </w:r>
          </w:p>
        </w:tc>
        <w:tc>
          <w:tcPr>
            <w:tcW w:w="3949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Action</w:t>
            </w:r>
          </w:p>
        </w:tc>
        <w:tc>
          <w:tcPr>
            <w:tcW w:w="1248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Time to effect</w:t>
            </w:r>
          </w:p>
        </w:tc>
        <w:tc>
          <w:tcPr>
            <w:tcW w:w="2141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Data impact</w:t>
            </w:r>
          </w:p>
        </w:tc>
      </w:tr>
      <w:tr>
        <w:trPr>
          <w:cantSplit/>
        </w:trPr>
        <w:tc>
          <w:tcPr>
            <w:tcW w:w="1689" w:type="dxa"/>
            <w:vAlign w:val="top"/>
          </w:tcPr>
          <w:p>
            <w:pPr>
              <w:pStyle w:val="TableText"/>
              <w:jc w:val="left"/>
            </w:pPr>
            <w:r>
              <w:t xml:space="preserve">R1 Stop outbound contact</w:t>
            </w:r>
          </w:p>
        </w:tc>
        <w:tc>
          <w:tcPr>
            <w:tcW w:w="3949" w:type="dxa"/>
            <w:vAlign w:val="top"/>
          </w:tcPr>
          <w:p>
            <w:pPr>
              <w:pStyle w:val="TableText"/>
              <w:jc w:val="left"/>
            </w:pPr>
            <w:r>
              <w:t xml:space="preserve">SOP-07: suspend the journeys job; stop voice campaigns; marketing cap 0</w:t>
            </w:r>
          </w:p>
        </w:tc>
        <w:tc>
          <w:tcPr>
            <w:tcW w:w="1248" w:type="dxa"/>
            <w:vAlign w:val="top"/>
          </w:tcPr>
          <w:p>
            <w:pPr>
              <w:pStyle w:val="TableText"/>
              <w:jc w:val="left"/>
            </w:pPr>
            <w:r>
              <w:t xml:space="preserve">Minutes</w:t>
            </w:r>
          </w:p>
        </w:tc>
        <w:tc>
          <w:tcPr>
            <w:tcW w:w="2141" w:type="dxa"/>
            <w:vAlign w:val="top"/>
          </w:tcPr>
          <w:p>
            <w:pPr>
              <w:pStyle w:val="TableText"/>
              <w:jc w:val="left"/>
            </w:pPr>
            <w:r>
              <w:t xml:space="preserve">None</w:t>
            </w:r>
          </w:p>
        </w:tc>
      </w:tr>
      <w:tr>
        <w:trPr>
          <w:cantSplit/>
        </w:trPr>
        <w:tc>
          <w:tcPr>
            <w:tcW w:w="168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R2 Rule rollback</w:t>
            </w:r>
          </w:p>
        </w:tc>
        <w:tc>
          <w:tcPr>
            <w:tcW w:w="394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Maker-checker rollback of the faulty rule set (RB-10)</w:t>
            </w:r>
          </w:p>
        </w:tc>
        <w:tc>
          <w:tcPr>
            <w:tcW w:w="124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About 15 minutes (two people)</w:t>
            </w:r>
          </w:p>
        </w:tc>
        <w:tc>
          <w:tcPr>
            <w:tcW w:w="214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None</w:t>
            </w:r>
          </w:p>
        </w:tc>
      </w:tr>
      <w:tr>
        <w:trPr>
          <w:cantSplit/>
        </w:trPr>
        <w:tc>
          <w:tcPr>
            <w:tcW w:w="1689" w:type="dxa"/>
            <w:vAlign w:val="top"/>
          </w:tcPr>
          <w:p>
            <w:pPr>
              <w:pStyle w:val="TableText"/>
              <w:jc w:val="left"/>
            </w:pPr>
            <w:r>
              <w:t xml:space="preserve">R3 Application rollback</w:t>
            </w:r>
          </w:p>
        </w:tc>
        <w:tc>
          <w:tcPr>
            <w:tcW w:w="3949" w:type="dxa"/>
            <w:vAlign w:val="top"/>
          </w:tcPr>
          <w:p>
            <w:pPr>
              <w:pStyle w:val="TableText"/>
              <w:jc w:val="left"/>
            </w:pPr>
            <w:r>
              <w:t xml:space="preserve">Redeploy the previous image. Migrations are forward-only and backward-compatible, so the previous version runs on the new schema</w:t>
            </w:r>
          </w:p>
        </w:tc>
        <w:tc>
          <w:tcPr>
            <w:tcW w:w="1248" w:type="dxa"/>
            <w:vAlign w:val="top"/>
          </w:tcPr>
          <w:p>
            <w:pPr>
              <w:pStyle w:val="TableText"/>
              <w:jc w:val="left"/>
            </w:pPr>
            <w:r>
              <w:t xml:space="preserve">15 minutes or less</w:t>
            </w:r>
          </w:p>
        </w:tc>
        <w:tc>
          <w:tcPr>
            <w:tcW w:w="2141" w:type="dxa"/>
            <w:vAlign w:val="top"/>
          </w:tcPr>
          <w:p>
            <w:pPr>
              <w:pStyle w:val="TableText"/>
              <w:jc w:val="left"/>
            </w:pPr>
            <w:r>
              <w:t xml:space="preserve">None</w:t>
            </w:r>
          </w:p>
        </w:tc>
      </w:tr>
      <w:tr>
        <w:trPr>
          <w:cantSplit/>
        </w:trPr>
        <w:tc>
          <w:tcPr>
            <w:tcW w:w="168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R4 Close entry points</w:t>
            </w:r>
          </w:p>
        </w:tc>
        <w:tc>
          <w:tcPr>
            <w:tcW w:w="394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VETC disables the app banner; Zalo menu hidden; partner keys suspended</w:t>
            </w:r>
          </w:p>
        </w:tc>
        <w:tc>
          <w:tcPr>
            <w:tcW w:w="124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1 hour or less</w:t>
            </w:r>
          </w:p>
        </w:tc>
        <w:tc>
          <w:tcPr>
            <w:tcW w:w="214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None; open quotes expire within 24 hours</w:t>
            </w:r>
          </w:p>
        </w:tc>
      </w:tr>
      <w:tr>
        <w:trPr>
          <w:cantSplit/>
        </w:trPr>
        <w:tc>
          <w:tcPr>
            <w:tcW w:w="1689" w:type="dxa"/>
            <w:vAlign w:val="top"/>
          </w:tcPr>
          <w:p>
            <w:pPr>
              <w:pStyle w:val="TableText"/>
              <w:jc w:val="left"/>
            </w:pPr>
            <w:r>
              <w:t xml:space="preserve">R5 Withdraw the pilot</w:t>
            </w:r>
          </w:p>
        </w:tc>
        <w:tc>
          <w:tcPr>
            <w:tcW w:w="3949" w:type="dxa"/>
            <w:vAlign w:val="top"/>
          </w:tcPr>
          <w:p>
            <w:pPr>
              <w:pStyle w:val="TableText"/>
              <w:jc w:val="left"/>
            </w:pPr>
            <w:r>
              <w:t xml:space="preserve">R1 and R4. The platform stays up to serve existing policies (certificate check, claims, data requests), which are never switched off for customers who have bought</w:t>
            </w:r>
          </w:p>
        </w:tc>
        <w:tc>
          <w:tcPr>
            <w:tcW w:w="1248" w:type="dxa"/>
            <w:vAlign w:val="top"/>
          </w:tcPr>
          <w:p>
            <w:pPr>
              <w:pStyle w:val="TableText"/>
              <w:jc w:val="left"/>
            </w:pPr>
            <w:r>
              <w:t xml:space="preserve">2 hours or less</w:t>
            </w:r>
          </w:p>
        </w:tc>
        <w:tc>
          <w:tcPr>
            <w:tcW w:w="2141" w:type="dxa"/>
            <w:vAlign w:val="top"/>
          </w:tcPr>
          <w:p>
            <w:pPr>
              <w:pStyle w:val="TableText"/>
              <w:jc w:val="left"/>
            </w:pPr>
            <w:r>
              <w:t xml:space="preserve">Policies stay valid; reconciliation completes</w:t>
            </w:r>
          </w:p>
        </w:tc>
      </w:tr>
      <w:tr>
        <w:trPr>
          <w:cantSplit/>
        </w:trPr>
        <w:tc>
          <w:tcPr>
            <w:tcW w:w="168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R6 Data restore</w:t>
            </w:r>
          </w:p>
        </w:tc>
        <w:tc>
          <w:tcPr>
            <w:tcW w:w="394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Only for corruption: point-in-time recovery per FO-2 in TGP-OPS-03</w:t>
            </w:r>
          </w:p>
        </w:tc>
        <w:tc>
          <w:tcPr>
            <w:tcW w:w="124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Hours</w:t>
            </w:r>
          </w:p>
        </w:tc>
        <w:tc>
          <w:tcPr>
            <w:tcW w:w="214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Writes after the restore point reconciled</w:t>
            </w:r>
          </w:p>
        </w:tc>
      </w:tr>
    </w:tbl>
    <w:p>
      <w:pPr>
        <w:pStyle w:val="BodyText"/>
        <w:spacing w:before="160"/>
      </w:pPr>
      <w:r>
        <w:t xml:space="preserve">For the first go-live there is no previous version, so R3 is replaced by R1 and R4 while a hotfix is prepared.</w:t>
      </w: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6" w:name="_Toc300000012"/>
      <w:r>
        <w:rPr>
          <w:rStyle w:val="BookTitle"/>
          <w:bCs w:val="0"/>
          <w:i w:val="0"/>
          <w:iCs w:val="0"/>
          <w:spacing w:val="0"/>
        </w:rPr>
        <w:t xml:space="preserve">Hypercare</w:t>
      </w:r>
      <w:bookmarkEnd w:id="16"/>
    </w:p>
    <w:p>
      <w:pPr>
        <w:pStyle w:val="Heading2"/>
      </w:pPr>
      <w:bookmarkStart w:id="17" w:name="_Toc300000013"/>
      <w:r>
        <w:t xml:space="preserve">Organisation</w:t>
      </w:r>
      <w:bookmarkEnd w:id="17"/>
    </w:p>
    <w:p>
      <w:pPr>
        <w:pStyle w:val="FirstParagraph"/>
      </w:pPr>
      <w:r>
        <w:t xml:space="preserve">Hypercare runs from the soft launch on 27 January to 26 February 2027, about four weeks, at reduced intensity over Tết. Each later scale-up step has its own four-week hypercare under the scale phase.</w:t>
      </w:r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413"/>
        <w:gridCol w:w="7614"/>
      </w:tblGrid>
      <w:tr>
        <w:trPr>
          <w:cantSplit/>
          <w:tblHeader/>
        </w:trPr>
        <w:tc>
          <w:tcPr>
            <w:tcW w:w="1413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Element</w:t>
            </w:r>
          </w:p>
        </w:tc>
        <w:tc>
          <w:tcPr>
            <w:tcW w:w="7614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Arrangement</w:t>
            </w:r>
          </w:p>
        </w:tc>
      </w:tr>
      <w:tr>
        <w:trPr>
          <w:cantSplit/>
        </w:trPr>
        <w:tc>
          <w:tcPr>
            <w:tcW w:w="1413" w:type="dxa"/>
            <w:vAlign w:val="top"/>
          </w:tcPr>
          <w:p>
            <w:pPr>
              <w:pStyle w:val="TableText"/>
              <w:jc w:val="left"/>
            </w:pPr>
            <w:r>
              <w:t xml:space="preserve">War room</w:t>
            </w:r>
          </w:p>
        </w:tc>
        <w:tc>
          <w:tcPr>
            <w:tcW w:w="7614" w:type="dxa"/>
            <w:vAlign w:val="top"/>
          </w:tcPr>
          <w:p>
            <w:pPr>
              <w:pStyle w:val="TableText"/>
              <w:jc w:val="left"/>
            </w:pPr>
            <w:r>
              <w:t xml:space="preserve">TASCO head office in Hà Nội plus a virtual bridge; 08:00 to 20:00 on weekdays in the first week, then virtual</w:t>
            </w:r>
          </w:p>
        </w:tc>
      </w:tr>
      <w:tr>
        <w:trPr>
          <w:cantSplit/>
        </w:trPr>
        <w:tc>
          <w:tcPr>
            <w:tcW w:w="1413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Stand-ups</w:t>
            </w:r>
          </w:p>
        </w:tc>
        <w:tc>
          <w:tcPr>
            <w:tcW w:w="7614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08:00 (overnight jobs, alerts, KPIs, plan) and 17:00 (day review, decisions)</w:t>
            </w:r>
          </w:p>
        </w:tc>
      </w:tr>
      <w:tr>
        <w:trPr>
          <w:cantSplit/>
        </w:trPr>
        <w:tc>
          <w:tcPr>
            <w:tcW w:w="1413" w:type="dxa"/>
            <w:vAlign w:val="top"/>
          </w:tcPr>
          <w:p>
            <w:pPr>
              <w:pStyle w:val="TableText"/>
              <w:jc w:val="left"/>
            </w:pPr>
            <w:r>
              <w:t xml:space="preserve">Staffing</w:t>
            </w:r>
          </w:p>
        </w:tc>
        <w:tc>
          <w:tcPr>
            <w:tcW w:w="7614" w:type="dxa"/>
            <w:vAlign w:val="top"/>
          </w:tcPr>
          <w:p>
            <w:pPr>
              <w:pStyle w:val="TableText"/>
              <w:jc w:val="left"/>
            </w:pPr>
            <w:r>
              <w:t xml:space="preserve">iorta TechNXT: tech lead, two developers, QA, SRE (L3 on-call 24 × 7). TASCO: Product Owner, L2 support, compliance analyst, campaign manager, telesales supervisor. VETC: app and customer service liaison. TASCO core IT: named contact for rating and issuance</w:t>
            </w:r>
          </w:p>
        </w:tc>
      </w:tr>
      <w:tr>
        <w:trPr>
          <w:cantSplit/>
        </w:trPr>
        <w:tc>
          <w:tcPr>
            <w:tcW w:w="141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Tết cover</w:t>
            </w:r>
          </w:p>
        </w:tc>
        <w:tc>
          <w:tcPr>
            <w:tcW w:w="7614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24-hour on-call for L2 and L3 throughout the freeze; war room on call rather than staffed</w:t>
            </w:r>
          </w:p>
        </w:tc>
      </w:tr>
      <w:tr>
        <w:trPr>
          <w:cantSplit/>
        </w:trPr>
        <w:tc>
          <w:tcPr>
            <w:tcW w:w="1413" w:type="dxa"/>
            <w:vAlign w:val="top"/>
          </w:tcPr>
          <w:p>
            <w:pPr>
              <w:pStyle w:val="TableText"/>
              <w:jc w:val="left"/>
            </w:pPr>
            <w:r>
              <w:t xml:space="preserve">Change policy</w:t>
            </w:r>
          </w:p>
        </w:tc>
        <w:tc>
          <w:tcPr>
            <w:tcW w:w="7614" w:type="dxa"/>
            <w:vAlign w:val="top"/>
          </w:tcPr>
          <w:p>
            <w:pPr>
              <w:pStyle w:val="TableText"/>
              <w:jc w:val="left"/>
            </w:pPr>
            <w:r>
              <w:t xml:space="preserve">Daily hotfix window at 07:00 (before the journey run) for Sev 1 and 2 fixes through the emergency CAB; rule changes through maker-checker with the Product Owner’s agreement</w:t>
            </w:r>
          </w:p>
        </w:tc>
      </w:tr>
      <w:tr>
        <w:trPr>
          <w:cantSplit/>
        </w:trPr>
        <w:tc>
          <w:tcPr>
            <w:tcW w:w="141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Service levels</w:t>
            </w:r>
          </w:p>
        </w:tc>
        <w:tc>
          <w:tcPr>
            <w:tcW w:w="7614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The severity table in TGP-OPS-01, with L3 engaged directly for Sev 1 and 2</w:t>
            </w:r>
          </w:p>
        </w:tc>
      </w:tr>
    </w:tbl>
    <w:p>
      <w:pPr>
        <w:pStyle w:val="Heading2"/>
      </w:pPr>
      <w:bookmarkStart w:id="18" w:name="_Toc300000014"/>
      <w:r>
        <w:t xml:space="preserve">Escalation</w:t>
      </w:r>
      <w:bookmarkEnd w:id="18"/>
    </w:p>
    <w:p>
      <w:pPr>
        <w:pStyle w:val="FirstParagraph"/>
      </w:pPr>
      <w:r>
        <w:t xml:space="preserve">Issues raised in the war room are classified by severity; a rollback trigger takes the decision to the Product Owner and Head of IT, everything else goes to a fix through the emergency CAB or the backlog.</w:t>
      </w:r>
    </w:p>
    <w:p xmlns:a="http://schemas.openxmlformats.org/drawingml/2006/main" xmlns:pic="http://schemas.openxmlformats.org/drawingml/2006/picture">
      <w:pPr>
        <w:pStyle w:val="Figure"/>
      </w:pPr>
      <w:r>
        <w:drawing>
          <wp:inline>
            <wp:extent cx="5727700" cy="5443050"/>
            <wp:effectExtent b="0" l="0" r="0" t="0"/>
            <wp:docPr descr="Escalation path for issues raised in the war room" title="" id="5003" name="Picture"/>
            <a:graphic>
              <a:graphicData uri="http://schemas.openxmlformats.org/drawingml/2006/picture">
                <pic:pic>
                  <pic:nvPicPr>
                    <pic:cNvPr descr="/home/user/TASCO/tools/docs-source/gen/.cache/mermaid/c3a61cd92a9546f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G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443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2 – Escalation path for issues raised in the war room</w:t>
      </w:r>
    </w:p>
    <w:p>
      <w:pPr>
        <w:pStyle w:val="Heading2"/>
      </w:pPr>
      <w:bookmarkStart w:id="19" w:name="_Toc300000015"/>
      <w:r>
        <w:t xml:space="preserve">Daily KPI pack</w:t>
      </w:r>
      <w:bookmarkEnd w:id="19"/>
    </w:p>
    <w:p>
      <w:pPr>
        <w:pStyle w:val="FirstParagraph"/>
      </w:pPr>
      <w:r>
        <w:t xml:space="preserve">Prepared by 07:45 and reviewed at the 08:00 stand-up.</w:t>
      </w:r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366"/>
        <w:gridCol w:w="2204"/>
        <w:gridCol w:w="3148"/>
        <w:gridCol w:w="2309"/>
      </w:tblGrid>
      <w:tr>
        <w:trPr>
          <w:cantSplit/>
          <w:tblHeader/>
        </w:trPr>
        <w:tc>
          <w:tcPr>
            <w:tcW w:w="1366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Area</w:t>
            </w:r>
          </w:p>
        </w:tc>
        <w:tc>
          <w:tcPr>
            <w:tcW w:w="2204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Indicator</w:t>
            </w:r>
          </w:p>
        </w:tc>
        <w:tc>
          <w:tcPr>
            <w:tcW w:w="3148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Source</w:t>
            </w:r>
          </w:p>
        </w:tc>
        <w:tc>
          <w:tcPr>
            <w:tcW w:w="2309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Action threshold</w:t>
            </w:r>
          </w:p>
        </w:tc>
      </w:tr>
      <w:tr>
        <w:trPr>
          <w:cantSplit/>
        </w:trPr>
        <w:tc>
          <w:tcPr>
            <w:tcW w:w="1366" w:type="dxa"/>
            <w:vAlign w:val="top"/>
          </w:tcPr>
          <w:p>
            <w:pPr>
              <w:pStyle w:val="TableText"/>
              <w:jc w:val="left"/>
            </w:pPr>
            <w:r>
              <w:t xml:space="preserve">Journeys</w:t>
            </w:r>
          </w:p>
        </w:tc>
        <w:tc>
          <w:tcPr>
            <w:tcW w:w="2204" w:type="dxa"/>
            <w:vAlign w:val="top"/>
          </w:tcPr>
          <w:p>
            <w:pPr>
              <w:pStyle w:val="TableText"/>
              <w:jc w:val="left"/>
            </w:pPr>
            <w:r>
              <w:t xml:space="preserve">Touchpoints due, done, skipped, deferred and cancelled by journey and channel; top 5 skip reasons</w:t>
            </w:r>
          </w:p>
        </w:tc>
        <w:tc>
          <w:tcPr>
            <w:tcW w:w="3148" w:type="dxa"/>
            <w:vAlign w:val="top"/>
          </w:tcPr>
          <w:p>
            <w:pPr>
              <w:pStyle w:val="TableText"/>
              <w:jc w:val="left"/>
            </w:pPr>
            <w:r>
              <w:rPr>
                <w:rStyle w:val="CodeChar"/>
              </w:rPr>
              <w:t xml:space="preserve">journey run complete</w:t>
            </w:r>
            <w:r>
              <w:t xml:space="preserve"> </w:t>
            </w:r>
            <w:r>
              <w:t xml:space="preserve">log</w:t>
            </w:r>
          </w:p>
        </w:tc>
        <w:tc>
          <w:tcPr>
            <w:tcW w:w="2309" w:type="dxa"/>
            <w:vAlign w:val="top"/>
          </w:tcPr>
          <w:p>
            <w:pPr>
              <w:pStyle w:val="TableText"/>
              <w:jc w:val="left"/>
            </w:pPr>
            <w:r>
              <w:t xml:space="preserve">Skipped above 30 % for reasons other than consent: RB-07</w:t>
            </w:r>
          </w:p>
        </w:tc>
      </w:tr>
      <w:tr>
        <w:trPr>
          <w:cantSplit/>
        </w:trPr>
        <w:tc>
          <w:tcPr>
            <w:tcW w:w="136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Messaging</w:t>
            </w:r>
          </w:p>
        </w:tc>
        <w:tc>
          <w:tcPr>
            <w:tcW w:w="2204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Sent, failed and blocked by channel</w:t>
            </w:r>
          </w:p>
        </w:tc>
        <w:tc>
          <w:tcPr>
            <w:tcW w:w="314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rPr>
                <w:rStyle w:val="CodeChar"/>
              </w:rPr>
              <w:t xml:space="preserve">messages_total</w:t>
            </w:r>
          </w:p>
        </w:tc>
        <w:tc>
          <w:tcPr>
            <w:tcW w:w="230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Any blocked: Compliance (ALR-30)</w:t>
            </w:r>
          </w:p>
        </w:tc>
      </w:tr>
      <w:tr>
        <w:trPr>
          <w:cantSplit/>
        </w:trPr>
        <w:tc>
          <w:tcPr>
            <w:tcW w:w="1366" w:type="dxa"/>
            <w:vAlign w:val="top"/>
          </w:tcPr>
          <w:p>
            <w:pPr>
              <w:pStyle w:val="TableText"/>
              <w:jc w:val="left"/>
            </w:pPr>
            <w:r>
              <w:t xml:space="preserve">Rating</w:t>
            </w:r>
          </w:p>
        </w:tc>
        <w:tc>
          <w:tcPr>
            <w:tcW w:w="2204" w:type="dxa"/>
            <w:vAlign w:val="top"/>
          </w:tcPr>
          <w:p>
            <w:pPr>
              <w:pStyle w:val="TableText"/>
              <w:jc w:val="left"/>
            </w:pPr>
            <w:r>
              <w:t xml:space="preserve">Quotes priced by TASCO core; unavailable ratio; core p95; indicative quotes open</w:t>
            </w:r>
          </w:p>
        </w:tc>
        <w:tc>
          <w:tcPr>
            <w:tcW w:w="3148" w:type="dxa"/>
            <w:vAlign w:val="top"/>
          </w:tcPr>
          <w:p>
            <w:pPr>
              <w:pStyle w:val="TableText"/>
              <w:jc w:val="left"/>
            </w:pPr>
            <w:r>
              <w:rPr>
                <w:rStyle w:val="CodeChar"/>
              </w:rPr>
              <w:t xml:space="preserve">rating_requests_total</w:t>
            </w:r>
            <w:r>
              <w:t xml:space="preserve">,</w:t>
            </w:r>
            <w:r>
              <w:t xml:space="preserve"> </w:t>
            </w:r>
            <w:r>
              <w:rPr>
                <w:rStyle w:val="CodeChar"/>
              </w:rPr>
              <w:t xml:space="preserve">integration_latency_seconds</w:t>
            </w:r>
            <w:r>
              <w:t xml:space="preserve">,</w:t>
            </w:r>
            <w:r>
              <w:t xml:space="preserve"> </w:t>
            </w:r>
            <w:r>
              <w:rPr>
                <w:rStyle w:val="CodeChar"/>
              </w:rPr>
              <w:t xml:space="preserve">quotes_indicative_total</w:t>
            </w:r>
          </w:p>
        </w:tc>
        <w:tc>
          <w:tcPr>
            <w:tcW w:w="2309" w:type="dxa"/>
            <w:vAlign w:val="top"/>
          </w:tcPr>
          <w:p>
            <w:pPr>
              <w:pStyle w:val="TableText"/>
              <w:jc w:val="left"/>
            </w:pPr>
            <w:r>
              <w:t xml:space="preserve">Unavailable above 1 % or any indicative quote: RB-16, RB-18</w:t>
            </w:r>
          </w:p>
        </w:tc>
      </w:tr>
      <w:tr>
        <w:trPr>
          <w:cantSplit/>
        </w:trPr>
        <w:tc>
          <w:tcPr>
            <w:tcW w:w="136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Voice</w:t>
            </w:r>
          </w:p>
        </w:tc>
        <w:tc>
          <w:tcPr>
            <w:tcW w:w="2204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Calls by outcome; plate verification failures; opt-outs</w:t>
            </w:r>
          </w:p>
        </w:tc>
        <w:tc>
          <w:tcPr>
            <w:tcW w:w="314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rPr>
                <w:rStyle w:val="CodeChar"/>
              </w:rPr>
              <w:t xml:space="preserve">voice_calls_total</w:t>
            </w:r>
          </w:p>
        </w:tc>
        <w:tc>
          <w:tcPr>
            <w:tcW w:w="230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Verification failure above 15 %; opt-out above 10 %</w:t>
            </w:r>
          </w:p>
        </w:tc>
      </w:tr>
      <w:tr>
        <w:trPr>
          <w:cantSplit/>
        </w:trPr>
        <w:tc>
          <w:tcPr>
            <w:tcW w:w="1366" w:type="dxa"/>
            <w:vAlign w:val="top"/>
          </w:tcPr>
          <w:p>
            <w:pPr>
              <w:pStyle w:val="TableText"/>
              <w:jc w:val="left"/>
            </w:pPr>
            <w:r>
              <w:t xml:space="preserve">Telesales</w:t>
            </w:r>
          </w:p>
        </w:tc>
        <w:tc>
          <w:tcPr>
            <w:tcW w:w="2204" w:type="dxa"/>
            <w:vAlign w:val="top"/>
          </w:tcPr>
          <w:p>
            <w:pPr>
              <w:pStyle w:val="TableText"/>
              <w:jc w:val="left"/>
            </w:pPr>
            <w:r>
              <w:t xml:space="preserve">Handoffs created, claimed, won and lost; open over 2 business hours</w:t>
            </w:r>
          </w:p>
        </w:tc>
        <w:tc>
          <w:tcPr>
            <w:tcW w:w="3148" w:type="dxa"/>
            <w:vAlign w:val="top"/>
          </w:tcPr>
          <w:p>
            <w:pPr>
              <w:pStyle w:val="TableText"/>
              <w:jc w:val="left"/>
            </w:pPr>
            <w:r>
              <w:t xml:space="preserve">Handoff list; database series</w:t>
            </w:r>
          </w:p>
        </w:tc>
        <w:tc>
          <w:tcPr>
            <w:tcW w:w="2309" w:type="dxa"/>
            <w:vAlign w:val="top"/>
          </w:tcPr>
          <w:p>
            <w:pPr>
              <w:pStyle w:val="TableText"/>
              <w:jc w:val="left"/>
            </w:pPr>
            <w:r>
              <w:t xml:space="preserve">More than 20 aged handoffs</w:t>
            </w:r>
          </w:p>
        </w:tc>
      </w:tr>
      <w:tr>
        <w:trPr>
          <w:cantSplit/>
        </w:trPr>
        <w:tc>
          <w:tcPr>
            <w:tcW w:w="136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Sales funnel</w:t>
            </w:r>
          </w:p>
        </w:tc>
        <w:tc>
          <w:tcPr>
            <w:tcW w:w="2204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Quotes and orders by channel and journey; conversion; premium; time from payment confirmation to e-certificate</w:t>
            </w:r>
          </w:p>
        </w:tc>
        <w:tc>
          <w:tcPr>
            <w:tcW w:w="314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Metrics; dashboard; VETC analytics</w:t>
            </w:r>
          </w:p>
        </w:tc>
        <w:tc>
          <w:tcPr>
            <w:tcW w:w="230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Conversion down 50 % week on week</w:t>
            </w:r>
          </w:p>
        </w:tc>
      </w:tr>
      <w:tr>
        <w:trPr>
          <w:cantSplit/>
        </w:trPr>
        <w:tc>
          <w:tcPr>
            <w:tcW w:w="1366" w:type="dxa"/>
            <w:vAlign w:val="top"/>
          </w:tcPr>
          <w:p>
            <w:pPr>
              <w:pStyle w:val="TableText"/>
              <w:jc w:val="left"/>
            </w:pPr>
            <w:r>
              <w:t xml:space="preserve">Renewal</w:t>
            </w:r>
          </w:p>
        </w:tc>
        <w:tc>
          <w:tcPr>
            <w:tcW w:w="2204" w:type="dxa"/>
            <w:vAlign w:val="top"/>
          </w:tcPr>
          <w:p>
            <w:pPr>
              <w:pStyle w:val="TableText"/>
              <w:jc w:val="left"/>
            </w:pPr>
            <w:r>
              <w:t xml:space="preserve">Renewals by path (quick renewal or full flow); top reasons customers were not offered quick renewal; median renewal time</w:t>
            </w:r>
          </w:p>
        </w:tc>
        <w:tc>
          <w:tcPr>
            <w:tcW w:w="3148" w:type="dxa"/>
            <w:vAlign w:val="top"/>
          </w:tcPr>
          <w:p>
            <w:pPr>
              <w:pStyle w:val="TableText"/>
              <w:jc w:val="left"/>
            </w:pPr>
            <w:r>
              <w:t xml:space="preserve">Orders; customer app analytics</w:t>
            </w:r>
          </w:p>
        </w:tc>
        <w:tc>
          <w:tcPr>
            <w:tcW w:w="2309" w:type="dxa"/>
            <w:vAlign w:val="top"/>
          </w:tcPr>
          <w:p>
            <w:pPr>
              <w:pStyle w:val="TableText"/>
              <w:jc w:val="left"/>
            </w:pPr>
            <w:r>
              <w:t xml:space="preserve">Median above 60 seconds: review with the Product Owner</w:t>
            </w:r>
          </w:p>
        </w:tc>
      </w:tr>
      <w:tr>
        <w:trPr>
          <w:cantSplit/>
        </w:trPr>
        <w:tc>
          <w:tcPr>
            <w:tcW w:w="136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Integrity</w:t>
            </w:r>
          </w:p>
        </w:tc>
        <w:tc>
          <w:tcPr>
            <w:tcW w:w="2204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Compensated,</w:t>
            </w:r>
            <w:r>
              <w:t xml:space="preserve"> </w:t>
            </w:r>
            <w:r>
              <w:rPr>
                <w:rStyle w:val="CodeChar"/>
              </w:rPr>
              <w:t xml:space="preserve">compensation_failed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CodeChar"/>
              </w:rPr>
              <w:t xml:space="preserve">payment_failed</w:t>
            </w:r>
            <w:r>
              <w:t xml:space="preserve"> </w:t>
            </w:r>
            <w:r>
              <w:t xml:space="preserve">orders; reconciliation mismatches</w:t>
            </w:r>
          </w:p>
        </w:tc>
        <w:tc>
          <w:tcPr>
            <w:tcW w:w="314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Metrics; job history</w:t>
            </w:r>
          </w:p>
        </w:tc>
        <w:tc>
          <w:tcPr>
            <w:tcW w:w="230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Any: RB-11 (</w:t>
            </w:r>
            <w:r>
              <w:rPr>
                <w:rStyle w:val="CodeChar"/>
              </w:rPr>
              <w:t xml:space="preserve">compensation_failed</w:t>
            </w:r>
            <w:r>
              <w:t xml:space="preserve"> </w:t>
            </w:r>
            <w:r>
              <w:t xml:space="preserve">is Sev 1)</w:t>
            </w:r>
          </w:p>
        </w:tc>
      </w:tr>
      <w:tr>
        <w:trPr>
          <w:cantSplit/>
        </w:trPr>
        <w:tc>
          <w:tcPr>
            <w:tcW w:w="1366" w:type="dxa"/>
            <w:vAlign w:val="top"/>
          </w:tcPr>
          <w:p>
            <w:pPr>
              <w:pStyle w:val="TableText"/>
              <w:jc w:val="left"/>
            </w:pPr>
            <w:r>
              <w:t xml:space="preserve">Data</w:t>
            </w:r>
          </w:p>
        </w:tc>
        <w:tc>
          <w:tcPr>
            <w:tcW w:w="2204" w:type="dxa"/>
            <w:vAlign w:val="top"/>
          </w:tcPr>
          <w:p>
            <w:pPr>
              <w:pStyle w:val="TableText"/>
              <w:jc w:val="left"/>
            </w:pPr>
            <w:r>
              <w:t xml:space="preserve">New data quality issues by type; customer-confirmed expiries</w:t>
            </w:r>
          </w:p>
        </w:tc>
        <w:tc>
          <w:tcPr>
            <w:tcW w:w="3148" w:type="dxa"/>
            <w:vAlign w:val="top"/>
          </w:tcPr>
          <w:p>
            <w:pPr>
              <w:pStyle w:val="TableText"/>
              <w:jc w:val="left"/>
            </w:pPr>
            <w:r>
              <w:t xml:space="preserve">Data quality queue; audit</w:t>
            </w:r>
          </w:p>
        </w:tc>
        <w:tc>
          <w:tcPr>
            <w:tcW w:w="2309" w:type="dxa"/>
            <w:vAlign w:val="top"/>
          </w:tcPr>
          <w:p>
            <w:pPr>
              <w:pStyle w:val="TableText"/>
              <w:jc w:val="left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36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Reliability</w:t>
            </w:r>
          </w:p>
        </w:tc>
        <w:tc>
          <w:tcPr>
            <w:tcW w:w="2204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Service level objectives; incidents by severity; alerts; dead letters</w:t>
            </w:r>
          </w:p>
        </w:tc>
        <w:tc>
          <w:tcPr>
            <w:tcW w:w="314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Dashboards D1 to D3</w:t>
            </w:r>
          </w:p>
        </w:tc>
        <w:tc>
          <w:tcPr>
            <w:tcW w:w="230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More than 50 % of the weekly error budget used</w:t>
            </w:r>
          </w:p>
        </w:tc>
      </w:tr>
      <w:tr>
        <w:trPr>
          <w:cantSplit/>
        </w:trPr>
        <w:tc>
          <w:tcPr>
            <w:tcW w:w="1366" w:type="dxa"/>
            <w:vAlign w:val="top"/>
          </w:tcPr>
          <w:p>
            <w:pPr>
              <w:pStyle w:val="TableText"/>
              <w:jc w:val="left"/>
            </w:pPr>
            <w:r>
              <w:t xml:space="preserve">Compliance</w:t>
            </w:r>
          </w:p>
        </w:tc>
        <w:tc>
          <w:tcPr>
            <w:tcW w:w="2204" w:type="dxa"/>
            <w:vAlign w:val="top"/>
          </w:tcPr>
          <w:p>
            <w:pPr>
              <w:pStyle w:val="TableText"/>
              <w:jc w:val="left"/>
            </w:pPr>
            <w:r>
              <w:t xml:space="preserve">Contacts outside hours (must be 0); DNC contacts (0); complaints</w:t>
            </w:r>
          </w:p>
        </w:tc>
        <w:tc>
          <w:tcPr>
            <w:tcW w:w="3148" w:type="dxa"/>
            <w:vAlign w:val="top"/>
          </w:tcPr>
          <w:p>
            <w:pPr>
              <w:pStyle w:val="TableText"/>
              <w:jc w:val="left"/>
            </w:pPr>
            <w:r>
              <w:t xml:space="preserve">RB-07 query; customer service</w:t>
            </w:r>
          </w:p>
        </w:tc>
        <w:tc>
          <w:tcPr>
            <w:tcW w:w="2309" w:type="dxa"/>
            <w:vAlign w:val="top"/>
          </w:tcPr>
          <w:p>
            <w:pPr>
              <w:pStyle w:val="TableText"/>
              <w:jc w:val="left"/>
            </w:pPr>
            <w:r>
              <w:t xml:space="preserve">Any: Sev 1</w:t>
            </w:r>
          </w:p>
        </w:tc>
      </w:tr>
      <w:tr>
        <w:trPr>
          <w:cantSplit/>
        </w:trPr>
        <w:tc>
          <w:tcPr>
            <w:tcW w:w="136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Privacy</w:t>
            </w:r>
          </w:p>
        </w:tc>
        <w:tc>
          <w:tcPr>
            <w:tcW w:w="2204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Data requests open, due within 24 hours and overdue</w:t>
            </w:r>
          </w:p>
        </w:tc>
        <w:tc>
          <w:tcPr>
            <w:tcW w:w="314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Data-request register</w:t>
            </w:r>
          </w:p>
        </w:tc>
        <w:tc>
          <w:tcPr>
            <w:tcW w:w="230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Any overdue: SOP-05 escalation</w:t>
            </w:r>
          </w:p>
        </w:tc>
      </w:tr>
      <w:tr>
        <w:trPr>
          <w:cantSplit/>
        </w:trPr>
        <w:tc>
          <w:tcPr>
            <w:tcW w:w="1366" w:type="dxa"/>
            <w:vAlign w:val="top"/>
          </w:tcPr>
          <w:p>
            <w:pPr>
              <w:pStyle w:val="TableText"/>
              <w:jc w:val="left"/>
            </w:pPr>
            <w:r>
              <w:t xml:space="preserve">Support</w:t>
            </w:r>
          </w:p>
        </w:tc>
        <w:tc>
          <w:tcPr>
            <w:tcW w:w="2204" w:type="dxa"/>
            <w:vAlign w:val="top"/>
          </w:tcPr>
          <w:p>
            <w:pPr>
              <w:pStyle w:val="TableText"/>
              <w:jc w:val="left"/>
            </w:pPr>
            <w:r>
              <w:t xml:space="preserve">Tickets by tier and category; share resolved at L1 and L2</w:t>
            </w:r>
          </w:p>
        </w:tc>
        <w:tc>
          <w:tcPr>
            <w:tcW w:w="3148" w:type="dxa"/>
            <w:vAlign w:val="top"/>
          </w:tcPr>
          <w:p>
            <w:pPr>
              <w:pStyle w:val="TableText"/>
              <w:jc w:val="left"/>
            </w:pPr>
            <w:r>
              <w:t xml:space="preserve">ITSM</w:t>
            </w:r>
          </w:p>
        </w:tc>
        <w:tc>
          <w:tcPr>
            <w:tcW w:w="2309" w:type="dxa"/>
            <w:vAlign w:val="top"/>
          </w:tcPr>
          <w:p>
            <w:pPr>
              <w:pStyle w:val="TableText"/>
              <w:jc w:val="left"/>
            </w:pPr>
            <w:r>
              <w:t xml:space="preserve">L3 share above 30 % from week 3</w:t>
            </w:r>
          </w:p>
        </w:tc>
      </w:tr>
    </w:tbl>
    <w:p>
      <w:pPr>
        <w:pStyle w:val="Heading2"/>
      </w:pPr>
      <w:bookmarkStart w:id="20" w:name="_Toc300000016"/>
      <w:r>
        <w:t xml:space="preserve">Exit criteria</w:t>
      </w:r>
      <w:bookmarkEnd w:id="20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594"/>
        <w:gridCol w:w="8433"/>
      </w:tblGrid>
      <w:tr>
        <w:trPr>
          <w:cantSplit/>
          <w:tblHeader/>
        </w:trPr>
        <w:tc>
          <w:tcPr>
            <w:tcW w:w="594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#</w:t>
            </w:r>
          </w:p>
        </w:tc>
        <w:tc>
          <w:tcPr>
            <w:tcW w:w="8433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Criterion</w:t>
            </w:r>
          </w:p>
        </w:tc>
      </w:tr>
      <w:tr>
        <w:trPr>
          <w:cantSplit/>
        </w:trPr>
        <w:tc>
          <w:tcPr>
            <w:tcW w:w="594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H-1</w:t>
            </w:r>
          </w:p>
        </w:tc>
        <w:tc>
          <w:tcPr>
            <w:tcW w:w="8433" w:type="dxa"/>
            <w:vAlign w:val="top"/>
          </w:tcPr>
          <w:p>
            <w:pPr>
              <w:pStyle w:val="TableText"/>
              <w:jc w:val="left"/>
            </w:pPr>
            <w:r>
              <w:t xml:space="preserve">No Sev 1 for 14 consecutive days and no open Sev 2</w:t>
            </w:r>
          </w:p>
        </w:tc>
      </w:tr>
      <w:tr>
        <w:trPr>
          <w:cantSplit/>
        </w:trPr>
        <w:tc>
          <w:tcPr>
            <w:tcW w:w="594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H-2</w:t>
            </w:r>
          </w:p>
        </w:tc>
        <w:tc>
          <w:tcPr>
            <w:tcW w:w="843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SLO-01 to SLO-04 met for the last 14 days</w:t>
            </w:r>
          </w:p>
        </w:tc>
      </w:tr>
      <w:tr>
        <w:trPr>
          <w:cantSplit/>
        </w:trPr>
        <w:tc>
          <w:tcPr>
            <w:tcW w:w="594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H-3</w:t>
            </w:r>
          </w:p>
        </w:tc>
        <w:tc>
          <w:tcPr>
            <w:tcW w:w="8433" w:type="dxa"/>
            <w:vAlign w:val="top"/>
          </w:tcPr>
          <w:p>
            <w:pPr>
              <w:pStyle w:val="TableText"/>
              <w:jc w:val="left"/>
            </w:pPr>
            <w:r>
              <w:t xml:space="preserve">Journeys complete within contact hours every day for the last 10 business days</w:t>
            </w:r>
          </w:p>
        </w:tc>
      </w:tr>
      <w:tr>
        <w:trPr>
          <w:cantSplit/>
        </w:trPr>
        <w:tc>
          <w:tcPr>
            <w:tcW w:w="594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H-4</w:t>
            </w:r>
          </w:p>
        </w:tc>
        <w:tc>
          <w:tcPr>
            <w:tcW w:w="843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Reconciliation clean (no unexplained mismatches) for 10 consecutive days</w:t>
            </w:r>
          </w:p>
        </w:tc>
      </w:tr>
      <w:tr>
        <w:trPr>
          <w:cantSplit/>
        </w:trPr>
        <w:tc>
          <w:tcPr>
            <w:tcW w:w="594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H-5</w:t>
            </w:r>
          </w:p>
        </w:tc>
        <w:tc>
          <w:tcPr>
            <w:tcW w:w="8433" w:type="dxa"/>
            <w:vAlign w:val="top"/>
          </w:tcPr>
          <w:p>
            <w:pPr>
              <w:pStyle w:val="TableText"/>
              <w:jc w:val="left"/>
            </w:pPr>
            <w:r>
              <w:t xml:space="preserve">L2 resolves at least 80 % of tickets without L3; procedures and known errors updated for every new incident type</w:t>
            </w:r>
          </w:p>
        </w:tc>
      </w:tr>
      <w:tr>
        <w:trPr>
          <w:cantSplit/>
        </w:trPr>
        <w:tc>
          <w:tcPr>
            <w:tcW w:w="594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H-6</w:t>
            </w:r>
          </w:p>
        </w:tc>
        <w:tc>
          <w:tcPr>
            <w:tcW w:w="843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Fewer than 5 non-actionable pages a week</w:t>
            </w:r>
          </w:p>
        </w:tc>
      </w:tr>
      <w:tr>
        <w:trPr>
          <w:cantSplit/>
        </w:trPr>
        <w:tc>
          <w:tcPr>
            <w:tcW w:w="594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H-7</w:t>
            </w:r>
          </w:p>
        </w:tc>
        <w:tc>
          <w:tcPr>
            <w:tcW w:w="8433" w:type="dxa"/>
            <w:vAlign w:val="top"/>
          </w:tcPr>
          <w:p>
            <w:pPr>
              <w:pStyle w:val="TableText"/>
              <w:jc w:val="left"/>
            </w:pPr>
            <w:r>
              <w:t xml:space="preserve">Fewer than 10 open Sev 3 defects, each with a planned release</w:t>
            </w:r>
          </w:p>
        </w:tc>
      </w:tr>
      <w:tr>
        <w:trPr>
          <w:cantSplit/>
        </w:trPr>
        <w:tc>
          <w:tcPr>
            <w:tcW w:w="594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H-8</w:t>
            </w:r>
          </w:p>
        </w:tc>
        <w:tc>
          <w:tcPr>
            <w:tcW w:w="843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Knowledge transfer sessions for the pilot features completed (TGP-DEL-05)</w:t>
            </w:r>
          </w:p>
        </w:tc>
      </w:tr>
      <w:tr>
        <w:trPr>
          <w:cantSplit/>
        </w:trPr>
        <w:tc>
          <w:tcPr>
            <w:tcW w:w="594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H-9</w:t>
            </w:r>
          </w:p>
        </w:tc>
        <w:tc>
          <w:tcPr>
            <w:tcW w:w="8433" w:type="dxa"/>
            <w:vAlign w:val="top"/>
          </w:tcPr>
          <w:p>
            <w:pPr>
              <w:pStyle w:val="TableText"/>
              <w:jc w:val="left"/>
            </w:pPr>
            <w:r>
              <w:t xml:space="preserve">Business Owner and TASCO Head of IT sign the hypercare exit</w:t>
            </w:r>
          </w:p>
        </w:tc>
      </w:tr>
    </w:tbl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21" w:name="_Toc300000017"/>
      <w:r>
        <w:rPr>
          <w:rStyle w:val="BookTitle"/>
          <w:bCs w:val="0"/>
          <w:i w:val="0"/>
          <w:iCs w:val="0"/>
          <w:spacing w:val="0"/>
        </w:rPr>
        <w:t xml:space="preserve">Transition to business as usual</w:t>
      </w:r>
      <w:bookmarkEnd w:id="21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859"/>
        <w:gridCol w:w="1812"/>
        <w:gridCol w:w="2638"/>
        <w:gridCol w:w="2718"/>
      </w:tblGrid>
      <w:tr>
        <w:trPr>
          <w:cantSplit/>
          <w:tblHeader/>
        </w:trPr>
        <w:tc>
          <w:tcPr>
            <w:tcW w:w="1859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Phase</w:t>
            </w:r>
          </w:p>
        </w:tc>
        <w:tc>
          <w:tcPr>
            <w:tcW w:w="1812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Duration</w:t>
            </w:r>
          </w:p>
        </w:tc>
        <w:tc>
          <w:tcPr>
            <w:tcW w:w="2638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Who leads</w:t>
            </w:r>
          </w:p>
        </w:tc>
        <w:tc>
          <w:tcPr>
            <w:tcW w:w="2718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iorta TechNXT role</w:t>
            </w:r>
          </w:p>
        </w:tc>
      </w:tr>
      <w:tr>
        <w:trPr>
          <w:cantSplit/>
        </w:trPr>
        <w:tc>
          <w:tcPr>
            <w:tcW w:w="1859" w:type="dxa"/>
            <w:vAlign w:val="top"/>
          </w:tcPr>
          <w:p>
            <w:pPr>
              <w:pStyle w:val="TableText"/>
              <w:jc w:val="left"/>
            </w:pPr>
            <w:r>
              <w:t xml:space="preserve">Hypercare</w:t>
            </w:r>
          </w:p>
        </w:tc>
        <w:tc>
          <w:tcPr>
            <w:tcW w:w="1812" w:type="dxa"/>
            <w:vAlign w:val="top"/>
          </w:tcPr>
          <w:p>
            <w:pPr>
              <w:pStyle w:val="TableText"/>
              <w:jc w:val="left"/>
            </w:pPr>
            <w:r>
              <w:t xml:space="preserve">To 26 February 2027</w:t>
            </w:r>
          </w:p>
        </w:tc>
        <w:tc>
          <w:tcPr>
            <w:tcW w:w="2638" w:type="dxa"/>
            <w:vAlign w:val="top"/>
          </w:tcPr>
          <w:p>
            <w:pPr>
              <w:pStyle w:val="TableText"/>
              <w:jc w:val="left"/>
            </w:pPr>
            <w:r>
              <w:t xml:space="preserve">iorta TechNXT in the war room</w:t>
            </w:r>
          </w:p>
        </w:tc>
        <w:tc>
          <w:tcPr>
            <w:tcW w:w="2718" w:type="dxa"/>
            <w:vAlign w:val="top"/>
          </w:tcPr>
          <w:p>
            <w:pPr>
              <w:pStyle w:val="TableText"/>
              <w:jc w:val="left"/>
            </w:pPr>
            <w:r>
              <w:t xml:space="preserve">L3 on-call 24 × 7</w:t>
            </w:r>
          </w:p>
        </w:tc>
      </w:tr>
      <w:tr>
        <w:trPr>
          <w:cantSplit/>
        </w:trPr>
        <w:tc>
          <w:tcPr>
            <w:tcW w:w="185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Shadow</w:t>
            </w:r>
          </w:p>
        </w:tc>
        <w:tc>
          <w:tcPr>
            <w:tcW w:w="1812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2 weeks</w:t>
            </w:r>
          </w:p>
        </w:tc>
        <w:tc>
          <w:tcPr>
            <w:tcW w:w="263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TASCO L2 leads</w:t>
            </w:r>
          </w:p>
        </w:tc>
        <w:tc>
          <w:tcPr>
            <w:tcW w:w="271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Supports alongside</w:t>
            </w:r>
          </w:p>
        </w:tc>
      </w:tr>
      <w:tr>
        <w:trPr>
          <w:cantSplit/>
        </w:trPr>
        <w:tc>
          <w:tcPr>
            <w:tcW w:w="1859" w:type="dxa"/>
            <w:vAlign w:val="top"/>
          </w:tcPr>
          <w:p>
            <w:pPr>
              <w:pStyle w:val="TableText"/>
              <w:jc w:val="left"/>
            </w:pPr>
            <w:r>
              <w:t xml:space="preserve">Reverse shadow</w:t>
            </w:r>
          </w:p>
        </w:tc>
        <w:tc>
          <w:tcPr>
            <w:tcW w:w="1812" w:type="dxa"/>
            <w:vAlign w:val="top"/>
          </w:tcPr>
          <w:p>
            <w:pPr>
              <w:pStyle w:val="TableText"/>
              <w:jc w:val="left"/>
            </w:pPr>
            <w:r>
              <w:t xml:space="preserve">1 week</w:t>
            </w:r>
          </w:p>
        </w:tc>
        <w:tc>
          <w:tcPr>
            <w:tcW w:w="2638" w:type="dxa"/>
            <w:vAlign w:val="top"/>
          </w:tcPr>
          <w:p>
            <w:pPr>
              <w:pStyle w:val="TableText"/>
              <w:jc w:val="left"/>
            </w:pPr>
            <w:r>
              <w:t xml:space="preserve">TASCO L2 alone</w:t>
            </w:r>
          </w:p>
        </w:tc>
        <w:tc>
          <w:tcPr>
            <w:tcW w:w="2718" w:type="dxa"/>
            <w:vAlign w:val="top"/>
          </w:tcPr>
          <w:p>
            <w:pPr>
              <w:pStyle w:val="TableText"/>
              <w:jc w:val="left"/>
            </w:pPr>
            <w:r>
              <w:t xml:space="preserve">On call</w:t>
            </w:r>
          </w:p>
        </w:tc>
      </w:tr>
      <w:tr>
        <w:trPr>
          <w:cantSplit/>
        </w:trPr>
        <w:tc>
          <w:tcPr>
            <w:tcW w:w="185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Business as usual</w:t>
            </w:r>
          </w:p>
        </w:tc>
        <w:tc>
          <w:tcPr>
            <w:tcW w:w="1812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Ongoing</w:t>
            </w:r>
          </w:p>
        </w:tc>
        <w:tc>
          <w:tcPr>
            <w:tcW w:w="263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TASCO L2</w:t>
            </w:r>
          </w:p>
        </w:tc>
        <w:tc>
          <w:tcPr>
            <w:tcW w:w="271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L3 under the managed service</w:t>
            </w:r>
          </w:p>
        </w:tc>
      </w:tr>
    </w:tbl>
    <w:p>
      <w:pPr>
        <w:spacing w:before="160"/>
      </w:pPr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420"/>
        <w:gridCol w:w="7607"/>
      </w:tblGrid>
      <w:tr>
        <w:trPr>
          <w:cantSplit/>
          <w:tblHeader/>
        </w:trPr>
        <w:tc>
          <w:tcPr>
            <w:tcW w:w="1420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Item</w:t>
            </w:r>
          </w:p>
        </w:tc>
        <w:tc>
          <w:tcPr>
            <w:tcW w:w="7607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Hand-over</w:t>
            </w:r>
          </w:p>
        </w:tc>
      </w:tr>
      <w:tr>
        <w:trPr>
          <w:cantSplit/>
        </w:trPr>
        <w:tc>
          <w:tcPr>
            <w:tcW w:w="1420" w:type="dxa"/>
            <w:vAlign w:val="top"/>
          </w:tcPr>
          <w:p>
            <w:pPr>
              <w:pStyle w:val="TableText"/>
              <w:jc w:val="left"/>
            </w:pPr>
            <w:r>
              <w:t xml:space="preserve">Support</w:t>
            </w:r>
          </w:p>
        </w:tc>
        <w:tc>
          <w:tcPr>
            <w:tcW w:w="7607" w:type="dxa"/>
            <w:vAlign w:val="top"/>
          </w:tcPr>
          <w:p>
            <w:pPr>
              <w:pStyle w:val="TableText"/>
              <w:jc w:val="left"/>
            </w:pPr>
            <w:r>
              <w:t xml:space="preserve">L2 rota fully TASCO; L3 through the managed service (USD 6,900 per month) with the severity levels in TGP-OPS-01</w:t>
            </w:r>
          </w:p>
        </w:tc>
      </w:tr>
      <w:tr>
        <w:trPr>
          <w:cantSplit/>
        </w:trPr>
        <w:tc>
          <w:tcPr>
            <w:tcW w:w="142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Monitoring</w:t>
            </w:r>
          </w:p>
        </w:tc>
        <w:tc>
          <w:tcPr>
            <w:tcW w:w="7607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Alert routing switched to TASCO on-call; dashboards owned by TASCO IT Operations</w:t>
            </w:r>
          </w:p>
        </w:tc>
      </w:tr>
      <w:tr>
        <w:trPr>
          <w:cantSplit/>
        </w:trPr>
        <w:tc>
          <w:tcPr>
            <w:tcW w:w="1420" w:type="dxa"/>
            <w:vAlign w:val="top"/>
          </w:tcPr>
          <w:p>
            <w:pPr>
              <w:pStyle w:val="TableText"/>
              <w:jc w:val="left"/>
            </w:pPr>
            <w:r>
              <w:t xml:space="preserve">Releases</w:t>
            </w:r>
          </w:p>
        </w:tc>
        <w:tc>
          <w:tcPr>
            <w:tcW w:w="7607" w:type="dxa"/>
            <w:vAlign w:val="top"/>
          </w:tcPr>
          <w:p>
            <w:pPr>
              <w:pStyle w:val="TableText"/>
              <w:jc w:val="left"/>
            </w:pPr>
            <w:r>
              <w:t xml:space="preserve">Monthly release train through CAB (TGP-OPS-06); rule changes become routine work for TASCO rule authors and approvers, including approval of catalogue sync proposals</w:t>
            </w:r>
          </w:p>
        </w:tc>
      </w:tr>
      <w:tr>
        <w:trPr>
          <w:cantSplit/>
        </w:trPr>
        <w:tc>
          <w:tcPr>
            <w:tcW w:w="142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Knowledge</w:t>
            </w:r>
          </w:p>
        </w:tc>
        <w:tc>
          <w:tcPr>
            <w:tcW w:w="7607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Knowledge transfer complete; procedures and readiness evidence archived; open known issues with owners</w:t>
            </w:r>
          </w:p>
        </w:tc>
      </w:tr>
      <w:tr>
        <w:trPr>
          <w:cantSplit/>
        </w:trPr>
        <w:tc>
          <w:tcPr>
            <w:tcW w:w="1420" w:type="dxa"/>
            <w:vAlign w:val="top"/>
          </w:tcPr>
          <w:p>
            <w:pPr>
              <w:pStyle w:val="TableText"/>
              <w:jc w:val="left"/>
            </w:pPr>
            <w:r>
              <w:t xml:space="preserve">Governance</w:t>
            </w:r>
          </w:p>
        </w:tc>
        <w:tc>
          <w:tcPr>
            <w:tcW w:w="7607" w:type="dxa"/>
            <w:vAlign w:val="top"/>
          </w:tcPr>
          <w:p>
            <w:pPr>
              <w:pStyle w:val="TableText"/>
              <w:jc w:val="left"/>
            </w:pPr>
            <w:r>
              <w:t xml:space="preserve">Monthly service review (service levels, incidents, capacity, known issues); quarterly DR test reports; quarterly access review</w:t>
            </w:r>
          </w:p>
        </w:tc>
      </w:tr>
    </w:tbl>
    <w:p w14:paraId="12E0A58E" w14:textId="77777777" w:rsidR="002B183A" w:rsidRPr="00465CAB" w:rsidRDefault="002B183A" w:rsidP="002B183A">
      <w:pPr>
        <w:pStyle w:val="Heading1"/>
        <w:pageBreakBefore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22" w:name="_Toc300000018"/>
      <w:r>
        <w:rPr>
          <w:rStyle w:val="BookTitle"/>
          <w:bCs w:val="0"/>
          <w:i w:val="0"/>
          <w:iCs w:val="0"/>
          <w:spacing w:val="0"/>
        </w:rPr>
        <w:t xml:space="preserve">Sign-Off</w:t>
      </w:r>
      <w:bookmarkEnd w:id="22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972"/>
        <w:gridCol w:w="5252"/>
        <w:gridCol w:w="1831"/>
        <w:gridCol w:w="972"/>
      </w:tblGrid>
      <w:tr w:rsidR="002B183A" w14:paraId="0ABAE4AD" w14:textId="77777777" w:rsidTr="002923F3">
        <w:trPr>
          <w:cantSplit/>
          <w:trHeight w:val="440"/>
          <w:tblHeader/>
        </w:trPr>
        <w:tc>
          <w:tcPr>
            <w:tcW w:w="972" w:type="dxa"/>
            <w:shd w:val="clear" w:color="auto" w:fill="0F4761"/>
            <w:vAlign w:val="center"/>
          </w:tcPr>
          <w:p w14:paraId="3EB3C57B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lastRenderedPageBreak/>
              <w:t>Serial Number</w:t>
            </w:r>
          </w:p>
        </w:tc>
        <w:tc>
          <w:tcPr>
            <w:tcW w:w="5252" w:type="dxa"/>
            <w:shd w:val="clear" w:color="auto" w:fill="0F4761"/>
            <w:vAlign w:val="center"/>
          </w:tcPr>
          <w:p w14:paraId="11ABC55F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1831" w:type="dxa"/>
            <w:shd w:val="clear" w:color="auto" w:fill="0F4761"/>
            <w:vAlign w:val="center"/>
          </w:tcPr>
          <w:p w14:paraId="05BF7E25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972" w:type="dxa"/>
            <w:shd w:val="clear" w:color="auto" w:fill="0F4761"/>
            <w:vAlign w:val="center"/>
          </w:tcPr>
          <w:p w14:paraId="1E570080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Status</w:t>
            </w:r>
          </w:p>
        </w:tc>
      </w:tr>
      <w:tr w:rsidR="002B183A" w:rsidRPr="00BB346A" w14:paraId="4AA02A28" w14:textId="77777777" w:rsidTr="002923F3">
        <w:trPr>
          <w:cantSplit/>
          <w:trHeight w:val="449"/>
        </w:trPr>
        <w:tc>
          <w:tcPr>
            <w:tcW w:w="972" w:type="dxa"/>
            <w:vAlign w:val="top"/>
          </w:tcPr>
          <w:p w14:paraId="3EE380D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1</w:t>
            </w:r>
          </w:p>
        </w:tc>
        <w:tc>
          <w:tcPr>
            <w:tcW w:w="5252" w:type="dxa"/>
            <w:vAlign w:val="top"/>
          </w:tcPr>
          <w:p w14:paraId="38D2703A" w14:textId="77777777" w:rsidR="002B183A" w:rsidRPr="009876A6" w:rsidRDefault="002B183A" w:rsidP="002923F3">
            <w:pPr>
              <w:spacing w:before="60"/>
              <w:jc w:val="left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Pilot provinces and cohort (50,000 to 100,000 vehicles) confirmed in discovery</w:t>
            </w:r>
          </w:p>
        </w:tc>
        <w:tc>
          <w:tcPr>
            <w:tcW w:w="1831" w:type="dxa"/>
            <w:vAlign w:val="top"/>
          </w:tcPr>
          <w:p w14:paraId="7C283CC7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Business Owner</w:t>
            </w:r>
          </w:p>
        </w:tc>
        <w:tc>
          <w:tcPr>
            <w:tcW w:w="972" w:type="dxa"/>
            <w:vAlign w:val="top"/>
          </w:tcPr>
          <w:p w14:paraId="2EB0AB1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Open</w:t>
            </w:r>
          </w:p>
        </w:tc>
      </w:tr>
      <w:tr w:rsidR="002B183A" w:rsidRPr="00BB346A" w14:paraId="4AA02A28" w14:textId="77777777" w:rsidTr="002923F3">
        <w:trPr>
          <w:cantSplit/>
          <w:trHeight w:val="449"/>
        </w:trPr>
        <w:tc>
          <w:tcPr>
            <w:tcW w:w="972" w:type="dxa"/>
            <w:vAlign w:val="top"/>
          </w:tcPr>
          <w:p w14:paraId="3EE380D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2</w:t>
            </w:r>
          </w:p>
        </w:tc>
        <w:tc>
          <w:tcPr>
            <w:tcW w:w="5252" w:type="dxa"/>
            <w:vAlign w:val="top"/>
          </w:tcPr>
          <w:p w14:paraId="38D2703A" w14:textId="77777777" w:rsidR="002B183A" w:rsidRPr="009876A6" w:rsidRDefault="002B183A" w:rsidP="002923F3">
            <w:pPr>
              <w:spacing w:before="60"/>
              <w:jc w:val="left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Control group method (list held out at load time, or a cohort bucket once KI-24 is fixed) confirmed in discovery</w:t>
            </w:r>
          </w:p>
        </w:tc>
        <w:tc>
          <w:tcPr>
            <w:tcW w:w="1831" w:type="dxa"/>
            <w:vAlign w:val="top"/>
          </w:tcPr>
          <w:p w14:paraId="7C283CC7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Business Owner</w:t>
            </w:r>
          </w:p>
        </w:tc>
        <w:tc>
          <w:tcPr>
            <w:tcW w:w="972" w:type="dxa"/>
            <w:vAlign w:val="top"/>
          </w:tcPr>
          <w:p w14:paraId="2EB0AB1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Open</w:t>
            </w:r>
          </w:p>
        </w:tc>
      </w:tr>
      <w:tr w:rsidR="002B183A" w:rsidRPr="00BB346A" w14:paraId="4AA02A28" w14:textId="77777777" w:rsidTr="002923F3">
        <w:trPr>
          <w:cantSplit/>
          <w:trHeight w:val="449"/>
        </w:trPr>
        <w:tc>
          <w:tcPr>
            <w:tcW w:w="972" w:type="dxa"/>
            <w:vAlign w:val="top"/>
          </w:tcPr>
          <w:p w14:paraId="3EE380D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3</w:t>
            </w:r>
          </w:p>
        </w:tc>
        <w:tc>
          <w:tcPr>
            <w:tcW w:w="5252" w:type="dxa"/>
            <w:vAlign w:val="top"/>
          </w:tcPr>
          <w:p w14:paraId="38D2703A" w14:textId="77777777" w:rsidR="002B183A" w:rsidRPr="009876A6" w:rsidRDefault="002B183A" w:rsidP="002923F3">
            <w:pPr>
              <w:spacing w:before="60"/>
              <w:jc w:val="left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VETC app entry point and renewal banner switch available for the soft launch on 27/01/2027</w:t>
            </w:r>
          </w:p>
        </w:tc>
        <w:tc>
          <w:tcPr>
            <w:tcW w:w="1831" w:type="dxa"/>
            <w:vAlign w:val="top"/>
          </w:tcPr>
          <w:p w14:paraId="7C283CC7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VETC Product Owner</w:t>
            </w:r>
          </w:p>
        </w:tc>
        <w:tc>
          <w:tcPr>
            <w:tcW w:w="972" w:type="dxa"/>
            <w:vAlign w:val="top"/>
          </w:tcPr>
          <w:p w14:paraId="2EB0AB1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Open</w:t>
            </w:r>
          </w:p>
        </w:tc>
      </w:tr>
      <w:tr w:rsidR="002B183A" w:rsidRPr="00BB346A" w14:paraId="4AA02A28" w14:textId="77777777" w:rsidTr="002923F3">
        <w:trPr>
          <w:cantSplit/>
          <w:trHeight w:val="449"/>
        </w:trPr>
        <w:tc>
          <w:tcPr>
            <w:tcW w:w="972" w:type="dxa"/>
            <w:vAlign w:val="top"/>
          </w:tcPr>
          <w:p w14:paraId="3EE380D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4</w:t>
            </w:r>
          </w:p>
        </w:tc>
        <w:tc>
          <w:tcPr>
            <w:tcW w:w="5252" w:type="dxa"/>
            <w:vAlign w:val="top"/>
          </w:tcPr>
          <w:p w14:paraId="38D2703A" w14:textId="77777777" w:rsidR="002B183A" w:rsidRPr="009876A6" w:rsidRDefault="002B183A" w:rsidP="002923F3">
            <w:pPr>
              <w:spacing w:before="60"/>
              <w:jc w:val="left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Voice campaign pause over the Tết holiday (5 to 14 February 2027) agreed</w:t>
            </w:r>
          </w:p>
        </w:tc>
        <w:tc>
          <w:tcPr>
            <w:tcW w:w="1831" w:type="dxa"/>
            <w:vAlign w:val="top"/>
          </w:tcPr>
          <w:p w14:paraId="7C283CC7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Compliance</w:t>
            </w:r>
          </w:p>
        </w:tc>
        <w:tc>
          <w:tcPr>
            <w:tcW w:w="972" w:type="dxa"/>
            <w:vAlign w:val="top"/>
          </w:tcPr>
          <w:p w14:paraId="2EB0AB1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Open</w:t>
            </w:r>
          </w:p>
        </w:tc>
      </w:tr>
    </w:tbl>
    <w:p w14:paraId="57CC15FC" w14:textId="77777777" w:rsidR="002B183A" w:rsidRDefault="002B183A" w:rsidP="002B183A">
      <w:pPr>
        <w:jc w:val="both"/>
        <w:rPr>
          <w:rFonts w:ascii="Segoe UI" w:eastAsia="Arial" w:hAnsi="Segoe UI" w:cs="Segoe UI"/>
          <w:color w:val="101820"/>
          <w:sz w:val="22"/>
        </w:rPr>
      </w:pPr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014"/>
        <w:gridCol w:w="1597"/>
        <w:gridCol w:w="2502"/>
        <w:gridCol w:w="3914"/>
      </w:tblGrid>
      <w:tr w:rsidR="002B183A" w14:paraId="731A77C7" w14:textId="77777777" w:rsidTr="002923F3">
        <w:trPr>
          <w:cantSplit/>
          <w:trHeight w:val="440"/>
          <w:tblHeader/>
        </w:trPr>
        <w:tc>
          <w:tcPr>
            <w:tcW w:w="1014" w:type="dxa"/>
            <w:shd w:val="clear" w:color="auto" w:fill="0F4761"/>
            <w:vAlign w:val="center"/>
          </w:tcPr>
          <w:p w14:paraId="2799E846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 xml:space="preserve">Sign Off </w:t>
            </w: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597" w:type="dxa"/>
            <w:shd w:val="clear" w:color="auto" w:fill="0F4761"/>
            <w:vAlign w:val="center"/>
          </w:tcPr>
          <w:p w14:paraId="56708A83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Signature</w:t>
            </w:r>
          </w:p>
        </w:tc>
        <w:tc>
          <w:tcPr>
            <w:tcW w:w="2502" w:type="dxa"/>
            <w:shd w:val="clear" w:color="auto" w:fill="0F4761"/>
            <w:vAlign w:val="center"/>
          </w:tcPr>
          <w:p w14:paraId="367EAF90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Approved By</w:t>
            </w:r>
          </w:p>
        </w:tc>
        <w:tc>
          <w:tcPr>
            <w:tcW w:w="3914" w:type="dxa"/>
            <w:shd w:val="clear" w:color="auto" w:fill="0F4761"/>
            <w:vAlign w:val="center"/>
          </w:tcPr>
          <w:p w14:paraId="3521F756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Department &amp; Project Role</w:t>
            </w:r>
          </w:p>
        </w:tc>
      </w:tr>
      <w:tr w:rsidR="002B183A" w:rsidRPr="00BB346A" w14:paraId="2AD1806B" w14:textId="77777777" w:rsidTr="002923F3">
        <w:trPr>
          <w:cantSplit/>
          <w:trHeight w:val="760"/>
        </w:trPr>
        <w:tc>
          <w:tcPr>
            <w:tcW w:w="1014" w:type="dxa"/>
            <w:vAlign w:val="top"/>
          </w:tcPr>
          <w:p w14:paraId="59720FD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1597" w:type="dxa"/>
            <w:vAlign w:val="top"/>
          </w:tcPr>
          <w:p w14:paraId="07D5AEF4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2502" w:type="dxa"/>
            <w:vAlign w:val="top"/>
          </w:tcPr>
          <w:p w14:paraId="2BA57AF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Insurance</w:t>
            </w:r>
          </w:p>
        </w:tc>
        <w:tc>
          <w:tcPr>
            <w:tcW w:w="3914" w:type="dxa"/>
            <w:vAlign w:val="top"/>
          </w:tcPr>
          <w:p w14:paraId="066A4127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Programme Sponsor</w:t>
            </w:r>
          </w:p>
        </w:tc>
      </w:tr>
      <w:tr w:rsidR="002B183A" w:rsidRPr="00BB346A" w14:paraId="2AD1806B" w14:textId="77777777" w:rsidTr="002923F3">
        <w:trPr>
          <w:cantSplit/>
          <w:trHeight w:val="760"/>
        </w:trPr>
        <w:tc>
          <w:tcPr>
            <w:tcW w:w="1014" w:type="dxa"/>
            <w:vAlign w:val="top"/>
          </w:tcPr>
          <w:p w14:paraId="59720FD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1597" w:type="dxa"/>
            <w:vAlign w:val="top"/>
          </w:tcPr>
          <w:p w14:paraId="07D5AEF4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2502" w:type="dxa"/>
            <w:vAlign w:val="top"/>
          </w:tcPr>
          <w:p w14:paraId="2BA57AF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Insurance</w:t>
            </w:r>
          </w:p>
        </w:tc>
        <w:tc>
          <w:tcPr>
            <w:tcW w:w="3914" w:type="dxa"/>
            <w:vAlign w:val="top"/>
          </w:tcPr>
          <w:p w14:paraId="066A4127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Product Owner and Head of IT</w:t>
            </w:r>
          </w:p>
        </w:tc>
      </w:tr>
      <w:tr w:rsidR="002B183A" w:rsidRPr="00BB346A" w14:paraId="2AD1806B" w14:textId="77777777" w:rsidTr="002923F3">
        <w:trPr>
          <w:cantSplit/>
          <w:trHeight w:val="760"/>
        </w:trPr>
        <w:tc>
          <w:tcPr>
            <w:tcW w:w="1014" w:type="dxa"/>
            <w:vAlign w:val="top"/>
          </w:tcPr>
          <w:p w14:paraId="59720FD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1597" w:type="dxa"/>
            <w:vAlign w:val="top"/>
          </w:tcPr>
          <w:p w14:paraId="07D5AEF4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2502" w:type="dxa"/>
            <w:vAlign w:val="top"/>
          </w:tcPr>
          <w:p w14:paraId="2BA57AF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iorta TechNXT</w:t>
            </w:r>
          </w:p>
        </w:tc>
        <w:tc>
          <w:tcPr>
            <w:tcW w:w="3914" w:type="dxa"/>
            <w:vAlign w:val="top"/>
          </w:tcPr>
          <w:p w14:paraId="066A4127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Service Operations</w:t>
            </w:r>
          </w:p>
        </w:tc>
      </w:tr>
    </w:tbl>
    <w:p w14:paraId="1146A836" w14:textId="10B273DD" w:rsidR="00EE516B" w:rsidRDefault="002B183A">
      <w:r w:rsidRPr="00FE19FE">
        <w:br w:type="page"/>
      </w:r>
    </w:p>
    <w:p w14:paraId="1F938E87" w14:textId="77777777" w:rsidR="007B4988" w:rsidRDefault="007B4988"/>
    <w:p w14:paraId="4553482A" w14:textId="1F0B5849" w:rsidR="008501FA" w:rsidRPr="00EF479A" w:rsidRDefault="006470D1" w:rsidP="3B384731">
      <w:r>
        <w:rPr>
          <w:noProof/>
        </w:rPr>
        <w:drawing>
          <wp:anchor distT="0" distB="0" distL="114300" distR="114300" simplePos="0" relativeHeight="251658240" behindDoc="1" locked="0" layoutInCell="1" allowOverlap="1" wp14:anchorId="769CEDFB" wp14:editId="0E98DE0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48440" cy="10677525"/>
            <wp:effectExtent l="0" t="0" r="0" b="0"/>
            <wp:wrapNone/>
            <wp:docPr id="88843429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549725D-CA62-47A1-A957-457A136796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34296" name="Picture 88843429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440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501FA" w:rsidRPr="00EF479A" w:rsidSect="004477F0"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113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D9D5A" w14:textId="77777777" w:rsidR="00A242E6" w:rsidRDefault="00A242E6">
      <w:pPr>
        <w:spacing w:after="0" w:line="240" w:lineRule="auto"/>
      </w:pPr>
      <w:r>
        <w:separator/>
      </w:r>
    </w:p>
  </w:endnote>
  <w:endnote w:type="continuationSeparator" w:id="0">
    <w:p w14:paraId="749EBE52" w14:textId="77777777" w:rsidR="00A242E6" w:rsidRDefault="00A24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2981B" w14:textId="6A123F5D" w:rsidR="00EC1FCB" w:rsidRDefault="00EC1FCB">
    <w:pPr>
      <w:pStyle w:val="Footer"/>
    </w:pPr>
    <w:r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5915C0C7" wp14:editId="4783279C">
          <wp:simplePos x="0" y="0"/>
          <wp:positionH relativeFrom="page">
            <wp:align>left</wp:align>
          </wp:positionH>
          <wp:positionV relativeFrom="paragraph">
            <wp:posOffset>-707666</wp:posOffset>
          </wp:positionV>
          <wp:extent cx="8778222" cy="885012"/>
          <wp:effectExtent l="0" t="0" r="4445" b="0"/>
          <wp:wrapNone/>
          <wp:docPr id="1180669579" name="Picture 11806695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78222" cy="8850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E75530" w14:paraId="7DEADF60" w14:textId="77777777" w:rsidTr="2EB1E806">
      <w:trPr>
        <w:trHeight w:val="300"/>
      </w:trPr>
      <w:tc>
        <w:tcPr>
          <w:tcW w:w="3005" w:type="dxa"/>
        </w:tcPr>
        <w:p w14:paraId="1EDD45F7" w14:textId="77777777" w:rsidR="00E75530" w:rsidRDefault="00E75530" w:rsidP="2EB1E806">
          <w:pPr>
            <w:pStyle w:val="Header"/>
            <w:ind w:left="-115"/>
          </w:pPr>
        </w:p>
      </w:tc>
      <w:tc>
        <w:tcPr>
          <w:tcW w:w="3005" w:type="dxa"/>
        </w:tcPr>
        <w:p w14:paraId="29D1E92D" w14:textId="77777777" w:rsidR="00E75530" w:rsidRDefault="00E75530" w:rsidP="2EB1E806">
          <w:pPr>
            <w:pStyle w:val="Header"/>
            <w:jc w:val="center"/>
          </w:pPr>
        </w:p>
      </w:tc>
      <w:tc>
        <w:tcPr>
          <w:tcW w:w="3005" w:type="dxa"/>
        </w:tcPr>
        <w:p w14:paraId="74EB3205" w14:textId="77777777" w:rsidR="00E75530" w:rsidRDefault="00E75530" w:rsidP="2EB1E806">
          <w:pPr>
            <w:pStyle w:val="Header"/>
            <w:ind w:right="-115"/>
            <w:jc w:val="right"/>
          </w:pPr>
        </w:p>
      </w:tc>
    </w:tr>
  </w:tbl>
  <w:p w14:paraId="368865EE" w14:textId="77777777" w:rsidR="00E75530" w:rsidRDefault="00E755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557CB" w14:textId="77777777" w:rsidR="00A242E6" w:rsidRDefault="00A242E6">
      <w:pPr>
        <w:spacing w:after="0" w:line="240" w:lineRule="auto"/>
      </w:pPr>
      <w:r>
        <w:separator/>
      </w:r>
    </w:p>
  </w:footnote>
  <w:footnote w:type="continuationSeparator" w:id="0">
    <w:p w14:paraId="5971213E" w14:textId="77777777" w:rsidR="00A242E6" w:rsidRDefault="00A242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E75530" w14:paraId="1C7D462D" w14:textId="77777777" w:rsidTr="2EB1E806">
      <w:trPr>
        <w:trHeight w:val="300"/>
      </w:trPr>
      <w:tc>
        <w:tcPr>
          <w:tcW w:w="3005" w:type="dxa"/>
        </w:tcPr>
        <w:p w14:paraId="46651DEC" w14:textId="77777777" w:rsidR="00E75530" w:rsidRDefault="00E75530" w:rsidP="2EB1E806">
          <w:pPr>
            <w:pStyle w:val="Header"/>
            <w:ind w:left="-115"/>
          </w:pPr>
        </w:p>
      </w:tc>
      <w:tc>
        <w:tcPr>
          <w:tcW w:w="3005" w:type="dxa"/>
        </w:tcPr>
        <w:p w14:paraId="3039B243" w14:textId="77777777" w:rsidR="00E75530" w:rsidRDefault="00E75530" w:rsidP="2EB1E806">
          <w:pPr>
            <w:pStyle w:val="Header"/>
            <w:jc w:val="center"/>
          </w:pPr>
        </w:p>
      </w:tc>
      <w:tc>
        <w:tcPr>
          <w:tcW w:w="3005" w:type="dxa"/>
        </w:tcPr>
        <w:p w14:paraId="307891C7" w14:textId="77777777" w:rsidR="00E75530" w:rsidRDefault="00E75530" w:rsidP="2EB1E806">
          <w:pPr>
            <w:pStyle w:val="Header"/>
            <w:ind w:right="-115"/>
            <w:jc w:val="right"/>
          </w:pPr>
        </w:p>
      </w:tc>
    </w:tr>
  </w:tbl>
  <w:p w14:paraId="0CF9FFBF" w14:textId="77777777" w:rsidR="00E75530" w:rsidRDefault="00E755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60D61"/>
    <w:multiLevelType w:val="multilevel"/>
    <w:tmpl w:val="2670F7AE"/>
    <w:lvl w:ilvl="0">
      <w:start w:val="1"/>
      <w:numFmt w:val="decimal"/>
      <w:lvlText w:val="%1."/>
      <w:lvlJc w:val="left"/>
      <w:pPr>
        <w:ind w:left="360" w:hanging="360"/>
      </w:pPr>
      <w:rPr>
        <w:rFonts w:ascii="Segoe UI" w:hAnsi="Segoe UI" w:hint="default"/>
        <w:b/>
        <w:i w:val="0"/>
        <w:color w:val="003399"/>
        <w:sz w:val="28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ascii="Segoe UI" w:hAnsi="Segoe UI" w:hint="default"/>
        <w:b/>
        <w:i w:val="0"/>
        <w:color w:val="0F4761"/>
        <w:sz w:val="26"/>
        <w:szCs w:val="26"/>
      </w:rPr>
    </w:lvl>
    <w:lvl w:ilvl="2">
      <w:start w:val="1"/>
      <w:numFmt w:val="decimal"/>
      <w:pStyle w:val="Heading3"/>
      <w:lvlText w:val="%1.%2.%3."/>
      <w:lvlJc w:val="left"/>
      <w:pPr>
        <w:ind w:left="864" w:hanging="864"/>
      </w:pPr>
      <w:rPr>
        <w:rFonts w:ascii="Segoe UI" w:hAnsi="Segoe UI" w:hint="default"/>
        <w:b/>
        <w:i w:val="0"/>
        <w:color w:val="0F4761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316623F"/>
    <w:multiLevelType w:val="multilevel"/>
    <w:tmpl w:val="2670F7AE"/>
    <w:lvl w:ilvl="0">
      <w:start w:val="1"/>
      <w:numFmt w:val="decimal"/>
      <w:lvlText w:val="%1."/>
      <w:lvlJc w:val="left"/>
      <w:pPr>
        <w:ind w:left="360" w:hanging="360"/>
      </w:pPr>
      <w:rPr>
        <w:rFonts w:ascii="Segoe UI" w:hAnsi="Segoe UI" w:hint="default"/>
        <w:b/>
        <w:i w:val="0"/>
        <w:color w:val="003399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Segoe UI" w:hAnsi="Segoe UI" w:hint="default"/>
        <w:b/>
        <w:i w:val="0"/>
        <w:color w:val="003399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Segoe UI" w:hAnsi="Segoe UI" w:hint="default"/>
        <w:b/>
        <w:i w:val="0"/>
        <w:color w:val="003399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90">
    <w:nsid w:val="A990"/>
    <w:multiLevelType w:val="multilevel"/>
    <w:lvl w:ilvl="0">
      <w:numFmt w:val="bullet"/>
      <w:lvlText w:val="•"/>
      <w:lvlJc w:val="left"/>
      <w:pPr>
        <w:ind w:left="360" w:hanging="284"/>
      </w:pPr>
      <w:rPr>
        <w:rFonts w:ascii="Segoe UI" w:hAnsi="Segoe UI" w:eastAsia="Segoe UI" w:cs="Segoe UI"/>
        <w:color w:val="1D74BA"/>
      </w:rPr>
    </w:lvl>
    <w:lvl w:ilvl="1">
      <w:numFmt w:val="bullet"/>
      <w:lvlText w:val="–"/>
      <w:lvlJc w:val="left"/>
      <w:pPr>
        <w:ind w:left="720" w:hanging="284"/>
      </w:pPr>
      <w:rPr>
        <w:rFonts w:ascii="Segoe UI" w:hAnsi="Segoe UI" w:eastAsia="Segoe UI" w:cs="Segoe UI"/>
        <w:color w:val="1D74BA"/>
      </w:rPr>
    </w:lvl>
    <w:lvl w:ilvl="2">
      <w:numFmt w:val="bullet"/>
      <w:lvlText w:val="◦"/>
      <w:lvlJc w:val="left"/>
      <w:pPr>
        <w:ind w:left="1080" w:hanging="284"/>
      </w:pPr>
      <w:rPr>
        <w:rFonts w:ascii="Segoe UI" w:hAnsi="Segoe UI" w:eastAsia="Segoe UI" w:cs="Segoe UI"/>
        <w:color w:val="1D74BA"/>
      </w:rPr>
    </w:lvl>
    <w:lvl w:ilvl="3">
      <w:numFmt w:val="bullet"/>
      <w:lvlText w:val="•"/>
      <w:lvlJc w:val="left"/>
      <w:pPr>
        <w:ind w:left="1440" w:hanging="284"/>
      </w:pPr>
      <w:rPr>
        <w:rFonts w:ascii="Segoe UI" w:hAnsi="Segoe UI" w:eastAsia="Segoe UI" w:cs="Segoe UI"/>
        <w:color w:val="1D74BA"/>
      </w:rPr>
    </w:lvl>
    <w:lvl w:ilvl="4">
      <w:numFmt w:val="bullet"/>
      <w:lvlText w:val="–"/>
      <w:lvlJc w:val="left"/>
      <w:pPr>
        <w:ind w:left="1800" w:hanging="284"/>
      </w:pPr>
      <w:rPr>
        <w:rFonts w:ascii="Segoe UI" w:hAnsi="Segoe UI" w:eastAsia="Segoe UI" w:cs="Segoe UI"/>
        <w:color w:val="1D74BA"/>
      </w:rPr>
    </w:lvl>
    <w:lvl w:ilvl="5">
      <w:numFmt w:val="bullet"/>
      <w:lvlText w:val="◦"/>
      <w:lvlJc w:val="left"/>
      <w:pPr>
        <w:ind w:left="2160" w:hanging="284"/>
      </w:pPr>
      <w:rPr>
        <w:rFonts w:ascii="Segoe UI" w:hAnsi="Segoe UI" w:eastAsia="Segoe UI" w:cs="Segoe UI"/>
        <w:color w:val="1D74BA"/>
      </w:rPr>
    </w:lvl>
    <w:lvl w:ilvl="6">
      <w:numFmt w:val="bullet"/>
      <w:lvlText w:val="•"/>
      <w:lvlJc w:val="left"/>
      <w:pPr>
        <w:ind w:left="2520" w:hanging="284"/>
      </w:pPr>
      <w:rPr>
        <w:rFonts w:ascii="Segoe UI" w:hAnsi="Segoe UI" w:eastAsia="Segoe UI" w:cs="Segoe UI"/>
        <w:color w:val="1D74BA"/>
      </w:rPr>
    </w:lvl>
    <w:lvl w:ilvl="7">
      <w:numFmt w:val="bullet"/>
      <w:lvlText w:val="–"/>
      <w:lvlJc w:val="left"/>
      <w:pPr>
        <w:ind w:left="2880" w:hanging="284"/>
      </w:pPr>
      <w:rPr>
        <w:rFonts w:ascii="Segoe UI" w:hAnsi="Segoe UI" w:eastAsia="Segoe UI" w:cs="Segoe UI"/>
        <w:color w:val="1D74BA"/>
      </w:rPr>
    </w:lvl>
    <w:lvl w:ilvl="8">
      <w:numFmt w:val="bullet"/>
      <w:lvlText w:val="◦"/>
      <w:lvlJc w:val="left"/>
      <w:pPr>
        <w:ind w:left="3240" w:hanging="284"/>
      </w:pPr>
      <w:rPr>
        <w:rFonts w:ascii="Segoe UI" w:hAnsi="Segoe UI" w:eastAsia="Segoe UI" w:cs="Segoe UI"/>
        <w:color w:val="1D74BA"/>
      </w:r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360" w:hanging="284"/>
      </w:pPr>
      <w:rPr>
        <w:rFonts w:ascii="Segoe UI" w:hAnsi="Segoe UI" w:eastAsia="Segoe UI" w:cs="Segoe UI"/>
        <w:color w:val="1D74BA"/>
      </w:rPr>
    </w:lvl>
    <w:lvl w:ilvl="1">
      <w:numFmt w:val="bullet"/>
      <w:lvlText w:val="–"/>
      <w:lvlJc w:val="left"/>
      <w:pPr>
        <w:ind w:left="720" w:hanging="284"/>
      </w:pPr>
      <w:rPr>
        <w:rFonts w:ascii="Segoe UI" w:hAnsi="Segoe UI" w:eastAsia="Segoe UI" w:cs="Segoe UI"/>
        <w:color w:val="1D74BA"/>
      </w:rPr>
    </w:lvl>
    <w:lvl w:ilvl="2">
      <w:numFmt w:val="bullet"/>
      <w:lvlText w:val="◦"/>
      <w:lvlJc w:val="left"/>
      <w:pPr>
        <w:ind w:left="1080" w:hanging="284"/>
      </w:pPr>
      <w:rPr>
        <w:rFonts w:ascii="Segoe UI" w:hAnsi="Segoe UI" w:eastAsia="Segoe UI" w:cs="Segoe UI"/>
        <w:color w:val="1D74BA"/>
      </w:rPr>
    </w:lvl>
    <w:lvl w:ilvl="3">
      <w:numFmt w:val="bullet"/>
      <w:lvlText w:val="•"/>
      <w:lvlJc w:val="left"/>
      <w:pPr>
        <w:ind w:left="1440" w:hanging="284"/>
      </w:pPr>
      <w:rPr>
        <w:rFonts w:ascii="Segoe UI" w:hAnsi="Segoe UI" w:eastAsia="Segoe UI" w:cs="Segoe UI"/>
        <w:color w:val="1D74BA"/>
      </w:rPr>
    </w:lvl>
    <w:lvl w:ilvl="4">
      <w:numFmt w:val="bullet"/>
      <w:lvlText w:val="–"/>
      <w:lvlJc w:val="left"/>
      <w:pPr>
        <w:ind w:left="1800" w:hanging="284"/>
      </w:pPr>
      <w:rPr>
        <w:rFonts w:ascii="Segoe UI" w:hAnsi="Segoe UI" w:eastAsia="Segoe UI" w:cs="Segoe UI"/>
        <w:color w:val="1D74BA"/>
      </w:rPr>
    </w:lvl>
    <w:lvl w:ilvl="5">
      <w:numFmt w:val="bullet"/>
      <w:lvlText w:val="◦"/>
      <w:lvlJc w:val="left"/>
      <w:pPr>
        <w:ind w:left="2160" w:hanging="284"/>
      </w:pPr>
      <w:rPr>
        <w:rFonts w:ascii="Segoe UI" w:hAnsi="Segoe UI" w:eastAsia="Segoe UI" w:cs="Segoe UI"/>
        <w:color w:val="1D74BA"/>
      </w:rPr>
    </w:lvl>
    <w:lvl w:ilvl="6">
      <w:numFmt w:val="bullet"/>
      <w:lvlText w:val="•"/>
      <w:lvlJc w:val="left"/>
      <w:pPr>
        <w:ind w:left="2520" w:hanging="284"/>
      </w:pPr>
      <w:rPr>
        <w:rFonts w:ascii="Segoe UI" w:hAnsi="Segoe UI" w:eastAsia="Segoe UI" w:cs="Segoe UI"/>
        <w:color w:val="1D74BA"/>
      </w:rPr>
    </w:lvl>
    <w:lvl w:ilvl="7">
      <w:numFmt w:val="bullet"/>
      <w:lvlText w:val="–"/>
      <w:lvlJc w:val="left"/>
      <w:pPr>
        <w:ind w:left="2880" w:hanging="284"/>
      </w:pPr>
      <w:rPr>
        <w:rFonts w:ascii="Segoe UI" w:hAnsi="Segoe UI" w:eastAsia="Segoe UI" w:cs="Segoe UI"/>
        <w:color w:val="1D74BA"/>
      </w:rPr>
    </w:lvl>
    <w:lvl w:ilvl="8">
      <w:numFmt w:val="bullet"/>
      <w:lvlText w:val="◦"/>
      <w:lvlJc w:val="left"/>
      <w:pPr>
        <w:ind w:left="3240" w:hanging="284"/>
      </w:pPr>
      <w:rPr>
        <w:rFonts w:ascii="Segoe UI" w:hAnsi="Segoe UI" w:eastAsia="Segoe UI" w:cs="Segoe UI"/>
        <w:color w:val="1D74BA"/>
      </w:r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3240" w:hanging="360"/>
      </w:pPr>
    </w:lvl>
  </w:abstractNum>
  <w:num w:numId="1" w16cid:durableId="1413504409">
    <w:abstractNumId w:val="0"/>
  </w:num>
  <w:num w:numId="2" w16cid:durableId="1722510407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619CAF"/>
    <w:rsid w:val="0000218A"/>
    <w:rsid w:val="00042B57"/>
    <w:rsid w:val="00052F56"/>
    <w:rsid w:val="0005688C"/>
    <w:rsid w:val="000568F1"/>
    <w:rsid w:val="00063BDA"/>
    <w:rsid w:val="000A49F2"/>
    <w:rsid w:val="000B63E5"/>
    <w:rsid w:val="000C0114"/>
    <w:rsid w:val="000C1431"/>
    <w:rsid w:val="000E2CCE"/>
    <w:rsid w:val="000E3A8A"/>
    <w:rsid w:val="000E6F4B"/>
    <w:rsid w:val="000F3FF5"/>
    <w:rsid w:val="000F41A4"/>
    <w:rsid w:val="000F4CCD"/>
    <w:rsid w:val="000F4EB5"/>
    <w:rsid w:val="00101A6A"/>
    <w:rsid w:val="00104904"/>
    <w:rsid w:val="00117C0B"/>
    <w:rsid w:val="001315CF"/>
    <w:rsid w:val="00132BD0"/>
    <w:rsid w:val="00146E08"/>
    <w:rsid w:val="00165D5A"/>
    <w:rsid w:val="0017322E"/>
    <w:rsid w:val="00175012"/>
    <w:rsid w:val="001820B4"/>
    <w:rsid w:val="0019429B"/>
    <w:rsid w:val="001A0057"/>
    <w:rsid w:val="001A0CA8"/>
    <w:rsid w:val="001A308F"/>
    <w:rsid w:val="001B5005"/>
    <w:rsid w:val="001D3CAE"/>
    <w:rsid w:val="001D5721"/>
    <w:rsid w:val="001D63DE"/>
    <w:rsid w:val="001E33AB"/>
    <w:rsid w:val="001E62E7"/>
    <w:rsid w:val="001F3059"/>
    <w:rsid w:val="0021019E"/>
    <w:rsid w:val="00217326"/>
    <w:rsid w:val="00230C12"/>
    <w:rsid w:val="002552E7"/>
    <w:rsid w:val="00266FD0"/>
    <w:rsid w:val="00267AA2"/>
    <w:rsid w:val="00277C08"/>
    <w:rsid w:val="00284E6D"/>
    <w:rsid w:val="00291400"/>
    <w:rsid w:val="00293152"/>
    <w:rsid w:val="002964A1"/>
    <w:rsid w:val="002A380B"/>
    <w:rsid w:val="002A7439"/>
    <w:rsid w:val="002B183A"/>
    <w:rsid w:val="002C210A"/>
    <w:rsid w:val="002C4C51"/>
    <w:rsid w:val="002C702D"/>
    <w:rsid w:val="002D24EB"/>
    <w:rsid w:val="002D2E94"/>
    <w:rsid w:val="002D72E9"/>
    <w:rsid w:val="002E01F0"/>
    <w:rsid w:val="002E33DD"/>
    <w:rsid w:val="002F0D17"/>
    <w:rsid w:val="002F14E6"/>
    <w:rsid w:val="002F15FD"/>
    <w:rsid w:val="002F2AB4"/>
    <w:rsid w:val="00302D80"/>
    <w:rsid w:val="003066FC"/>
    <w:rsid w:val="00332B5D"/>
    <w:rsid w:val="003352B3"/>
    <w:rsid w:val="00342678"/>
    <w:rsid w:val="00344ED2"/>
    <w:rsid w:val="0034793E"/>
    <w:rsid w:val="00347EBD"/>
    <w:rsid w:val="003508EA"/>
    <w:rsid w:val="0036406E"/>
    <w:rsid w:val="003746B4"/>
    <w:rsid w:val="00375053"/>
    <w:rsid w:val="00386071"/>
    <w:rsid w:val="003929B6"/>
    <w:rsid w:val="003A2082"/>
    <w:rsid w:val="003A560F"/>
    <w:rsid w:val="003A6145"/>
    <w:rsid w:val="003A6CCA"/>
    <w:rsid w:val="003A74E0"/>
    <w:rsid w:val="003C3BF4"/>
    <w:rsid w:val="003C514A"/>
    <w:rsid w:val="003C7B6B"/>
    <w:rsid w:val="003D05E3"/>
    <w:rsid w:val="003F0D95"/>
    <w:rsid w:val="00405DF9"/>
    <w:rsid w:val="00413CDB"/>
    <w:rsid w:val="004170F2"/>
    <w:rsid w:val="00432E0E"/>
    <w:rsid w:val="00435034"/>
    <w:rsid w:val="00435327"/>
    <w:rsid w:val="0043534B"/>
    <w:rsid w:val="0044099E"/>
    <w:rsid w:val="00442F0D"/>
    <w:rsid w:val="004477F0"/>
    <w:rsid w:val="004503D4"/>
    <w:rsid w:val="00452E5E"/>
    <w:rsid w:val="004647A1"/>
    <w:rsid w:val="00474CE6"/>
    <w:rsid w:val="004913D2"/>
    <w:rsid w:val="004A02DA"/>
    <w:rsid w:val="004A1359"/>
    <w:rsid w:val="004B2DAF"/>
    <w:rsid w:val="004B625D"/>
    <w:rsid w:val="004C7746"/>
    <w:rsid w:val="004E295B"/>
    <w:rsid w:val="004E4690"/>
    <w:rsid w:val="004F06C7"/>
    <w:rsid w:val="004F3C1D"/>
    <w:rsid w:val="0050492D"/>
    <w:rsid w:val="00506CE2"/>
    <w:rsid w:val="005117B0"/>
    <w:rsid w:val="00515DD1"/>
    <w:rsid w:val="00526F27"/>
    <w:rsid w:val="005274C4"/>
    <w:rsid w:val="00527DC4"/>
    <w:rsid w:val="00530CF1"/>
    <w:rsid w:val="00551FBB"/>
    <w:rsid w:val="00557619"/>
    <w:rsid w:val="0056723D"/>
    <w:rsid w:val="005801AB"/>
    <w:rsid w:val="00582D45"/>
    <w:rsid w:val="005965C9"/>
    <w:rsid w:val="00597C78"/>
    <w:rsid w:val="005B20F7"/>
    <w:rsid w:val="005C6A01"/>
    <w:rsid w:val="005D416F"/>
    <w:rsid w:val="005D66A3"/>
    <w:rsid w:val="005E50D8"/>
    <w:rsid w:val="005E5BDB"/>
    <w:rsid w:val="006035C8"/>
    <w:rsid w:val="0061697C"/>
    <w:rsid w:val="006205C2"/>
    <w:rsid w:val="00635465"/>
    <w:rsid w:val="00636B4E"/>
    <w:rsid w:val="0064254C"/>
    <w:rsid w:val="006470D1"/>
    <w:rsid w:val="006636A0"/>
    <w:rsid w:val="00672F40"/>
    <w:rsid w:val="006A00B9"/>
    <w:rsid w:val="006A3B4D"/>
    <w:rsid w:val="006A5A6F"/>
    <w:rsid w:val="006B0390"/>
    <w:rsid w:val="006C0479"/>
    <w:rsid w:val="006D5B1D"/>
    <w:rsid w:val="006E299A"/>
    <w:rsid w:val="006F00EA"/>
    <w:rsid w:val="006F1953"/>
    <w:rsid w:val="006F76BF"/>
    <w:rsid w:val="006F794B"/>
    <w:rsid w:val="00702A04"/>
    <w:rsid w:val="0070768E"/>
    <w:rsid w:val="00716258"/>
    <w:rsid w:val="0072222E"/>
    <w:rsid w:val="00725646"/>
    <w:rsid w:val="00732BA3"/>
    <w:rsid w:val="0073383D"/>
    <w:rsid w:val="00734A87"/>
    <w:rsid w:val="007526C4"/>
    <w:rsid w:val="00760478"/>
    <w:rsid w:val="0077617F"/>
    <w:rsid w:val="007857E1"/>
    <w:rsid w:val="00785E13"/>
    <w:rsid w:val="00792F52"/>
    <w:rsid w:val="007A4A03"/>
    <w:rsid w:val="007A633B"/>
    <w:rsid w:val="007A71F1"/>
    <w:rsid w:val="007B02D5"/>
    <w:rsid w:val="007B4988"/>
    <w:rsid w:val="007D7821"/>
    <w:rsid w:val="007F11E9"/>
    <w:rsid w:val="007F30C2"/>
    <w:rsid w:val="007F472F"/>
    <w:rsid w:val="008064DE"/>
    <w:rsid w:val="00806B12"/>
    <w:rsid w:val="00810A00"/>
    <w:rsid w:val="008115F2"/>
    <w:rsid w:val="008142DD"/>
    <w:rsid w:val="00816F52"/>
    <w:rsid w:val="0082012F"/>
    <w:rsid w:val="00822C46"/>
    <w:rsid w:val="0083379F"/>
    <w:rsid w:val="0084601F"/>
    <w:rsid w:val="00850063"/>
    <w:rsid w:val="008501FA"/>
    <w:rsid w:val="00851AA2"/>
    <w:rsid w:val="0085347F"/>
    <w:rsid w:val="0088114F"/>
    <w:rsid w:val="00883FF9"/>
    <w:rsid w:val="008962E2"/>
    <w:rsid w:val="008966B3"/>
    <w:rsid w:val="008B2159"/>
    <w:rsid w:val="008C0C77"/>
    <w:rsid w:val="008E432C"/>
    <w:rsid w:val="00905E50"/>
    <w:rsid w:val="009109A9"/>
    <w:rsid w:val="0091281E"/>
    <w:rsid w:val="00913938"/>
    <w:rsid w:val="00914989"/>
    <w:rsid w:val="00915839"/>
    <w:rsid w:val="00922A5C"/>
    <w:rsid w:val="009319BC"/>
    <w:rsid w:val="00962B66"/>
    <w:rsid w:val="009853D4"/>
    <w:rsid w:val="00995621"/>
    <w:rsid w:val="009A509A"/>
    <w:rsid w:val="009B6DDB"/>
    <w:rsid w:val="009C183B"/>
    <w:rsid w:val="009C3226"/>
    <w:rsid w:val="009C54E5"/>
    <w:rsid w:val="009D1BA6"/>
    <w:rsid w:val="009E5C44"/>
    <w:rsid w:val="009F60B4"/>
    <w:rsid w:val="00A05431"/>
    <w:rsid w:val="00A12B12"/>
    <w:rsid w:val="00A242E6"/>
    <w:rsid w:val="00A42EF2"/>
    <w:rsid w:val="00A446DF"/>
    <w:rsid w:val="00A63673"/>
    <w:rsid w:val="00A87E4D"/>
    <w:rsid w:val="00A948CA"/>
    <w:rsid w:val="00A967C0"/>
    <w:rsid w:val="00AB1D58"/>
    <w:rsid w:val="00AB415C"/>
    <w:rsid w:val="00AB5A66"/>
    <w:rsid w:val="00AB70BF"/>
    <w:rsid w:val="00AD2457"/>
    <w:rsid w:val="00AD7E84"/>
    <w:rsid w:val="00AF3120"/>
    <w:rsid w:val="00B03E51"/>
    <w:rsid w:val="00B11280"/>
    <w:rsid w:val="00B145FD"/>
    <w:rsid w:val="00B34C4C"/>
    <w:rsid w:val="00B36355"/>
    <w:rsid w:val="00B41393"/>
    <w:rsid w:val="00B55DFA"/>
    <w:rsid w:val="00B65D18"/>
    <w:rsid w:val="00B67F6B"/>
    <w:rsid w:val="00B92133"/>
    <w:rsid w:val="00BA7965"/>
    <w:rsid w:val="00BB13EB"/>
    <w:rsid w:val="00BB70EE"/>
    <w:rsid w:val="00BD09D6"/>
    <w:rsid w:val="00BD192A"/>
    <w:rsid w:val="00BE35E1"/>
    <w:rsid w:val="00BE7A2E"/>
    <w:rsid w:val="00BF0754"/>
    <w:rsid w:val="00BF0B1E"/>
    <w:rsid w:val="00BF4953"/>
    <w:rsid w:val="00C33D1A"/>
    <w:rsid w:val="00C453D8"/>
    <w:rsid w:val="00C53EE2"/>
    <w:rsid w:val="00C7250E"/>
    <w:rsid w:val="00C73E90"/>
    <w:rsid w:val="00C86161"/>
    <w:rsid w:val="00CA2181"/>
    <w:rsid w:val="00CA3397"/>
    <w:rsid w:val="00CA3752"/>
    <w:rsid w:val="00CB72C2"/>
    <w:rsid w:val="00CC174D"/>
    <w:rsid w:val="00CD4769"/>
    <w:rsid w:val="00CE291D"/>
    <w:rsid w:val="00CE412D"/>
    <w:rsid w:val="00CE55AD"/>
    <w:rsid w:val="00CE59F7"/>
    <w:rsid w:val="00CF36DA"/>
    <w:rsid w:val="00D0151B"/>
    <w:rsid w:val="00D1397F"/>
    <w:rsid w:val="00D1561E"/>
    <w:rsid w:val="00D35AD1"/>
    <w:rsid w:val="00D46CF6"/>
    <w:rsid w:val="00D63589"/>
    <w:rsid w:val="00D64521"/>
    <w:rsid w:val="00D75FF4"/>
    <w:rsid w:val="00D828C7"/>
    <w:rsid w:val="00D8334F"/>
    <w:rsid w:val="00D9094D"/>
    <w:rsid w:val="00DA62B8"/>
    <w:rsid w:val="00DB603E"/>
    <w:rsid w:val="00DC143C"/>
    <w:rsid w:val="00DC5AFC"/>
    <w:rsid w:val="00DD0B50"/>
    <w:rsid w:val="00DD20A9"/>
    <w:rsid w:val="00DD615A"/>
    <w:rsid w:val="00DD7430"/>
    <w:rsid w:val="00DF2344"/>
    <w:rsid w:val="00E06159"/>
    <w:rsid w:val="00E1122A"/>
    <w:rsid w:val="00E1377B"/>
    <w:rsid w:val="00E1476A"/>
    <w:rsid w:val="00E2456D"/>
    <w:rsid w:val="00E25350"/>
    <w:rsid w:val="00E46E45"/>
    <w:rsid w:val="00E53623"/>
    <w:rsid w:val="00E53FF8"/>
    <w:rsid w:val="00E621D8"/>
    <w:rsid w:val="00E75530"/>
    <w:rsid w:val="00E82847"/>
    <w:rsid w:val="00E92ED2"/>
    <w:rsid w:val="00EA48D7"/>
    <w:rsid w:val="00EC0DBF"/>
    <w:rsid w:val="00EC1FCB"/>
    <w:rsid w:val="00EC3C7D"/>
    <w:rsid w:val="00EE516B"/>
    <w:rsid w:val="00EF479A"/>
    <w:rsid w:val="00F00ADB"/>
    <w:rsid w:val="00F22B91"/>
    <w:rsid w:val="00F26BAF"/>
    <w:rsid w:val="00F27EC9"/>
    <w:rsid w:val="00F40452"/>
    <w:rsid w:val="00F51C7F"/>
    <w:rsid w:val="00F65143"/>
    <w:rsid w:val="00F65451"/>
    <w:rsid w:val="00F700CF"/>
    <w:rsid w:val="00F70204"/>
    <w:rsid w:val="00F709B7"/>
    <w:rsid w:val="00F77716"/>
    <w:rsid w:val="00FB21C6"/>
    <w:rsid w:val="00FB2A82"/>
    <w:rsid w:val="00FD67F2"/>
    <w:rsid w:val="00FF7FF8"/>
    <w:rsid w:val="01CA9D05"/>
    <w:rsid w:val="055BFCB9"/>
    <w:rsid w:val="0687B841"/>
    <w:rsid w:val="0E539202"/>
    <w:rsid w:val="1763029D"/>
    <w:rsid w:val="1795DE0D"/>
    <w:rsid w:val="19651ED0"/>
    <w:rsid w:val="1A2B37AE"/>
    <w:rsid w:val="1B9AC10C"/>
    <w:rsid w:val="1CF41131"/>
    <w:rsid w:val="1DE7F87D"/>
    <w:rsid w:val="22B94435"/>
    <w:rsid w:val="25F16803"/>
    <w:rsid w:val="2810A832"/>
    <w:rsid w:val="29630CD1"/>
    <w:rsid w:val="2A929015"/>
    <w:rsid w:val="2EB1E806"/>
    <w:rsid w:val="2F7DEDA7"/>
    <w:rsid w:val="3050B4C0"/>
    <w:rsid w:val="3B384731"/>
    <w:rsid w:val="41E865D3"/>
    <w:rsid w:val="423B9943"/>
    <w:rsid w:val="465B543B"/>
    <w:rsid w:val="4FD68526"/>
    <w:rsid w:val="528B570B"/>
    <w:rsid w:val="58619CAF"/>
    <w:rsid w:val="59FE61E3"/>
    <w:rsid w:val="5D67F8AB"/>
    <w:rsid w:val="5EC7D5D1"/>
    <w:rsid w:val="5F792426"/>
    <w:rsid w:val="6241B22A"/>
    <w:rsid w:val="65EF8D46"/>
    <w:rsid w:val="6BFAB9C3"/>
    <w:rsid w:val="6D706F02"/>
    <w:rsid w:val="75B95BFB"/>
    <w:rsid w:val="76E53D01"/>
    <w:rsid w:val="783CC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5C7AF"/>
  <w15:chartTrackingRefBased/>
  <w15:docId w15:val="{E1FC862B-6EF8-40CD-AC6E-FBDED42DD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1B9AC10C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1B9AC10C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7526C4"/>
  </w:style>
  <w:style w:type="character" w:customStyle="1" w:styleId="FooterChar">
    <w:name w:val="Footer Char"/>
    <w:basedOn w:val="DefaultParagraphFont"/>
    <w:link w:val="Footer"/>
    <w:uiPriority w:val="99"/>
    <w:rsid w:val="007A4A03"/>
  </w:style>
  <w:style w:type="character" w:customStyle="1" w:styleId="Heading1Char">
    <w:name w:val="Heading 1 Char"/>
    <w:basedOn w:val="DefaultParagraphFont"/>
    <w:link w:val="Heading1"/>
    <w:uiPriority w:val="9"/>
    <w:rsid w:val="002B1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uiPriority w:val="99"/>
    <w:unhideWhenUsed/>
    <w:rsid w:val="002B183A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B183A"/>
    <w:pPr>
      <w:spacing w:before="480" w:line="276" w:lineRule="auto"/>
      <w:outlineLvl w:val="9"/>
    </w:pPr>
    <w:rPr>
      <w:rFonts w:ascii="Arial" w:eastAsia="Times New Roman" w:hAnsi="Arial" w:cs="Arial"/>
      <w:bCs/>
      <w:color w:val="365F91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B183A"/>
    <w:pPr>
      <w:tabs>
        <w:tab w:val="left" w:pos="900"/>
        <w:tab w:val="right" w:leader="dot" w:pos="9350"/>
      </w:tabs>
      <w:spacing w:after="100" w:line="276" w:lineRule="auto"/>
      <w:jc w:val="both"/>
    </w:pPr>
    <w:rPr>
      <w:rFonts w:ascii="Segoe UI" w:eastAsia="Times New Roman" w:hAnsi="Segoe UI" w:cs="Times New Roman"/>
      <w:b/>
      <w:color w:val="101820"/>
      <w:sz w:val="20"/>
      <w:szCs w:val="22"/>
      <w:lang w:eastAsia="en-US"/>
    </w:rPr>
  </w:style>
  <w:style w:type="character" w:styleId="BookTitle">
    <w:name w:val="Book Title"/>
    <w:uiPriority w:val="33"/>
    <w:qFormat/>
    <w:rsid w:val="002B183A"/>
    <w:rPr>
      <w:b/>
      <w:bCs/>
      <w:i/>
      <w:iCs/>
      <w:spacing w:val="5"/>
    </w:rPr>
  </w:style>
  <w:style w:type="paragraph" w:styleId="BodyText">
    <w:name w:val="Body Text"/>
    <w:basedOn w:val="Normal"/>
    <w:qFormat/>
    <w:pPr>
      <w:spacing w:before="0" w:after="140" w:line="276" w:lineRule="auto"/>
      <w:jc w:val="both"/>
    </w:pPr>
    <w:rPr>
      <w:rFonts w:ascii="Segoe UI" w:hAnsi="Segoe UI" w:eastAsia="Segoe UI" w:cs="Segoe UI"/>
      <w:color w:val="101820"/>
      <w:sz w:val="22"/>
      <w:szCs w:val="22"/>
    </w:rPr>
  </w:style>
  <w:style w:type="paragraph" w:customStyle="1" w:styleId="FirstParagraph">
    <w:name w:val="First Paragraph"/>
    <w:basedOn w:val="BodyText"/>
    <w:qFormat/>
  </w:style>
  <w:style w:type="paragraph" w:customStyle="1" w:styleId="Compact">
    <w:name w:val="Compact"/>
    <w:basedOn w:val="BodyText"/>
    <w:qFormat/>
    <w:pPr>
      <w:spacing w:before="0" w:after="60"/>
      <w:jc w:val="left"/>
    </w:pPr>
  </w:style>
  <w:style w:type="paragraph" w:customStyle="1" w:styleId="TableText">
    <w:name w:val="Table Text"/>
    <w:basedOn w:val="Normal"/>
    <w:qFormat/>
    <w:pPr>
      <w:spacing w:before="20" w:after="20" w:line="245" w:lineRule="auto"/>
      <w:jc w:val="left"/>
    </w:pPr>
    <w:rPr>
      <w:rFonts w:ascii="Segoe UI" w:hAnsi="Segoe UI" w:eastAsia="Segoe UI" w:cs="Segoe UI"/>
      <w:color w:val="101820"/>
      <w:sz w:val="19"/>
      <w:szCs w:val="19"/>
    </w:rPr>
  </w:style>
  <w:style w:type="paragraph" w:customStyle="1" w:styleId="TableHeading">
    <w:name w:val="Table Heading"/>
    <w:basedOn w:val="TableText"/>
    <w:qFormat/>
    <w:pPr>
      <w:keepNext/>
    </w:pPr>
    <w:rPr>
      <w:b/>
      <w:bCs/>
      <w:color w:val="FFFFFF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numPr>
        <w:ilvl w:val="1"/>
        <w:numId w:val="1"/>
      </w:numPr>
      <w:spacing w:before="280" w:after="100" w:line="259" w:lineRule="auto"/>
      <w:ind w:left="720" w:hanging="720"/>
      <w:outlineLvl w:val="1"/>
    </w:pPr>
    <w:rPr>
      <w:rFonts w:asciiTheme="majorHAnsi" w:eastAsiaTheme="majorEastAsia" w:hAnsiTheme="majorHAnsi" w:cstheme="majorBidi"/>
      <w:b/>
      <w:bCs/>
      <w:color w:val="0F4761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numPr>
        <w:ilvl w:val="2"/>
        <w:numId w:val="1"/>
      </w:numPr>
      <w:spacing w:before="220" w:after="80" w:line="259" w:lineRule="auto"/>
      <w:ind w:left="864" w:hanging="864"/>
      <w:outlineLvl w:val="2"/>
    </w:pPr>
    <w:rPr>
      <w:rFonts w:asciiTheme="majorHAnsi" w:eastAsiaTheme="majorEastAsia" w:hAnsiTheme="majorHAnsi" w:cstheme="majorBidi"/>
      <w:b/>
      <w:bCs/>
      <w:color w:val="0F4761"/>
      <w:sz w:val="23"/>
      <w:szCs w:val="23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80" w:after="60" w:line="259" w:lineRule="auto"/>
      <w:outlineLvl w:val="3"/>
    </w:pPr>
    <w:rPr>
      <w:rFonts w:ascii="Segoe UI" w:hAnsi="Segoe UI" w:eastAsia="Segoe UI" w:cs="Segoe UI"/>
      <w:b/>
      <w:bCs/>
      <w:color w:val="0F4761"/>
      <w:sz w:val="22"/>
      <w:szCs w:val="22"/>
    </w:rPr>
  </w:style>
  <w:style w:type="paragraph" w:styleId="Caption">
    <w:name w:val="caption"/>
    <w:basedOn w:val="Normal"/>
    <w:next w:val="BodyText"/>
    <w:qFormat/>
    <w:pPr>
      <w:spacing w:before="60" w:after="240" w:line="240" w:lineRule="auto"/>
      <w:jc w:val="center"/>
    </w:pPr>
    <w:rPr>
      <w:rFonts w:ascii="Segoe UI" w:hAnsi="Segoe UI" w:eastAsia="Segoe UI" w:cs="Segoe UI"/>
      <w:i/>
      <w:iCs/>
      <w:color w:val="0F4761"/>
      <w:sz w:val="18"/>
      <w:szCs w:val="18"/>
    </w:rPr>
  </w:style>
  <w:style w:type="paragraph" w:customStyle="1" w:styleId="TableCaption">
    <w:name w:val="Table Caption"/>
    <w:basedOn w:val="Caption"/>
    <w:qFormat/>
    <w:pPr>
      <w:keepNext/>
      <w:spacing w:before="160" w:after="80"/>
      <w:jc w:val="left"/>
    </w:pPr>
  </w:style>
  <w:style w:type="paragraph" w:customStyle="1" w:styleId="Figure">
    <w:name w:val="Figure"/>
    <w:basedOn w:val="Normal"/>
    <w:next w:val="Caption"/>
    <w:qFormat/>
    <w:pPr>
      <w:keepNext/>
      <w:spacing w:before="160" w:after="40" w:line="240" w:lineRule="auto"/>
      <w:jc w:val="center"/>
    </w:pPr>
  </w:style>
  <w:style w:type="paragraph" w:customStyle="1" w:styleId="FigureWide">
    <w:name w:val="Figure Wide"/>
    <w:basedOn w:val="Figure"/>
    <w:next w:val="Caption"/>
    <w:qFormat/>
  </w:style>
  <w:style w:type="paragraph" w:customStyle="1" w:styleId="CodeBlock">
    <w:name w:val="Code Block"/>
    <w:basedOn w:val="Normal"/>
    <w:next w:val="BodyText"/>
    <w:qFormat/>
    <w:pPr>
      <w:pBdr>
        <w:top w:val="single" w:sz="4" w:space="4" w:color="D3DCE6"/>
        <w:left w:val="single" w:sz="4" w:space="4" w:color="D3DCE6"/>
        <w:bottom w:val="single" w:sz="4" w:space="4" w:color="D3DCE6"/>
        <w:right w:val="single" w:sz="4" w:space="4" w:color="D3DCE6"/>
      </w:pBdr>
      <w:shd w:val="clear" w:color="auto" w:fill="F3F6FA"/>
      <w:spacing w:before="80" w:after="200" w:line="240" w:lineRule="auto"/>
      <w:ind w:left="113" w:right="113"/>
      <w:jc w:val="left"/>
    </w:pPr>
    <w:rPr>
      <w:rFonts w:ascii="Consolas" w:hAnsi="Consolas" w:eastAsia="Consolas" w:cs="Consolas"/>
      <w:color w:val="1F2937"/>
      <w:sz w:val="18"/>
      <w:szCs w:val="18"/>
    </w:rPr>
  </w:style>
  <w:style w:type="character" w:customStyle="1" w:styleId="CodeChar">
    <w:name w:val="Code Char"/>
    <w:basedOn w:val="DefaultParagraphFont"/>
    <w:qFormat/>
    <w:rPr>
      <w:rFonts w:ascii="Consolas" w:hAnsi="Consolas" w:eastAsia="Consolas" w:cs="Consolas"/>
      <w:color w:val="1F3864"/>
      <w:sz w:val="19"/>
      <w:szCs w:val="19"/>
    </w:rPr>
  </w:style>
  <w:style w:type="paragraph" w:customStyle="1" w:styleId="Callout">
    <w:name w:val="Callout"/>
    <w:basedOn w:val="Normal"/>
    <w:next w:val="BodyText"/>
    <w:qFormat/>
    <w:pPr>
      <w:pBdr>
        <w:left w:val="single" w:sz="24" w:space="8" w:color="1D74BA"/>
      </w:pBdr>
      <w:shd w:val="clear" w:color="auto" w:fill="E8F1FA"/>
      <w:spacing w:before="60" w:after="60" w:line="264" w:lineRule="auto"/>
      <w:ind w:left="227" w:right="113"/>
      <w:jc w:val="left"/>
    </w:pPr>
    <w:rPr>
      <w:rFonts w:ascii="Segoe UI" w:hAnsi="Segoe UI" w:eastAsia="Segoe UI" w:cs="Segoe UI"/>
      <w:color w:val="101820"/>
      <w:sz w:val="21"/>
      <w:szCs w:val="21"/>
    </w:rPr>
  </w:style>
  <w:style w:type="paragraph" w:styleId="TOC2">
    <w:name w:val="toc 2"/>
    <w:basedOn w:val="Normal"/>
    <w:next w:val="Normal"/>
    <w:uiPriority w:val="39"/>
    <w:unhideWhenUsed/>
    <w:pPr>
      <w:tabs>
        <w:tab w:val="left" w:pos="1260"/>
        <w:tab w:val="right" w:leader="dot" w:pos="9350"/>
      </w:tabs>
      <w:spacing w:after="60" w:line="264" w:lineRule="auto"/>
      <w:ind w:left="360"/>
    </w:pPr>
    <w:rPr>
      <w:rFonts w:ascii="Segoe UI" w:hAnsi="Segoe UI" w:eastAsia="Segoe UI" w:cs="Segoe UI"/>
      <w:noProof/>
      <w:color w:val="101820"/>
      <w:sz w:val="19"/>
      <w:szCs w:val="19"/>
    </w:rPr>
  </w:style>
  <w:style w:type="paragraph" w:styleId="TOC3">
    <w:name w:val="toc 3"/>
    <w:basedOn w:val="Normal"/>
    <w:next w:val="Normal"/>
    <w:uiPriority w:val="39"/>
    <w:unhideWhenUsed/>
    <w:pPr>
      <w:tabs>
        <w:tab w:val="left" w:pos="1700"/>
        <w:tab w:val="right" w:leader="dot" w:pos="9350"/>
      </w:tabs>
      <w:spacing w:after="40" w:line="264" w:lineRule="auto"/>
      <w:ind w:left="720"/>
    </w:pPr>
    <w:rPr>
      <w:rFonts w:ascii="Segoe UI" w:hAnsi="Segoe UI" w:eastAsia="Segoe UI" w:cs="Segoe UI"/>
      <w:noProof/>
      <w:color w:val="404A55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16" Type="http://schemas.openxmlformats.org/officeDocument/2006/relationships/footer" Target="footer2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G1" Type="http://schemas.openxmlformats.org/officeDocument/2006/relationships/image" Target="media/body_001.png"/><Relationship Id="rIdG2" Type="http://schemas.openxmlformats.org/officeDocument/2006/relationships/image" Target="media/body_00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ScaleCrop>false</ScaleCrop>
  <Company>iorta TechNXT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Go-Live and Hypercare Plan</dc:title>
  <dc:subject>TGP-OPS-05</dc:subject>
  <dc:creator>iorta TechNXT</dc:creator>
  <cp:keywords>TGP-OPS-05; TASCO Insurance; iorta TechNXT</cp:keywords>
  <dc:description>TASCO Motor Insurance Growth Platform</dc:description>
  <cp:lastModifiedBy>iorta TechNXT</cp:lastModifiedBy>
  <cp:revision>1</cp:revision>
  <dcterms:created xsi:type="dcterms:W3CDTF">2026-10-08T03:55:00Z</dcterms:created>
  <dcterms:modified xsi:type="dcterms:W3CDTF">2026-10-08T03:55:00Z</dcterms:modified>
</cp:coreProperties>
</file>